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drawings/drawing6.xml" ContentType="application/vnd.openxmlformats-officedocument.drawingml.chartshapes+xml"/>
  <Override PartName="/word/charts/chart59.xml" ContentType="application/vnd.openxmlformats-officedocument.drawingml.chart+xml"/>
  <Override PartName="/word/theme/themeOverride40.xml" ContentType="application/vnd.openxmlformats-officedocument.themeOverride+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Default Extension="png" ContentType="image/png"/>
  <Override PartName="/word/theme/themeOverride16.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Override PartName="/word/theme/themeOverride12.xml" ContentType="application/vnd.openxmlformats-officedocument.themeOverride+xml"/>
  <Default Extension="emf" ContentType="image/x-emf"/>
  <Default Extension="jpeg" ContentType="image/jpeg"/>
  <Override PartName="/word/theme/themeOverride21.xml" ContentType="application/vnd.openxmlformats-officedocument.themeOverride+xml"/>
  <Override PartName="/word/drawings/drawing7.xml" ContentType="application/vnd.openxmlformats-officedocument.drawingml.chartshapes+xml"/>
  <Override PartName="/word/theme/themeOverride30.xml" ContentType="application/vnd.openxmlformats-officedocument.themeOverride+xml"/>
  <Override PartName="/word/charts/chart49.xml" ContentType="application/vnd.openxmlformats-officedocument.drawingml.chart+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drawings/drawing3.xml" ContentType="application/vnd.openxmlformats-officedocument.drawingml.chartshapes+xml"/>
  <Override PartName="/word/charts/chart29.xml" ContentType="application/vnd.openxmlformats-officedocument.drawingml.chart+xml"/>
  <Override PartName="/word/drawings/drawing5.xml" ContentType="application/vnd.openxmlformats-officedocument.drawingml.chartshapes+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Default Extension="gif" ContentType="image/gif"/>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charts/chart61.xml" ContentType="application/vnd.openxmlformats-officedocument.drawingml.chart+xml"/>
  <Override PartName="/word/theme/themeOverride48.xml" ContentType="application/vnd.openxmlformats-officedocument.themeOverride+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drawings/drawing8.xml" ContentType="application/vnd.openxmlformats-officedocument.drawingml.chartshapes+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drawings/drawing4.xml" ContentType="application/vnd.openxmlformats-officedocument.drawingml.chartshapes+xml"/>
  <Override PartName="/word/charts/chart39.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charts/chart60.xml" ContentType="application/vnd.openxmlformats-officedocument.drawingml.chart+xml"/>
  <Override PartName="/word/theme/themeOverride4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E0C" w:rsidRDefault="00E34E0C" w:rsidP="00E34E0C">
      <w:pPr>
        <w:spacing w:after="0" w:line="240" w:lineRule="auto"/>
        <w:ind w:firstLine="851"/>
        <w:jc w:val="both"/>
        <w:rPr>
          <w:rFonts w:ascii="Times New Roman" w:hAnsi="Times New Roman"/>
          <w:b/>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bCs/>
          <w:sz w:val="28"/>
          <w:szCs w:val="28"/>
        </w:rPr>
      </w:pPr>
      <w:r w:rsidRPr="00FB2DB2">
        <w:rPr>
          <w:rFonts w:ascii="Times New Roman" w:hAnsi="Times New Roman"/>
          <w:b/>
          <w:bCs/>
          <w:sz w:val="28"/>
          <w:szCs w:val="28"/>
        </w:rPr>
        <w:t>МИНИСТЕРСТВО ЭКОНОМИ</w:t>
      </w:r>
      <w:r>
        <w:rPr>
          <w:rFonts w:ascii="Times New Roman" w:hAnsi="Times New Roman"/>
          <w:b/>
          <w:bCs/>
          <w:sz w:val="28"/>
          <w:szCs w:val="28"/>
        </w:rPr>
        <w:t>ЧЕСКОГО РАЗВИТИЯ</w:t>
      </w: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r w:rsidRPr="00FB2DB2">
        <w:rPr>
          <w:rFonts w:ascii="Times New Roman" w:hAnsi="Times New Roman"/>
          <w:b/>
          <w:bCs/>
          <w:sz w:val="28"/>
          <w:szCs w:val="28"/>
        </w:rPr>
        <w:t>ПРИДНЕСТРОВСКОЙ МОЛДАВСКОЙ РЕСПУБЛИКИ</w:t>
      </w: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bCs/>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bCs/>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bCs/>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bCs/>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bCs/>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bCs/>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bCs/>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bCs/>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bCs/>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bCs/>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bCs/>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bCs/>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bCs/>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bCs/>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bCs/>
          <w:sz w:val="44"/>
          <w:szCs w:val="44"/>
        </w:rPr>
      </w:pPr>
      <w:r w:rsidRPr="00FB2DB2">
        <w:rPr>
          <w:rFonts w:ascii="Times New Roman" w:hAnsi="Times New Roman"/>
          <w:b/>
          <w:bCs/>
          <w:sz w:val="44"/>
          <w:szCs w:val="44"/>
        </w:rPr>
        <w:t>ДОКЛАД</w:t>
      </w: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bCs/>
          <w:sz w:val="48"/>
          <w:szCs w:val="48"/>
        </w:rPr>
      </w:pPr>
      <w:r w:rsidRPr="00FB2DB2">
        <w:rPr>
          <w:rFonts w:ascii="Times New Roman" w:hAnsi="Times New Roman"/>
          <w:b/>
          <w:bCs/>
          <w:sz w:val="48"/>
          <w:szCs w:val="48"/>
        </w:rPr>
        <w:t>«О социально-экономическом развитии</w:t>
      </w:r>
      <w:r w:rsidR="00493655">
        <w:rPr>
          <w:rFonts w:ascii="Times New Roman" w:hAnsi="Times New Roman"/>
          <w:b/>
          <w:bCs/>
          <w:sz w:val="48"/>
          <w:szCs w:val="48"/>
        </w:rPr>
        <w:t xml:space="preserve"> </w:t>
      </w:r>
      <w:r w:rsidRPr="00FB2DB2">
        <w:rPr>
          <w:rFonts w:ascii="Times New Roman" w:hAnsi="Times New Roman"/>
          <w:b/>
          <w:bCs/>
          <w:sz w:val="48"/>
          <w:szCs w:val="48"/>
        </w:rPr>
        <w:t>Приднестровской Молдавской Республики</w:t>
      </w:r>
      <w:r>
        <w:rPr>
          <w:rFonts w:ascii="Times New Roman" w:hAnsi="Times New Roman"/>
          <w:b/>
          <w:bCs/>
          <w:sz w:val="48"/>
          <w:szCs w:val="48"/>
        </w:rPr>
        <w:t xml:space="preserve"> в 2016 году</w:t>
      </w:r>
      <w:r w:rsidRPr="00FB2DB2">
        <w:rPr>
          <w:rFonts w:ascii="Times New Roman" w:hAnsi="Times New Roman"/>
          <w:b/>
          <w:bCs/>
          <w:sz w:val="48"/>
          <w:szCs w:val="48"/>
        </w:rPr>
        <w:t>»</w:t>
      </w: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p>
    <w:p w:rsidR="00E34E0C"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p>
    <w:p w:rsidR="00E34E0C"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p>
    <w:p w:rsidR="008A558F" w:rsidRDefault="008A558F"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p>
    <w:p w:rsidR="008A558F" w:rsidRDefault="008A558F"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p>
    <w:p w:rsidR="008A558F" w:rsidRDefault="008A558F"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r w:rsidRPr="00FB2DB2">
        <w:rPr>
          <w:rFonts w:ascii="Times New Roman" w:hAnsi="Times New Roman"/>
          <w:b/>
          <w:sz w:val="28"/>
          <w:szCs w:val="28"/>
        </w:rPr>
        <w:t>г. Тирасполь</w:t>
      </w:r>
    </w:p>
    <w:p w:rsidR="00E34E0C"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r w:rsidRPr="00FB2DB2">
        <w:rPr>
          <w:rFonts w:ascii="Times New Roman" w:hAnsi="Times New Roman"/>
          <w:b/>
          <w:sz w:val="28"/>
          <w:szCs w:val="28"/>
        </w:rPr>
        <w:t>201</w:t>
      </w:r>
      <w:r>
        <w:rPr>
          <w:rFonts w:ascii="Times New Roman" w:hAnsi="Times New Roman"/>
          <w:b/>
          <w:sz w:val="28"/>
          <w:szCs w:val="28"/>
        </w:rPr>
        <w:t>7</w:t>
      </w:r>
      <w:r w:rsidRPr="00FB2DB2">
        <w:rPr>
          <w:rFonts w:ascii="Times New Roman" w:hAnsi="Times New Roman"/>
          <w:b/>
          <w:sz w:val="28"/>
          <w:szCs w:val="28"/>
        </w:rPr>
        <w:t xml:space="preserve"> год</w:t>
      </w:r>
    </w:p>
    <w:p w:rsidR="00E34E0C" w:rsidRPr="00FB2DB2" w:rsidRDefault="00E34E0C" w:rsidP="00493655">
      <w:pPr>
        <w:pBdr>
          <w:top w:val="thinThickMediumGap" w:sz="36" w:space="9" w:color="auto"/>
          <w:left w:val="thinThickMediumGap" w:sz="36" w:space="4" w:color="auto"/>
          <w:bottom w:val="thickThinMediumGap" w:sz="36" w:space="1" w:color="auto"/>
          <w:right w:val="thickThinMediumGap" w:sz="36" w:space="0" w:color="auto"/>
        </w:pBdr>
        <w:spacing w:after="0" w:line="240" w:lineRule="auto"/>
        <w:jc w:val="center"/>
        <w:rPr>
          <w:rFonts w:ascii="Times New Roman" w:hAnsi="Times New Roman"/>
          <w:b/>
          <w:sz w:val="28"/>
          <w:szCs w:val="28"/>
        </w:rPr>
      </w:pPr>
    </w:p>
    <w:p w:rsidR="006C3318" w:rsidRDefault="006C3318" w:rsidP="00E34E0C">
      <w:pPr>
        <w:spacing w:after="0" w:line="240" w:lineRule="auto"/>
        <w:jc w:val="center"/>
        <w:rPr>
          <w:rFonts w:ascii="Times New Roman" w:hAnsi="Times New Roman"/>
          <w:b/>
          <w:sz w:val="24"/>
          <w:szCs w:val="24"/>
        </w:rPr>
        <w:sectPr w:rsidR="006C3318" w:rsidSect="00493655">
          <w:footerReference w:type="default" r:id="rId8"/>
          <w:pgSz w:w="11906" w:h="16838" w:code="9"/>
          <w:pgMar w:top="567" w:right="851" w:bottom="1134" w:left="1701" w:header="709" w:footer="709" w:gutter="0"/>
          <w:pgNumType w:start="1"/>
          <w:cols w:space="708"/>
          <w:titlePg/>
          <w:docGrid w:linePitch="360"/>
        </w:sectPr>
      </w:pPr>
    </w:p>
    <w:p w:rsidR="00E34E0C" w:rsidRDefault="00E34E0C" w:rsidP="00E34E0C">
      <w:pPr>
        <w:spacing w:after="0" w:line="240" w:lineRule="auto"/>
        <w:jc w:val="center"/>
        <w:rPr>
          <w:rFonts w:ascii="Times New Roman" w:hAnsi="Times New Roman"/>
          <w:b/>
          <w:sz w:val="24"/>
          <w:szCs w:val="24"/>
        </w:rPr>
      </w:pPr>
      <w:r w:rsidRPr="00E030E3">
        <w:rPr>
          <w:rFonts w:ascii="Times New Roman" w:hAnsi="Times New Roman"/>
          <w:b/>
          <w:sz w:val="24"/>
          <w:szCs w:val="24"/>
        </w:rPr>
        <w:lastRenderedPageBreak/>
        <w:t>Содержание</w:t>
      </w:r>
    </w:p>
    <w:p w:rsidR="008A558F" w:rsidRPr="00E030E3" w:rsidRDefault="008A558F" w:rsidP="00E34E0C">
      <w:pPr>
        <w:spacing w:after="0" w:line="240" w:lineRule="auto"/>
        <w:jc w:val="center"/>
        <w:rPr>
          <w:rFonts w:ascii="Times New Roman" w:hAnsi="Times New Roman"/>
          <w:b/>
          <w:sz w:val="24"/>
          <w:szCs w:val="24"/>
        </w:rPr>
      </w:pPr>
    </w:p>
    <w:tbl>
      <w:tblPr>
        <w:tblW w:w="9847" w:type="dxa"/>
        <w:tblLook w:val="01E0"/>
      </w:tblPr>
      <w:tblGrid>
        <w:gridCol w:w="9039"/>
        <w:gridCol w:w="808"/>
      </w:tblGrid>
      <w:tr w:rsidR="00E34E0C" w:rsidRPr="00E030E3" w:rsidTr="008A558F">
        <w:tc>
          <w:tcPr>
            <w:tcW w:w="9039" w:type="dxa"/>
          </w:tcPr>
          <w:p w:rsidR="00E34E0C" w:rsidRPr="004B6A68" w:rsidRDefault="00E34E0C" w:rsidP="003B2047">
            <w:pPr>
              <w:spacing w:before="100" w:beforeAutospacing="1" w:after="0" w:afterAutospacing="1" w:line="240" w:lineRule="auto"/>
              <w:jc w:val="both"/>
              <w:rPr>
                <w:rFonts w:ascii="Times New Roman" w:hAnsi="Times New Roman"/>
                <w:b/>
                <w:sz w:val="24"/>
                <w:szCs w:val="24"/>
              </w:rPr>
            </w:pPr>
            <w:r w:rsidRPr="004B6A68">
              <w:rPr>
                <w:rFonts w:ascii="Times New Roman" w:hAnsi="Times New Roman"/>
                <w:b/>
                <w:sz w:val="24"/>
                <w:szCs w:val="24"/>
              </w:rPr>
              <w:t xml:space="preserve">Основные тенденции развития экономики Приднестровской Молдавской Республики в </w:t>
            </w:r>
            <w:r>
              <w:rPr>
                <w:rFonts w:ascii="Times New Roman" w:hAnsi="Times New Roman"/>
                <w:b/>
                <w:sz w:val="24"/>
                <w:szCs w:val="24"/>
              </w:rPr>
              <w:t xml:space="preserve">январе – декабре </w:t>
            </w:r>
            <w:r w:rsidRPr="004B6A68">
              <w:rPr>
                <w:rFonts w:ascii="Times New Roman" w:hAnsi="Times New Roman"/>
                <w:b/>
                <w:sz w:val="24"/>
                <w:szCs w:val="24"/>
              </w:rPr>
              <w:t>201</w:t>
            </w:r>
            <w:r>
              <w:rPr>
                <w:rFonts w:ascii="Times New Roman" w:hAnsi="Times New Roman"/>
                <w:b/>
                <w:sz w:val="24"/>
                <w:szCs w:val="24"/>
              </w:rPr>
              <w:t>6</w:t>
            </w:r>
            <w:r w:rsidRPr="004B6A68">
              <w:rPr>
                <w:rFonts w:ascii="Times New Roman" w:hAnsi="Times New Roman"/>
                <w:b/>
                <w:sz w:val="24"/>
                <w:szCs w:val="24"/>
              </w:rPr>
              <w:t xml:space="preserve"> год</w:t>
            </w:r>
            <w:r>
              <w:rPr>
                <w:rFonts w:ascii="Times New Roman" w:hAnsi="Times New Roman"/>
                <w:b/>
                <w:sz w:val="24"/>
                <w:szCs w:val="24"/>
              </w:rPr>
              <w:t>а</w:t>
            </w:r>
          </w:p>
        </w:tc>
        <w:tc>
          <w:tcPr>
            <w:tcW w:w="808" w:type="dxa"/>
            <w:vAlign w:val="bottom"/>
          </w:tcPr>
          <w:p w:rsidR="00E34E0C" w:rsidRPr="00E030E3" w:rsidRDefault="00E34E0C" w:rsidP="003B2047">
            <w:pPr>
              <w:spacing w:before="100" w:beforeAutospacing="1" w:after="0" w:afterAutospacing="1" w:line="240" w:lineRule="auto"/>
              <w:rPr>
                <w:rFonts w:ascii="Times New Roman" w:hAnsi="Times New Roman"/>
                <w:b/>
                <w:sz w:val="24"/>
                <w:szCs w:val="24"/>
                <w:highlight w:val="cyan"/>
              </w:rPr>
            </w:pPr>
            <w:r>
              <w:rPr>
                <w:rFonts w:ascii="Times New Roman" w:hAnsi="Times New Roman"/>
                <w:b/>
                <w:sz w:val="24"/>
                <w:szCs w:val="24"/>
              </w:rPr>
              <w:t xml:space="preserve">  </w:t>
            </w:r>
            <w:r w:rsidRPr="00E030E3">
              <w:rPr>
                <w:rFonts w:ascii="Times New Roman" w:hAnsi="Times New Roman"/>
                <w:b/>
                <w:sz w:val="24"/>
                <w:szCs w:val="24"/>
              </w:rPr>
              <w:t>3</w:t>
            </w:r>
          </w:p>
        </w:tc>
      </w:tr>
      <w:tr w:rsidR="00E34E0C" w:rsidRPr="00E030E3" w:rsidTr="008A558F">
        <w:tc>
          <w:tcPr>
            <w:tcW w:w="9039" w:type="dxa"/>
          </w:tcPr>
          <w:p w:rsidR="00E34E0C" w:rsidRPr="004B6A68" w:rsidRDefault="00E34E0C" w:rsidP="003B2047">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Объем и структура ВВП……………………………………………………</w:t>
            </w:r>
            <w:r w:rsidR="008A558F">
              <w:rPr>
                <w:rFonts w:ascii="Times New Roman" w:hAnsi="Times New Roman"/>
                <w:sz w:val="24"/>
                <w:szCs w:val="24"/>
              </w:rPr>
              <w:t>……………….</w:t>
            </w:r>
          </w:p>
        </w:tc>
        <w:tc>
          <w:tcPr>
            <w:tcW w:w="808" w:type="dxa"/>
          </w:tcPr>
          <w:p w:rsidR="00E34E0C" w:rsidRPr="00E030E3" w:rsidRDefault="00E34E0C" w:rsidP="003B2047">
            <w:pPr>
              <w:spacing w:before="100" w:beforeAutospacing="1" w:after="100" w:afterAutospacing="1" w:line="240" w:lineRule="auto"/>
              <w:rPr>
                <w:rFonts w:ascii="Times New Roman" w:hAnsi="Times New Roman"/>
                <w:sz w:val="24"/>
                <w:szCs w:val="24"/>
              </w:rPr>
            </w:pPr>
            <w:r w:rsidRPr="00E030E3">
              <w:rPr>
                <w:rFonts w:ascii="Times New Roman" w:hAnsi="Times New Roman"/>
                <w:sz w:val="24"/>
                <w:szCs w:val="24"/>
              </w:rPr>
              <w:t>1</w:t>
            </w:r>
            <w:r>
              <w:rPr>
                <w:rFonts w:ascii="Times New Roman" w:hAnsi="Times New Roman"/>
                <w:sz w:val="24"/>
                <w:szCs w:val="24"/>
              </w:rPr>
              <w:t>2</w:t>
            </w:r>
          </w:p>
        </w:tc>
      </w:tr>
      <w:tr w:rsidR="00E34E0C" w:rsidRPr="00E030E3" w:rsidTr="008A558F">
        <w:tc>
          <w:tcPr>
            <w:tcW w:w="9039" w:type="dxa"/>
          </w:tcPr>
          <w:p w:rsidR="00E34E0C" w:rsidRPr="004B6A68" w:rsidRDefault="00E34E0C" w:rsidP="003B2047">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Денежно-кредитная политика……………………………………………</w:t>
            </w:r>
            <w:r w:rsidR="008A558F">
              <w:rPr>
                <w:rFonts w:ascii="Times New Roman" w:hAnsi="Times New Roman"/>
                <w:sz w:val="24"/>
                <w:szCs w:val="24"/>
              </w:rPr>
              <w:t>…………………</w:t>
            </w:r>
          </w:p>
        </w:tc>
        <w:tc>
          <w:tcPr>
            <w:tcW w:w="808" w:type="dxa"/>
          </w:tcPr>
          <w:p w:rsidR="00E34E0C" w:rsidRPr="00E030E3" w:rsidRDefault="00E34E0C" w:rsidP="009A47C4">
            <w:pPr>
              <w:spacing w:before="100" w:beforeAutospacing="1" w:after="0" w:afterAutospacing="1" w:line="240" w:lineRule="auto"/>
              <w:rPr>
                <w:rFonts w:ascii="Times New Roman" w:hAnsi="Times New Roman"/>
                <w:sz w:val="24"/>
                <w:szCs w:val="24"/>
              </w:rPr>
            </w:pPr>
            <w:r w:rsidRPr="00E030E3">
              <w:rPr>
                <w:rFonts w:ascii="Times New Roman" w:hAnsi="Times New Roman"/>
                <w:sz w:val="24"/>
                <w:szCs w:val="24"/>
              </w:rPr>
              <w:t>1</w:t>
            </w:r>
            <w:r w:rsidR="009A47C4">
              <w:rPr>
                <w:rFonts w:ascii="Times New Roman" w:hAnsi="Times New Roman"/>
                <w:sz w:val="24"/>
                <w:szCs w:val="24"/>
              </w:rPr>
              <w:t>6</w:t>
            </w:r>
          </w:p>
        </w:tc>
      </w:tr>
      <w:tr w:rsidR="00E34E0C" w:rsidRPr="00E030E3" w:rsidTr="008A558F">
        <w:tc>
          <w:tcPr>
            <w:tcW w:w="9039" w:type="dxa"/>
          </w:tcPr>
          <w:p w:rsidR="00E34E0C" w:rsidRPr="004B6A68" w:rsidRDefault="00E34E0C" w:rsidP="003B2047">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Исполнение Консолидированного бюджета……………………………...</w:t>
            </w:r>
            <w:r w:rsidR="008A558F">
              <w:rPr>
                <w:rFonts w:ascii="Times New Roman" w:hAnsi="Times New Roman"/>
                <w:sz w:val="24"/>
                <w:szCs w:val="24"/>
              </w:rPr>
              <w:t>.........................</w:t>
            </w:r>
          </w:p>
        </w:tc>
        <w:tc>
          <w:tcPr>
            <w:tcW w:w="808" w:type="dxa"/>
          </w:tcPr>
          <w:p w:rsidR="00E34E0C" w:rsidRPr="00E030E3" w:rsidRDefault="003E0203" w:rsidP="003B2047">
            <w:pPr>
              <w:spacing w:before="100" w:beforeAutospacing="1" w:after="0" w:afterAutospacing="1" w:line="240" w:lineRule="auto"/>
              <w:rPr>
                <w:rFonts w:ascii="Times New Roman" w:hAnsi="Times New Roman"/>
                <w:sz w:val="24"/>
                <w:szCs w:val="24"/>
              </w:rPr>
            </w:pPr>
            <w:r>
              <w:rPr>
                <w:rFonts w:ascii="Times New Roman" w:hAnsi="Times New Roman"/>
                <w:sz w:val="24"/>
                <w:szCs w:val="24"/>
              </w:rPr>
              <w:t>19</w:t>
            </w:r>
          </w:p>
        </w:tc>
      </w:tr>
      <w:tr w:rsidR="00E34E0C" w:rsidRPr="00E030E3" w:rsidTr="008A558F">
        <w:tc>
          <w:tcPr>
            <w:tcW w:w="9039" w:type="dxa"/>
          </w:tcPr>
          <w:p w:rsidR="00E34E0C" w:rsidRPr="004B6A68" w:rsidRDefault="00E34E0C" w:rsidP="00493655">
            <w:pPr>
              <w:widowControl w:val="0"/>
              <w:autoSpaceDE w:val="0"/>
              <w:autoSpaceDN w:val="0"/>
              <w:adjustRightInd w:val="0"/>
              <w:spacing w:before="100" w:beforeAutospacing="1" w:after="100" w:afterAutospacing="1" w:line="240" w:lineRule="auto"/>
              <w:jc w:val="both"/>
              <w:rPr>
                <w:rFonts w:ascii="Times New Roman" w:hAnsi="Times New Roman"/>
                <w:sz w:val="24"/>
                <w:szCs w:val="24"/>
              </w:rPr>
            </w:pPr>
            <w:r w:rsidRPr="004B6A68">
              <w:rPr>
                <w:rFonts w:ascii="Times New Roman" w:hAnsi="Times New Roman"/>
                <w:sz w:val="24"/>
                <w:szCs w:val="24"/>
              </w:rPr>
              <w:t>Внешнеэкономическая деятельность……………………………………...</w:t>
            </w:r>
            <w:r w:rsidR="008A558F">
              <w:rPr>
                <w:rFonts w:ascii="Times New Roman" w:hAnsi="Times New Roman"/>
                <w:sz w:val="24"/>
                <w:szCs w:val="24"/>
              </w:rPr>
              <w:t>.........................</w:t>
            </w:r>
          </w:p>
        </w:tc>
        <w:tc>
          <w:tcPr>
            <w:tcW w:w="808" w:type="dxa"/>
          </w:tcPr>
          <w:p w:rsidR="00E34E0C" w:rsidRPr="00E030E3" w:rsidRDefault="00E34E0C" w:rsidP="003E0203">
            <w:pPr>
              <w:spacing w:before="100" w:beforeAutospacing="1" w:after="0" w:afterAutospacing="1" w:line="240" w:lineRule="auto"/>
              <w:rPr>
                <w:rFonts w:ascii="Times New Roman" w:hAnsi="Times New Roman"/>
                <w:sz w:val="24"/>
                <w:szCs w:val="24"/>
              </w:rPr>
            </w:pPr>
            <w:r>
              <w:rPr>
                <w:rFonts w:ascii="Times New Roman" w:hAnsi="Times New Roman"/>
                <w:sz w:val="24"/>
                <w:szCs w:val="24"/>
              </w:rPr>
              <w:t>2</w:t>
            </w:r>
            <w:r w:rsidR="003E0203">
              <w:rPr>
                <w:rFonts w:ascii="Times New Roman" w:hAnsi="Times New Roman"/>
                <w:sz w:val="24"/>
                <w:szCs w:val="24"/>
              </w:rPr>
              <w:t>4</w:t>
            </w:r>
          </w:p>
        </w:tc>
      </w:tr>
      <w:tr w:rsidR="00E34E0C" w:rsidRPr="00E030E3" w:rsidTr="008A558F">
        <w:tc>
          <w:tcPr>
            <w:tcW w:w="9039" w:type="dxa"/>
          </w:tcPr>
          <w:p w:rsidR="00E34E0C" w:rsidRPr="004B6A68" w:rsidRDefault="00E34E0C" w:rsidP="003B2047">
            <w:pPr>
              <w:spacing w:before="100" w:beforeAutospacing="1" w:after="0" w:afterAutospacing="1" w:line="240" w:lineRule="auto"/>
              <w:jc w:val="both"/>
              <w:rPr>
                <w:rFonts w:ascii="Times New Roman" w:hAnsi="Times New Roman"/>
                <w:b/>
                <w:sz w:val="24"/>
                <w:szCs w:val="24"/>
              </w:rPr>
            </w:pPr>
          </w:p>
        </w:tc>
        <w:tc>
          <w:tcPr>
            <w:tcW w:w="808" w:type="dxa"/>
          </w:tcPr>
          <w:p w:rsidR="00E34E0C" w:rsidRPr="00E030E3" w:rsidRDefault="00E34E0C" w:rsidP="003B2047">
            <w:pPr>
              <w:spacing w:before="100" w:beforeAutospacing="1" w:after="0" w:afterAutospacing="1" w:line="240" w:lineRule="auto"/>
              <w:jc w:val="both"/>
              <w:rPr>
                <w:rFonts w:ascii="Times New Roman" w:hAnsi="Times New Roman"/>
                <w:b/>
                <w:sz w:val="24"/>
                <w:szCs w:val="24"/>
              </w:rPr>
            </w:pPr>
          </w:p>
        </w:tc>
      </w:tr>
      <w:tr w:rsidR="00E34E0C" w:rsidRPr="00E030E3" w:rsidTr="008A558F">
        <w:tc>
          <w:tcPr>
            <w:tcW w:w="9039" w:type="dxa"/>
          </w:tcPr>
          <w:p w:rsidR="00E34E0C" w:rsidRPr="004B6A68" w:rsidRDefault="00E34E0C" w:rsidP="003B2047">
            <w:pPr>
              <w:spacing w:before="100" w:beforeAutospacing="1" w:after="0" w:afterAutospacing="1" w:line="240" w:lineRule="auto"/>
              <w:jc w:val="both"/>
              <w:rPr>
                <w:rFonts w:ascii="Times New Roman" w:hAnsi="Times New Roman"/>
                <w:b/>
                <w:sz w:val="24"/>
                <w:szCs w:val="24"/>
              </w:rPr>
            </w:pPr>
            <w:r w:rsidRPr="004B6A68">
              <w:rPr>
                <w:rFonts w:ascii="Times New Roman" w:hAnsi="Times New Roman"/>
                <w:b/>
                <w:sz w:val="24"/>
                <w:szCs w:val="24"/>
              </w:rPr>
              <w:t>Состояние реального сектора экономики……………………………...</w:t>
            </w:r>
            <w:r w:rsidR="008A558F">
              <w:rPr>
                <w:rFonts w:ascii="Times New Roman" w:hAnsi="Times New Roman"/>
                <w:b/>
                <w:sz w:val="24"/>
                <w:szCs w:val="24"/>
              </w:rPr>
              <w:t>.........................</w:t>
            </w:r>
          </w:p>
        </w:tc>
        <w:tc>
          <w:tcPr>
            <w:tcW w:w="808" w:type="dxa"/>
          </w:tcPr>
          <w:p w:rsidR="00E34E0C" w:rsidRPr="00E030E3" w:rsidRDefault="003E0203" w:rsidP="003B2047">
            <w:pPr>
              <w:spacing w:before="100" w:beforeAutospacing="1" w:after="0" w:afterAutospacing="1" w:line="240" w:lineRule="auto"/>
              <w:jc w:val="both"/>
              <w:rPr>
                <w:rFonts w:ascii="Times New Roman" w:hAnsi="Times New Roman"/>
                <w:b/>
                <w:sz w:val="24"/>
                <w:szCs w:val="24"/>
              </w:rPr>
            </w:pPr>
            <w:r>
              <w:rPr>
                <w:rFonts w:ascii="Times New Roman" w:hAnsi="Times New Roman"/>
                <w:b/>
                <w:sz w:val="24"/>
                <w:szCs w:val="24"/>
              </w:rPr>
              <w:t>28</w:t>
            </w:r>
          </w:p>
        </w:tc>
      </w:tr>
      <w:tr w:rsidR="00E34E0C" w:rsidRPr="00E030E3" w:rsidTr="008A558F">
        <w:tc>
          <w:tcPr>
            <w:tcW w:w="9039" w:type="dxa"/>
          </w:tcPr>
          <w:p w:rsidR="00E34E0C" w:rsidRPr="004B6A68" w:rsidRDefault="00E34E0C" w:rsidP="003B2047">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Промышленность……………………………………………………………</w:t>
            </w:r>
            <w:r w:rsidR="008A558F">
              <w:rPr>
                <w:rFonts w:ascii="Times New Roman" w:hAnsi="Times New Roman"/>
                <w:sz w:val="24"/>
                <w:szCs w:val="24"/>
              </w:rPr>
              <w:t>……………....</w:t>
            </w:r>
          </w:p>
        </w:tc>
        <w:tc>
          <w:tcPr>
            <w:tcW w:w="808" w:type="dxa"/>
          </w:tcPr>
          <w:p w:rsidR="00E34E0C" w:rsidRPr="00E030E3" w:rsidRDefault="003E0203" w:rsidP="003B2047">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28</w:t>
            </w:r>
          </w:p>
        </w:tc>
      </w:tr>
      <w:tr w:rsidR="00E34E0C" w:rsidRPr="00E030E3" w:rsidTr="008A558F">
        <w:tc>
          <w:tcPr>
            <w:tcW w:w="9039" w:type="dxa"/>
          </w:tcPr>
          <w:p w:rsidR="00E34E0C" w:rsidRPr="004B6A68" w:rsidRDefault="00E34E0C" w:rsidP="003B2047">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Агропромышленный комплекс……………………………………………</w:t>
            </w:r>
            <w:r w:rsidR="008A558F">
              <w:rPr>
                <w:rFonts w:ascii="Times New Roman" w:hAnsi="Times New Roman"/>
                <w:sz w:val="24"/>
                <w:szCs w:val="24"/>
              </w:rPr>
              <w:t>……………….</w:t>
            </w:r>
            <w:r w:rsidRPr="004B6A68">
              <w:rPr>
                <w:rFonts w:ascii="Times New Roman" w:hAnsi="Times New Roman"/>
                <w:sz w:val="24"/>
                <w:szCs w:val="24"/>
              </w:rPr>
              <w:t>.</w:t>
            </w:r>
          </w:p>
        </w:tc>
        <w:tc>
          <w:tcPr>
            <w:tcW w:w="808" w:type="dxa"/>
          </w:tcPr>
          <w:p w:rsidR="00E34E0C" w:rsidRPr="00E030E3" w:rsidRDefault="00E34E0C" w:rsidP="003E0203">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3</w:t>
            </w:r>
            <w:r w:rsidR="003E0203">
              <w:rPr>
                <w:rFonts w:ascii="Times New Roman" w:hAnsi="Times New Roman"/>
                <w:sz w:val="24"/>
                <w:szCs w:val="24"/>
              </w:rPr>
              <w:t>2</w:t>
            </w:r>
          </w:p>
        </w:tc>
      </w:tr>
      <w:tr w:rsidR="00E34E0C" w:rsidRPr="00E030E3" w:rsidTr="008A558F">
        <w:tc>
          <w:tcPr>
            <w:tcW w:w="9039" w:type="dxa"/>
          </w:tcPr>
          <w:p w:rsidR="00E34E0C" w:rsidRPr="004B6A68" w:rsidRDefault="00E34E0C" w:rsidP="003B2047">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Инвестиционная деятельность……………………………………………</w:t>
            </w:r>
            <w:r w:rsidR="008A558F">
              <w:rPr>
                <w:rFonts w:ascii="Times New Roman" w:hAnsi="Times New Roman"/>
                <w:sz w:val="24"/>
                <w:szCs w:val="24"/>
              </w:rPr>
              <w:t>………………...</w:t>
            </w:r>
          </w:p>
        </w:tc>
        <w:tc>
          <w:tcPr>
            <w:tcW w:w="808" w:type="dxa"/>
          </w:tcPr>
          <w:p w:rsidR="00E34E0C" w:rsidRPr="00E030E3" w:rsidRDefault="003E0203" w:rsidP="003B2047">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36</w:t>
            </w:r>
          </w:p>
        </w:tc>
      </w:tr>
      <w:tr w:rsidR="00E34E0C" w:rsidRPr="00E030E3" w:rsidTr="008A558F">
        <w:tc>
          <w:tcPr>
            <w:tcW w:w="9039" w:type="dxa"/>
          </w:tcPr>
          <w:p w:rsidR="00E34E0C" w:rsidRPr="004B6A68" w:rsidRDefault="00E34E0C" w:rsidP="003B2047">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Транспорт……………………………………………………………………</w:t>
            </w:r>
            <w:r w:rsidR="008A558F">
              <w:rPr>
                <w:rFonts w:ascii="Times New Roman" w:hAnsi="Times New Roman"/>
                <w:sz w:val="24"/>
                <w:szCs w:val="24"/>
              </w:rPr>
              <w:t>………………</w:t>
            </w:r>
            <w:r w:rsidRPr="004B6A68">
              <w:rPr>
                <w:rFonts w:ascii="Times New Roman" w:hAnsi="Times New Roman"/>
                <w:sz w:val="24"/>
                <w:szCs w:val="24"/>
              </w:rPr>
              <w:t>.</w:t>
            </w:r>
          </w:p>
        </w:tc>
        <w:tc>
          <w:tcPr>
            <w:tcW w:w="808" w:type="dxa"/>
          </w:tcPr>
          <w:p w:rsidR="00E34E0C" w:rsidRPr="00E030E3" w:rsidRDefault="003E0203" w:rsidP="003B2047">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39</w:t>
            </w:r>
          </w:p>
        </w:tc>
      </w:tr>
      <w:tr w:rsidR="00E34E0C" w:rsidRPr="00E030E3" w:rsidTr="008A558F">
        <w:tc>
          <w:tcPr>
            <w:tcW w:w="9039" w:type="dxa"/>
          </w:tcPr>
          <w:p w:rsidR="00E34E0C" w:rsidRPr="004B6A68" w:rsidRDefault="00E34E0C" w:rsidP="003B2047">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Связь…………………………………………………………………………</w:t>
            </w:r>
            <w:r w:rsidR="008A558F">
              <w:rPr>
                <w:rFonts w:ascii="Times New Roman" w:hAnsi="Times New Roman"/>
                <w:sz w:val="24"/>
                <w:szCs w:val="24"/>
              </w:rPr>
              <w:t>……………….</w:t>
            </w:r>
          </w:p>
        </w:tc>
        <w:tc>
          <w:tcPr>
            <w:tcW w:w="808" w:type="dxa"/>
          </w:tcPr>
          <w:p w:rsidR="00E34E0C" w:rsidRPr="00E030E3" w:rsidRDefault="00E34E0C" w:rsidP="00A82D26">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4</w:t>
            </w:r>
            <w:r w:rsidR="00A82D26">
              <w:rPr>
                <w:rFonts w:ascii="Times New Roman" w:hAnsi="Times New Roman"/>
                <w:sz w:val="24"/>
                <w:szCs w:val="24"/>
              </w:rPr>
              <w:t>2</w:t>
            </w:r>
          </w:p>
        </w:tc>
      </w:tr>
      <w:tr w:rsidR="00E34E0C" w:rsidRPr="00E030E3" w:rsidTr="008A558F">
        <w:tc>
          <w:tcPr>
            <w:tcW w:w="9039" w:type="dxa"/>
          </w:tcPr>
          <w:p w:rsidR="00E34E0C" w:rsidRPr="004B6A68" w:rsidRDefault="00E34E0C" w:rsidP="003B2047">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Потребительский рынок……………………………………………………</w:t>
            </w:r>
            <w:r w:rsidR="008A558F">
              <w:rPr>
                <w:rFonts w:ascii="Times New Roman" w:hAnsi="Times New Roman"/>
                <w:sz w:val="24"/>
                <w:szCs w:val="24"/>
              </w:rPr>
              <w:t>……………….</w:t>
            </w:r>
          </w:p>
        </w:tc>
        <w:tc>
          <w:tcPr>
            <w:tcW w:w="808" w:type="dxa"/>
          </w:tcPr>
          <w:p w:rsidR="00E34E0C" w:rsidRPr="00E030E3" w:rsidRDefault="003E0203" w:rsidP="00A82D26">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4</w:t>
            </w:r>
            <w:r w:rsidR="00A82D26">
              <w:rPr>
                <w:rFonts w:ascii="Times New Roman" w:hAnsi="Times New Roman"/>
                <w:sz w:val="24"/>
                <w:szCs w:val="24"/>
              </w:rPr>
              <w:t>5</w:t>
            </w:r>
          </w:p>
        </w:tc>
      </w:tr>
      <w:tr w:rsidR="00E34E0C" w:rsidRPr="00E030E3" w:rsidTr="008A558F">
        <w:tc>
          <w:tcPr>
            <w:tcW w:w="9039" w:type="dxa"/>
          </w:tcPr>
          <w:p w:rsidR="00E34E0C" w:rsidRPr="004B6A68" w:rsidRDefault="00E34E0C" w:rsidP="003B2047">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Ценовая и тарифная политика……………………………………………</w:t>
            </w:r>
            <w:r w:rsidR="008A558F">
              <w:rPr>
                <w:rFonts w:ascii="Times New Roman" w:hAnsi="Times New Roman"/>
                <w:sz w:val="24"/>
                <w:szCs w:val="24"/>
              </w:rPr>
              <w:t>……………….</w:t>
            </w:r>
            <w:r w:rsidRPr="004B6A68">
              <w:rPr>
                <w:rFonts w:ascii="Times New Roman" w:hAnsi="Times New Roman"/>
                <w:sz w:val="24"/>
                <w:szCs w:val="24"/>
              </w:rPr>
              <w:t>..</w:t>
            </w:r>
          </w:p>
        </w:tc>
        <w:tc>
          <w:tcPr>
            <w:tcW w:w="808" w:type="dxa"/>
          </w:tcPr>
          <w:p w:rsidR="00E34E0C" w:rsidRPr="00E030E3" w:rsidRDefault="003E0203" w:rsidP="00A82D26">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4</w:t>
            </w:r>
            <w:r w:rsidR="00A82D26">
              <w:rPr>
                <w:rFonts w:ascii="Times New Roman" w:hAnsi="Times New Roman"/>
                <w:sz w:val="24"/>
                <w:szCs w:val="24"/>
              </w:rPr>
              <w:t>7</w:t>
            </w:r>
          </w:p>
        </w:tc>
      </w:tr>
      <w:tr w:rsidR="00E34E0C" w:rsidRPr="00E030E3" w:rsidTr="008A558F">
        <w:tc>
          <w:tcPr>
            <w:tcW w:w="9039" w:type="dxa"/>
          </w:tcPr>
          <w:p w:rsidR="00E34E0C" w:rsidRPr="004B6A68" w:rsidRDefault="00E34E0C" w:rsidP="003B2047">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Малое предпринимательство………………………………………………</w:t>
            </w:r>
            <w:r w:rsidR="008A558F">
              <w:rPr>
                <w:rFonts w:ascii="Times New Roman" w:hAnsi="Times New Roman"/>
                <w:sz w:val="24"/>
                <w:szCs w:val="24"/>
              </w:rPr>
              <w:t>……………….</w:t>
            </w:r>
          </w:p>
        </w:tc>
        <w:tc>
          <w:tcPr>
            <w:tcW w:w="808" w:type="dxa"/>
          </w:tcPr>
          <w:p w:rsidR="00E34E0C" w:rsidRPr="00E030E3" w:rsidRDefault="00E34E0C" w:rsidP="00A82D26">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5</w:t>
            </w:r>
            <w:r w:rsidR="00A82D26">
              <w:rPr>
                <w:rFonts w:ascii="Times New Roman" w:hAnsi="Times New Roman"/>
                <w:sz w:val="24"/>
                <w:szCs w:val="24"/>
              </w:rPr>
              <w:t>5</w:t>
            </w:r>
          </w:p>
        </w:tc>
      </w:tr>
      <w:tr w:rsidR="00E34E0C" w:rsidRPr="00E030E3" w:rsidTr="008A558F">
        <w:tc>
          <w:tcPr>
            <w:tcW w:w="9039" w:type="dxa"/>
          </w:tcPr>
          <w:p w:rsidR="00E34E0C" w:rsidRPr="004B6A68" w:rsidRDefault="00E34E0C" w:rsidP="003B2047">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Экология……………………………………………………………………</w:t>
            </w:r>
            <w:r w:rsidR="008A558F">
              <w:rPr>
                <w:rFonts w:ascii="Times New Roman" w:hAnsi="Times New Roman"/>
                <w:sz w:val="24"/>
                <w:szCs w:val="24"/>
              </w:rPr>
              <w:t>………………..</w:t>
            </w:r>
          </w:p>
        </w:tc>
        <w:tc>
          <w:tcPr>
            <w:tcW w:w="808" w:type="dxa"/>
          </w:tcPr>
          <w:p w:rsidR="00E34E0C" w:rsidRPr="00E030E3" w:rsidRDefault="003E0203" w:rsidP="003B2047">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57</w:t>
            </w:r>
          </w:p>
        </w:tc>
      </w:tr>
      <w:tr w:rsidR="00E34E0C" w:rsidRPr="00E030E3" w:rsidTr="008A558F">
        <w:tc>
          <w:tcPr>
            <w:tcW w:w="9039" w:type="dxa"/>
          </w:tcPr>
          <w:p w:rsidR="00E34E0C" w:rsidRPr="004B6A68" w:rsidRDefault="00E34E0C" w:rsidP="003B2047">
            <w:pPr>
              <w:spacing w:before="100" w:beforeAutospacing="1" w:after="0" w:afterAutospacing="1" w:line="240" w:lineRule="auto"/>
              <w:jc w:val="both"/>
              <w:rPr>
                <w:rFonts w:ascii="Times New Roman" w:hAnsi="Times New Roman"/>
                <w:sz w:val="24"/>
                <w:szCs w:val="24"/>
              </w:rPr>
            </w:pPr>
          </w:p>
        </w:tc>
        <w:tc>
          <w:tcPr>
            <w:tcW w:w="808" w:type="dxa"/>
          </w:tcPr>
          <w:p w:rsidR="00E34E0C" w:rsidRPr="00E030E3" w:rsidRDefault="00E34E0C" w:rsidP="003B2047">
            <w:pPr>
              <w:spacing w:before="100" w:beforeAutospacing="1" w:after="0" w:afterAutospacing="1" w:line="240" w:lineRule="auto"/>
              <w:jc w:val="both"/>
              <w:rPr>
                <w:rFonts w:ascii="Times New Roman" w:hAnsi="Times New Roman"/>
                <w:b/>
                <w:sz w:val="24"/>
                <w:szCs w:val="24"/>
              </w:rPr>
            </w:pPr>
          </w:p>
        </w:tc>
      </w:tr>
      <w:tr w:rsidR="00E34E0C" w:rsidRPr="00E030E3" w:rsidTr="008A558F">
        <w:tc>
          <w:tcPr>
            <w:tcW w:w="9039" w:type="dxa"/>
          </w:tcPr>
          <w:p w:rsidR="00E34E0C" w:rsidRPr="004B6A68" w:rsidRDefault="00E34E0C" w:rsidP="003B2047">
            <w:pPr>
              <w:spacing w:before="100" w:beforeAutospacing="1" w:after="0" w:afterAutospacing="1" w:line="240" w:lineRule="auto"/>
              <w:jc w:val="both"/>
              <w:rPr>
                <w:rFonts w:ascii="Times New Roman" w:hAnsi="Times New Roman"/>
                <w:b/>
                <w:sz w:val="24"/>
                <w:szCs w:val="24"/>
              </w:rPr>
            </w:pPr>
            <w:r w:rsidRPr="004B6A68">
              <w:rPr>
                <w:rFonts w:ascii="Times New Roman" w:hAnsi="Times New Roman"/>
                <w:b/>
                <w:sz w:val="24"/>
                <w:szCs w:val="24"/>
              </w:rPr>
              <w:t>Состояние социальной сферы……………………………………………</w:t>
            </w:r>
            <w:r w:rsidR="008A558F">
              <w:rPr>
                <w:rFonts w:ascii="Times New Roman" w:hAnsi="Times New Roman"/>
                <w:b/>
                <w:sz w:val="24"/>
                <w:szCs w:val="24"/>
              </w:rPr>
              <w:t>………………</w:t>
            </w:r>
          </w:p>
        </w:tc>
        <w:tc>
          <w:tcPr>
            <w:tcW w:w="808" w:type="dxa"/>
          </w:tcPr>
          <w:p w:rsidR="00E34E0C" w:rsidRPr="00E030E3" w:rsidRDefault="003E0203" w:rsidP="003B2047">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60</w:t>
            </w:r>
          </w:p>
        </w:tc>
      </w:tr>
      <w:tr w:rsidR="00E34E0C" w:rsidRPr="00E030E3" w:rsidTr="008A558F">
        <w:tc>
          <w:tcPr>
            <w:tcW w:w="9039" w:type="dxa"/>
          </w:tcPr>
          <w:p w:rsidR="00E34E0C" w:rsidRPr="004B6A68" w:rsidRDefault="00E34E0C" w:rsidP="003B2047">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Уровень жизни населения…………………………………………………</w:t>
            </w:r>
            <w:r w:rsidR="008A558F">
              <w:rPr>
                <w:rFonts w:ascii="Times New Roman" w:hAnsi="Times New Roman"/>
                <w:sz w:val="24"/>
                <w:szCs w:val="24"/>
              </w:rPr>
              <w:t>………………..</w:t>
            </w:r>
          </w:p>
        </w:tc>
        <w:tc>
          <w:tcPr>
            <w:tcW w:w="808" w:type="dxa"/>
          </w:tcPr>
          <w:p w:rsidR="00E34E0C" w:rsidRPr="00E030E3" w:rsidRDefault="00E34E0C" w:rsidP="003E0203">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6</w:t>
            </w:r>
            <w:r w:rsidR="003E0203">
              <w:rPr>
                <w:rFonts w:ascii="Times New Roman" w:hAnsi="Times New Roman"/>
                <w:sz w:val="24"/>
                <w:szCs w:val="24"/>
              </w:rPr>
              <w:t>0</w:t>
            </w:r>
          </w:p>
        </w:tc>
      </w:tr>
      <w:tr w:rsidR="00E34E0C" w:rsidRPr="00E030E3" w:rsidTr="008A558F">
        <w:tc>
          <w:tcPr>
            <w:tcW w:w="9039" w:type="dxa"/>
          </w:tcPr>
          <w:p w:rsidR="00E34E0C" w:rsidRPr="004B6A68" w:rsidRDefault="00E34E0C" w:rsidP="003B2047">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Рынок труда и сфера занятости…………………………………………</w:t>
            </w:r>
            <w:r w:rsidR="008A558F">
              <w:rPr>
                <w:rFonts w:ascii="Times New Roman" w:hAnsi="Times New Roman"/>
                <w:sz w:val="24"/>
                <w:szCs w:val="24"/>
              </w:rPr>
              <w:t>………………</w:t>
            </w:r>
            <w:r w:rsidRPr="004B6A68">
              <w:rPr>
                <w:rFonts w:ascii="Times New Roman" w:hAnsi="Times New Roman"/>
                <w:sz w:val="24"/>
                <w:szCs w:val="24"/>
              </w:rPr>
              <w:t>….</w:t>
            </w:r>
          </w:p>
        </w:tc>
        <w:tc>
          <w:tcPr>
            <w:tcW w:w="808" w:type="dxa"/>
          </w:tcPr>
          <w:p w:rsidR="00E34E0C" w:rsidRPr="00E030E3" w:rsidRDefault="003E0203" w:rsidP="003B2047">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65</w:t>
            </w:r>
          </w:p>
        </w:tc>
      </w:tr>
      <w:tr w:rsidR="00E34E0C" w:rsidRPr="00E030E3" w:rsidTr="008A558F">
        <w:tc>
          <w:tcPr>
            <w:tcW w:w="9039" w:type="dxa"/>
          </w:tcPr>
          <w:p w:rsidR="00E34E0C" w:rsidRPr="004B6A68" w:rsidRDefault="00E34E0C" w:rsidP="003B2047">
            <w:pPr>
              <w:spacing w:before="100" w:beforeAutospacing="1" w:after="0" w:afterAutospacing="1" w:line="240" w:lineRule="auto"/>
              <w:jc w:val="both"/>
              <w:rPr>
                <w:rFonts w:ascii="Times New Roman" w:hAnsi="Times New Roman"/>
                <w:b/>
                <w:sz w:val="24"/>
                <w:szCs w:val="24"/>
              </w:rPr>
            </w:pPr>
          </w:p>
        </w:tc>
        <w:tc>
          <w:tcPr>
            <w:tcW w:w="808" w:type="dxa"/>
          </w:tcPr>
          <w:p w:rsidR="00E34E0C" w:rsidRPr="00E030E3" w:rsidRDefault="00E34E0C" w:rsidP="003B2047">
            <w:pPr>
              <w:spacing w:before="100" w:beforeAutospacing="1" w:after="0" w:afterAutospacing="1" w:line="240" w:lineRule="auto"/>
              <w:jc w:val="both"/>
              <w:rPr>
                <w:rFonts w:ascii="Times New Roman" w:hAnsi="Times New Roman"/>
                <w:b/>
                <w:sz w:val="24"/>
                <w:szCs w:val="24"/>
              </w:rPr>
            </w:pPr>
          </w:p>
        </w:tc>
      </w:tr>
      <w:tr w:rsidR="00E34E0C" w:rsidRPr="00E030E3" w:rsidTr="008A558F">
        <w:tc>
          <w:tcPr>
            <w:tcW w:w="9039" w:type="dxa"/>
          </w:tcPr>
          <w:p w:rsidR="00E34E0C" w:rsidRPr="004B6A68" w:rsidRDefault="00E34E0C" w:rsidP="003B2047">
            <w:pPr>
              <w:spacing w:after="0" w:line="240" w:lineRule="auto"/>
              <w:jc w:val="both"/>
              <w:rPr>
                <w:rFonts w:ascii="Times New Roman" w:hAnsi="Times New Roman"/>
                <w:sz w:val="24"/>
                <w:szCs w:val="24"/>
              </w:rPr>
            </w:pPr>
          </w:p>
        </w:tc>
        <w:tc>
          <w:tcPr>
            <w:tcW w:w="808" w:type="dxa"/>
          </w:tcPr>
          <w:p w:rsidR="00E34E0C" w:rsidRPr="00E030E3" w:rsidRDefault="00E34E0C" w:rsidP="003B2047">
            <w:pPr>
              <w:spacing w:before="100" w:beforeAutospacing="1" w:after="0" w:afterAutospacing="1" w:line="240" w:lineRule="auto"/>
              <w:jc w:val="both"/>
              <w:rPr>
                <w:rFonts w:ascii="Times New Roman" w:hAnsi="Times New Roman"/>
                <w:sz w:val="24"/>
                <w:szCs w:val="24"/>
              </w:rPr>
            </w:pPr>
          </w:p>
        </w:tc>
      </w:tr>
      <w:tr w:rsidR="00E34E0C" w:rsidRPr="00E030E3" w:rsidTr="008A558F">
        <w:tc>
          <w:tcPr>
            <w:tcW w:w="9039" w:type="dxa"/>
          </w:tcPr>
          <w:p w:rsidR="00E34E0C" w:rsidRPr="004B6A68" w:rsidRDefault="00E34E0C" w:rsidP="003B2047">
            <w:pPr>
              <w:spacing w:after="0" w:line="240" w:lineRule="auto"/>
              <w:rPr>
                <w:rFonts w:ascii="Times New Roman" w:hAnsi="Times New Roman"/>
                <w:sz w:val="24"/>
                <w:szCs w:val="24"/>
              </w:rPr>
            </w:pPr>
            <w:r w:rsidRPr="004B6A68">
              <w:rPr>
                <w:rFonts w:ascii="Times New Roman" w:hAnsi="Times New Roman"/>
                <w:b/>
                <w:sz w:val="24"/>
                <w:szCs w:val="24"/>
              </w:rPr>
              <w:t>Приложение №1</w:t>
            </w:r>
            <w:r w:rsidRPr="004B6A68">
              <w:rPr>
                <w:rFonts w:ascii="Times New Roman" w:hAnsi="Times New Roman"/>
                <w:b/>
                <w:bCs/>
                <w:color w:val="000000"/>
                <w:sz w:val="24"/>
                <w:szCs w:val="24"/>
              </w:rPr>
              <w:t xml:space="preserve"> </w:t>
            </w:r>
            <w:r w:rsidRPr="004B6A68">
              <w:rPr>
                <w:rFonts w:ascii="Times New Roman" w:hAnsi="Times New Roman"/>
                <w:bCs/>
                <w:color w:val="000000"/>
                <w:sz w:val="24"/>
                <w:szCs w:val="24"/>
              </w:rPr>
              <w:t>Основные макроэкономические показатели Приднестровской Молдавской Республики за 201</w:t>
            </w:r>
            <w:r>
              <w:rPr>
                <w:rFonts w:ascii="Times New Roman" w:hAnsi="Times New Roman"/>
                <w:bCs/>
                <w:color w:val="000000"/>
                <w:sz w:val="24"/>
                <w:szCs w:val="24"/>
              </w:rPr>
              <w:t>6 год</w:t>
            </w:r>
            <w:r w:rsidRPr="004B6A68">
              <w:rPr>
                <w:rFonts w:ascii="Times New Roman" w:hAnsi="Times New Roman"/>
                <w:bCs/>
                <w:color w:val="000000"/>
                <w:sz w:val="24"/>
                <w:szCs w:val="24"/>
              </w:rPr>
              <w:t>....................................................</w:t>
            </w:r>
            <w:r w:rsidR="008A558F">
              <w:rPr>
                <w:rFonts w:ascii="Times New Roman" w:hAnsi="Times New Roman"/>
                <w:bCs/>
                <w:color w:val="000000"/>
                <w:sz w:val="24"/>
                <w:szCs w:val="24"/>
              </w:rPr>
              <w:t>................................</w:t>
            </w:r>
          </w:p>
        </w:tc>
        <w:tc>
          <w:tcPr>
            <w:tcW w:w="808" w:type="dxa"/>
            <w:vAlign w:val="bottom"/>
          </w:tcPr>
          <w:p w:rsidR="00E34E0C" w:rsidRPr="00E030E3" w:rsidRDefault="00A82D26" w:rsidP="003B204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70</w:t>
            </w:r>
          </w:p>
        </w:tc>
      </w:tr>
      <w:tr w:rsidR="00E34E0C" w:rsidRPr="00E030E3" w:rsidTr="008A558F">
        <w:tc>
          <w:tcPr>
            <w:tcW w:w="9039" w:type="dxa"/>
          </w:tcPr>
          <w:p w:rsidR="00E34E0C" w:rsidRPr="004B6A68" w:rsidRDefault="00E34E0C" w:rsidP="008A558F">
            <w:pPr>
              <w:spacing w:after="0" w:line="240" w:lineRule="auto"/>
              <w:jc w:val="both"/>
              <w:rPr>
                <w:rFonts w:ascii="Times New Roman" w:hAnsi="Times New Roman"/>
                <w:sz w:val="24"/>
                <w:szCs w:val="24"/>
              </w:rPr>
            </w:pPr>
            <w:r w:rsidRPr="004B6A68">
              <w:rPr>
                <w:rFonts w:ascii="Times New Roman" w:hAnsi="Times New Roman"/>
                <w:b/>
                <w:sz w:val="24"/>
                <w:szCs w:val="24"/>
              </w:rPr>
              <w:t xml:space="preserve">Приложение №2 </w:t>
            </w:r>
            <w:r w:rsidRPr="004B6A68">
              <w:rPr>
                <w:rFonts w:ascii="Times New Roman" w:hAnsi="Times New Roman"/>
                <w:sz w:val="24"/>
                <w:szCs w:val="24"/>
              </w:rPr>
              <w:t xml:space="preserve">Динамика и структура промышленного производства </w:t>
            </w:r>
            <w:r w:rsidR="008A558F">
              <w:rPr>
                <w:rFonts w:ascii="Times New Roman" w:hAnsi="Times New Roman"/>
                <w:sz w:val="24"/>
                <w:szCs w:val="24"/>
              </w:rPr>
              <w:t xml:space="preserve">                              </w:t>
            </w:r>
            <w:r w:rsidRPr="004B6A68">
              <w:rPr>
                <w:rFonts w:ascii="Times New Roman" w:hAnsi="Times New Roman"/>
                <w:sz w:val="24"/>
                <w:szCs w:val="24"/>
              </w:rPr>
              <w:t xml:space="preserve">и реализации продукции по отраслям промышленности </w:t>
            </w:r>
            <w:r>
              <w:rPr>
                <w:rFonts w:ascii="Times New Roman" w:hAnsi="Times New Roman"/>
                <w:sz w:val="24"/>
                <w:szCs w:val="24"/>
              </w:rPr>
              <w:t xml:space="preserve">в </w:t>
            </w:r>
            <w:r w:rsidR="008A558F">
              <w:rPr>
                <w:rFonts w:ascii="Times New Roman" w:hAnsi="Times New Roman"/>
                <w:sz w:val="24"/>
                <w:szCs w:val="24"/>
              </w:rPr>
              <w:t>2</w:t>
            </w:r>
            <w:r>
              <w:rPr>
                <w:rFonts w:ascii="Times New Roman" w:hAnsi="Times New Roman"/>
                <w:sz w:val="24"/>
                <w:szCs w:val="24"/>
              </w:rPr>
              <w:t>01</w:t>
            </w:r>
            <w:r w:rsidR="00425B61">
              <w:rPr>
                <w:rFonts w:ascii="Times New Roman" w:hAnsi="Times New Roman"/>
                <w:sz w:val="24"/>
                <w:szCs w:val="24"/>
              </w:rPr>
              <w:t>6</w:t>
            </w:r>
            <w:r w:rsidR="008A558F">
              <w:rPr>
                <w:rFonts w:ascii="Times New Roman" w:hAnsi="Times New Roman"/>
                <w:sz w:val="24"/>
                <w:szCs w:val="24"/>
              </w:rPr>
              <w:t> </w:t>
            </w:r>
            <w:r>
              <w:rPr>
                <w:rFonts w:ascii="Times New Roman" w:hAnsi="Times New Roman"/>
                <w:sz w:val="24"/>
                <w:szCs w:val="24"/>
              </w:rPr>
              <w:t>году</w:t>
            </w:r>
            <w:r w:rsidR="008A558F">
              <w:rPr>
                <w:rFonts w:ascii="Times New Roman" w:hAnsi="Times New Roman"/>
                <w:sz w:val="24"/>
                <w:szCs w:val="24"/>
              </w:rPr>
              <w:t>…………………...</w:t>
            </w:r>
          </w:p>
        </w:tc>
        <w:tc>
          <w:tcPr>
            <w:tcW w:w="808" w:type="dxa"/>
            <w:vAlign w:val="bottom"/>
          </w:tcPr>
          <w:p w:rsidR="00E34E0C" w:rsidRPr="00E030E3" w:rsidRDefault="003E0203" w:rsidP="00A82D26">
            <w:pPr>
              <w:spacing w:before="100" w:beforeAutospacing="1" w:after="0" w:afterAutospacing="1" w:line="240" w:lineRule="auto"/>
              <w:rPr>
                <w:rFonts w:ascii="Times New Roman" w:hAnsi="Times New Roman"/>
                <w:sz w:val="24"/>
                <w:szCs w:val="24"/>
              </w:rPr>
            </w:pPr>
            <w:r>
              <w:rPr>
                <w:rFonts w:ascii="Times New Roman" w:hAnsi="Times New Roman"/>
                <w:sz w:val="24"/>
                <w:szCs w:val="24"/>
              </w:rPr>
              <w:t>7</w:t>
            </w:r>
            <w:r w:rsidR="00A82D26">
              <w:rPr>
                <w:rFonts w:ascii="Times New Roman" w:hAnsi="Times New Roman"/>
                <w:sz w:val="24"/>
                <w:szCs w:val="24"/>
              </w:rPr>
              <w:t>2</w:t>
            </w:r>
          </w:p>
        </w:tc>
      </w:tr>
      <w:tr w:rsidR="00E34E0C" w:rsidRPr="00E030E3" w:rsidTr="008A558F">
        <w:tc>
          <w:tcPr>
            <w:tcW w:w="9039" w:type="dxa"/>
          </w:tcPr>
          <w:p w:rsidR="00E34E0C" w:rsidRPr="004B6A68" w:rsidRDefault="00E34E0C" w:rsidP="00425B61">
            <w:pPr>
              <w:spacing w:after="0" w:line="240" w:lineRule="auto"/>
              <w:rPr>
                <w:rFonts w:ascii="Times New Roman" w:hAnsi="Times New Roman"/>
                <w:sz w:val="24"/>
                <w:szCs w:val="24"/>
              </w:rPr>
            </w:pPr>
            <w:r w:rsidRPr="004B6A68">
              <w:rPr>
                <w:rFonts w:ascii="Times New Roman" w:hAnsi="Times New Roman"/>
                <w:b/>
                <w:sz w:val="24"/>
                <w:szCs w:val="24"/>
              </w:rPr>
              <w:t>Приложение №3</w:t>
            </w:r>
            <w:r w:rsidRPr="004B6A68">
              <w:rPr>
                <w:rFonts w:ascii="Times New Roman" w:hAnsi="Times New Roman"/>
                <w:sz w:val="24"/>
                <w:szCs w:val="24"/>
              </w:rPr>
              <w:t xml:space="preserve"> Основные показатели развития малого предпринимательства за </w:t>
            </w:r>
            <w:r>
              <w:rPr>
                <w:rFonts w:ascii="Times New Roman" w:hAnsi="Times New Roman"/>
                <w:sz w:val="24"/>
                <w:szCs w:val="24"/>
              </w:rPr>
              <w:t>201</w:t>
            </w:r>
            <w:r w:rsidR="00425B61">
              <w:rPr>
                <w:rFonts w:ascii="Times New Roman" w:hAnsi="Times New Roman"/>
                <w:sz w:val="24"/>
                <w:szCs w:val="24"/>
              </w:rPr>
              <w:t>6</w:t>
            </w:r>
            <w:r>
              <w:rPr>
                <w:rFonts w:ascii="Times New Roman" w:hAnsi="Times New Roman"/>
                <w:sz w:val="24"/>
                <w:szCs w:val="24"/>
              </w:rPr>
              <w:t xml:space="preserve"> </w:t>
            </w:r>
            <w:r>
              <w:rPr>
                <w:rFonts w:ascii="Times New Roman" w:hAnsi="Times New Roman"/>
                <w:bCs/>
                <w:color w:val="000000"/>
                <w:sz w:val="24"/>
                <w:szCs w:val="24"/>
              </w:rPr>
              <w:t>год</w:t>
            </w:r>
            <w:r w:rsidRPr="004B6A68">
              <w:rPr>
                <w:rFonts w:ascii="Times New Roman" w:hAnsi="Times New Roman"/>
                <w:sz w:val="24"/>
                <w:szCs w:val="24"/>
              </w:rPr>
              <w:t xml:space="preserve"> …………………………………………</w:t>
            </w:r>
            <w:r>
              <w:rPr>
                <w:rFonts w:ascii="Times New Roman" w:hAnsi="Times New Roman"/>
                <w:sz w:val="24"/>
                <w:szCs w:val="24"/>
              </w:rPr>
              <w:t>………………………</w:t>
            </w:r>
            <w:r w:rsidR="008A558F">
              <w:rPr>
                <w:rFonts w:ascii="Times New Roman" w:hAnsi="Times New Roman"/>
                <w:sz w:val="24"/>
                <w:szCs w:val="24"/>
              </w:rPr>
              <w:t>…………………...</w:t>
            </w:r>
          </w:p>
        </w:tc>
        <w:tc>
          <w:tcPr>
            <w:tcW w:w="808" w:type="dxa"/>
            <w:vAlign w:val="bottom"/>
          </w:tcPr>
          <w:p w:rsidR="00E34E0C" w:rsidRPr="00E030E3" w:rsidRDefault="003E0203" w:rsidP="00A82D26">
            <w:pPr>
              <w:spacing w:before="100" w:beforeAutospacing="1" w:after="0" w:afterAutospacing="1" w:line="240" w:lineRule="auto"/>
              <w:rPr>
                <w:rFonts w:ascii="Times New Roman" w:hAnsi="Times New Roman"/>
                <w:sz w:val="24"/>
                <w:szCs w:val="24"/>
              </w:rPr>
            </w:pPr>
            <w:r>
              <w:rPr>
                <w:rFonts w:ascii="Times New Roman" w:hAnsi="Times New Roman"/>
                <w:sz w:val="24"/>
                <w:szCs w:val="24"/>
              </w:rPr>
              <w:t>7</w:t>
            </w:r>
            <w:r w:rsidR="00A82D26">
              <w:rPr>
                <w:rFonts w:ascii="Times New Roman" w:hAnsi="Times New Roman"/>
                <w:sz w:val="24"/>
                <w:szCs w:val="24"/>
              </w:rPr>
              <w:t>3</w:t>
            </w:r>
          </w:p>
        </w:tc>
      </w:tr>
      <w:tr w:rsidR="00E34E0C" w:rsidRPr="00E030E3" w:rsidTr="008A558F">
        <w:tc>
          <w:tcPr>
            <w:tcW w:w="9039" w:type="dxa"/>
          </w:tcPr>
          <w:p w:rsidR="00E34E0C" w:rsidRPr="004B6A68" w:rsidRDefault="00E34E0C" w:rsidP="003B2047">
            <w:pPr>
              <w:spacing w:after="0" w:line="240" w:lineRule="auto"/>
              <w:rPr>
                <w:rFonts w:ascii="Times New Roman" w:hAnsi="Times New Roman"/>
                <w:sz w:val="24"/>
                <w:szCs w:val="24"/>
              </w:rPr>
            </w:pPr>
          </w:p>
        </w:tc>
        <w:tc>
          <w:tcPr>
            <w:tcW w:w="808" w:type="dxa"/>
            <w:vAlign w:val="bottom"/>
          </w:tcPr>
          <w:p w:rsidR="00E34E0C" w:rsidRPr="00E030E3" w:rsidRDefault="00E34E0C" w:rsidP="003B2047">
            <w:pPr>
              <w:spacing w:before="100" w:beforeAutospacing="1" w:after="0" w:afterAutospacing="1" w:line="240" w:lineRule="auto"/>
              <w:rPr>
                <w:rFonts w:ascii="Times New Roman" w:hAnsi="Times New Roman"/>
                <w:sz w:val="24"/>
                <w:szCs w:val="24"/>
              </w:rPr>
            </w:pPr>
          </w:p>
        </w:tc>
      </w:tr>
      <w:tr w:rsidR="00E34E0C" w:rsidRPr="00E030E3" w:rsidTr="008A558F">
        <w:tc>
          <w:tcPr>
            <w:tcW w:w="9039" w:type="dxa"/>
          </w:tcPr>
          <w:p w:rsidR="00E34E0C" w:rsidRPr="004B6A68" w:rsidRDefault="00E34E0C" w:rsidP="003B2047">
            <w:pPr>
              <w:spacing w:after="0" w:line="240" w:lineRule="auto"/>
              <w:rPr>
                <w:rFonts w:ascii="Times New Roman" w:hAnsi="Times New Roman"/>
                <w:sz w:val="24"/>
                <w:szCs w:val="24"/>
              </w:rPr>
            </w:pPr>
          </w:p>
        </w:tc>
        <w:tc>
          <w:tcPr>
            <w:tcW w:w="808" w:type="dxa"/>
            <w:vAlign w:val="bottom"/>
          </w:tcPr>
          <w:p w:rsidR="00E34E0C" w:rsidRPr="00E030E3" w:rsidRDefault="00E34E0C" w:rsidP="003B2047">
            <w:pPr>
              <w:spacing w:before="100" w:beforeAutospacing="1" w:after="0" w:afterAutospacing="1" w:line="240" w:lineRule="auto"/>
              <w:rPr>
                <w:rFonts w:ascii="Times New Roman" w:hAnsi="Times New Roman"/>
                <w:sz w:val="24"/>
                <w:szCs w:val="24"/>
              </w:rPr>
            </w:pPr>
          </w:p>
        </w:tc>
      </w:tr>
      <w:tr w:rsidR="00E34E0C" w:rsidRPr="00E030E3" w:rsidTr="008A558F">
        <w:tblPrEx>
          <w:tblLook w:val="00A0"/>
        </w:tblPrEx>
        <w:tc>
          <w:tcPr>
            <w:tcW w:w="9039" w:type="dxa"/>
          </w:tcPr>
          <w:p w:rsidR="00E34E0C" w:rsidRPr="004B6A68" w:rsidRDefault="00E34E0C" w:rsidP="003B2047">
            <w:pPr>
              <w:spacing w:after="0" w:line="240" w:lineRule="auto"/>
              <w:rPr>
                <w:rFonts w:ascii="Times New Roman" w:hAnsi="Times New Roman"/>
                <w:sz w:val="24"/>
                <w:szCs w:val="24"/>
              </w:rPr>
            </w:pPr>
          </w:p>
        </w:tc>
        <w:tc>
          <w:tcPr>
            <w:tcW w:w="808" w:type="dxa"/>
            <w:vAlign w:val="bottom"/>
          </w:tcPr>
          <w:p w:rsidR="00E34E0C" w:rsidRPr="00E030E3" w:rsidRDefault="00E34E0C" w:rsidP="003B2047">
            <w:pPr>
              <w:spacing w:before="100" w:beforeAutospacing="1" w:after="100" w:afterAutospacing="1" w:line="240" w:lineRule="auto"/>
              <w:rPr>
                <w:rFonts w:ascii="Times New Roman" w:hAnsi="Times New Roman"/>
                <w:sz w:val="24"/>
                <w:szCs w:val="24"/>
              </w:rPr>
            </w:pPr>
          </w:p>
        </w:tc>
      </w:tr>
      <w:tr w:rsidR="00E34E0C" w:rsidRPr="00E030E3" w:rsidTr="008A558F">
        <w:tblPrEx>
          <w:tblLook w:val="00A0"/>
        </w:tblPrEx>
        <w:tc>
          <w:tcPr>
            <w:tcW w:w="9039" w:type="dxa"/>
          </w:tcPr>
          <w:p w:rsidR="00E34E0C" w:rsidRPr="001030EC" w:rsidRDefault="00E34E0C" w:rsidP="003B2047">
            <w:pPr>
              <w:pStyle w:val="4"/>
              <w:spacing w:before="0"/>
              <w:rPr>
                <w:sz w:val="24"/>
                <w:szCs w:val="24"/>
              </w:rPr>
            </w:pPr>
          </w:p>
        </w:tc>
        <w:tc>
          <w:tcPr>
            <w:tcW w:w="808" w:type="dxa"/>
          </w:tcPr>
          <w:p w:rsidR="00E34E0C" w:rsidRPr="00E030E3" w:rsidRDefault="00E34E0C" w:rsidP="003B2047">
            <w:pPr>
              <w:spacing w:before="100" w:beforeAutospacing="1" w:after="0" w:afterAutospacing="1" w:line="240" w:lineRule="auto"/>
              <w:jc w:val="both"/>
              <w:rPr>
                <w:rFonts w:ascii="Times New Roman" w:hAnsi="Times New Roman"/>
                <w:b/>
                <w:sz w:val="24"/>
                <w:szCs w:val="24"/>
              </w:rPr>
            </w:pPr>
          </w:p>
        </w:tc>
      </w:tr>
      <w:tr w:rsidR="00E34E0C" w:rsidRPr="00E030E3" w:rsidTr="008A558F">
        <w:tblPrEx>
          <w:tblLook w:val="00A0"/>
        </w:tblPrEx>
        <w:tc>
          <w:tcPr>
            <w:tcW w:w="9039" w:type="dxa"/>
          </w:tcPr>
          <w:p w:rsidR="00E34E0C" w:rsidRPr="00E030E3" w:rsidRDefault="00E34E0C" w:rsidP="003B2047">
            <w:pPr>
              <w:spacing w:before="100" w:beforeAutospacing="1" w:after="0" w:afterAutospacing="1" w:line="240" w:lineRule="auto"/>
              <w:jc w:val="both"/>
              <w:rPr>
                <w:rFonts w:ascii="Times New Roman" w:hAnsi="Times New Roman"/>
                <w:b/>
                <w:sz w:val="24"/>
                <w:szCs w:val="24"/>
              </w:rPr>
            </w:pPr>
          </w:p>
        </w:tc>
        <w:tc>
          <w:tcPr>
            <w:tcW w:w="808" w:type="dxa"/>
          </w:tcPr>
          <w:p w:rsidR="00E34E0C" w:rsidRPr="00E030E3" w:rsidRDefault="00E34E0C" w:rsidP="003B2047">
            <w:pPr>
              <w:spacing w:before="100" w:beforeAutospacing="1" w:after="0" w:afterAutospacing="1" w:line="240" w:lineRule="auto"/>
              <w:jc w:val="both"/>
              <w:rPr>
                <w:rFonts w:ascii="Times New Roman" w:hAnsi="Times New Roman"/>
                <w:b/>
                <w:sz w:val="24"/>
                <w:szCs w:val="24"/>
              </w:rPr>
            </w:pPr>
          </w:p>
        </w:tc>
      </w:tr>
      <w:tr w:rsidR="00E34E0C" w:rsidRPr="00E030E3" w:rsidTr="008A558F">
        <w:trPr>
          <w:trHeight w:val="87"/>
        </w:trPr>
        <w:tc>
          <w:tcPr>
            <w:tcW w:w="9039" w:type="dxa"/>
          </w:tcPr>
          <w:p w:rsidR="00E34E0C" w:rsidRPr="00E030E3" w:rsidRDefault="00E34E0C" w:rsidP="003B2047">
            <w:pPr>
              <w:spacing w:before="100" w:beforeAutospacing="1" w:after="0" w:afterAutospacing="1" w:line="240" w:lineRule="auto"/>
              <w:jc w:val="both"/>
              <w:rPr>
                <w:rFonts w:ascii="Times New Roman" w:hAnsi="Times New Roman"/>
                <w:b/>
                <w:sz w:val="24"/>
                <w:szCs w:val="24"/>
              </w:rPr>
            </w:pPr>
          </w:p>
        </w:tc>
        <w:tc>
          <w:tcPr>
            <w:tcW w:w="808" w:type="dxa"/>
          </w:tcPr>
          <w:p w:rsidR="00E34E0C" w:rsidRPr="00E030E3" w:rsidRDefault="00E34E0C" w:rsidP="003B2047">
            <w:pPr>
              <w:spacing w:before="100" w:beforeAutospacing="1" w:after="0" w:afterAutospacing="1" w:line="240" w:lineRule="auto"/>
              <w:jc w:val="both"/>
              <w:rPr>
                <w:rFonts w:ascii="Times New Roman" w:hAnsi="Times New Roman"/>
                <w:b/>
                <w:sz w:val="24"/>
                <w:szCs w:val="24"/>
              </w:rPr>
            </w:pPr>
          </w:p>
        </w:tc>
      </w:tr>
      <w:tr w:rsidR="00E34E0C" w:rsidRPr="00E030E3" w:rsidTr="008A558F">
        <w:tc>
          <w:tcPr>
            <w:tcW w:w="9039" w:type="dxa"/>
          </w:tcPr>
          <w:p w:rsidR="00E34E0C" w:rsidRPr="00E030E3" w:rsidRDefault="00E34E0C" w:rsidP="003B2047">
            <w:pPr>
              <w:spacing w:before="100" w:beforeAutospacing="1" w:after="0" w:afterAutospacing="1" w:line="240" w:lineRule="auto"/>
              <w:jc w:val="both"/>
              <w:rPr>
                <w:rFonts w:ascii="Times New Roman" w:hAnsi="Times New Roman"/>
                <w:b/>
                <w:sz w:val="24"/>
                <w:szCs w:val="24"/>
              </w:rPr>
            </w:pPr>
          </w:p>
        </w:tc>
        <w:tc>
          <w:tcPr>
            <w:tcW w:w="808" w:type="dxa"/>
          </w:tcPr>
          <w:p w:rsidR="00E34E0C" w:rsidRPr="00E030E3" w:rsidRDefault="00E34E0C" w:rsidP="003B2047">
            <w:pPr>
              <w:spacing w:before="100" w:beforeAutospacing="1" w:after="0" w:afterAutospacing="1" w:line="240" w:lineRule="auto"/>
              <w:jc w:val="both"/>
              <w:rPr>
                <w:rFonts w:ascii="Times New Roman" w:hAnsi="Times New Roman"/>
                <w:b/>
                <w:sz w:val="24"/>
                <w:szCs w:val="24"/>
              </w:rPr>
            </w:pPr>
          </w:p>
        </w:tc>
      </w:tr>
      <w:tr w:rsidR="00E34E0C" w:rsidRPr="00E030E3" w:rsidTr="008A558F">
        <w:trPr>
          <w:trHeight w:val="87"/>
        </w:trPr>
        <w:tc>
          <w:tcPr>
            <w:tcW w:w="9039" w:type="dxa"/>
          </w:tcPr>
          <w:p w:rsidR="00E34E0C" w:rsidRPr="00E030E3" w:rsidRDefault="00E34E0C" w:rsidP="003B2047">
            <w:pPr>
              <w:spacing w:before="100" w:beforeAutospacing="1" w:after="0" w:afterAutospacing="1" w:line="240" w:lineRule="auto"/>
              <w:jc w:val="both"/>
              <w:rPr>
                <w:rFonts w:ascii="Times New Roman" w:hAnsi="Times New Roman"/>
                <w:b/>
                <w:sz w:val="24"/>
                <w:szCs w:val="24"/>
              </w:rPr>
            </w:pPr>
          </w:p>
        </w:tc>
        <w:tc>
          <w:tcPr>
            <w:tcW w:w="808" w:type="dxa"/>
          </w:tcPr>
          <w:p w:rsidR="00E34E0C" w:rsidRPr="00E030E3" w:rsidRDefault="00E34E0C" w:rsidP="003B2047">
            <w:pPr>
              <w:spacing w:before="100" w:beforeAutospacing="1" w:after="0" w:afterAutospacing="1" w:line="240" w:lineRule="auto"/>
              <w:jc w:val="both"/>
              <w:rPr>
                <w:rFonts w:ascii="Times New Roman" w:hAnsi="Times New Roman"/>
                <w:b/>
                <w:sz w:val="24"/>
                <w:szCs w:val="24"/>
              </w:rPr>
            </w:pPr>
          </w:p>
        </w:tc>
      </w:tr>
    </w:tbl>
    <w:p w:rsidR="009806BF" w:rsidRDefault="009806BF">
      <w:pPr>
        <w:rPr>
          <w:rFonts w:ascii="Times New Roman" w:hAnsi="Times New Roman" w:cs="Times New Roman"/>
          <w:sz w:val="24"/>
          <w:szCs w:val="24"/>
        </w:rPr>
      </w:pPr>
    </w:p>
    <w:p w:rsidR="00E34E0C" w:rsidRDefault="00E34E0C">
      <w:pPr>
        <w:rPr>
          <w:rFonts w:ascii="Times New Roman" w:hAnsi="Times New Roman" w:cs="Times New Roman"/>
          <w:sz w:val="24"/>
          <w:szCs w:val="24"/>
        </w:rPr>
      </w:pPr>
    </w:p>
    <w:p w:rsidR="00E34E0C" w:rsidRDefault="00E34E0C">
      <w:pPr>
        <w:rPr>
          <w:rFonts w:ascii="Times New Roman" w:hAnsi="Times New Roman" w:cs="Times New Roman"/>
          <w:sz w:val="24"/>
          <w:szCs w:val="24"/>
        </w:rPr>
      </w:pPr>
    </w:p>
    <w:p w:rsidR="00E34E0C" w:rsidRDefault="00E34E0C">
      <w:pPr>
        <w:rPr>
          <w:rFonts w:ascii="Times New Roman" w:hAnsi="Times New Roman" w:cs="Times New Roman"/>
          <w:sz w:val="24"/>
          <w:szCs w:val="24"/>
        </w:rPr>
      </w:pPr>
    </w:p>
    <w:p w:rsidR="00E34E0C" w:rsidRDefault="00E34E0C">
      <w:pPr>
        <w:rPr>
          <w:rFonts w:ascii="Times New Roman" w:hAnsi="Times New Roman" w:cs="Times New Roman"/>
          <w:sz w:val="24"/>
          <w:szCs w:val="24"/>
        </w:rPr>
      </w:pPr>
    </w:p>
    <w:p w:rsidR="00E34E0C" w:rsidRDefault="00E34E0C">
      <w:pPr>
        <w:rPr>
          <w:rFonts w:ascii="Times New Roman" w:hAnsi="Times New Roman" w:cs="Times New Roman"/>
          <w:sz w:val="24"/>
          <w:szCs w:val="24"/>
        </w:rPr>
      </w:pPr>
    </w:p>
    <w:p w:rsidR="00D11140" w:rsidRDefault="00D11140">
      <w:pPr>
        <w:rPr>
          <w:rFonts w:ascii="Times New Roman" w:eastAsia="Times New Roman" w:hAnsi="Times New Roman" w:cs="Times New Roman"/>
          <w:b/>
          <w:sz w:val="24"/>
          <w:szCs w:val="24"/>
        </w:rPr>
      </w:pPr>
      <w:r>
        <w:rPr>
          <w:rFonts w:ascii="Times New Roman" w:hAnsi="Times New Roman"/>
          <w:b/>
          <w:sz w:val="24"/>
          <w:szCs w:val="24"/>
        </w:rPr>
        <w:br w:type="page"/>
      </w:r>
    </w:p>
    <w:p w:rsidR="00E34E0C" w:rsidRDefault="00E34E0C" w:rsidP="00E34E0C">
      <w:pPr>
        <w:pStyle w:val="a5"/>
        <w:spacing w:after="0" w:line="240" w:lineRule="auto"/>
        <w:ind w:left="0" w:firstLine="709"/>
        <w:jc w:val="center"/>
        <w:rPr>
          <w:rFonts w:ascii="Times New Roman" w:hAnsi="Times New Roman"/>
          <w:b/>
          <w:sz w:val="24"/>
          <w:szCs w:val="24"/>
        </w:rPr>
      </w:pPr>
      <w:r w:rsidRPr="00FE4A1D">
        <w:rPr>
          <w:rFonts w:ascii="Times New Roman" w:hAnsi="Times New Roman"/>
          <w:b/>
          <w:sz w:val="24"/>
          <w:szCs w:val="24"/>
        </w:rPr>
        <w:lastRenderedPageBreak/>
        <w:t>Основные тенденции развития экономики Приднестровской Молдавской Республики в январе-декабре 201</w:t>
      </w:r>
      <w:r>
        <w:rPr>
          <w:rFonts w:ascii="Times New Roman" w:hAnsi="Times New Roman"/>
          <w:b/>
          <w:sz w:val="24"/>
          <w:szCs w:val="24"/>
        </w:rPr>
        <w:t>6</w:t>
      </w:r>
      <w:r w:rsidRPr="00FE4A1D">
        <w:rPr>
          <w:rFonts w:ascii="Times New Roman" w:hAnsi="Times New Roman"/>
          <w:b/>
          <w:sz w:val="24"/>
          <w:szCs w:val="24"/>
        </w:rPr>
        <w:t xml:space="preserve"> года</w:t>
      </w:r>
    </w:p>
    <w:p w:rsidR="00E34E0C" w:rsidRDefault="00E34E0C" w:rsidP="00E34E0C">
      <w:pPr>
        <w:spacing w:after="0" w:line="240" w:lineRule="auto"/>
        <w:ind w:firstLine="709"/>
        <w:jc w:val="both"/>
        <w:rPr>
          <w:rFonts w:ascii="Times New Roman" w:hAnsi="Times New Roman"/>
          <w:sz w:val="24"/>
          <w:szCs w:val="24"/>
        </w:rPr>
      </w:pPr>
    </w:p>
    <w:p w:rsidR="00E34E0C" w:rsidRPr="008D6E52" w:rsidRDefault="00E34E0C" w:rsidP="00E34E0C">
      <w:pPr>
        <w:spacing w:after="0" w:line="240" w:lineRule="auto"/>
        <w:ind w:firstLine="709"/>
        <w:jc w:val="both"/>
        <w:rPr>
          <w:rFonts w:ascii="Times New Roman" w:hAnsi="Times New Roman"/>
          <w:sz w:val="24"/>
          <w:szCs w:val="24"/>
        </w:rPr>
      </w:pPr>
      <w:r w:rsidRPr="00AC0ECC">
        <w:rPr>
          <w:rFonts w:ascii="Times New Roman" w:hAnsi="Times New Roman"/>
          <w:sz w:val="24"/>
          <w:szCs w:val="24"/>
        </w:rPr>
        <w:t>Итоги социально-экономического развития Приднестровской Молдавской Республики в 2016 году формировались на фоне ухудшения внешнеторговой конъюнктуры для хозяйствующих субъектов, что усиливало риски осуществления внешнеэкономической деятельности хозяйствующими субъектами и оказывало дестабилизирующее воздействие на динамику результативности предприятий и организаций практически всех сфер экономики. Давление внешних факторов в совокупности с внутренними проблемами, усугубившимися дефицитом иностранной валюты и вызванными им курсовыми колебаниями, обусловили снижение основных параметров внешнеэкономической деятельности, инвестиций</w:t>
      </w:r>
      <w:r>
        <w:rPr>
          <w:rFonts w:ascii="Times New Roman" w:hAnsi="Times New Roman"/>
          <w:sz w:val="24"/>
          <w:szCs w:val="24"/>
        </w:rPr>
        <w:t xml:space="preserve"> в основной капитал</w:t>
      </w:r>
      <w:r w:rsidRPr="00AC0ECC">
        <w:rPr>
          <w:rFonts w:ascii="Times New Roman" w:hAnsi="Times New Roman"/>
          <w:sz w:val="24"/>
          <w:szCs w:val="24"/>
        </w:rPr>
        <w:t>, розничного товарооборота</w:t>
      </w:r>
      <w:r>
        <w:rPr>
          <w:rFonts w:ascii="Times New Roman" w:hAnsi="Times New Roman"/>
          <w:sz w:val="24"/>
          <w:szCs w:val="24"/>
        </w:rPr>
        <w:t>.</w:t>
      </w:r>
      <w:r w:rsidRPr="00AC0ECC">
        <w:rPr>
          <w:rFonts w:ascii="Times New Roman" w:hAnsi="Times New Roman"/>
          <w:sz w:val="24"/>
          <w:szCs w:val="24"/>
        </w:rPr>
        <w:t xml:space="preserve"> </w:t>
      </w:r>
    </w:p>
    <w:p w:rsidR="00431434" w:rsidRDefault="00431434" w:rsidP="00E34E0C">
      <w:pPr>
        <w:spacing w:after="0" w:line="240" w:lineRule="auto"/>
        <w:ind w:firstLine="709"/>
        <w:jc w:val="both"/>
        <w:rPr>
          <w:rFonts w:ascii="Times New Roman" w:hAnsi="Times New Roman"/>
          <w:b/>
          <w:sz w:val="24"/>
          <w:szCs w:val="24"/>
          <w:u w:val="single"/>
        </w:rPr>
      </w:pPr>
    </w:p>
    <w:p w:rsidR="00E34E0C" w:rsidRPr="0080737A" w:rsidRDefault="00E34E0C" w:rsidP="00E34E0C">
      <w:pPr>
        <w:spacing w:after="0" w:line="240" w:lineRule="auto"/>
        <w:ind w:firstLine="709"/>
        <w:jc w:val="both"/>
        <w:rPr>
          <w:rFonts w:ascii="Times New Roman" w:hAnsi="Times New Roman"/>
          <w:b/>
          <w:sz w:val="24"/>
          <w:szCs w:val="24"/>
        </w:rPr>
      </w:pPr>
      <w:r w:rsidRPr="0080737A">
        <w:rPr>
          <w:rFonts w:ascii="Times New Roman" w:hAnsi="Times New Roman"/>
          <w:b/>
          <w:sz w:val="24"/>
          <w:szCs w:val="24"/>
          <w:u w:val="single"/>
        </w:rPr>
        <w:t>Валовой внутренний продукт (ВВП)</w:t>
      </w:r>
    </w:p>
    <w:p w:rsidR="00E34E0C" w:rsidRDefault="00E34E0C" w:rsidP="00E34E0C">
      <w:pPr>
        <w:pStyle w:val="a3"/>
      </w:pPr>
    </w:p>
    <w:p w:rsidR="00E34E0C" w:rsidRDefault="00E34E0C" w:rsidP="00E34E0C">
      <w:pPr>
        <w:pStyle w:val="a3"/>
      </w:pPr>
      <w:r>
        <w:t>Номинальный объем созданного в республике валового внутреннего продукта за</w:t>
      </w:r>
      <w:r w:rsidR="00501504">
        <w:t xml:space="preserve"> </w:t>
      </w:r>
      <w:r>
        <w:t>2016</w:t>
      </w:r>
      <w:r w:rsidR="008A558F">
        <w:t> </w:t>
      </w:r>
      <w:r>
        <w:t xml:space="preserve">год составил 11 464,6 млн. руб. и соответствовал </w:t>
      </w:r>
      <w:r w:rsidR="00E50855">
        <w:t>1 018,3</w:t>
      </w:r>
      <w:r>
        <w:t xml:space="preserve"> млн. долл., превысив базовый показатель 2015 года в номинальном выражении на 14,5%.</w:t>
      </w:r>
    </w:p>
    <w:p w:rsidR="00E34E0C" w:rsidRDefault="00E34E0C" w:rsidP="00E34E0C">
      <w:pPr>
        <w:pStyle w:val="1"/>
        <w:ind w:firstLine="709"/>
        <w:jc w:val="both"/>
        <w:rPr>
          <w:rFonts w:ascii="Times New Roman" w:hAnsi="Times New Roman"/>
          <w:sz w:val="24"/>
          <w:szCs w:val="24"/>
        </w:rPr>
      </w:pPr>
      <w:r w:rsidRPr="00546B25">
        <w:rPr>
          <w:rFonts w:ascii="Times New Roman" w:hAnsi="Times New Roman"/>
          <w:sz w:val="24"/>
          <w:szCs w:val="24"/>
        </w:rPr>
        <w:t xml:space="preserve">Реальный размер совокупного показателя развития экономики (ВВП в сопоставимых ценах) </w:t>
      </w:r>
      <w:r>
        <w:rPr>
          <w:rFonts w:ascii="Times New Roman" w:hAnsi="Times New Roman"/>
          <w:sz w:val="24"/>
          <w:szCs w:val="24"/>
        </w:rPr>
        <w:t xml:space="preserve">на фоне низких базовых показателей 2015 года и с учетом выплаченной суммы кредиторской задолженности по оплате труда (с учетом начислений) работникам бюджетной сферы, образовавшейся в связи с действием в 2015 году особого порядка финансирования заработных плат работникам бюджетных учреждений, в совокупности с </w:t>
      </w:r>
      <w:r w:rsidRPr="0080737A">
        <w:rPr>
          <w:rFonts w:ascii="Times New Roman" w:hAnsi="Times New Roman"/>
          <w:sz w:val="24"/>
          <w:szCs w:val="24"/>
        </w:rPr>
        <w:t>влияни</w:t>
      </w:r>
      <w:r>
        <w:rPr>
          <w:rFonts w:ascii="Times New Roman" w:hAnsi="Times New Roman"/>
          <w:sz w:val="24"/>
          <w:szCs w:val="24"/>
        </w:rPr>
        <w:t>ем</w:t>
      </w:r>
      <w:r w:rsidRPr="0080737A">
        <w:rPr>
          <w:rFonts w:ascii="Times New Roman" w:hAnsi="Times New Roman"/>
          <w:sz w:val="24"/>
          <w:szCs w:val="24"/>
        </w:rPr>
        <w:t xml:space="preserve"> конъюнктуры цен вырос на </w:t>
      </w:r>
      <w:r>
        <w:rPr>
          <w:rFonts w:ascii="Times New Roman" w:hAnsi="Times New Roman"/>
          <w:sz w:val="24"/>
          <w:szCs w:val="24"/>
        </w:rPr>
        <w:t>17,8</w:t>
      </w:r>
      <w:r w:rsidRPr="0080737A">
        <w:rPr>
          <w:rFonts w:ascii="Times New Roman" w:hAnsi="Times New Roman"/>
          <w:sz w:val="24"/>
          <w:szCs w:val="24"/>
        </w:rPr>
        <w:t>%</w:t>
      </w:r>
      <w:r>
        <w:rPr>
          <w:rFonts w:ascii="Times New Roman" w:hAnsi="Times New Roman"/>
          <w:sz w:val="24"/>
          <w:szCs w:val="24"/>
        </w:rPr>
        <w:t xml:space="preserve">. </w:t>
      </w:r>
    </w:p>
    <w:p w:rsidR="00E34E0C" w:rsidRPr="00564E15" w:rsidRDefault="00E34E0C" w:rsidP="00E34E0C">
      <w:pPr>
        <w:pStyle w:val="1"/>
        <w:ind w:firstLine="709"/>
        <w:jc w:val="both"/>
        <w:rPr>
          <w:rFonts w:ascii="Times New Roman" w:hAnsi="Times New Roman"/>
          <w:sz w:val="24"/>
          <w:szCs w:val="24"/>
        </w:rPr>
      </w:pPr>
      <w:r w:rsidRPr="00564E15">
        <w:rPr>
          <w:rFonts w:ascii="Times New Roman" w:hAnsi="Times New Roman"/>
          <w:sz w:val="24"/>
          <w:szCs w:val="24"/>
        </w:rPr>
        <w:t xml:space="preserve">С учетом корректировки на сумму выплаченной кредиторской задолженности, созданный в республике реальный ВВП по итогам 2016 года вырос на </w:t>
      </w:r>
      <w:r>
        <w:rPr>
          <w:rFonts w:ascii="Times New Roman" w:hAnsi="Times New Roman"/>
          <w:sz w:val="24"/>
          <w:szCs w:val="24"/>
        </w:rPr>
        <w:t>11,5</w:t>
      </w:r>
      <w:r w:rsidRPr="00564E15">
        <w:rPr>
          <w:rFonts w:ascii="Times New Roman" w:hAnsi="Times New Roman"/>
          <w:sz w:val="24"/>
          <w:szCs w:val="24"/>
        </w:rPr>
        <w:t>%.</w:t>
      </w:r>
    </w:p>
    <w:p w:rsidR="00E34E0C" w:rsidRPr="00564E15" w:rsidRDefault="00E34E0C" w:rsidP="00E34E0C">
      <w:pPr>
        <w:tabs>
          <w:tab w:val="left" w:pos="851"/>
        </w:tabs>
        <w:autoSpaceDE w:val="0"/>
        <w:autoSpaceDN w:val="0"/>
        <w:adjustRightInd w:val="0"/>
        <w:spacing w:after="0" w:line="240" w:lineRule="auto"/>
        <w:ind w:firstLine="709"/>
        <w:jc w:val="both"/>
        <w:rPr>
          <w:rFonts w:ascii="Times New Roman" w:hAnsi="Times New Roman"/>
          <w:sz w:val="24"/>
          <w:szCs w:val="24"/>
        </w:rPr>
      </w:pPr>
      <w:r w:rsidRPr="00564E15">
        <w:rPr>
          <w:rFonts w:ascii="Times New Roman" w:hAnsi="Times New Roman"/>
          <w:sz w:val="24"/>
          <w:szCs w:val="24"/>
        </w:rPr>
        <w:t>Таким образом, основное влияние на фиксируемый прирост реального ВВП в 2016</w:t>
      </w:r>
      <w:r w:rsidR="00501504">
        <w:rPr>
          <w:rFonts w:ascii="Times New Roman" w:hAnsi="Times New Roman"/>
          <w:sz w:val="24"/>
          <w:szCs w:val="24"/>
        </w:rPr>
        <w:t> </w:t>
      </w:r>
      <w:r w:rsidRPr="00564E15">
        <w:rPr>
          <w:rFonts w:ascii="Times New Roman" w:hAnsi="Times New Roman"/>
          <w:sz w:val="24"/>
          <w:szCs w:val="24"/>
        </w:rPr>
        <w:t xml:space="preserve">году оказала: </w:t>
      </w:r>
    </w:p>
    <w:p w:rsidR="00E34E0C" w:rsidRPr="00564E15" w:rsidRDefault="00E34E0C" w:rsidP="00E34E0C">
      <w:pPr>
        <w:tabs>
          <w:tab w:val="left" w:pos="851"/>
        </w:tabs>
        <w:autoSpaceDE w:val="0"/>
        <w:autoSpaceDN w:val="0"/>
        <w:adjustRightInd w:val="0"/>
        <w:spacing w:after="0" w:line="240" w:lineRule="auto"/>
        <w:ind w:firstLine="709"/>
        <w:jc w:val="both"/>
        <w:rPr>
          <w:rFonts w:ascii="Times New Roman" w:hAnsi="Times New Roman"/>
          <w:sz w:val="24"/>
          <w:szCs w:val="24"/>
        </w:rPr>
      </w:pPr>
      <w:r w:rsidRPr="00564E15">
        <w:rPr>
          <w:rFonts w:ascii="Times New Roman" w:hAnsi="Times New Roman"/>
          <w:sz w:val="24"/>
          <w:szCs w:val="24"/>
        </w:rPr>
        <w:t>-</w:t>
      </w:r>
      <w:r w:rsidR="00A71D22">
        <w:rPr>
          <w:rFonts w:ascii="Times New Roman" w:hAnsi="Times New Roman"/>
          <w:sz w:val="24"/>
          <w:szCs w:val="24"/>
        </w:rPr>
        <w:tab/>
      </w:r>
      <w:r w:rsidRPr="00564E15">
        <w:rPr>
          <w:rFonts w:ascii="Times New Roman" w:hAnsi="Times New Roman"/>
          <w:sz w:val="24"/>
          <w:szCs w:val="24"/>
        </w:rPr>
        <w:t>выплата кредиторской задолженности по оплате труда (с учетом начислений) работникам бюджетной сферы, размер которой по состоянию на 1 января 2016 года составил 293, 9 млн. руб.;</w:t>
      </w:r>
    </w:p>
    <w:p w:rsidR="00E34E0C" w:rsidRPr="00564E15" w:rsidRDefault="00E34E0C" w:rsidP="00E34E0C">
      <w:pPr>
        <w:tabs>
          <w:tab w:val="left" w:pos="851"/>
        </w:tabs>
        <w:autoSpaceDE w:val="0"/>
        <w:autoSpaceDN w:val="0"/>
        <w:adjustRightInd w:val="0"/>
        <w:spacing w:after="0" w:line="240" w:lineRule="auto"/>
        <w:ind w:firstLine="709"/>
        <w:jc w:val="both"/>
        <w:rPr>
          <w:rFonts w:ascii="Times New Roman" w:hAnsi="Times New Roman"/>
          <w:sz w:val="24"/>
          <w:szCs w:val="24"/>
        </w:rPr>
      </w:pPr>
      <w:r w:rsidRPr="00564E15">
        <w:rPr>
          <w:rFonts w:ascii="Times New Roman" w:hAnsi="Times New Roman"/>
          <w:sz w:val="24"/>
          <w:szCs w:val="24"/>
        </w:rPr>
        <w:t>-</w:t>
      </w:r>
      <w:r w:rsidR="00A71D22">
        <w:rPr>
          <w:rFonts w:ascii="Times New Roman" w:hAnsi="Times New Roman"/>
          <w:sz w:val="24"/>
          <w:szCs w:val="24"/>
        </w:rPr>
        <w:tab/>
      </w:r>
      <w:r w:rsidRPr="00564E15">
        <w:rPr>
          <w:rFonts w:ascii="Times New Roman" w:hAnsi="Times New Roman"/>
          <w:sz w:val="24"/>
          <w:szCs w:val="24"/>
        </w:rPr>
        <w:t>снижение доли промежуточного потребления в отраслях материального производства (с 70,96% до 60,66%).</w:t>
      </w:r>
    </w:p>
    <w:p w:rsidR="00E34E0C" w:rsidRDefault="00E34E0C" w:rsidP="00E34E0C">
      <w:pPr>
        <w:pStyle w:val="a3"/>
      </w:pPr>
      <w:r w:rsidRPr="000A3B06">
        <w:t xml:space="preserve">Дефлятор ВВП, устанавливающий связь между реальным и номинальным ВВП, на фоне </w:t>
      </w:r>
      <w:r>
        <w:t>падения цен (дефляции)</w:t>
      </w:r>
      <w:r w:rsidRPr="000A3B06">
        <w:t xml:space="preserve"> в отраслях материального производства и в</w:t>
      </w:r>
      <w:r>
        <w:t xml:space="preserve"> совокупности с минимальным повышении цен в секторах </w:t>
      </w:r>
      <w:r w:rsidRPr="000A3B06">
        <w:t>сфер</w:t>
      </w:r>
      <w:r>
        <w:t>ы</w:t>
      </w:r>
      <w:r w:rsidRPr="000A3B06">
        <w:t xml:space="preserve"> услуг</w:t>
      </w:r>
      <w:r>
        <w:t xml:space="preserve"> («+»0,97%)</w:t>
      </w:r>
      <w:r w:rsidRPr="000A3B06">
        <w:t xml:space="preserve"> </w:t>
      </w:r>
      <w:r>
        <w:t xml:space="preserve">по </w:t>
      </w:r>
      <w:r w:rsidRPr="000A3B06">
        <w:t>итогам 201</w:t>
      </w:r>
      <w:r>
        <w:t>6</w:t>
      </w:r>
      <w:r w:rsidRPr="000A3B06">
        <w:t xml:space="preserve"> года </w:t>
      </w:r>
      <w:r>
        <w:t>составил 0,9722</w:t>
      </w:r>
      <w:r w:rsidRPr="000A3B06">
        <w:t xml:space="preserve"> против </w:t>
      </w:r>
      <w:r>
        <w:t>0,9706</w:t>
      </w:r>
      <w:r w:rsidRPr="000A3B06">
        <w:t xml:space="preserve"> в 201</w:t>
      </w:r>
      <w:r>
        <w:t xml:space="preserve">5 </w:t>
      </w:r>
      <w:r w:rsidRPr="000A3B06">
        <w:t>год</w:t>
      </w:r>
      <w:r>
        <w:t>у</w:t>
      </w:r>
      <w:r w:rsidRPr="000A3B06">
        <w:t xml:space="preserve">. </w:t>
      </w:r>
    </w:p>
    <w:p w:rsidR="00E34E0C" w:rsidRDefault="00E34E0C" w:rsidP="00501504">
      <w:pPr>
        <w:pStyle w:val="1"/>
        <w:ind w:left="-284"/>
        <w:jc w:val="both"/>
        <w:rPr>
          <w:rFonts w:ascii="Times New Roman" w:hAnsi="Times New Roman"/>
          <w:sz w:val="24"/>
          <w:szCs w:val="24"/>
        </w:rPr>
      </w:pPr>
      <w:r w:rsidRPr="00476B87">
        <w:rPr>
          <w:rFonts w:ascii="Times New Roman" w:hAnsi="Times New Roman"/>
          <w:noProof/>
          <w:sz w:val="24"/>
          <w:szCs w:val="24"/>
        </w:rPr>
        <w:drawing>
          <wp:inline distT="0" distB="0" distL="0" distR="0">
            <wp:extent cx="6362700" cy="2343150"/>
            <wp:effectExtent l="0" t="0" r="0" b="0"/>
            <wp:docPr id="18"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34E0C" w:rsidRPr="002D1878" w:rsidRDefault="00E34E0C" w:rsidP="00E34E0C">
      <w:pPr>
        <w:pStyle w:val="2"/>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структуре валового внутреннего продукта на фоне кризисных тенденций в экономике и широкого перечня конъюнктурных проблем отмечается повышение удельного веса отраслей материального производства по отношению к базисным параметрам на </w:t>
      </w:r>
      <w:r>
        <w:rPr>
          <w:rFonts w:ascii="Times New Roman" w:hAnsi="Times New Roman"/>
          <w:sz w:val="24"/>
          <w:szCs w:val="24"/>
        </w:rPr>
        <w:t>3,6</w:t>
      </w:r>
      <w:r w:rsidRPr="0080737A">
        <w:rPr>
          <w:rFonts w:ascii="Times New Roman" w:hAnsi="Times New Roman"/>
          <w:sz w:val="24"/>
          <w:szCs w:val="24"/>
        </w:rPr>
        <w:t xml:space="preserve"> процентных пункта до </w:t>
      </w:r>
      <w:r>
        <w:rPr>
          <w:rFonts w:ascii="Times New Roman" w:hAnsi="Times New Roman"/>
          <w:sz w:val="24"/>
          <w:szCs w:val="24"/>
        </w:rPr>
        <w:t>38,81</w:t>
      </w:r>
      <w:r w:rsidRPr="0080737A">
        <w:rPr>
          <w:rFonts w:ascii="Times New Roman" w:hAnsi="Times New Roman"/>
          <w:sz w:val="24"/>
          <w:szCs w:val="24"/>
        </w:rPr>
        <w:t xml:space="preserve">% </w:t>
      </w:r>
      <w:r>
        <w:rPr>
          <w:rFonts w:ascii="Times New Roman" w:hAnsi="Times New Roman"/>
          <w:sz w:val="24"/>
          <w:szCs w:val="24"/>
        </w:rPr>
        <w:t xml:space="preserve">при соответствующем сокращении долевого участия </w:t>
      </w:r>
      <w:r w:rsidRPr="0080737A">
        <w:rPr>
          <w:rFonts w:ascii="Times New Roman" w:hAnsi="Times New Roman"/>
          <w:sz w:val="24"/>
          <w:szCs w:val="24"/>
        </w:rPr>
        <w:t xml:space="preserve">отраслей </w:t>
      </w:r>
      <w:r w:rsidRPr="0080737A">
        <w:rPr>
          <w:rFonts w:ascii="Times New Roman" w:hAnsi="Times New Roman"/>
          <w:sz w:val="24"/>
          <w:szCs w:val="24"/>
        </w:rPr>
        <w:lastRenderedPageBreak/>
        <w:t xml:space="preserve">сферы услуг на </w:t>
      </w:r>
      <w:r>
        <w:rPr>
          <w:rFonts w:ascii="Times New Roman" w:hAnsi="Times New Roman"/>
          <w:sz w:val="24"/>
          <w:szCs w:val="24"/>
        </w:rPr>
        <w:t>0,76</w:t>
      </w:r>
      <w:r w:rsidRPr="0080737A">
        <w:rPr>
          <w:rFonts w:ascii="Times New Roman" w:hAnsi="Times New Roman"/>
          <w:sz w:val="24"/>
          <w:szCs w:val="24"/>
        </w:rPr>
        <w:t xml:space="preserve"> процентных пункта до </w:t>
      </w:r>
      <w:r>
        <w:rPr>
          <w:rFonts w:ascii="Times New Roman" w:hAnsi="Times New Roman"/>
          <w:sz w:val="24"/>
          <w:szCs w:val="24"/>
        </w:rPr>
        <w:t>61,23</w:t>
      </w:r>
      <w:r w:rsidRPr="0080737A">
        <w:rPr>
          <w:rFonts w:ascii="Times New Roman" w:hAnsi="Times New Roman"/>
          <w:sz w:val="24"/>
          <w:szCs w:val="24"/>
        </w:rPr>
        <w:t>%. Это произошло на фоне падения удельного веса фискальной составляющей «чистые налоги на продукты и импорт» до отрицательного значения «-»</w:t>
      </w:r>
      <w:r>
        <w:rPr>
          <w:rFonts w:ascii="Times New Roman" w:hAnsi="Times New Roman"/>
          <w:sz w:val="24"/>
          <w:szCs w:val="24"/>
        </w:rPr>
        <w:t>0,04</w:t>
      </w:r>
      <w:r w:rsidRPr="0080737A">
        <w:rPr>
          <w:rFonts w:ascii="Times New Roman" w:hAnsi="Times New Roman"/>
          <w:sz w:val="24"/>
          <w:szCs w:val="24"/>
        </w:rPr>
        <w:t xml:space="preserve">% против </w:t>
      </w:r>
      <w:r>
        <w:rPr>
          <w:rFonts w:ascii="Times New Roman" w:hAnsi="Times New Roman"/>
          <w:sz w:val="24"/>
          <w:szCs w:val="24"/>
        </w:rPr>
        <w:t>2,84</w:t>
      </w:r>
      <w:r w:rsidRPr="0080737A">
        <w:rPr>
          <w:rFonts w:ascii="Times New Roman" w:hAnsi="Times New Roman"/>
          <w:sz w:val="24"/>
          <w:szCs w:val="24"/>
        </w:rPr>
        <w:t>% в 2015 год</w:t>
      </w:r>
      <w:r>
        <w:rPr>
          <w:rFonts w:ascii="Times New Roman" w:hAnsi="Times New Roman"/>
          <w:sz w:val="24"/>
          <w:szCs w:val="24"/>
        </w:rPr>
        <w:t>у</w:t>
      </w:r>
      <w:r w:rsidRPr="0080737A">
        <w:rPr>
          <w:rFonts w:ascii="Times New Roman" w:hAnsi="Times New Roman"/>
          <w:sz w:val="24"/>
          <w:szCs w:val="24"/>
        </w:rPr>
        <w:t>.</w:t>
      </w:r>
      <w:r>
        <w:rPr>
          <w:rFonts w:ascii="Times New Roman" w:hAnsi="Times New Roman"/>
          <w:sz w:val="24"/>
          <w:szCs w:val="24"/>
        </w:rPr>
        <w:t xml:space="preserve"> </w:t>
      </w:r>
      <w:r w:rsidRPr="0080737A">
        <w:rPr>
          <w:rFonts w:ascii="Times New Roman" w:hAnsi="Times New Roman"/>
          <w:sz w:val="24"/>
          <w:szCs w:val="24"/>
        </w:rPr>
        <w:t xml:space="preserve">Определившаяся результативность экономики в </w:t>
      </w:r>
      <w:r>
        <w:rPr>
          <w:rFonts w:ascii="Times New Roman" w:hAnsi="Times New Roman"/>
          <w:sz w:val="24"/>
          <w:szCs w:val="24"/>
        </w:rPr>
        <w:t>2016</w:t>
      </w:r>
      <w:r w:rsidRPr="0080737A">
        <w:rPr>
          <w:rFonts w:ascii="Times New Roman" w:hAnsi="Times New Roman"/>
          <w:sz w:val="24"/>
          <w:szCs w:val="24"/>
        </w:rPr>
        <w:t xml:space="preserve"> год</w:t>
      </w:r>
      <w:r>
        <w:rPr>
          <w:rFonts w:ascii="Times New Roman" w:hAnsi="Times New Roman"/>
          <w:sz w:val="24"/>
          <w:szCs w:val="24"/>
        </w:rPr>
        <w:t>у</w:t>
      </w:r>
      <w:r w:rsidRPr="0080737A">
        <w:rPr>
          <w:rFonts w:ascii="Times New Roman" w:hAnsi="Times New Roman"/>
          <w:sz w:val="24"/>
          <w:szCs w:val="24"/>
        </w:rPr>
        <w:t xml:space="preserve"> на </w:t>
      </w:r>
      <w:r>
        <w:rPr>
          <w:rFonts w:ascii="Times New Roman" w:hAnsi="Times New Roman"/>
          <w:sz w:val="24"/>
          <w:szCs w:val="24"/>
        </w:rPr>
        <w:t>63,9</w:t>
      </w:r>
      <w:r w:rsidRPr="0080737A">
        <w:rPr>
          <w:rFonts w:ascii="Times New Roman" w:hAnsi="Times New Roman"/>
          <w:sz w:val="24"/>
          <w:szCs w:val="24"/>
        </w:rPr>
        <w:t xml:space="preserve">% была обеспечена приростом вновь созданной добавленной стоимости в индустриальном и </w:t>
      </w:r>
      <w:r>
        <w:rPr>
          <w:rFonts w:ascii="Times New Roman" w:hAnsi="Times New Roman"/>
          <w:sz w:val="24"/>
          <w:szCs w:val="24"/>
        </w:rPr>
        <w:t xml:space="preserve">сельскохозяйственном секторах, при этом </w:t>
      </w:r>
      <w:r w:rsidRPr="00B90F3F">
        <w:rPr>
          <w:rFonts w:ascii="Times New Roman" w:hAnsi="Times New Roman"/>
          <w:sz w:val="24"/>
          <w:szCs w:val="24"/>
        </w:rPr>
        <w:t>сдерживающим фактором явилось сокращение фискальной составляющей</w:t>
      </w:r>
      <w:r>
        <w:rPr>
          <w:rFonts w:ascii="Times New Roman" w:hAnsi="Times New Roman"/>
          <w:sz w:val="24"/>
          <w:szCs w:val="24"/>
        </w:rPr>
        <w:t>.</w:t>
      </w:r>
      <w:r w:rsidRPr="00B90F3F">
        <w:rPr>
          <w:rFonts w:ascii="Times New Roman" w:hAnsi="Times New Roman"/>
          <w:sz w:val="24"/>
          <w:szCs w:val="24"/>
        </w:rPr>
        <w:t xml:space="preserve"> </w:t>
      </w:r>
    </w:p>
    <w:p w:rsidR="00E34E0C" w:rsidRPr="0080737A" w:rsidRDefault="00E34E0C" w:rsidP="00E34E0C">
      <w:pPr>
        <w:spacing w:after="0" w:line="240" w:lineRule="auto"/>
        <w:ind w:firstLine="709"/>
        <w:contextualSpacing/>
        <w:jc w:val="both"/>
        <w:rPr>
          <w:rFonts w:ascii="Times New Roman" w:hAnsi="Times New Roman"/>
          <w:sz w:val="24"/>
          <w:szCs w:val="24"/>
        </w:rPr>
      </w:pPr>
    </w:p>
    <w:p w:rsidR="00E34E0C" w:rsidRPr="00433103" w:rsidRDefault="00E34E0C" w:rsidP="00E34E0C">
      <w:pPr>
        <w:spacing w:after="0" w:line="240" w:lineRule="auto"/>
        <w:ind w:firstLine="709"/>
        <w:contextualSpacing/>
        <w:jc w:val="both"/>
        <w:rPr>
          <w:rFonts w:ascii="Times New Roman" w:hAnsi="Times New Roman"/>
          <w:b/>
          <w:sz w:val="24"/>
          <w:szCs w:val="24"/>
          <w:u w:val="single"/>
        </w:rPr>
      </w:pPr>
      <w:r w:rsidRPr="00433103">
        <w:rPr>
          <w:rFonts w:ascii="Times New Roman" w:hAnsi="Times New Roman"/>
          <w:b/>
          <w:sz w:val="24"/>
          <w:szCs w:val="24"/>
          <w:u w:val="single"/>
        </w:rPr>
        <w:t>Промышленность</w:t>
      </w:r>
    </w:p>
    <w:p w:rsidR="00E34E0C" w:rsidRDefault="00E34E0C" w:rsidP="00E34E0C">
      <w:pPr>
        <w:spacing w:after="0" w:line="240" w:lineRule="auto"/>
        <w:ind w:firstLine="709"/>
        <w:jc w:val="both"/>
        <w:rPr>
          <w:rFonts w:ascii="Times New Roman" w:hAnsi="Times New Roman"/>
          <w:sz w:val="24"/>
          <w:szCs w:val="24"/>
        </w:rPr>
      </w:pPr>
    </w:p>
    <w:p w:rsidR="00E34E0C" w:rsidRPr="00433103" w:rsidRDefault="00E34E0C" w:rsidP="00E34E0C">
      <w:pPr>
        <w:spacing w:after="0" w:line="240" w:lineRule="auto"/>
        <w:ind w:firstLine="709"/>
        <w:jc w:val="both"/>
        <w:rPr>
          <w:rFonts w:ascii="Times New Roman" w:hAnsi="Times New Roman"/>
          <w:sz w:val="24"/>
          <w:szCs w:val="24"/>
        </w:rPr>
      </w:pPr>
      <w:r w:rsidRPr="00433103">
        <w:rPr>
          <w:rFonts w:ascii="Times New Roman" w:hAnsi="Times New Roman"/>
          <w:sz w:val="24"/>
          <w:szCs w:val="24"/>
        </w:rPr>
        <w:t xml:space="preserve">Ситуация в индустриальном секторе республики в </w:t>
      </w:r>
      <w:r>
        <w:rPr>
          <w:rFonts w:ascii="Times New Roman" w:hAnsi="Times New Roman"/>
          <w:sz w:val="24"/>
          <w:szCs w:val="24"/>
        </w:rPr>
        <w:t>2016 году</w:t>
      </w:r>
      <w:r w:rsidRPr="00433103">
        <w:rPr>
          <w:rFonts w:ascii="Times New Roman" w:hAnsi="Times New Roman"/>
          <w:sz w:val="24"/>
          <w:szCs w:val="24"/>
        </w:rPr>
        <w:t xml:space="preserve"> складывалась в условиях снижения параметров внешнеэкономической деятельности, а также сужения </w:t>
      </w:r>
      <w:r>
        <w:rPr>
          <w:rFonts w:ascii="Times New Roman" w:hAnsi="Times New Roman"/>
          <w:sz w:val="24"/>
          <w:szCs w:val="24"/>
        </w:rPr>
        <w:t xml:space="preserve">потребительского </w:t>
      </w:r>
      <w:r w:rsidRPr="00433103">
        <w:rPr>
          <w:rFonts w:ascii="Times New Roman" w:hAnsi="Times New Roman"/>
          <w:sz w:val="24"/>
          <w:szCs w:val="24"/>
        </w:rPr>
        <w:t xml:space="preserve">спроса на внутреннем потребительском рынке, в совокупности с продолжающимся воздействием внешнеполитических и экономических </w:t>
      </w:r>
      <w:r w:rsidRPr="00433103">
        <w:rPr>
          <w:rFonts w:ascii="Times New Roman" w:hAnsi="Times New Roman"/>
          <w:sz w:val="24"/>
          <w:szCs w:val="24"/>
          <w:shd w:val="clear" w:color="auto" w:fill="FFFFFF"/>
        </w:rPr>
        <w:t>барьеров в отношении хозяйствующих субъектов Приднестровской Молдавской Республики со стороны соседних государств, что в совокупности с дисбалансом на валютном рынке республики оказыва</w:t>
      </w:r>
      <w:r>
        <w:rPr>
          <w:rFonts w:ascii="Times New Roman" w:hAnsi="Times New Roman"/>
          <w:sz w:val="24"/>
          <w:szCs w:val="24"/>
          <w:shd w:val="clear" w:color="auto" w:fill="FFFFFF"/>
        </w:rPr>
        <w:t>ло</w:t>
      </w:r>
      <w:r w:rsidRPr="00433103">
        <w:rPr>
          <w:rFonts w:ascii="Times New Roman" w:hAnsi="Times New Roman"/>
          <w:sz w:val="24"/>
          <w:szCs w:val="24"/>
          <w:shd w:val="clear" w:color="auto" w:fill="FFFFFF"/>
        </w:rPr>
        <w:t xml:space="preserve"> влияние на реализацию продукции </w:t>
      </w:r>
      <w:r>
        <w:rPr>
          <w:rFonts w:ascii="Times New Roman" w:hAnsi="Times New Roman"/>
          <w:sz w:val="24"/>
          <w:szCs w:val="24"/>
          <w:shd w:val="clear" w:color="auto" w:fill="FFFFFF"/>
        </w:rPr>
        <w:t xml:space="preserve">как на </w:t>
      </w:r>
      <w:r w:rsidRPr="00433103">
        <w:rPr>
          <w:rFonts w:ascii="Times New Roman" w:hAnsi="Times New Roman"/>
          <w:sz w:val="24"/>
          <w:szCs w:val="24"/>
          <w:shd w:val="clear" w:color="auto" w:fill="FFFFFF"/>
        </w:rPr>
        <w:t>внутреннем</w:t>
      </w:r>
      <w:r>
        <w:rPr>
          <w:rFonts w:ascii="Times New Roman" w:hAnsi="Times New Roman"/>
          <w:sz w:val="24"/>
          <w:szCs w:val="24"/>
          <w:shd w:val="clear" w:color="auto" w:fill="FFFFFF"/>
        </w:rPr>
        <w:t>,</w:t>
      </w:r>
      <w:r w:rsidRPr="00433103">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так </w:t>
      </w:r>
      <w:r w:rsidRPr="00433103">
        <w:rPr>
          <w:rFonts w:ascii="Times New Roman" w:hAnsi="Times New Roman"/>
          <w:sz w:val="24"/>
          <w:szCs w:val="24"/>
          <w:shd w:val="clear" w:color="auto" w:fill="FFFFFF"/>
        </w:rPr>
        <w:t>и на внешнем рынках</w:t>
      </w:r>
      <w:r w:rsidRPr="00433103">
        <w:rPr>
          <w:rFonts w:ascii="Times New Roman" w:hAnsi="Times New Roman"/>
          <w:sz w:val="24"/>
          <w:szCs w:val="24"/>
        </w:rPr>
        <w:t>.</w:t>
      </w:r>
    </w:p>
    <w:p w:rsidR="00E34E0C" w:rsidRPr="003E5EF7" w:rsidRDefault="00E34E0C" w:rsidP="00E34E0C">
      <w:pPr>
        <w:spacing w:after="0" w:line="240" w:lineRule="auto"/>
        <w:ind w:firstLine="709"/>
        <w:jc w:val="both"/>
        <w:rPr>
          <w:rFonts w:ascii="Times New Roman" w:hAnsi="Times New Roman"/>
          <w:snapToGrid w:val="0"/>
          <w:sz w:val="24"/>
          <w:szCs w:val="24"/>
        </w:rPr>
      </w:pPr>
      <w:r w:rsidRPr="0080737A">
        <w:rPr>
          <w:rFonts w:ascii="Times New Roman" w:hAnsi="Times New Roman"/>
          <w:sz w:val="24"/>
          <w:szCs w:val="24"/>
        </w:rPr>
        <w:t>В складывающ</w:t>
      </w:r>
      <w:r>
        <w:rPr>
          <w:rFonts w:ascii="Times New Roman" w:hAnsi="Times New Roman"/>
          <w:sz w:val="24"/>
          <w:szCs w:val="24"/>
        </w:rPr>
        <w:t>их</w:t>
      </w:r>
      <w:r w:rsidRPr="0080737A">
        <w:rPr>
          <w:rFonts w:ascii="Times New Roman" w:hAnsi="Times New Roman"/>
          <w:sz w:val="24"/>
          <w:szCs w:val="24"/>
        </w:rPr>
        <w:t xml:space="preserve">ся </w:t>
      </w:r>
      <w:r>
        <w:rPr>
          <w:rFonts w:ascii="Times New Roman" w:hAnsi="Times New Roman"/>
          <w:sz w:val="24"/>
          <w:szCs w:val="24"/>
        </w:rPr>
        <w:t>условиях</w:t>
      </w:r>
      <w:r w:rsidRPr="0080737A">
        <w:rPr>
          <w:rFonts w:ascii="Times New Roman" w:hAnsi="Times New Roman"/>
          <w:sz w:val="24"/>
          <w:szCs w:val="24"/>
        </w:rPr>
        <w:t xml:space="preserve"> товарный выпуск промышленных предприятий (без учета субъектов малого предпринимательства) </w:t>
      </w:r>
      <w:r>
        <w:rPr>
          <w:rFonts w:ascii="Times New Roman" w:hAnsi="Times New Roman"/>
          <w:sz w:val="24"/>
          <w:szCs w:val="24"/>
        </w:rPr>
        <w:t>по итогам</w:t>
      </w:r>
      <w:r w:rsidRPr="00433103">
        <w:rPr>
          <w:rFonts w:ascii="Times New Roman" w:hAnsi="Times New Roman"/>
          <w:sz w:val="24"/>
          <w:szCs w:val="24"/>
        </w:rPr>
        <w:t xml:space="preserve"> </w:t>
      </w:r>
      <w:r w:rsidRPr="00433103">
        <w:rPr>
          <w:rFonts w:ascii="Times New Roman" w:hAnsi="Times New Roman"/>
          <w:snapToGrid w:val="0"/>
          <w:sz w:val="24"/>
          <w:szCs w:val="24"/>
        </w:rPr>
        <w:t xml:space="preserve">2016 года </w:t>
      </w:r>
      <w:r w:rsidRPr="0080737A">
        <w:rPr>
          <w:rFonts w:ascii="Times New Roman" w:hAnsi="Times New Roman"/>
          <w:sz w:val="24"/>
          <w:szCs w:val="24"/>
        </w:rPr>
        <w:t xml:space="preserve">составил </w:t>
      </w:r>
      <w:r>
        <w:rPr>
          <w:rFonts w:ascii="Times New Roman" w:hAnsi="Times New Roman"/>
          <w:sz w:val="24"/>
          <w:szCs w:val="24"/>
        </w:rPr>
        <w:t>8 516,2</w:t>
      </w:r>
      <w:r w:rsidR="00501504">
        <w:rPr>
          <w:rFonts w:ascii="Times New Roman" w:hAnsi="Times New Roman"/>
          <w:sz w:val="24"/>
          <w:szCs w:val="24"/>
        </w:rPr>
        <w:t> </w:t>
      </w:r>
      <w:r w:rsidRPr="0080737A">
        <w:rPr>
          <w:rFonts w:ascii="Times New Roman" w:hAnsi="Times New Roman"/>
          <w:sz w:val="24"/>
          <w:szCs w:val="24"/>
        </w:rPr>
        <w:t>млн.</w:t>
      </w:r>
      <w:r w:rsidR="00501504">
        <w:rPr>
          <w:rFonts w:ascii="Times New Roman" w:hAnsi="Times New Roman"/>
          <w:sz w:val="24"/>
          <w:szCs w:val="24"/>
        </w:rPr>
        <w:t> </w:t>
      </w:r>
      <w:r w:rsidRPr="0080737A">
        <w:rPr>
          <w:rFonts w:ascii="Times New Roman" w:hAnsi="Times New Roman"/>
          <w:sz w:val="24"/>
          <w:szCs w:val="24"/>
        </w:rPr>
        <w:t xml:space="preserve">руб. (в сопоставимых ценах), что </w:t>
      </w:r>
      <w:r>
        <w:rPr>
          <w:rFonts w:ascii="Times New Roman" w:hAnsi="Times New Roman"/>
          <w:sz w:val="24"/>
          <w:szCs w:val="24"/>
        </w:rPr>
        <w:t>на 5,7% ниже базового показателя 2015</w:t>
      </w:r>
      <w:r w:rsidR="00501504">
        <w:rPr>
          <w:rFonts w:ascii="Times New Roman" w:hAnsi="Times New Roman"/>
          <w:sz w:val="24"/>
          <w:szCs w:val="24"/>
        </w:rPr>
        <w:t> </w:t>
      </w:r>
      <w:r>
        <w:rPr>
          <w:rFonts w:ascii="Times New Roman" w:hAnsi="Times New Roman"/>
          <w:sz w:val="24"/>
          <w:szCs w:val="24"/>
        </w:rPr>
        <w:t xml:space="preserve">года. </w:t>
      </w:r>
      <w:r w:rsidRPr="0080737A">
        <w:rPr>
          <w:rFonts w:ascii="Times New Roman" w:hAnsi="Times New Roman"/>
          <w:sz w:val="24"/>
          <w:szCs w:val="24"/>
        </w:rPr>
        <w:t xml:space="preserve">Однако с учетом падения </w:t>
      </w:r>
      <w:r w:rsidRPr="001136BD">
        <w:rPr>
          <w:rFonts w:ascii="Times New Roman" w:hAnsi="Times New Roman"/>
          <w:sz w:val="24"/>
          <w:szCs w:val="24"/>
        </w:rPr>
        <w:t>текущих цен</w:t>
      </w:r>
      <w:r w:rsidRPr="0080737A">
        <w:rPr>
          <w:rFonts w:ascii="Times New Roman" w:hAnsi="Times New Roman"/>
          <w:sz w:val="24"/>
          <w:szCs w:val="24"/>
        </w:rPr>
        <w:t xml:space="preserve"> по отдельным позициям товарной номенклатуры, объем продукции в текущих ценах снизился на </w:t>
      </w:r>
      <w:r>
        <w:rPr>
          <w:rFonts w:ascii="Times New Roman" w:hAnsi="Times New Roman"/>
          <w:sz w:val="24"/>
          <w:szCs w:val="24"/>
        </w:rPr>
        <w:t>10,5</w:t>
      </w:r>
      <w:r w:rsidRPr="0080737A">
        <w:rPr>
          <w:rFonts w:ascii="Times New Roman" w:hAnsi="Times New Roman"/>
          <w:sz w:val="24"/>
          <w:szCs w:val="24"/>
        </w:rPr>
        <w:t>% по отношению к базовому уровню 2015 года</w:t>
      </w:r>
      <w:r>
        <w:rPr>
          <w:rFonts w:ascii="Times New Roman" w:hAnsi="Times New Roman"/>
          <w:sz w:val="24"/>
          <w:szCs w:val="24"/>
        </w:rPr>
        <w:t xml:space="preserve">. </w:t>
      </w:r>
      <w:r w:rsidRPr="005816E1">
        <w:rPr>
          <w:rFonts w:ascii="Times New Roman" w:hAnsi="Times New Roman"/>
          <w:sz w:val="24"/>
          <w:szCs w:val="24"/>
        </w:rPr>
        <w:t xml:space="preserve">Доход от реализации промышленной продукции в </w:t>
      </w:r>
      <w:r>
        <w:rPr>
          <w:rFonts w:ascii="Times New Roman" w:hAnsi="Times New Roman"/>
          <w:sz w:val="24"/>
          <w:szCs w:val="24"/>
        </w:rPr>
        <w:t>2016 году</w:t>
      </w:r>
      <w:r w:rsidRPr="005816E1">
        <w:rPr>
          <w:rFonts w:ascii="Times New Roman" w:hAnsi="Times New Roman"/>
          <w:sz w:val="24"/>
          <w:szCs w:val="24"/>
        </w:rPr>
        <w:t xml:space="preserve"> </w:t>
      </w:r>
      <w:r>
        <w:rPr>
          <w:rFonts w:ascii="Times New Roman" w:hAnsi="Times New Roman"/>
          <w:sz w:val="24"/>
          <w:szCs w:val="24"/>
        </w:rPr>
        <w:t xml:space="preserve">составил </w:t>
      </w:r>
      <w:r w:rsidR="00174F9C">
        <w:rPr>
          <w:rFonts w:ascii="Times New Roman" w:hAnsi="Times New Roman"/>
          <w:sz w:val="24"/>
          <w:szCs w:val="24"/>
        </w:rPr>
        <w:br/>
      </w:r>
      <w:r w:rsidRPr="005816E1">
        <w:rPr>
          <w:rFonts w:ascii="Times New Roman" w:hAnsi="Times New Roman"/>
          <w:sz w:val="24"/>
          <w:szCs w:val="24"/>
        </w:rPr>
        <w:t>7</w:t>
      </w:r>
      <w:r>
        <w:rPr>
          <w:rFonts w:ascii="Times New Roman" w:hAnsi="Times New Roman"/>
          <w:sz w:val="24"/>
          <w:szCs w:val="24"/>
        </w:rPr>
        <w:t> </w:t>
      </w:r>
      <w:r w:rsidRPr="005816E1">
        <w:rPr>
          <w:rFonts w:ascii="Times New Roman" w:hAnsi="Times New Roman"/>
          <w:sz w:val="24"/>
          <w:szCs w:val="24"/>
        </w:rPr>
        <w:t>7</w:t>
      </w:r>
      <w:r>
        <w:rPr>
          <w:rFonts w:ascii="Times New Roman" w:hAnsi="Times New Roman"/>
          <w:sz w:val="24"/>
          <w:szCs w:val="24"/>
        </w:rPr>
        <w:t>71,6</w:t>
      </w:r>
      <w:r w:rsidRPr="005816E1">
        <w:rPr>
          <w:rFonts w:ascii="Times New Roman" w:hAnsi="Times New Roman"/>
          <w:sz w:val="24"/>
          <w:szCs w:val="24"/>
        </w:rPr>
        <w:t xml:space="preserve"> млн. руб. или 690,</w:t>
      </w:r>
      <w:r>
        <w:rPr>
          <w:rFonts w:ascii="Times New Roman" w:hAnsi="Times New Roman"/>
          <w:sz w:val="24"/>
          <w:szCs w:val="24"/>
        </w:rPr>
        <w:t>3</w:t>
      </w:r>
      <w:r w:rsidRPr="005816E1">
        <w:rPr>
          <w:rFonts w:ascii="Times New Roman" w:hAnsi="Times New Roman"/>
          <w:sz w:val="24"/>
          <w:szCs w:val="24"/>
        </w:rPr>
        <w:t xml:space="preserve"> млн. долл.</w:t>
      </w:r>
      <w:r>
        <w:rPr>
          <w:rFonts w:ascii="Times New Roman" w:hAnsi="Times New Roman"/>
          <w:sz w:val="24"/>
          <w:szCs w:val="24"/>
        </w:rPr>
        <w:t xml:space="preserve">, сложившись </w:t>
      </w:r>
      <w:r w:rsidRPr="005816E1">
        <w:rPr>
          <w:rFonts w:ascii="Times New Roman" w:hAnsi="Times New Roman"/>
          <w:sz w:val="24"/>
          <w:szCs w:val="24"/>
        </w:rPr>
        <w:t>ниже сопоставимого значения 2015 года на 12,1%</w:t>
      </w:r>
      <w:r>
        <w:rPr>
          <w:rFonts w:ascii="Times New Roman" w:hAnsi="Times New Roman"/>
          <w:sz w:val="24"/>
          <w:szCs w:val="24"/>
        </w:rPr>
        <w:t>.</w:t>
      </w:r>
      <w:r w:rsidRPr="005816E1">
        <w:rPr>
          <w:rFonts w:ascii="Times New Roman" w:hAnsi="Times New Roman"/>
          <w:sz w:val="24"/>
          <w:szCs w:val="24"/>
        </w:rPr>
        <w:t xml:space="preserve"> </w:t>
      </w:r>
    </w:p>
    <w:p w:rsidR="00E34E0C" w:rsidRPr="00433103" w:rsidRDefault="00E34E0C" w:rsidP="00E34E0C">
      <w:pPr>
        <w:spacing w:after="0" w:line="240" w:lineRule="auto"/>
        <w:ind w:firstLine="709"/>
        <w:contextualSpacing/>
        <w:jc w:val="both"/>
        <w:rPr>
          <w:rFonts w:ascii="Times New Roman" w:hAnsi="Times New Roman"/>
          <w:sz w:val="24"/>
          <w:szCs w:val="24"/>
        </w:rPr>
      </w:pPr>
      <w:r w:rsidRPr="00433103">
        <w:rPr>
          <w:rFonts w:ascii="Times New Roman" w:hAnsi="Times New Roman"/>
          <w:sz w:val="24"/>
          <w:szCs w:val="24"/>
        </w:rPr>
        <w:t xml:space="preserve">В разрезе </w:t>
      </w:r>
      <w:r>
        <w:rPr>
          <w:rFonts w:ascii="Times New Roman" w:hAnsi="Times New Roman"/>
          <w:sz w:val="24"/>
          <w:szCs w:val="24"/>
        </w:rPr>
        <w:t>под</w:t>
      </w:r>
      <w:r w:rsidRPr="00433103">
        <w:rPr>
          <w:rFonts w:ascii="Times New Roman" w:hAnsi="Times New Roman"/>
          <w:sz w:val="24"/>
          <w:szCs w:val="24"/>
        </w:rPr>
        <w:t>отраслей динамика промышленного производства в 2016 год</w:t>
      </w:r>
      <w:r>
        <w:rPr>
          <w:rFonts w:ascii="Times New Roman" w:hAnsi="Times New Roman"/>
          <w:sz w:val="24"/>
          <w:szCs w:val="24"/>
        </w:rPr>
        <w:t>у</w:t>
      </w:r>
      <w:r w:rsidRPr="00433103">
        <w:rPr>
          <w:rFonts w:ascii="Times New Roman" w:hAnsi="Times New Roman"/>
          <w:sz w:val="24"/>
          <w:szCs w:val="24"/>
        </w:rPr>
        <w:t xml:space="preserve"> по отношению к базовому показателю 2015 года выглядит следующим образом:</w:t>
      </w:r>
    </w:p>
    <w:p w:rsidR="00E34E0C" w:rsidRDefault="00E34E0C" w:rsidP="00E34E0C">
      <w:pPr>
        <w:spacing w:after="0" w:line="240" w:lineRule="auto"/>
        <w:jc w:val="both"/>
        <w:rPr>
          <w:rFonts w:ascii="Times New Roman" w:hAnsi="Times New Roman"/>
          <w:b/>
        </w:rPr>
      </w:pPr>
      <w:r w:rsidRPr="00B96BF2">
        <w:rPr>
          <w:rFonts w:ascii="Times New Roman" w:hAnsi="Times New Roman"/>
          <w:b/>
          <w:noProof/>
        </w:rPr>
        <w:drawing>
          <wp:inline distT="0" distB="0" distL="0" distR="0">
            <wp:extent cx="5940425" cy="2857500"/>
            <wp:effectExtent l="19050" t="0" r="41275" b="0"/>
            <wp:docPr id="1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34E0C" w:rsidRDefault="00E34E0C" w:rsidP="00E34E0C">
      <w:pPr>
        <w:pStyle w:val="3"/>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На фоне низких базовых показателей 2015 года положительную динамику демонстрировали такие отрасли промышленности, как </w:t>
      </w:r>
      <w:r w:rsidRPr="007A4FF9">
        <w:rPr>
          <w:rFonts w:ascii="Times New Roman" w:hAnsi="Times New Roman"/>
          <w:sz w:val="24"/>
          <w:szCs w:val="24"/>
        </w:rPr>
        <w:t>химическая промышленность (</w:t>
      </w:r>
      <w:r>
        <w:rPr>
          <w:rFonts w:ascii="Times New Roman" w:hAnsi="Times New Roman"/>
          <w:sz w:val="24"/>
          <w:szCs w:val="24"/>
        </w:rPr>
        <w:t>138,9</w:t>
      </w:r>
      <w:r w:rsidRPr="007A4FF9">
        <w:rPr>
          <w:rFonts w:ascii="Times New Roman" w:hAnsi="Times New Roman"/>
          <w:sz w:val="24"/>
          <w:szCs w:val="24"/>
        </w:rPr>
        <w:t>%),</w:t>
      </w:r>
      <w:r w:rsidRPr="0053503A">
        <w:rPr>
          <w:rFonts w:ascii="Times New Roman" w:hAnsi="Times New Roman"/>
          <w:sz w:val="24"/>
          <w:szCs w:val="24"/>
        </w:rPr>
        <w:t xml:space="preserve"> </w:t>
      </w:r>
      <w:r>
        <w:rPr>
          <w:rFonts w:ascii="Times New Roman" w:hAnsi="Times New Roman"/>
          <w:sz w:val="24"/>
          <w:szCs w:val="24"/>
        </w:rPr>
        <w:t xml:space="preserve">машиностроение и металлообработка (104,8%), </w:t>
      </w:r>
      <w:r w:rsidRPr="007A4FF9">
        <w:rPr>
          <w:rFonts w:ascii="Times New Roman" w:hAnsi="Times New Roman"/>
          <w:sz w:val="24"/>
          <w:szCs w:val="24"/>
        </w:rPr>
        <w:t>промышленн</w:t>
      </w:r>
      <w:r>
        <w:rPr>
          <w:rFonts w:ascii="Times New Roman" w:hAnsi="Times New Roman"/>
          <w:sz w:val="24"/>
          <w:szCs w:val="24"/>
        </w:rPr>
        <w:t>ость</w:t>
      </w:r>
      <w:r w:rsidRPr="007A4FF9">
        <w:rPr>
          <w:rFonts w:ascii="Times New Roman" w:hAnsi="Times New Roman"/>
          <w:sz w:val="24"/>
          <w:szCs w:val="24"/>
        </w:rPr>
        <w:t xml:space="preserve"> строительных материалов (</w:t>
      </w:r>
      <w:r>
        <w:rPr>
          <w:rFonts w:ascii="Times New Roman" w:hAnsi="Times New Roman"/>
          <w:sz w:val="24"/>
          <w:szCs w:val="24"/>
        </w:rPr>
        <w:t>121,2</w:t>
      </w:r>
      <w:r w:rsidRPr="007A4FF9">
        <w:rPr>
          <w:rFonts w:ascii="Times New Roman" w:hAnsi="Times New Roman"/>
          <w:sz w:val="24"/>
          <w:szCs w:val="24"/>
        </w:rPr>
        <w:t>%),</w:t>
      </w:r>
      <w:r w:rsidRPr="0053503A">
        <w:rPr>
          <w:rFonts w:ascii="Times New Roman" w:hAnsi="Times New Roman"/>
          <w:sz w:val="24"/>
          <w:szCs w:val="24"/>
        </w:rPr>
        <w:t xml:space="preserve"> </w:t>
      </w:r>
      <w:r w:rsidRPr="007A4FF9">
        <w:rPr>
          <w:rFonts w:ascii="Times New Roman" w:hAnsi="Times New Roman"/>
          <w:sz w:val="24"/>
          <w:szCs w:val="24"/>
        </w:rPr>
        <w:t>легкая промышленность (</w:t>
      </w:r>
      <w:r>
        <w:rPr>
          <w:rFonts w:ascii="Times New Roman" w:hAnsi="Times New Roman"/>
          <w:sz w:val="24"/>
          <w:szCs w:val="24"/>
        </w:rPr>
        <w:t>110,4</w:t>
      </w:r>
      <w:r w:rsidRPr="007A4FF9">
        <w:rPr>
          <w:rFonts w:ascii="Times New Roman" w:hAnsi="Times New Roman"/>
          <w:sz w:val="24"/>
          <w:szCs w:val="24"/>
        </w:rPr>
        <w:t>%),</w:t>
      </w:r>
      <w:r w:rsidRPr="0053503A">
        <w:rPr>
          <w:rFonts w:ascii="Times New Roman" w:hAnsi="Times New Roman"/>
          <w:sz w:val="24"/>
          <w:szCs w:val="24"/>
        </w:rPr>
        <w:t xml:space="preserve"> </w:t>
      </w:r>
      <w:r w:rsidRPr="007A4FF9">
        <w:rPr>
          <w:rFonts w:ascii="Times New Roman" w:hAnsi="Times New Roman"/>
          <w:sz w:val="24"/>
          <w:szCs w:val="24"/>
        </w:rPr>
        <w:t>пищевая промышленность (</w:t>
      </w:r>
      <w:r>
        <w:rPr>
          <w:rFonts w:ascii="Times New Roman" w:hAnsi="Times New Roman"/>
          <w:sz w:val="24"/>
          <w:szCs w:val="24"/>
        </w:rPr>
        <w:t>104,1</w:t>
      </w:r>
      <w:r w:rsidRPr="007A4FF9">
        <w:rPr>
          <w:rFonts w:ascii="Times New Roman" w:hAnsi="Times New Roman"/>
          <w:sz w:val="24"/>
          <w:szCs w:val="24"/>
        </w:rPr>
        <w:t>%)</w:t>
      </w:r>
      <w:r>
        <w:rPr>
          <w:rFonts w:ascii="Times New Roman" w:hAnsi="Times New Roman"/>
          <w:sz w:val="24"/>
          <w:szCs w:val="24"/>
        </w:rPr>
        <w:t>.</w:t>
      </w:r>
    </w:p>
    <w:p w:rsidR="00E34E0C" w:rsidRDefault="00E34E0C" w:rsidP="00E34E0C">
      <w:pPr>
        <w:spacing w:after="0" w:line="240" w:lineRule="auto"/>
        <w:ind w:firstLine="709"/>
        <w:jc w:val="both"/>
        <w:rPr>
          <w:rFonts w:ascii="Times New Roman" w:hAnsi="Times New Roman"/>
          <w:sz w:val="24"/>
          <w:szCs w:val="24"/>
        </w:rPr>
      </w:pPr>
      <w:r w:rsidRPr="00003119">
        <w:rPr>
          <w:rFonts w:ascii="Times New Roman" w:hAnsi="Times New Roman"/>
          <w:sz w:val="24"/>
          <w:szCs w:val="24"/>
        </w:rPr>
        <w:t xml:space="preserve">Однако в условиях неблагоприятной экономической конъюнктурной ситуации на мировых рынках, </w:t>
      </w:r>
      <w:r w:rsidRPr="009248E8">
        <w:rPr>
          <w:rFonts w:ascii="Times New Roman" w:hAnsi="Times New Roman"/>
          <w:color w:val="262626"/>
          <w:sz w:val="24"/>
          <w:szCs w:val="24"/>
          <w:shd w:val="clear" w:color="auto" w:fill="FFFFFF"/>
        </w:rPr>
        <w:t xml:space="preserve">на фоне </w:t>
      </w:r>
      <w:r w:rsidRPr="009248E8">
        <w:rPr>
          <w:rFonts w:ascii="Times New Roman" w:hAnsi="Times New Roman"/>
          <w:sz w:val="24"/>
          <w:szCs w:val="24"/>
        </w:rPr>
        <w:t xml:space="preserve">недостатка собственных оборотных средств и сложности в привлечении заемных ресурсов </w:t>
      </w:r>
      <w:r>
        <w:rPr>
          <w:rFonts w:ascii="Times New Roman" w:hAnsi="Times New Roman"/>
          <w:sz w:val="24"/>
          <w:szCs w:val="24"/>
        </w:rPr>
        <w:t xml:space="preserve">большинству </w:t>
      </w:r>
      <w:r w:rsidRPr="00003119">
        <w:rPr>
          <w:rFonts w:ascii="Times New Roman" w:hAnsi="Times New Roman"/>
          <w:sz w:val="24"/>
          <w:szCs w:val="24"/>
        </w:rPr>
        <w:t>хозяйствующи</w:t>
      </w:r>
      <w:r>
        <w:rPr>
          <w:rFonts w:ascii="Times New Roman" w:hAnsi="Times New Roman"/>
          <w:sz w:val="24"/>
          <w:szCs w:val="24"/>
        </w:rPr>
        <w:t>х</w:t>
      </w:r>
      <w:r w:rsidRPr="00003119">
        <w:rPr>
          <w:rFonts w:ascii="Times New Roman" w:hAnsi="Times New Roman"/>
          <w:sz w:val="24"/>
          <w:szCs w:val="24"/>
        </w:rPr>
        <w:t xml:space="preserve"> субъект</w:t>
      </w:r>
      <w:r>
        <w:rPr>
          <w:rFonts w:ascii="Times New Roman" w:hAnsi="Times New Roman"/>
          <w:sz w:val="24"/>
          <w:szCs w:val="24"/>
        </w:rPr>
        <w:t>ам не удалось достичь базисных параметров 2015 года. Так, о</w:t>
      </w:r>
      <w:r w:rsidRPr="007815D6">
        <w:rPr>
          <w:rFonts w:ascii="Times New Roman" w:hAnsi="Times New Roman"/>
          <w:sz w:val="24"/>
          <w:szCs w:val="24"/>
        </w:rPr>
        <w:t xml:space="preserve">трицательная динамика промышленного производства </w:t>
      </w:r>
      <w:r>
        <w:rPr>
          <w:rFonts w:ascii="Times New Roman" w:hAnsi="Times New Roman"/>
          <w:sz w:val="24"/>
          <w:szCs w:val="24"/>
        </w:rPr>
        <w:t xml:space="preserve">по итогам 2016 года </w:t>
      </w:r>
      <w:r w:rsidRPr="007A4FF9">
        <w:rPr>
          <w:rFonts w:ascii="Times New Roman" w:hAnsi="Times New Roman"/>
          <w:sz w:val="24"/>
          <w:szCs w:val="24"/>
        </w:rPr>
        <w:t xml:space="preserve">отмечена в таких отраслях промышленности, как </w:t>
      </w:r>
      <w:r>
        <w:rPr>
          <w:rFonts w:ascii="Times New Roman" w:hAnsi="Times New Roman"/>
          <w:sz w:val="24"/>
          <w:szCs w:val="24"/>
        </w:rPr>
        <w:t>электроэнергетика</w:t>
      </w:r>
      <w:r w:rsidR="0087075E">
        <w:rPr>
          <w:rFonts w:ascii="Times New Roman" w:hAnsi="Times New Roman"/>
          <w:sz w:val="24"/>
          <w:szCs w:val="24"/>
        </w:rPr>
        <w:t xml:space="preserve">           </w:t>
      </w:r>
      <w:r>
        <w:rPr>
          <w:rFonts w:ascii="Times New Roman" w:hAnsi="Times New Roman"/>
          <w:sz w:val="24"/>
          <w:szCs w:val="24"/>
        </w:rPr>
        <w:t xml:space="preserve"> (-2,5%), </w:t>
      </w:r>
      <w:r w:rsidRPr="007A4FF9">
        <w:rPr>
          <w:rFonts w:ascii="Times New Roman" w:hAnsi="Times New Roman"/>
          <w:sz w:val="24"/>
          <w:szCs w:val="24"/>
        </w:rPr>
        <w:t>черная металлургия (</w:t>
      </w:r>
      <w:r>
        <w:rPr>
          <w:rFonts w:ascii="Times New Roman" w:hAnsi="Times New Roman"/>
          <w:sz w:val="24"/>
          <w:szCs w:val="24"/>
        </w:rPr>
        <w:t>-29,4%)</w:t>
      </w:r>
      <w:r w:rsidRPr="007A4FF9">
        <w:rPr>
          <w:rFonts w:ascii="Times New Roman" w:hAnsi="Times New Roman"/>
          <w:sz w:val="24"/>
          <w:szCs w:val="24"/>
        </w:rPr>
        <w:t>,</w:t>
      </w:r>
      <w:r>
        <w:rPr>
          <w:rFonts w:ascii="Times New Roman" w:hAnsi="Times New Roman"/>
          <w:sz w:val="24"/>
          <w:szCs w:val="24"/>
        </w:rPr>
        <w:t xml:space="preserve"> </w:t>
      </w:r>
      <w:r w:rsidRPr="007A4FF9">
        <w:rPr>
          <w:rFonts w:ascii="Times New Roman" w:hAnsi="Times New Roman"/>
          <w:sz w:val="24"/>
          <w:szCs w:val="24"/>
        </w:rPr>
        <w:t>электротехническая промышленность (-</w:t>
      </w:r>
      <w:r>
        <w:rPr>
          <w:rFonts w:ascii="Times New Roman" w:hAnsi="Times New Roman"/>
          <w:sz w:val="24"/>
          <w:szCs w:val="24"/>
        </w:rPr>
        <w:t>14,1</w:t>
      </w:r>
      <w:r w:rsidRPr="007A4FF9">
        <w:rPr>
          <w:rFonts w:ascii="Times New Roman" w:hAnsi="Times New Roman"/>
          <w:sz w:val="24"/>
          <w:szCs w:val="24"/>
        </w:rPr>
        <w:t>%), лесная и деревообрабатывающая промышленность (-</w:t>
      </w:r>
      <w:r>
        <w:rPr>
          <w:rFonts w:ascii="Times New Roman" w:hAnsi="Times New Roman"/>
          <w:sz w:val="24"/>
          <w:szCs w:val="24"/>
        </w:rPr>
        <w:t>48,0</w:t>
      </w:r>
      <w:r w:rsidRPr="007A4FF9">
        <w:rPr>
          <w:rFonts w:ascii="Times New Roman" w:hAnsi="Times New Roman"/>
          <w:sz w:val="24"/>
          <w:szCs w:val="24"/>
        </w:rPr>
        <w:t>%)</w:t>
      </w:r>
      <w:r>
        <w:rPr>
          <w:rFonts w:ascii="Times New Roman" w:hAnsi="Times New Roman"/>
          <w:sz w:val="24"/>
          <w:szCs w:val="24"/>
        </w:rPr>
        <w:t>,</w:t>
      </w:r>
      <w:r w:rsidRPr="00003119">
        <w:rPr>
          <w:rFonts w:ascii="Times New Roman" w:hAnsi="Times New Roman"/>
          <w:sz w:val="24"/>
          <w:szCs w:val="24"/>
        </w:rPr>
        <w:t xml:space="preserve"> </w:t>
      </w:r>
      <w:r w:rsidRPr="007A4FF9">
        <w:rPr>
          <w:rFonts w:ascii="Times New Roman" w:hAnsi="Times New Roman"/>
          <w:sz w:val="24"/>
          <w:szCs w:val="24"/>
        </w:rPr>
        <w:t xml:space="preserve">мукомольно-крупяная </w:t>
      </w:r>
      <w:r>
        <w:rPr>
          <w:rFonts w:ascii="Times New Roman" w:hAnsi="Times New Roman"/>
          <w:sz w:val="24"/>
          <w:szCs w:val="24"/>
        </w:rPr>
        <w:t xml:space="preserve">и комбикормовая </w:t>
      </w:r>
      <w:r w:rsidRPr="007A4FF9">
        <w:rPr>
          <w:rFonts w:ascii="Times New Roman" w:hAnsi="Times New Roman"/>
          <w:sz w:val="24"/>
          <w:szCs w:val="24"/>
        </w:rPr>
        <w:t>промышленность (-</w:t>
      </w:r>
      <w:r>
        <w:rPr>
          <w:rFonts w:ascii="Times New Roman" w:hAnsi="Times New Roman"/>
          <w:sz w:val="24"/>
          <w:szCs w:val="24"/>
        </w:rPr>
        <w:t>14,3</w:t>
      </w:r>
      <w:r w:rsidRPr="007A4FF9">
        <w:rPr>
          <w:rFonts w:ascii="Times New Roman" w:hAnsi="Times New Roman"/>
          <w:sz w:val="24"/>
          <w:szCs w:val="24"/>
        </w:rPr>
        <w:t xml:space="preserve">%), </w:t>
      </w:r>
      <w:r>
        <w:rPr>
          <w:rFonts w:ascii="Times New Roman" w:hAnsi="Times New Roman"/>
          <w:sz w:val="24"/>
          <w:szCs w:val="24"/>
        </w:rPr>
        <w:t>полиграфия (-54,8%).</w:t>
      </w:r>
    </w:p>
    <w:p w:rsidR="00E34E0C" w:rsidRPr="006D245A" w:rsidRDefault="00E34E0C" w:rsidP="00E34E0C">
      <w:pPr>
        <w:spacing w:after="0" w:line="240" w:lineRule="auto"/>
        <w:ind w:firstLine="709"/>
        <w:jc w:val="both"/>
        <w:rPr>
          <w:rFonts w:ascii="Times New Roman" w:hAnsi="Times New Roman"/>
          <w:sz w:val="24"/>
          <w:szCs w:val="24"/>
        </w:rPr>
      </w:pPr>
      <w:r w:rsidRPr="006D245A">
        <w:rPr>
          <w:rFonts w:ascii="Times New Roman" w:hAnsi="Times New Roman"/>
          <w:sz w:val="24"/>
          <w:szCs w:val="24"/>
        </w:rPr>
        <w:lastRenderedPageBreak/>
        <w:t>В целом объем промышленного производства по полному кругу предприятий (с учетом субъектов малого предпринимательства, промышленных подразделений при непромышленных организациях) в 2016 году по оценке составил 8</w:t>
      </w:r>
      <w:r>
        <w:rPr>
          <w:rFonts w:ascii="Times New Roman" w:hAnsi="Times New Roman"/>
          <w:sz w:val="24"/>
          <w:szCs w:val="24"/>
        </w:rPr>
        <w:t> 573,3</w:t>
      </w:r>
      <w:r w:rsidRPr="006D245A">
        <w:rPr>
          <w:rFonts w:ascii="Times New Roman" w:hAnsi="Times New Roman"/>
          <w:sz w:val="24"/>
          <w:szCs w:val="24"/>
        </w:rPr>
        <w:t xml:space="preserve"> млн. руб. или </w:t>
      </w:r>
      <w:r>
        <w:rPr>
          <w:rFonts w:ascii="Times New Roman" w:hAnsi="Times New Roman"/>
          <w:sz w:val="24"/>
          <w:szCs w:val="24"/>
        </w:rPr>
        <w:t>90,1</w:t>
      </w:r>
      <w:r w:rsidRPr="006D245A">
        <w:rPr>
          <w:rFonts w:ascii="Times New Roman" w:hAnsi="Times New Roman"/>
          <w:sz w:val="24"/>
          <w:szCs w:val="24"/>
        </w:rPr>
        <w:t>% от уровня базового показателя 2015 года. При этом товарный выпуск в натуральном выражении (индекс физического объёма выпуска важнейших видов продукции) составил 94,</w:t>
      </w:r>
      <w:r>
        <w:rPr>
          <w:rFonts w:ascii="Times New Roman" w:hAnsi="Times New Roman"/>
          <w:sz w:val="24"/>
          <w:szCs w:val="24"/>
        </w:rPr>
        <w:t>2</w:t>
      </w:r>
      <w:r w:rsidRPr="006D245A">
        <w:rPr>
          <w:rFonts w:ascii="Times New Roman" w:hAnsi="Times New Roman"/>
          <w:sz w:val="24"/>
          <w:szCs w:val="24"/>
        </w:rPr>
        <w:t>% к уровню 2015 года.</w:t>
      </w:r>
    </w:p>
    <w:p w:rsidR="00E34E0C" w:rsidRDefault="00E34E0C" w:rsidP="00E34E0C">
      <w:pPr>
        <w:spacing w:after="0" w:line="240" w:lineRule="auto"/>
        <w:ind w:firstLine="709"/>
        <w:jc w:val="both"/>
        <w:rPr>
          <w:rFonts w:ascii="Times New Roman" w:hAnsi="Times New Roman"/>
          <w:sz w:val="24"/>
          <w:szCs w:val="24"/>
        </w:rPr>
      </w:pPr>
      <w:r w:rsidRPr="005816E1">
        <w:rPr>
          <w:rFonts w:ascii="Times New Roman" w:hAnsi="Times New Roman"/>
          <w:sz w:val="24"/>
          <w:szCs w:val="24"/>
        </w:rPr>
        <w:t xml:space="preserve">Таким образом, достигнутые значения показателей промышленного производства </w:t>
      </w:r>
      <w:r>
        <w:rPr>
          <w:rFonts w:ascii="Times New Roman" w:hAnsi="Times New Roman"/>
          <w:sz w:val="24"/>
          <w:szCs w:val="24"/>
        </w:rPr>
        <w:t xml:space="preserve">в 2016 году </w:t>
      </w:r>
      <w:r w:rsidRPr="005816E1">
        <w:rPr>
          <w:rFonts w:ascii="Times New Roman" w:hAnsi="Times New Roman"/>
          <w:sz w:val="24"/>
          <w:szCs w:val="24"/>
        </w:rPr>
        <w:t>отражают негативные тенденции</w:t>
      </w:r>
      <w:r>
        <w:rPr>
          <w:rFonts w:ascii="Times New Roman" w:hAnsi="Times New Roman"/>
          <w:sz w:val="24"/>
          <w:szCs w:val="24"/>
        </w:rPr>
        <w:t>,</w:t>
      </w:r>
      <w:r w:rsidRPr="005816E1">
        <w:rPr>
          <w:rFonts w:ascii="Times New Roman" w:hAnsi="Times New Roman"/>
          <w:sz w:val="24"/>
          <w:szCs w:val="24"/>
        </w:rPr>
        <w:t xml:space="preserve"> сложившиеся в экономике республики. Разновекторная динамика сырьевых и отпускных цен, защита внутреннего рынка некоторыми государствами, в совокупности с дисбалансом на валютном рынке Приднестровской Молдавской Республики оказыва</w:t>
      </w:r>
      <w:r>
        <w:rPr>
          <w:rFonts w:ascii="Times New Roman" w:hAnsi="Times New Roman"/>
          <w:sz w:val="24"/>
          <w:szCs w:val="24"/>
        </w:rPr>
        <w:t>ли</w:t>
      </w:r>
      <w:r w:rsidRPr="005816E1">
        <w:rPr>
          <w:rFonts w:ascii="Times New Roman" w:hAnsi="Times New Roman"/>
          <w:sz w:val="24"/>
          <w:szCs w:val="24"/>
        </w:rPr>
        <w:t xml:space="preserve"> </w:t>
      </w:r>
      <w:r>
        <w:rPr>
          <w:rFonts w:ascii="Times New Roman" w:hAnsi="Times New Roman"/>
          <w:sz w:val="24"/>
          <w:szCs w:val="24"/>
        </w:rPr>
        <w:t>дистабилизирующее</w:t>
      </w:r>
      <w:r w:rsidRPr="005816E1">
        <w:rPr>
          <w:rFonts w:ascii="Times New Roman" w:hAnsi="Times New Roman"/>
          <w:sz w:val="24"/>
          <w:szCs w:val="24"/>
        </w:rPr>
        <w:t xml:space="preserve"> </w:t>
      </w:r>
      <w:r>
        <w:rPr>
          <w:rFonts w:ascii="Times New Roman" w:hAnsi="Times New Roman"/>
          <w:sz w:val="24"/>
          <w:szCs w:val="24"/>
        </w:rPr>
        <w:t>воздействие</w:t>
      </w:r>
      <w:r w:rsidRPr="005816E1">
        <w:rPr>
          <w:rFonts w:ascii="Times New Roman" w:hAnsi="Times New Roman"/>
          <w:sz w:val="24"/>
          <w:szCs w:val="24"/>
        </w:rPr>
        <w:t xml:space="preserve"> на функционирование предприятий индустрии</w:t>
      </w:r>
      <w:r>
        <w:rPr>
          <w:rFonts w:ascii="Times New Roman" w:hAnsi="Times New Roman"/>
          <w:sz w:val="24"/>
          <w:szCs w:val="24"/>
        </w:rPr>
        <w:t>.</w:t>
      </w:r>
    </w:p>
    <w:p w:rsidR="00E34E0C" w:rsidRDefault="00E34E0C" w:rsidP="00E34E0C">
      <w:pPr>
        <w:spacing w:after="0" w:line="240" w:lineRule="auto"/>
        <w:ind w:firstLine="709"/>
        <w:jc w:val="both"/>
        <w:rPr>
          <w:rFonts w:ascii="Times New Roman" w:hAnsi="Times New Roman"/>
          <w:sz w:val="24"/>
          <w:szCs w:val="24"/>
        </w:rPr>
      </w:pPr>
    </w:p>
    <w:p w:rsidR="00E34E0C" w:rsidRPr="008C6CBE" w:rsidRDefault="00E34E0C" w:rsidP="00E34E0C">
      <w:pPr>
        <w:shd w:val="clear" w:color="auto" w:fill="FFFFFF"/>
        <w:spacing w:after="0" w:line="240" w:lineRule="auto"/>
        <w:ind w:firstLine="709"/>
        <w:jc w:val="both"/>
        <w:rPr>
          <w:rFonts w:ascii="Times New Roman" w:hAnsi="Times New Roman"/>
          <w:b/>
          <w:color w:val="000000"/>
          <w:sz w:val="24"/>
          <w:szCs w:val="24"/>
          <w:u w:val="single"/>
        </w:rPr>
      </w:pPr>
      <w:r w:rsidRPr="008C6CBE">
        <w:rPr>
          <w:rFonts w:ascii="Times New Roman" w:hAnsi="Times New Roman"/>
          <w:b/>
          <w:sz w:val="24"/>
          <w:szCs w:val="24"/>
          <w:u w:val="single"/>
        </w:rPr>
        <w:t>В</w:t>
      </w:r>
      <w:r w:rsidRPr="008C6CBE">
        <w:rPr>
          <w:rFonts w:ascii="Times New Roman" w:hAnsi="Times New Roman"/>
          <w:b/>
          <w:color w:val="000000"/>
          <w:sz w:val="24"/>
          <w:szCs w:val="24"/>
          <w:u w:val="single"/>
        </w:rPr>
        <w:t>нешнеэкономическая деятельность</w:t>
      </w:r>
    </w:p>
    <w:p w:rsidR="00E34E0C" w:rsidRDefault="00E34E0C" w:rsidP="00E34E0C">
      <w:pPr>
        <w:shd w:val="clear" w:color="auto" w:fill="FFFFFF"/>
        <w:spacing w:after="0" w:line="240" w:lineRule="auto"/>
        <w:ind w:firstLine="709"/>
        <w:jc w:val="both"/>
        <w:rPr>
          <w:rFonts w:ascii="Times New Roman" w:hAnsi="Times New Roman"/>
          <w:sz w:val="24"/>
          <w:szCs w:val="24"/>
        </w:rPr>
      </w:pPr>
    </w:p>
    <w:p w:rsidR="00E34E0C" w:rsidRDefault="00E34E0C" w:rsidP="00E34E0C">
      <w:pPr>
        <w:shd w:val="clear" w:color="auto" w:fill="FFFFFF"/>
        <w:spacing w:after="0" w:line="240" w:lineRule="auto"/>
        <w:ind w:firstLine="709"/>
        <w:jc w:val="both"/>
        <w:rPr>
          <w:rFonts w:ascii="Times New Roman" w:hAnsi="Times New Roman"/>
          <w:sz w:val="24"/>
          <w:szCs w:val="24"/>
        </w:rPr>
      </w:pPr>
      <w:r w:rsidRPr="00D52979">
        <w:rPr>
          <w:rFonts w:ascii="Times New Roman" w:hAnsi="Times New Roman"/>
          <w:sz w:val="24"/>
          <w:szCs w:val="24"/>
        </w:rPr>
        <w:t>Слабая</w:t>
      </w:r>
      <w:r w:rsidRPr="00DA4C0D">
        <w:rPr>
          <w:rFonts w:ascii="Times New Roman" w:hAnsi="Times New Roman"/>
          <w:sz w:val="24"/>
          <w:szCs w:val="24"/>
        </w:rPr>
        <w:t xml:space="preserve"> </w:t>
      </w:r>
      <w:r w:rsidRPr="00D52979">
        <w:rPr>
          <w:rFonts w:ascii="Times New Roman" w:hAnsi="Times New Roman"/>
          <w:sz w:val="24"/>
          <w:szCs w:val="24"/>
        </w:rPr>
        <w:t>экономическая</w:t>
      </w:r>
      <w:r w:rsidRPr="00DA4C0D">
        <w:rPr>
          <w:rFonts w:ascii="Times New Roman" w:hAnsi="Times New Roman"/>
          <w:sz w:val="24"/>
          <w:szCs w:val="24"/>
        </w:rPr>
        <w:t xml:space="preserve"> </w:t>
      </w:r>
      <w:r w:rsidRPr="00D52979">
        <w:rPr>
          <w:rFonts w:ascii="Times New Roman" w:hAnsi="Times New Roman"/>
          <w:sz w:val="24"/>
          <w:szCs w:val="24"/>
        </w:rPr>
        <w:t>активность</w:t>
      </w:r>
      <w:r w:rsidRPr="00DA4C0D">
        <w:rPr>
          <w:rFonts w:ascii="Times New Roman" w:hAnsi="Times New Roman"/>
          <w:sz w:val="24"/>
          <w:szCs w:val="24"/>
        </w:rPr>
        <w:t xml:space="preserve"> </w:t>
      </w:r>
      <w:r w:rsidRPr="00D52979">
        <w:rPr>
          <w:rFonts w:ascii="Times New Roman" w:hAnsi="Times New Roman"/>
          <w:sz w:val="24"/>
          <w:szCs w:val="24"/>
        </w:rPr>
        <w:t>резидентов</w:t>
      </w:r>
      <w:r w:rsidRPr="00DA4C0D">
        <w:rPr>
          <w:rFonts w:ascii="Times New Roman" w:hAnsi="Times New Roman"/>
          <w:sz w:val="24"/>
          <w:szCs w:val="24"/>
        </w:rPr>
        <w:t xml:space="preserve"> </w:t>
      </w:r>
      <w:r w:rsidRPr="00D52979">
        <w:rPr>
          <w:rFonts w:ascii="Times New Roman" w:hAnsi="Times New Roman"/>
          <w:sz w:val="24"/>
          <w:szCs w:val="24"/>
        </w:rPr>
        <w:t>республики</w:t>
      </w:r>
      <w:r w:rsidRPr="00DA4C0D">
        <w:rPr>
          <w:rFonts w:ascii="Times New Roman" w:hAnsi="Times New Roman"/>
          <w:sz w:val="24"/>
          <w:szCs w:val="24"/>
        </w:rPr>
        <w:t xml:space="preserve"> </w:t>
      </w:r>
      <w:r>
        <w:rPr>
          <w:rFonts w:ascii="Times New Roman" w:hAnsi="Times New Roman"/>
          <w:sz w:val="24"/>
          <w:szCs w:val="24"/>
        </w:rPr>
        <w:t xml:space="preserve">в 2016 году </w:t>
      </w:r>
      <w:r w:rsidRPr="00D52979">
        <w:rPr>
          <w:rFonts w:ascii="Times New Roman" w:hAnsi="Times New Roman"/>
          <w:sz w:val="24"/>
          <w:szCs w:val="24"/>
        </w:rPr>
        <w:t>в</w:t>
      </w:r>
      <w:r w:rsidRPr="00DA4C0D">
        <w:rPr>
          <w:rFonts w:ascii="Times New Roman" w:hAnsi="Times New Roman"/>
          <w:sz w:val="24"/>
          <w:szCs w:val="24"/>
        </w:rPr>
        <w:t xml:space="preserve"> </w:t>
      </w:r>
      <w:r w:rsidRPr="00D52979">
        <w:rPr>
          <w:rFonts w:ascii="Times New Roman" w:hAnsi="Times New Roman"/>
          <w:sz w:val="24"/>
          <w:szCs w:val="24"/>
        </w:rPr>
        <w:t>условиях</w:t>
      </w:r>
      <w:r w:rsidRPr="00DA4C0D">
        <w:rPr>
          <w:rFonts w:ascii="Times New Roman" w:hAnsi="Times New Roman"/>
          <w:sz w:val="24"/>
          <w:szCs w:val="24"/>
        </w:rPr>
        <w:t xml:space="preserve"> </w:t>
      </w:r>
      <w:r w:rsidRPr="00D52979">
        <w:rPr>
          <w:rFonts w:ascii="Times New Roman" w:hAnsi="Times New Roman"/>
          <w:sz w:val="24"/>
          <w:szCs w:val="24"/>
        </w:rPr>
        <w:t>негативной</w:t>
      </w:r>
      <w:r w:rsidRPr="00DA4C0D">
        <w:rPr>
          <w:rFonts w:ascii="Times New Roman" w:hAnsi="Times New Roman"/>
          <w:sz w:val="24"/>
          <w:szCs w:val="24"/>
        </w:rPr>
        <w:t xml:space="preserve"> </w:t>
      </w:r>
      <w:r w:rsidRPr="00D52979">
        <w:rPr>
          <w:rFonts w:ascii="Times New Roman" w:hAnsi="Times New Roman"/>
          <w:sz w:val="24"/>
          <w:szCs w:val="24"/>
        </w:rPr>
        <w:t>конъюнктуры</w:t>
      </w:r>
      <w:r w:rsidRPr="00DA4C0D">
        <w:rPr>
          <w:rFonts w:ascii="Times New Roman" w:hAnsi="Times New Roman"/>
          <w:sz w:val="24"/>
          <w:szCs w:val="24"/>
        </w:rPr>
        <w:t xml:space="preserve"> </w:t>
      </w:r>
      <w:r w:rsidRPr="00D52979">
        <w:rPr>
          <w:rFonts w:ascii="Times New Roman" w:hAnsi="Times New Roman"/>
          <w:sz w:val="24"/>
          <w:szCs w:val="24"/>
        </w:rPr>
        <w:t>на</w:t>
      </w:r>
      <w:r w:rsidRPr="00DA4C0D">
        <w:rPr>
          <w:rFonts w:ascii="Times New Roman" w:hAnsi="Times New Roman"/>
          <w:sz w:val="24"/>
          <w:szCs w:val="24"/>
        </w:rPr>
        <w:t xml:space="preserve"> </w:t>
      </w:r>
      <w:r w:rsidRPr="00D52979">
        <w:rPr>
          <w:rFonts w:ascii="Times New Roman" w:hAnsi="Times New Roman"/>
          <w:sz w:val="24"/>
          <w:szCs w:val="24"/>
        </w:rPr>
        <w:t>внешних</w:t>
      </w:r>
      <w:r w:rsidRPr="00DA4C0D">
        <w:rPr>
          <w:rFonts w:ascii="Times New Roman" w:hAnsi="Times New Roman"/>
          <w:sz w:val="24"/>
          <w:szCs w:val="24"/>
        </w:rPr>
        <w:t xml:space="preserve"> </w:t>
      </w:r>
      <w:r w:rsidRPr="00D52979">
        <w:rPr>
          <w:rFonts w:ascii="Times New Roman" w:hAnsi="Times New Roman"/>
          <w:sz w:val="24"/>
          <w:szCs w:val="24"/>
        </w:rPr>
        <w:t>рынках</w:t>
      </w:r>
      <w:r>
        <w:rPr>
          <w:rFonts w:ascii="Times New Roman" w:hAnsi="Times New Roman"/>
          <w:sz w:val="24"/>
          <w:szCs w:val="24"/>
        </w:rPr>
        <w:t>,</w:t>
      </w:r>
      <w:r w:rsidRPr="00DA4C0D">
        <w:rPr>
          <w:rFonts w:ascii="Times New Roman" w:hAnsi="Times New Roman"/>
          <w:sz w:val="24"/>
          <w:szCs w:val="24"/>
        </w:rPr>
        <w:t xml:space="preserve"> </w:t>
      </w:r>
      <w:r>
        <w:rPr>
          <w:rFonts w:ascii="Times New Roman" w:hAnsi="Times New Roman"/>
          <w:sz w:val="24"/>
          <w:szCs w:val="24"/>
        </w:rPr>
        <w:t>с</w:t>
      </w:r>
      <w:r w:rsidRPr="00D52979">
        <w:rPr>
          <w:rFonts w:ascii="Times New Roman" w:hAnsi="Times New Roman"/>
          <w:sz w:val="24"/>
          <w:szCs w:val="24"/>
        </w:rPr>
        <w:t>нижени</w:t>
      </w:r>
      <w:r>
        <w:rPr>
          <w:rFonts w:ascii="Times New Roman" w:hAnsi="Times New Roman"/>
          <w:sz w:val="24"/>
          <w:szCs w:val="24"/>
        </w:rPr>
        <w:t>я</w:t>
      </w:r>
      <w:r w:rsidRPr="00D52979">
        <w:rPr>
          <w:rFonts w:ascii="Times New Roman" w:hAnsi="Times New Roman"/>
          <w:sz w:val="24"/>
          <w:szCs w:val="24"/>
        </w:rPr>
        <w:t xml:space="preserve"> темпов роста мировой экономики, девальваци</w:t>
      </w:r>
      <w:r>
        <w:rPr>
          <w:rFonts w:ascii="Times New Roman" w:hAnsi="Times New Roman"/>
          <w:sz w:val="24"/>
          <w:szCs w:val="24"/>
        </w:rPr>
        <w:t>и</w:t>
      </w:r>
      <w:r w:rsidRPr="00D52979">
        <w:rPr>
          <w:rFonts w:ascii="Times New Roman" w:hAnsi="Times New Roman"/>
          <w:sz w:val="24"/>
          <w:szCs w:val="24"/>
        </w:rPr>
        <w:t xml:space="preserve"> национальных валют стран - основных торговых партнеров Приднестровья обострили кризисные явления в экономике</w:t>
      </w:r>
      <w:r>
        <w:rPr>
          <w:rFonts w:ascii="Times New Roman" w:hAnsi="Times New Roman"/>
          <w:sz w:val="24"/>
          <w:szCs w:val="24"/>
        </w:rPr>
        <w:t xml:space="preserve">, и </w:t>
      </w:r>
      <w:r w:rsidRPr="00D52979">
        <w:rPr>
          <w:rFonts w:ascii="Times New Roman" w:hAnsi="Times New Roman"/>
          <w:sz w:val="24"/>
          <w:szCs w:val="24"/>
        </w:rPr>
        <w:t>выразилась</w:t>
      </w:r>
      <w:r w:rsidRPr="00DA4C0D">
        <w:rPr>
          <w:rFonts w:ascii="Times New Roman" w:hAnsi="Times New Roman"/>
          <w:sz w:val="24"/>
          <w:szCs w:val="24"/>
        </w:rPr>
        <w:t xml:space="preserve"> </w:t>
      </w:r>
      <w:r w:rsidRPr="00D52979">
        <w:rPr>
          <w:rFonts w:ascii="Times New Roman" w:hAnsi="Times New Roman"/>
          <w:sz w:val="24"/>
          <w:szCs w:val="24"/>
        </w:rPr>
        <w:t>в</w:t>
      </w:r>
      <w:r w:rsidRPr="00DA4C0D">
        <w:rPr>
          <w:rFonts w:ascii="Times New Roman" w:hAnsi="Times New Roman"/>
          <w:sz w:val="24"/>
          <w:szCs w:val="24"/>
        </w:rPr>
        <w:t xml:space="preserve"> </w:t>
      </w:r>
      <w:r w:rsidRPr="00D52979">
        <w:rPr>
          <w:rFonts w:ascii="Times New Roman" w:hAnsi="Times New Roman"/>
          <w:sz w:val="24"/>
          <w:szCs w:val="24"/>
        </w:rPr>
        <w:t>падении</w:t>
      </w:r>
      <w:r w:rsidRPr="00DA4C0D">
        <w:rPr>
          <w:rFonts w:ascii="Times New Roman" w:hAnsi="Times New Roman"/>
          <w:sz w:val="24"/>
          <w:szCs w:val="24"/>
        </w:rPr>
        <w:t xml:space="preserve"> экспортных поставок на 13,2% до 530,4 млн. долл. </w:t>
      </w:r>
      <w:r>
        <w:rPr>
          <w:rFonts w:ascii="Times New Roman" w:hAnsi="Times New Roman"/>
          <w:sz w:val="24"/>
          <w:szCs w:val="24"/>
        </w:rPr>
        <w:t>и в сужении</w:t>
      </w:r>
      <w:r w:rsidRPr="00DA4C0D">
        <w:rPr>
          <w:rFonts w:ascii="Times New Roman" w:hAnsi="Times New Roman"/>
          <w:sz w:val="24"/>
          <w:szCs w:val="24"/>
        </w:rPr>
        <w:t xml:space="preserve"> объёмов импортируемых товаров</w:t>
      </w:r>
      <w:r>
        <w:rPr>
          <w:rFonts w:ascii="Times New Roman" w:hAnsi="Times New Roman"/>
          <w:sz w:val="24"/>
          <w:szCs w:val="24"/>
        </w:rPr>
        <w:t xml:space="preserve"> на 24,6% до          857,8 млн. долл.</w:t>
      </w:r>
      <w:r w:rsidRPr="00C96CD9">
        <w:rPr>
          <w:rFonts w:ascii="Times New Roman" w:hAnsi="Times New Roman"/>
          <w:sz w:val="24"/>
          <w:szCs w:val="24"/>
        </w:rPr>
        <w:t xml:space="preserve"> </w:t>
      </w:r>
      <w:r>
        <w:rPr>
          <w:rFonts w:ascii="Times New Roman" w:hAnsi="Times New Roman"/>
          <w:sz w:val="24"/>
          <w:szCs w:val="24"/>
        </w:rPr>
        <w:t>С</w:t>
      </w:r>
      <w:r w:rsidRPr="00C96CD9">
        <w:rPr>
          <w:rFonts w:ascii="Times New Roman" w:hAnsi="Times New Roman"/>
          <w:sz w:val="24"/>
          <w:szCs w:val="24"/>
        </w:rPr>
        <w:t xml:space="preserve">овокупный объем внешнеторгового оборота резидентов республики </w:t>
      </w:r>
      <w:r>
        <w:rPr>
          <w:rFonts w:ascii="Times New Roman" w:hAnsi="Times New Roman"/>
          <w:sz w:val="24"/>
          <w:szCs w:val="24"/>
        </w:rPr>
        <w:t xml:space="preserve">по итогам </w:t>
      </w:r>
      <w:r w:rsidRPr="00C96CD9">
        <w:rPr>
          <w:rFonts w:ascii="Times New Roman" w:hAnsi="Times New Roman"/>
          <w:sz w:val="24"/>
          <w:szCs w:val="24"/>
        </w:rPr>
        <w:t>201</w:t>
      </w:r>
      <w:r>
        <w:rPr>
          <w:rFonts w:ascii="Times New Roman" w:hAnsi="Times New Roman"/>
          <w:sz w:val="24"/>
          <w:szCs w:val="24"/>
        </w:rPr>
        <w:t>6</w:t>
      </w:r>
      <w:r w:rsidRPr="00C96CD9">
        <w:rPr>
          <w:rFonts w:ascii="Times New Roman" w:hAnsi="Times New Roman"/>
          <w:sz w:val="24"/>
          <w:szCs w:val="24"/>
        </w:rPr>
        <w:t xml:space="preserve"> года снизился на </w:t>
      </w:r>
      <w:r>
        <w:rPr>
          <w:rFonts w:ascii="Times New Roman" w:hAnsi="Times New Roman"/>
          <w:sz w:val="24"/>
          <w:szCs w:val="24"/>
        </w:rPr>
        <w:t>20,6</w:t>
      </w:r>
      <w:r w:rsidRPr="00C96CD9">
        <w:rPr>
          <w:rFonts w:ascii="Times New Roman" w:hAnsi="Times New Roman"/>
          <w:sz w:val="24"/>
          <w:szCs w:val="24"/>
        </w:rPr>
        <w:t>% до 1</w:t>
      </w:r>
      <w:r>
        <w:rPr>
          <w:rFonts w:ascii="Times New Roman" w:hAnsi="Times New Roman"/>
          <w:sz w:val="24"/>
          <w:szCs w:val="24"/>
        </w:rPr>
        <w:t> 388,2</w:t>
      </w:r>
      <w:r w:rsidRPr="00C96CD9">
        <w:rPr>
          <w:rFonts w:ascii="Times New Roman" w:hAnsi="Times New Roman"/>
          <w:sz w:val="24"/>
          <w:szCs w:val="24"/>
        </w:rPr>
        <w:t xml:space="preserve"> млн. долл. </w:t>
      </w:r>
    </w:p>
    <w:p w:rsidR="00E34E0C" w:rsidRPr="008E5079" w:rsidRDefault="00E34E0C" w:rsidP="00E34E0C">
      <w:pPr>
        <w:pStyle w:val="a3"/>
        <w:tabs>
          <w:tab w:val="left" w:pos="7920"/>
        </w:tabs>
        <w:jc w:val="center"/>
        <w:rPr>
          <w:b/>
          <w:sz w:val="10"/>
          <w:szCs w:val="10"/>
        </w:rPr>
      </w:pPr>
    </w:p>
    <w:p w:rsidR="00E34E0C" w:rsidRPr="00C96CD9" w:rsidRDefault="00E34E0C" w:rsidP="00E34E0C">
      <w:pPr>
        <w:pStyle w:val="a3"/>
        <w:tabs>
          <w:tab w:val="left" w:pos="7920"/>
        </w:tabs>
        <w:jc w:val="center"/>
        <w:rPr>
          <w:b/>
          <w:szCs w:val="24"/>
        </w:rPr>
      </w:pPr>
      <w:r w:rsidRPr="00C96CD9">
        <w:rPr>
          <w:b/>
          <w:szCs w:val="24"/>
        </w:rPr>
        <w:t xml:space="preserve">Динамика внешнеторгового оборота </w:t>
      </w:r>
    </w:p>
    <w:p w:rsidR="00E34E0C" w:rsidRDefault="00E34E0C" w:rsidP="00E34E0C">
      <w:pPr>
        <w:pStyle w:val="a3"/>
        <w:tabs>
          <w:tab w:val="left" w:pos="7920"/>
        </w:tabs>
        <w:jc w:val="center"/>
        <w:rPr>
          <w:b/>
          <w:szCs w:val="24"/>
        </w:rPr>
      </w:pPr>
      <w:r w:rsidRPr="00C96CD9">
        <w:rPr>
          <w:b/>
          <w:szCs w:val="24"/>
        </w:rPr>
        <w:t>в январе-</w:t>
      </w:r>
      <w:r>
        <w:rPr>
          <w:b/>
          <w:szCs w:val="24"/>
        </w:rPr>
        <w:t>декабре</w:t>
      </w:r>
      <w:r w:rsidRPr="00C96CD9">
        <w:rPr>
          <w:b/>
          <w:szCs w:val="24"/>
        </w:rPr>
        <w:t xml:space="preserve"> 2015 - 2016 г.г., млн. долл. США</w:t>
      </w:r>
    </w:p>
    <w:p w:rsidR="00E34E0C" w:rsidRDefault="00E34E0C" w:rsidP="00E34E0C">
      <w:pPr>
        <w:pStyle w:val="a3"/>
        <w:tabs>
          <w:tab w:val="left" w:pos="7920"/>
        </w:tabs>
        <w:jc w:val="center"/>
        <w:rPr>
          <w:b/>
          <w:sz w:val="12"/>
          <w:szCs w:val="12"/>
        </w:rPr>
      </w:pPr>
    </w:p>
    <w:p w:rsidR="00E34E0C" w:rsidRPr="0078705C" w:rsidRDefault="00E34E0C" w:rsidP="00E34E0C">
      <w:pPr>
        <w:pStyle w:val="a3"/>
        <w:tabs>
          <w:tab w:val="left" w:pos="7920"/>
        </w:tabs>
        <w:ind w:firstLine="0"/>
        <w:jc w:val="center"/>
        <w:rPr>
          <w:b/>
          <w:sz w:val="12"/>
          <w:szCs w:val="12"/>
        </w:rPr>
      </w:pPr>
      <w:r w:rsidRPr="00E17AC3">
        <w:rPr>
          <w:b/>
          <w:noProof/>
          <w:sz w:val="12"/>
          <w:szCs w:val="12"/>
        </w:rPr>
        <w:drawing>
          <wp:inline distT="0" distB="0" distL="0" distR="0">
            <wp:extent cx="6324600" cy="1752600"/>
            <wp:effectExtent l="0" t="0" r="0" b="0"/>
            <wp:docPr id="2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75873" w:rsidRPr="00F75873" w:rsidRDefault="00F75873" w:rsidP="00E34E0C">
      <w:pPr>
        <w:pStyle w:val="a3"/>
        <w:rPr>
          <w:sz w:val="10"/>
          <w:szCs w:val="10"/>
        </w:rPr>
      </w:pPr>
    </w:p>
    <w:p w:rsidR="00E34E0C" w:rsidRPr="00273435" w:rsidRDefault="00E34E0C" w:rsidP="00E34E0C">
      <w:pPr>
        <w:pStyle w:val="a3"/>
      </w:pPr>
      <w:r w:rsidRPr="00273435">
        <w:t>В товарной структуре экспорта в 2016 год</w:t>
      </w:r>
      <w:r>
        <w:t>у</w:t>
      </w:r>
      <w:r w:rsidRPr="00273435">
        <w:t xml:space="preserve"> лидирующую позицию при сокращении объем</w:t>
      </w:r>
      <w:r>
        <w:t>ных</w:t>
      </w:r>
      <w:r w:rsidRPr="00273435">
        <w:t xml:space="preserve"> поставок на </w:t>
      </w:r>
      <w:r>
        <w:t>17,6</w:t>
      </w:r>
      <w:r w:rsidRPr="00273435">
        <w:t>% сохраня</w:t>
      </w:r>
      <w:r>
        <w:t>ли</w:t>
      </w:r>
      <w:r w:rsidRPr="00273435">
        <w:t xml:space="preserve"> топливно-энергетические товары, их доля составила 35,</w:t>
      </w:r>
      <w:r>
        <w:t>3</w:t>
      </w:r>
      <w:r w:rsidRPr="00273435">
        <w:t>% от совокупного экспорта, сократив долевое участие в товарной структуре на 1,</w:t>
      </w:r>
      <w:r>
        <w:t>9</w:t>
      </w:r>
      <w:r w:rsidRPr="00273435">
        <w:t xml:space="preserve"> процентных пункта.</w:t>
      </w:r>
    </w:p>
    <w:p w:rsidR="00E34E0C" w:rsidRPr="0000692A" w:rsidRDefault="00E34E0C" w:rsidP="00E34E0C">
      <w:pPr>
        <w:pStyle w:val="a3"/>
      </w:pPr>
      <w:r w:rsidRPr="004B57B7">
        <w:t xml:space="preserve">Одну из ведущих позиций приднестровского экспорта занимают товары легкой промышленности (текстильные материалы, одежда, текстильные изделия, обувь). Объем реализации за рубеж данной товарной категории увеличился на </w:t>
      </w:r>
      <w:r>
        <w:t>4,8</w:t>
      </w:r>
      <w:r w:rsidRPr="004B57B7">
        <w:t xml:space="preserve">%, а долевое представительство в товарной структуре экспорта расширилось на 3,6 процентных пункта до 20,5%, преимущественно это произошло в результате увеличения продаж текстильных </w:t>
      </w:r>
      <w:r w:rsidRPr="0000692A">
        <w:t xml:space="preserve">материалов и одежды на </w:t>
      </w:r>
      <w:r>
        <w:t>14,3</w:t>
      </w:r>
      <w:r w:rsidRPr="0000692A">
        <w:t>% и 3</w:t>
      </w:r>
      <w:r>
        <w:t>4</w:t>
      </w:r>
      <w:r w:rsidRPr="0000692A">
        <w:t>,</w:t>
      </w:r>
      <w:r>
        <w:t>6</w:t>
      </w:r>
      <w:r w:rsidRPr="0000692A">
        <w:t>% соответственно.</w:t>
      </w:r>
    </w:p>
    <w:p w:rsidR="00E34E0C" w:rsidRDefault="00E34E0C" w:rsidP="00E34E0C">
      <w:pPr>
        <w:pStyle w:val="a3"/>
      </w:pPr>
      <w:r w:rsidRPr="0000692A">
        <w:t xml:space="preserve">Металлы и изделия из них сузили долевое </w:t>
      </w:r>
      <w:r>
        <w:t>участие</w:t>
      </w:r>
      <w:r w:rsidRPr="0000692A">
        <w:t xml:space="preserve"> в товарной структуре экспорта на 5,</w:t>
      </w:r>
      <w:r>
        <w:t>1</w:t>
      </w:r>
      <w:r w:rsidRPr="0000692A">
        <w:t xml:space="preserve"> процентных пункта до 16,</w:t>
      </w:r>
      <w:r>
        <w:t>2</w:t>
      </w:r>
      <w:r w:rsidRPr="0000692A">
        <w:t>%, в абсолютном выражении их величина сократилась на 34,</w:t>
      </w:r>
      <w:r>
        <w:t>3</w:t>
      </w:r>
      <w:r w:rsidRPr="0000692A">
        <w:t xml:space="preserve">% к уровню </w:t>
      </w:r>
      <w:r>
        <w:t xml:space="preserve">базового показателя </w:t>
      </w:r>
      <w:r w:rsidRPr="0000692A">
        <w:t>2015 года.</w:t>
      </w:r>
    </w:p>
    <w:p w:rsidR="00E34E0C" w:rsidRPr="00405A24" w:rsidRDefault="00E34E0C" w:rsidP="00E34E0C">
      <w:pPr>
        <w:pStyle w:val="a3"/>
      </w:pPr>
      <w:r w:rsidRPr="00405A24">
        <w:t xml:space="preserve">Экспортные поставки </w:t>
      </w:r>
      <w:r w:rsidRPr="00587D10">
        <w:t>продовольственных товаров и сырья</w:t>
      </w:r>
      <w:r w:rsidRPr="00405A24">
        <w:t xml:space="preserve"> в </w:t>
      </w:r>
      <w:r>
        <w:t>2016 году практически соответствовали базовому показателю 2015 года (84,3 млн. долл. США или 99,9% к уровню показателя 2015 года)</w:t>
      </w:r>
      <w:r w:rsidRPr="00405A24">
        <w:t>, при этом их дол</w:t>
      </w:r>
      <w:r>
        <w:t>я</w:t>
      </w:r>
      <w:r w:rsidRPr="00405A24">
        <w:t xml:space="preserve"> в товарной структуре </w:t>
      </w:r>
      <w:r>
        <w:t>на фоне более активного падения других абсолютных компонент расширилась</w:t>
      </w:r>
      <w:r w:rsidRPr="00405A24">
        <w:t xml:space="preserve"> на </w:t>
      </w:r>
      <w:r>
        <w:t>2,1</w:t>
      </w:r>
      <w:r w:rsidRPr="00405A24">
        <w:t xml:space="preserve"> процентных пункта до 15,</w:t>
      </w:r>
      <w:r>
        <w:t>9</w:t>
      </w:r>
      <w:r w:rsidRPr="00405A24">
        <w:t>%.</w:t>
      </w:r>
    </w:p>
    <w:p w:rsidR="00E34E0C" w:rsidRDefault="00E34E0C" w:rsidP="00E34E0C">
      <w:pPr>
        <w:pStyle w:val="a3"/>
      </w:pPr>
      <w:r>
        <w:lastRenderedPageBreak/>
        <w:t>В 2016 году п</w:t>
      </w:r>
      <w:r w:rsidRPr="00405A24">
        <w:t>оставки за рубеж минеральных продуктов</w:t>
      </w:r>
      <w:r>
        <w:t>, включая цемент,</w:t>
      </w:r>
      <w:r w:rsidRPr="00405A24">
        <w:t xml:space="preserve"> в</w:t>
      </w:r>
      <w:r>
        <w:t>ы</w:t>
      </w:r>
      <w:r w:rsidRPr="00405A24">
        <w:t>росли</w:t>
      </w:r>
      <w:r>
        <w:t xml:space="preserve"> по отношению к уровню 2015 года </w:t>
      </w:r>
      <w:r w:rsidRPr="00405A24">
        <w:t>на 1</w:t>
      </w:r>
      <w:r>
        <w:t>1</w:t>
      </w:r>
      <w:r w:rsidRPr="00405A24">
        <w:t>,</w:t>
      </w:r>
      <w:r>
        <w:t>8</w:t>
      </w:r>
      <w:r w:rsidRPr="00405A24">
        <w:t xml:space="preserve">%, </w:t>
      </w:r>
      <w:r>
        <w:t xml:space="preserve">обеспечив при этом </w:t>
      </w:r>
      <w:r w:rsidRPr="00405A24">
        <w:t>5,</w:t>
      </w:r>
      <w:r>
        <w:t>3</w:t>
      </w:r>
      <w:r w:rsidRPr="00405A24">
        <w:t xml:space="preserve">% </w:t>
      </w:r>
      <w:r>
        <w:t>всех экспортных поставок (</w:t>
      </w:r>
      <w:r w:rsidRPr="00405A24">
        <w:t>в 2015 год</w:t>
      </w:r>
      <w:r>
        <w:t>у-</w:t>
      </w:r>
      <w:r w:rsidRPr="00405A24">
        <w:t xml:space="preserve"> 4,</w:t>
      </w:r>
      <w:r>
        <w:t>1</w:t>
      </w:r>
      <w:r w:rsidRPr="00405A24">
        <w:t>%</w:t>
      </w:r>
      <w:r>
        <w:t>)</w:t>
      </w:r>
      <w:r w:rsidRPr="00405A24">
        <w:t>.</w:t>
      </w:r>
    </w:p>
    <w:p w:rsidR="00E34E0C" w:rsidRPr="00B4073D" w:rsidRDefault="00E34E0C" w:rsidP="00E34E0C">
      <w:pPr>
        <w:pStyle w:val="a3"/>
        <w:rPr>
          <w:sz w:val="8"/>
          <w:szCs w:val="8"/>
        </w:rPr>
      </w:pPr>
    </w:p>
    <w:p w:rsidR="00E34E0C" w:rsidRDefault="00E34E0C" w:rsidP="00E34E0C">
      <w:pPr>
        <w:pStyle w:val="a6"/>
        <w:spacing w:before="0" w:beforeAutospacing="0" w:after="0" w:afterAutospacing="0"/>
        <w:ind w:firstLine="709"/>
        <w:jc w:val="center"/>
        <w:rPr>
          <w:b/>
        </w:rPr>
      </w:pPr>
      <w:r w:rsidRPr="00BA1382">
        <w:rPr>
          <w:b/>
        </w:rPr>
        <w:t>Товарная структура экспорта, млн. долл. США</w:t>
      </w:r>
    </w:p>
    <w:p w:rsidR="00E34E0C" w:rsidRDefault="00E34E0C" w:rsidP="00E34E0C">
      <w:pPr>
        <w:pStyle w:val="a6"/>
        <w:spacing w:before="0" w:beforeAutospacing="0" w:after="0" w:afterAutospacing="0"/>
        <w:jc w:val="both"/>
        <w:rPr>
          <w:b/>
        </w:rPr>
      </w:pPr>
      <w:r w:rsidRPr="00C051A2">
        <w:rPr>
          <w:b/>
          <w:noProof/>
        </w:rPr>
        <w:drawing>
          <wp:inline distT="0" distB="0" distL="0" distR="0">
            <wp:extent cx="5943600" cy="2400300"/>
            <wp:effectExtent l="0" t="0" r="0" b="0"/>
            <wp:docPr id="2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34E0C" w:rsidRPr="00B4073D" w:rsidRDefault="00E34E0C" w:rsidP="00E34E0C">
      <w:pPr>
        <w:pStyle w:val="a3"/>
        <w:rPr>
          <w:sz w:val="8"/>
          <w:szCs w:val="8"/>
        </w:rPr>
      </w:pPr>
    </w:p>
    <w:p w:rsidR="00E34E0C" w:rsidRDefault="00E34E0C" w:rsidP="00E34E0C">
      <w:pPr>
        <w:pStyle w:val="a3"/>
      </w:pPr>
      <w:r w:rsidRPr="00BA1382">
        <w:t xml:space="preserve">Экспорт машиностроительной продукции по отношению к уровню </w:t>
      </w:r>
      <w:r>
        <w:t>2015 года</w:t>
      </w:r>
      <w:r w:rsidRPr="00BA1382">
        <w:t xml:space="preserve"> снизился на </w:t>
      </w:r>
      <w:r>
        <w:t>9,2</w:t>
      </w:r>
      <w:r w:rsidRPr="00BA1382">
        <w:t>%, увеличив при этом незначительно («+»0,1%) долевое представление в товарной структуре экспорта до 4,</w:t>
      </w:r>
      <w:r>
        <w:t>2</w:t>
      </w:r>
      <w:r w:rsidRPr="00BA1382">
        <w:t>%.</w:t>
      </w:r>
    </w:p>
    <w:p w:rsidR="00E34E0C" w:rsidRDefault="00E34E0C" w:rsidP="00E34E0C">
      <w:pPr>
        <w:pStyle w:val="a3"/>
        <w:contextualSpacing/>
      </w:pPr>
      <w:r>
        <w:rPr>
          <w:szCs w:val="24"/>
        </w:rPr>
        <w:t xml:space="preserve">В 2016 году </w:t>
      </w:r>
      <w:r w:rsidRPr="00767E71">
        <w:t xml:space="preserve">основными торговыми партнерами Приднестровья по экспортным поставкам являлись </w:t>
      </w:r>
      <w:r w:rsidRPr="000A384B">
        <w:t>Республик</w:t>
      </w:r>
      <w:r>
        <w:t>а</w:t>
      </w:r>
      <w:r w:rsidRPr="000A384B">
        <w:t xml:space="preserve"> Молдова (</w:t>
      </w:r>
      <w:r>
        <w:t>46,2</w:t>
      </w:r>
      <w:r w:rsidRPr="000A384B">
        <w:t xml:space="preserve">% совокупного экспорта, </w:t>
      </w:r>
      <w:r>
        <w:t>«-»18,3</w:t>
      </w:r>
      <w:r w:rsidRPr="000A384B">
        <w:t xml:space="preserve">% к </w:t>
      </w:r>
      <w:r>
        <w:t>абсолютному базовому значению</w:t>
      </w:r>
      <w:r w:rsidRPr="000A384B">
        <w:t xml:space="preserve"> 201</w:t>
      </w:r>
      <w:r>
        <w:t>5</w:t>
      </w:r>
      <w:r w:rsidRPr="000A384B">
        <w:t xml:space="preserve"> года)</w:t>
      </w:r>
      <w:r>
        <w:t xml:space="preserve">, </w:t>
      </w:r>
      <w:r w:rsidRPr="000A384B">
        <w:t>Украин</w:t>
      </w:r>
      <w:r>
        <w:t>а</w:t>
      </w:r>
      <w:r w:rsidRPr="000A384B">
        <w:t xml:space="preserve"> (</w:t>
      </w:r>
      <w:r>
        <w:t>11,5</w:t>
      </w:r>
      <w:r w:rsidRPr="000A384B">
        <w:t xml:space="preserve">%, </w:t>
      </w:r>
      <w:r>
        <w:t>увеличение на 19,6% к уровню января – декабря</w:t>
      </w:r>
      <w:r w:rsidRPr="000A384B">
        <w:t xml:space="preserve"> 201</w:t>
      </w:r>
      <w:r>
        <w:t>5</w:t>
      </w:r>
      <w:r w:rsidRPr="000A384B">
        <w:t xml:space="preserve"> года)</w:t>
      </w:r>
      <w:r>
        <w:t xml:space="preserve">, </w:t>
      </w:r>
      <w:r w:rsidRPr="000A384B">
        <w:t>Румыни</w:t>
      </w:r>
      <w:r>
        <w:t>я</w:t>
      </w:r>
      <w:r w:rsidRPr="000A384B">
        <w:t xml:space="preserve"> (</w:t>
      </w:r>
      <w:r>
        <w:t>11,4</w:t>
      </w:r>
      <w:r w:rsidRPr="000A384B">
        <w:t xml:space="preserve">%, </w:t>
      </w:r>
      <w:r>
        <w:t>сокращение</w:t>
      </w:r>
      <w:r w:rsidRPr="000A384B">
        <w:t xml:space="preserve"> </w:t>
      </w:r>
      <w:r>
        <w:t>на</w:t>
      </w:r>
      <w:r w:rsidRPr="000A384B">
        <w:t xml:space="preserve"> </w:t>
      </w:r>
      <w:r>
        <w:t>36,2%</w:t>
      </w:r>
      <w:r w:rsidRPr="000A384B">
        <w:t xml:space="preserve"> к </w:t>
      </w:r>
      <w:r>
        <w:t xml:space="preserve">аналогичной абсолютной </w:t>
      </w:r>
      <w:r w:rsidRPr="000A384B">
        <w:t>величине 201</w:t>
      </w:r>
      <w:r>
        <w:t>5</w:t>
      </w:r>
      <w:r w:rsidRPr="000A384B">
        <w:t xml:space="preserve"> года)</w:t>
      </w:r>
      <w:r>
        <w:t xml:space="preserve">, </w:t>
      </w:r>
      <w:r w:rsidRPr="000A384B">
        <w:t>Российск</w:t>
      </w:r>
      <w:r>
        <w:t>ая</w:t>
      </w:r>
      <w:r w:rsidRPr="000A384B">
        <w:t xml:space="preserve"> Федераци</w:t>
      </w:r>
      <w:r>
        <w:t>я</w:t>
      </w:r>
      <w:r w:rsidRPr="000A384B">
        <w:t xml:space="preserve"> (</w:t>
      </w:r>
      <w:r>
        <w:t>8,7</w:t>
      </w:r>
      <w:r w:rsidRPr="000A384B">
        <w:t xml:space="preserve">%, </w:t>
      </w:r>
      <w:r>
        <w:t xml:space="preserve">сокращение на 3,0% по отношению сопоставимому </w:t>
      </w:r>
      <w:r w:rsidRPr="000A384B">
        <w:t>уровн</w:t>
      </w:r>
      <w:r>
        <w:t>ю</w:t>
      </w:r>
      <w:r w:rsidRPr="000A384B">
        <w:t xml:space="preserve"> 201</w:t>
      </w:r>
      <w:r>
        <w:t>5</w:t>
      </w:r>
      <w:r w:rsidRPr="000A384B">
        <w:t xml:space="preserve"> года)</w:t>
      </w:r>
      <w:r>
        <w:t>,</w:t>
      </w:r>
      <w:r w:rsidRPr="009118AE">
        <w:t xml:space="preserve"> </w:t>
      </w:r>
      <w:r w:rsidRPr="000A384B">
        <w:t>Итали</w:t>
      </w:r>
      <w:r>
        <w:t>я</w:t>
      </w:r>
      <w:r w:rsidRPr="000A384B">
        <w:t xml:space="preserve"> (</w:t>
      </w:r>
      <w:r>
        <w:t>7,6%, «-»26,0</w:t>
      </w:r>
      <w:r w:rsidRPr="000A384B">
        <w:t xml:space="preserve">% к уровню января – </w:t>
      </w:r>
      <w:r>
        <w:t>декабря</w:t>
      </w:r>
      <w:r w:rsidRPr="000A384B">
        <w:t xml:space="preserve"> 201</w:t>
      </w:r>
      <w:r>
        <w:t>5</w:t>
      </w:r>
      <w:r w:rsidRPr="000A384B">
        <w:t xml:space="preserve"> года)</w:t>
      </w:r>
      <w:r>
        <w:t>,</w:t>
      </w:r>
      <w:r w:rsidRPr="009118AE">
        <w:t xml:space="preserve"> </w:t>
      </w:r>
      <w:r w:rsidRPr="000A384B">
        <w:t>Германи</w:t>
      </w:r>
      <w:r>
        <w:t>я</w:t>
      </w:r>
      <w:r w:rsidRPr="000A384B">
        <w:t xml:space="preserve"> (</w:t>
      </w:r>
      <w:r>
        <w:t>5,5</w:t>
      </w:r>
      <w:r w:rsidRPr="000A384B">
        <w:t xml:space="preserve">%, </w:t>
      </w:r>
      <w:r>
        <w:t>снижение на 4,3</w:t>
      </w:r>
      <w:r w:rsidRPr="000A384B">
        <w:t xml:space="preserve">% к </w:t>
      </w:r>
      <w:r>
        <w:t>базовому уровню</w:t>
      </w:r>
      <w:r w:rsidRPr="000A384B">
        <w:t xml:space="preserve"> 201</w:t>
      </w:r>
      <w:r>
        <w:t xml:space="preserve">5 </w:t>
      </w:r>
      <w:r w:rsidRPr="000A384B">
        <w:t>года)</w:t>
      </w:r>
      <w:r>
        <w:t>. Экспортные поставки в данные страны обеспечили 90,9% всех поставок за рубеж.</w:t>
      </w:r>
    </w:p>
    <w:p w:rsidR="00E34E0C" w:rsidRPr="00F21134" w:rsidRDefault="00E34E0C" w:rsidP="00E34E0C">
      <w:pPr>
        <w:spacing w:after="0" w:line="240" w:lineRule="auto"/>
        <w:ind w:firstLine="709"/>
        <w:jc w:val="both"/>
        <w:rPr>
          <w:rFonts w:ascii="Times New Roman" w:hAnsi="Times New Roman"/>
          <w:sz w:val="24"/>
          <w:szCs w:val="24"/>
        </w:rPr>
      </w:pPr>
      <w:r w:rsidRPr="00F21134">
        <w:rPr>
          <w:rFonts w:ascii="Times New Roman" w:hAnsi="Times New Roman"/>
          <w:sz w:val="24"/>
          <w:szCs w:val="24"/>
        </w:rPr>
        <w:t>Наибольшее воздействие на снижение совокупного объема внешнеторгового оборота республики в 2016 год</w:t>
      </w:r>
      <w:r>
        <w:rPr>
          <w:rFonts w:ascii="Times New Roman" w:hAnsi="Times New Roman"/>
          <w:sz w:val="24"/>
          <w:szCs w:val="24"/>
        </w:rPr>
        <w:t>у</w:t>
      </w:r>
      <w:r w:rsidRPr="00F21134">
        <w:rPr>
          <w:rFonts w:ascii="Times New Roman" w:hAnsi="Times New Roman"/>
          <w:sz w:val="24"/>
          <w:szCs w:val="24"/>
        </w:rPr>
        <w:t xml:space="preserve"> оказала отрицательная динамика импортных поставок, которая существенно превышала темпы снижения экспорта.</w:t>
      </w:r>
    </w:p>
    <w:p w:rsidR="00E34E0C" w:rsidRDefault="00E34E0C" w:rsidP="00E34E0C">
      <w:pPr>
        <w:pStyle w:val="a3"/>
      </w:pPr>
      <w:r w:rsidRPr="002E2627">
        <w:t>Между тем, в товарной структуре импорта</w:t>
      </w:r>
      <w:r>
        <w:t xml:space="preserve"> в 2016 году</w:t>
      </w:r>
      <w:r w:rsidRPr="002E2627">
        <w:t>, по-прежнему, преобладал ввоз топливно-энергетических товаров, при этом их доля в общей структуре импорта сократилась до 4</w:t>
      </w:r>
      <w:r>
        <w:t>7</w:t>
      </w:r>
      <w:r w:rsidRPr="002E2627">
        <w:t>,</w:t>
      </w:r>
      <w:r>
        <w:t>7</w:t>
      </w:r>
      <w:r w:rsidRPr="002E2627">
        <w:t>% против 5</w:t>
      </w:r>
      <w:r>
        <w:t>0</w:t>
      </w:r>
      <w:r w:rsidRPr="002E2627">
        <w:t xml:space="preserve">,5% в 2015 года, в абсолютной величине их объем сократился на </w:t>
      </w:r>
      <w:r>
        <w:t>28,9</w:t>
      </w:r>
      <w:r w:rsidRPr="002E2627">
        <w:t>%.</w:t>
      </w:r>
      <w:r w:rsidRPr="000A384B">
        <w:t xml:space="preserve"> </w:t>
      </w:r>
    </w:p>
    <w:p w:rsidR="0087075E" w:rsidRPr="0087075E" w:rsidRDefault="0087075E" w:rsidP="00E34E0C">
      <w:pPr>
        <w:pStyle w:val="a3"/>
        <w:rPr>
          <w:sz w:val="10"/>
          <w:szCs w:val="10"/>
        </w:rPr>
      </w:pPr>
    </w:p>
    <w:p w:rsidR="00E34E0C" w:rsidRDefault="00E34E0C" w:rsidP="00E34E0C">
      <w:pPr>
        <w:pStyle w:val="a3"/>
        <w:ind w:firstLine="0"/>
        <w:rPr>
          <w:szCs w:val="24"/>
        </w:rPr>
      </w:pPr>
      <w:r w:rsidRPr="002A0DDD">
        <w:rPr>
          <w:noProof/>
          <w:szCs w:val="24"/>
        </w:rPr>
        <w:drawing>
          <wp:inline distT="0" distB="0" distL="0" distR="0">
            <wp:extent cx="5943600" cy="2543175"/>
            <wp:effectExtent l="0" t="0" r="0" b="0"/>
            <wp:docPr id="22"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75873" w:rsidRPr="00F75873" w:rsidRDefault="00F75873" w:rsidP="00E34E0C">
      <w:pPr>
        <w:pStyle w:val="a3"/>
        <w:rPr>
          <w:sz w:val="10"/>
          <w:szCs w:val="10"/>
        </w:rPr>
      </w:pPr>
    </w:p>
    <w:p w:rsidR="00E34E0C" w:rsidRPr="00F76F90" w:rsidRDefault="00E34E0C" w:rsidP="00E34E0C">
      <w:pPr>
        <w:pStyle w:val="a3"/>
      </w:pPr>
      <w:r w:rsidRPr="00EB3CC9">
        <w:rPr>
          <w:szCs w:val="24"/>
        </w:rPr>
        <w:t>Снижение производственной активности ОАО «Молдавский металлургический завод» привело к сокращению потребности предприятия в сырьевых материалах</w:t>
      </w:r>
      <w:r w:rsidRPr="00EB3CC9">
        <w:t xml:space="preserve">, в результате чего импорт металлов и изделий из них сократился к уровню </w:t>
      </w:r>
      <w:r w:rsidRPr="00F76F90">
        <w:t xml:space="preserve">2015 года на </w:t>
      </w:r>
      <w:r>
        <w:t>55,8</w:t>
      </w:r>
      <w:r w:rsidRPr="00F76F90">
        <w:t xml:space="preserve">%, сузив долевое представительство в товарной структуре на </w:t>
      </w:r>
      <w:r>
        <w:t>4,9</w:t>
      </w:r>
      <w:r w:rsidRPr="00F76F90">
        <w:t>% до 7,</w:t>
      </w:r>
      <w:r>
        <w:t>0</w:t>
      </w:r>
      <w:r w:rsidRPr="00F76F90">
        <w:t>%.</w:t>
      </w:r>
    </w:p>
    <w:p w:rsidR="00E34E0C" w:rsidRPr="000A384B" w:rsidRDefault="00E34E0C" w:rsidP="00E34E0C">
      <w:pPr>
        <w:pStyle w:val="a3"/>
      </w:pPr>
      <w:r w:rsidRPr="00F76F90">
        <w:lastRenderedPageBreak/>
        <w:t>В 2016 год</w:t>
      </w:r>
      <w:r>
        <w:t>у</w:t>
      </w:r>
      <w:r w:rsidRPr="00F76F90">
        <w:t xml:space="preserve"> на продовольственные товары (сырье) приходилось </w:t>
      </w:r>
      <w:r>
        <w:t>12,0</w:t>
      </w:r>
      <w:r w:rsidRPr="00F76F90">
        <w:t>% импортных поставок в общем объеме импорта против 8,</w:t>
      </w:r>
      <w:r>
        <w:t>8</w:t>
      </w:r>
      <w:r w:rsidRPr="00F76F90">
        <w:t xml:space="preserve">% в </w:t>
      </w:r>
      <w:r>
        <w:t>2015</w:t>
      </w:r>
      <w:r w:rsidRPr="00F76F90">
        <w:t xml:space="preserve"> год</w:t>
      </w:r>
      <w:r>
        <w:t>у</w:t>
      </w:r>
      <w:r w:rsidRPr="00F76F90">
        <w:t>, при этом в денежном эквиваленте ввоз данных товаров вырос на 2,8%.</w:t>
      </w:r>
    </w:p>
    <w:p w:rsidR="00E34E0C" w:rsidRDefault="00E34E0C" w:rsidP="00E34E0C">
      <w:pPr>
        <w:pStyle w:val="a3"/>
      </w:pPr>
      <w:r w:rsidRPr="00DD68B6">
        <w:rPr>
          <w:szCs w:val="24"/>
        </w:rPr>
        <w:t>Импортные</w:t>
      </w:r>
      <w:r w:rsidRPr="00DD68B6">
        <w:t xml:space="preserve"> поставки м</w:t>
      </w:r>
      <w:r w:rsidRPr="00DD68B6">
        <w:rPr>
          <w:szCs w:val="24"/>
        </w:rPr>
        <w:t>ашиностроительной продукции</w:t>
      </w:r>
      <w:r w:rsidRPr="00DD68B6">
        <w:t xml:space="preserve"> в денежном </w:t>
      </w:r>
      <w:r>
        <w:t>выражении</w:t>
      </w:r>
      <w:r w:rsidRPr="00DD68B6">
        <w:t xml:space="preserve"> </w:t>
      </w:r>
      <w:r>
        <w:t xml:space="preserve">по итогам 2016 года </w:t>
      </w:r>
      <w:r w:rsidRPr="00DD68B6">
        <w:t xml:space="preserve">сократились </w:t>
      </w:r>
      <w:r>
        <w:t xml:space="preserve">по отношению к уровню базового показателя 2015 года </w:t>
      </w:r>
      <w:r w:rsidRPr="00DD68B6">
        <w:t xml:space="preserve">на </w:t>
      </w:r>
      <w:r>
        <w:t>четверть (-</w:t>
      </w:r>
      <w:r w:rsidRPr="00DD68B6">
        <w:t>25,</w:t>
      </w:r>
      <w:r>
        <w:t>0</w:t>
      </w:r>
      <w:r w:rsidRPr="00DD68B6">
        <w:t>%</w:t>
      </w:r>
      <w:r>
        <w:t>)</w:t>
      </w:r>
      <w:r w:rsidRPr="00DD68B6">
        <w:rPr>
          <w:szCs w:val="24"/>
        </w:rPr>
        <w:t xml:space="preserve">, </w:t>
      </w:r>
      <w:r>
        <w:rPr>
          <w:szCs w:val="24"/>
        </w:rPr>
        <w:t>сохранив при этом долевое участие в структуре импорта на уровне 10,4%.</w:t>
      </w:r>
    </w:p>
    <w:p w:rsidR="00E34E0C" w:rsidRPr="000A384B" w:rsidRDefault="00E34E0C" w:rsidP="00E34E0C">
      <w:pPr>
        <w:pStyle w:val="a3"/>
      </w:pPr>
      <w:r w:rsidRPr="00ED4E11">
        <w:t xml:space="preserve">Увеличение ввоза текстильных изделий на </w:t>
      </w:r>
      <w:r>
        <w:t>14,3</w:t>
      </w:r>
      <w:r w:rsidRPr="00ED4E11">
        <w:t xml:space="preserve">% предопределило расширение импортных поставок товаров легкой промышленности </w:t>
      </w:r>
      <w:r>
        <w:t>по итогам</w:t>
      </w:r>
      <w:r w:rsidRPr="00ED4E11">
        <w:t xml:space="preserve"> 2016 года на 1,</w:t>
      </w:r>
      <w:r>
        <w:t>2</w:t>
      </w:r>
      <w:r w:rsidRPr="00ED4E11">
        <w:t xml:space="preserve"> процентных пункта до 5,</w:t>
      </w:r>
      <w:r>
        <w:t>2</w:t>
      </w:r>
      <w:r w:rsidRPr="00ED4E11">
        <w:t xml:space="preserve">% против </w:t>
      </w:r>
      <w:r>
        <w:t>4,0</w:t>
      </w:r>
      <w:r w:rsidRPr="00ED4E11">
        <w:t>% в 2015 год</w:t>
      </w:r>
      <w:r>
        <w:t>у</w:t>
      </w:r>
      <w:r w:rsidRPr="00ED4E11">
        <w:t xml:space="preserve">, в абсолютной величине их объем </w:t>
      </w:r>
      <w:r>
        <w:t xml:space="preserve">сократился </w:t>
      </w:r>
      <w:r w:rsidRPr="00ED4E11">
        <w:t xml:space="preserve">на </w:t>
      </w:r>
      <w:r>
        <w:t>2,0</w:t>
      </w:r>
      <w:r w:rsidRPr="00ED4E11">
        <w:t>%.</w:t>
      </w:r>
    </w:p>
    <w:p w:rsidR="00E34E0C" w:rsidRPr="00F31398" w:rsidRDefault="00E34E0C" w:rsidP="00E34E0C">
      <w:pPr>
        <w:pStyle w:val="a3"/>
      </w:pPr>
      <w:r w:rsidRPr="00F31398">
        <w:t xml:space="preserve">Ввоз на территорию </w:t>
      </w:r>
      <w:r>
        <w:t>р</w:t>
      </w:r>
      <w:r w:rsidRPr="00F31398">
        <w:t xml:space="preserve">еспублики фармацевтической продукции увеличился на </w:t>
      </w:r>
      <w:r>
        <w:t>8,4</w:t>
      </w:r>
      <w:r w:rsidRPr="00F31398">
        <w:t xml:space="preserve">% к уровню 2015 года, расширив долевое участие на 0,9 процентных пунктов до </w:t>
      </w:r>
      <w:r>
        <w:t>3,0</w:t>
      </w:r>
      <w:r w:rsidRPr="00F31398">
        <w:t>%.</w:t>
      </w:r>
    </w:p>
    <w:p w:rsidR="00E34E0C" w:rsidRDefault="00E34E0C" w:rsidP="00E34E0C">
      <w:pPr>
        <w:pStyle w:val="a3"/>
      </w:pPr>
      <w:r w:rsidRPr="00950176">
        <w:t xml:space="preserve">Основными торговыми партнерами Приднестровья по </w:t>
      </w:r>
      <w:r>
        <w:t xml:space="preserve">импортным </w:t>
      </w:r>
      <w:r w:rsidRPr="00950176">
        <w:t xml:space="preserve">поставкам </w:t>
      </w:r>
      <w:r w:rsidRPr="000A384B">
        <w:rPr>
          <w:color w:val="000000"/>
        </w:rPr>
        <w:t xml:space="preserve">в обозначенном периоде выступали контрагенты </w:t>
      </w:r>
      <w:r>
        <w:rPr>
          <w:color w:val="000000"/>
        </w:rPr>
        <w:t xml:space="preserve">из </w:t>
      </w:r>
      <w:r w:rsidRPr="000A384B">
        <w:t>Российской Федерации (</w:t>
      </w:r>
      <w:r>
        <w:t>48,9</w:t>
      </w:r>
      <w:r w:rsidRPr="000A384B">
        <w:t xml:space="preserve">% совокупного импорта, «-» </w:t>
      </w:r>
      <w:r>
        <w:t>28,6</w:t>
      </w:r>
      <w:r w:rsidRPr="000A384B">
        <w:t>% к уровню базового показателя 201</w:t>
      </w:r>
      <w:r>
        <w:t>5</w:t>
      </w:r>
      <w:r w:rsidRPr="000A384B">
        <w:t xml:space="preserve"> года), Украины (</w:t>
      </w:r>
      <w:r>
        <w:t>10,9</w:t>
      </w:r>
      <w:r w:rsidRPr="000A384B">
        <w:t>%</w:t>
      </w:r>
      <w:r w:rsidRPr="00C92D39">
        <w:t xml:space="preserve"> </w:t>
      </w:r>
      <w:r w:rsidRPr="000A384B">
        <w:t xml:space="preserve">совокупного импорта, «-» </w:t>
      </w:r>
      <w:r>
        <w:t>42,2</w:t>
      </w:r>
      <w:r w:rsidRPr="000A384B">
        <w:t>% к уровню базового показателя 201</w:t>
      </w:r>
      <w:r>
        <w:t>5</w:t>
      </w:r>
      <w:r w:rsidRPr="000A384B">
        <w:t xml:space="preserve"> </w:t>
      </w:r>
      <w:r w:rsidRPr="00644DFD">
        <w:t>года), Республики Молдова (8,5% совокупного импорта, «-»5,2% к уровню базового показателя 2015 года), Германии (4,1% совокупного импорта, «-» 25,4% к уровню базового показателя 2015 года), Республики Беларусь (4,0% совокупного импорта, «-» 28,7% к уровню базового показателя 2015 года).</w:t>
      </w:r>
    </w:p>
    <w:p w:rsidR="006A6007" w:rsidRDefault="006A6007" w:rsidP="00E34E0C">
      <w:pPr>
        <w:spacing w:after="0" w:line="240" w:lineRule="auto"/>
        <w:ind w:firstLine="709"/>
        <w:jc w:val="both"/>
        <w:rPr>
          <w:rFonts w:ascii="Times New Roman" w:hAnsi="Times New Roman"/>
          <w:b/>
          <w:sz w:val="24"/>
          <w:u w:val="single"/>
        </w:rPr>
      </w:pPr>
    </w:p>
    <w:p w:rsidR="00E34E0C" w:rsidRPr="008C6CBE" w:rsidRDefault="00E34E0C" w:rsidP="00E34E0C">
      <w:pPr>
        <w:spacing w:after="0" w:line="240" w:lineRule="auto"/>
        <w:ind w:firstLine="709"/>
        <w:jc w:val="both"/>
        <w:rPr>
          <w:rFonts w:ascii="Times New Roman" w:hAnsi="Times New Roman"/>
          <w:b/>
          <w:sz w:val="24"/>
        </w:rPr>
      </w:pPr>
      <w:r w:rsidRPr="008C6CBE">
        <w:rPr>
          <w:rFonts w:ascii="Times New Roman" w:hAnsi="Times New Roman"/>
          <w:b/>
          <w:sz w:val="24"/>
          <w:u w:val="single"/>
        </w:rPr>
        <w:t>Инвестиционная сфера</w:t>
      </w:r>
      <w:r w:rsidRPr="008C6CBE">
        <w:rPr>
          <w:rFonts w:ascii="Times New Roman" w:hAnsi="Times New Roman"/>
          <w:b/>
          <w:sz w:val="24"/>
        </w:rPr>
        <w:t xml:space="preserve"> </w:t>
      </w:r>
    </w:p>
    <w:p w:rsidR="00E34E0C" w:rsidRPr="008C6CBE" w:rsidRDefault="00E34E0C" w:rsidP="00E34E0C">
      <w:pPr>
        <w:spacing w:after="0" w:line="240" w:lineRule="auto"/>
        <w:ind w:firstLine="709"/>
        <w:jc w:val="both"/>
        <w:rPr>
          <w:rFonts w:ascii="Times New Roman" w:hAnsi="Times New Roman"/>
          <w:b/>
          <w:sz w:val="24"/>
        </w:rPr>
      </w:pPr>
    </w:p>
    <w:p w:rsidR="00E34E0C" w:rsidRPr="00234EB1" w:rsidRDefault="00E34E0C" w:rsidP="00E34E0C">
      <w:pPr>
        <w:spacing w:after="0" w:line="240" w:lineRule="auto"/>
        <w:ind w:firstLine="709"/>
        <w:jc w:val="both"/>
        <w:rPr>
          <w:rFonts w:ascii="Times New Roman" w:hAnsi="Times New Roman"/>
          <w:sz w:val="24"/>
          <w:szCs w:val="24"/>
        </w:rPr>
      </w:pPr>
      <w:r>
        <w:rPr>
          <w:rFonts w:ascii="Times New Roman" w:hAnsi="Times New Roman"/>
          <w:sz w:val="24"/>
          <w:szCs w:val="24"/>
        </w:rPr>
        <w:t>К</w:t>
      </w:r>
      <w:r w:rsidRPr="008C6CBE">
        <w:rPr>
          <w:rFonts w:ascii="Times New Roman" w:hAnsi="Times New Roman"/>
          <w:sz w:val="24"/>
          <w:szCs w:val="24"/>
        </w:rPr>
        <w:t>ризисны</w:t>
      </w:r>
      <w:r>
        <w:rPr>
          <w:rFonts w:ascii="Times New Roman" w:hAnsi="Times New Roman"/>
          <w:sz w:val="24"/>
          <w:szCs w:val="24"/>
        </w:rPr>
        <w:t>е</w:t>
      </w:r>
      <w:r w:rsidRPr="00387B8D">
        <w:rPr>
          <w:rFonts w:ascii="Times New Roman" w:hAnsi="Times New Roman"/>
          <w:sz w:val="24"/>
          <w:szCs w:val="24"/>
        </w:rPr>
        <w:t xml:space="preserve"> </w:t>
      </w:r>
      <w:r w:rsidRPr="008C6CBE">
        <w:rPr>
          <w:rFonts w:ascii="Times New Roman" w:hAnsi="Times New Roman"/>
          <w:sz w:val="24"/>
          <w:szCs w:val="24"/>
        </w:rPr>
        <w:t>явлени</w:t>
      </w:r>
      <w:r>
        <w:rPr>
          <w:rFonts w:ascii="Times New Roman" w:hAnsi="Times New Roman"/>
          <w:sz w:val="24"/>
          <w:szCs w:val="24"/>
        </w:rPr>
        <w:t>я</w:t>
      </w:r>
      <w:r w:rsidRPr="008C6CBE">
        <w:rPr>
          <w:rFonts w:ascii="Times New Roman" w:hAnsi="Times New Roman"/>
          <w:sz w:val="24"/>
          <w:szCs w:val="24"/>
        </w:rPr>
        <w:t>, характеризующи</w:t>
      </w:r>
      <w:r>
        <w:rPr>
          <w:rFonts w:ascii="Times New Roman" w:hAnsi="Times New Roman"/>
          <w:sz w:val="24"/>
          <w:szCs w:val="24"/>
        </w:rPr>
        <w:t>е</w:t>
      </w:r>
      <w:r w:rsidRPr="00387B8D">
        <w:rPr>
          <w:rFonts w:ascii="Times New Roman" w:hAnsi="Times New Roman"/>
          <w:sz w:val="24"/>
          <w:szCs w:val="24"/>
        </w:rPr>
        <w:t xml:space="preserve"> </w:t>
      </w:r>
      <w:r w:rsidRPr="008C6CBE">
        <w:rPr>
          <w:rFonts w:ascii="Times New Roman" w:hAnsi="Times New Roman"/>
          <w:sz w:val="24"/>
          <w:szCs w:val="24"/>
        </w:rPr>
        <w:t>состояние</w:t>
      </w:r>
      <w:r w:rsidRPr="00387B8D">
        <w:rPr>
          <w:rFonts w:ascii="Times New Roman" w:hAnsi="Times New Roman"/>
          <w:sz w:val="24"/>
          <w:szCs w:val="24"/>
        </w:rPr>
        <w:t xml:space="preserve"> </w:t>
      </w:r>
      <w:r w:rsidRPr="008C6CBE">
        <w:rPr>
          <w:rFonts w:ascii="Times New Roman" w:hAnsi="Times New Roman"/>
          <w:sz w:val="24"/>
          <w:szCs w:val="24"/>
        </w:rPr>
        <w:t>экономической</w:t>
      </w:r>
      <w:r w:rsidRPr="00387B8D">
        <w:rPr>
          <w:rFonts w:ascii="Times New Roman" w:hAnsi="Times New Roman"/>
          <w:sz w:val="24"/>
          <w:szCs w:val="24"/>
        </w:rPr>
        <w:t xml:space="preserve"> </w:t>
      </w:r>
      <w:r w:rsidRPr="008C6CBE">
        <w:rPr>
          <w:rFonts w:ascii="Times New Roman" w:hAnsi="Times New Roman"/>
          <w:sz w:val="24"/>
          <w:szCs w:val="24"/>
        </w:rPr>
        <w:t>среды</w:t>
      </w:r>
      <w:r>
        <w:rPr>
          <w:rFonts w:ascii="Times New Roman" w:hAnsi="Times New Roman"/>
          <w:sz w:val="24"/>
          <w:szCs w:val="24"/>
        </w:rPr>
        <w:t>, на фоне н</w:t>
      </w:r>
      <w:r w:rsidRPr="006F7753">
        <w:rPr>
          <w:rFonts w:ascii="Times New Roman" w:hAnsi="Times New Roman"/>
          <w:sz w:val="24"/>
          <w:szCs w:val="24"/>
        </w:rPr>
        <w:t>еблагоприятн</w:t>
      </w:r>
      <w:r>
        <w:rPr>
          <w:rFonts w:ascii="Times New Roman" w:hAnsi="Times New Roman"/>
          <w:sz w:val="24"/>
          <w:szCs w:val="24"/>
        </w:rPr>
        <w:t>ой</w:t>
      </w:r>
      <w:r w:rsidRPr="006F7753">
        <w:rPr>
          <w:rFonts w:ascii="Times New Roman" w:hAnsi="Times New Roman"/>
          <w:sz w:val="24"/>
          <w:szCs w:val="24"/>
        </w:rPr>
        <w:t xml:space="preserve"> общеэкономическ</w:t>
      </w:r>
      <w:r>
        <w:rPr>
          <w:rFonts w:ascii="Times New Roman" w:hAnsi="Times New Roman"/>
          <w:sz w:val="24"/>
          <w:szCs w:val="24"/>
        </w:rPr>
        <w:t>ой</w:t>
      </w:r>
      <w:r w:rsidRPr="006F7753">
        <w:rPr>
          <w:rFonts w:ascii="Times New Roman" w:hAnsi="Times New Roman"/>
          <w:sz w:val="24"/>
          <w:szCs w:val="24"/>
        </w:rPr>
        <w:t xml:space="preserve"> конъюнктур</w:t>
      </w:r>
      <w:r>
        <w:rPr>
          <w:rFonts w:ascii="Times New Roman" w:hAnsi="Times New Roman"/>
          <w:sz w:val="24"/>
          <w:szCs w:val="24"/>
        </w:rPr>
        <w:t>ы,</w:t>
      </w:r>
      <w:r w:rsidRPr="006F7753">
        <w:rPr>
          <w:rFonts w:ascii="Times New Roman" w:hAnsi="Times New Roman"/>
          <w:sz w:val="24"/>
          <w:szCs w:val="24"/>
        </w:rPr>
        <w:t xml:space="preserve"> </w:t>
      </w:r>
      <w:r>
        <w:rPr>
          <w:rFonts w:ascii="Times New Roman" w:hAnsi="Times New Roman"/>
          <w:sz w:val="24"/>
          <w:szCs w:val="24"/>
        </w:rPr>
        <w:t>о</w:t>
      </w:r>
      <w:r w:rsidRPr="003F67B2">
        <w:rPr>
          <w:rFonts w:ascii="Times New Roman" w:hAnsi="Times New Roman"/>
          <w:sz w:val="24"/>
          <w:szCs w:val="24"/>
        </w:rPr>
        <w:t>предел</w:t>
      </w:r>
      <w:r>
        <w:rPr>
          <w:rFonts w:ascii="Times New Roman" w:hAnsi="Times New Roman"/>
          <w:sz w:val="24"/>
          <w:szCs w:val="24"/>
        </w:rPr>
        <w:t>яют</w:t>
      </w:r>
      <w:r w:rsidRPr="003F67B2">
        <w:rPr>
          <w:rFonts w:ascii="Times New Roman" w:hAnsi="Times New Roman"/>
          <w:sz w:val="24"/>
          <w:szCs w:val="24"/>
        </w:rPr>
        <w:t xml:space="preserve"> сдержанное поведение экономических агентов в сфере инвестиций в основной капитал</w:t>
      </w:r>
      <w:r>
        <w:rPr>
          <w:rFonts w:ascii="Times New Roman" w:hAnsi="Times New Roman"/>
          <w:sz w:val="24"/>
          <w:szCs w:val="24"/>
        </w:rPr>
        <w:t xml:space="preserve"> и продолжают </w:t>
      </w:r>
      <w:r w:rsidRPr="006F7753">
        <w:rPr>
          <w:rFonts w:ascii="Times New Roman" w:hAnsi="Times New Roman"/>
          <w:sz w:val="24"/>
          <w:szCs w:val="24"/>
        </w:rPr>
        <w:t>оказыват</w:t>
      </w:r>
      <w:r>
        <w:rPr>
          <w:rFonts w:ascii="Times New Roman" w:hAnsi="Times New Roman"/>
          <w:sz w:val="24"/>
          <w:szCs w:val="24"/>
        </w:rPr>
        <w:t>ь</w:t>
      </w:r>
      <w:r w:rsidRPr="006F7753">
        <w:rPr>
          <w:rFonts w:ascii="Times New Roman" w:hAnsi="Times New Roman"/>
          <w:sz w:val="24"/>
          <w:szCs w:val="24"/>
        </w:rPr>
        <w:t xml:space="preserve"> </w:t>
      </w:r>
      <w:r>
        <w:rPr>
          <w:rFonts w:ascii="Times New Roman" w:hAnsi="Times New Roman"/>
          <w:sz w:val="24"/>
          <w:szCs w:val="24"/>
        </w:rPr>
        <w:t>дестабилизиру</w:t>
      </w:r>
      <w:r w:rsidRPr="006F7753">
        <w:rPr>
          <w:rFonts w:ascii="Times New Roman" w:hAnsi="Times New Roman"/>
          <w:sz w:val="24"/>
          <w:szCs w:val="24"/>
        </w:rPr>
        <w:t xml:space="preserve">ющее </w:t>
      </w:r>
      <w:r>
        <w:rPr>
          <w:rFonts w:ascii="Times New Roman" w:hAnsi="Times New Roman"/>
          <w:sz w:val="24"/>
          <w:szCs w:val="24"/>
        </w:rPr>
        <w:t>воздействие</w:t>
      </w:r>
      <w:r w:rsidRPr="006F7753">
        <w:rPr>
          <w:rFonts w:ascii="Times New Roman" w:hAnsi="Times New Roman"/>
          <w:sz w:val="24"/>
          <w:szCs w:val="24"/>
        </w:rPr>
        <w:t xml:space="preserve"> на инвестиционную активность хозяйствующих субъектов</w:t>
      </w:r>
      <w:r>
        <w:rPr>
          <w:rFonts w:ascii="Times New Roman" w:hAnsi="Times New Roman"/>
          <w:sz w:val="24"/>
          <w:szCs w:val="24"/>
        </w:rPr>
        <w:t xml:space="preserve"> республики</w:t>
      </w:r>
      <w:r w:rsidRPr="006F7753">
        <w:rPr>
          <w:rFonts w:ascii="Times New Roman" w:hAnsi="Times New Roman"/>
          <w:sz w:val="24"/>
          <w:szCs w:val="24"/>
        </w:rPr>
        <w:t xml:space="preserve">. </w:t>
      </w:r>
      <w:r>
        <w:rPr>
          <w:rFonts w:ascii="Times New Roman" w:hAnsi="Times New Roman"/>
          <w:sz w:val="24"/>
          <w:szCs w:val="24"/>
        </w:rPr>
        <w:t>Так, по итогам 2016 года</w:t>
      </w:r>
      <w:r w:rsidRPr="003F67B2">
        <w:rPr>
          <w:rFonts w:ascii="Times New Roman" w:hAnsi="Times New Roman"/>
          <w:sz w:val="24"/>
          <w:szCs w:val="24"/>
        </w:rPr>
        <w:t xml:space="preserve"> долгосрочны</w:t>
      </w:r>
      <w:r>
        <w:rPr>
          <w:rFonts w:ascii="Times New Roman" w:hAnsi="Times New Roman"/>
          <w:sz w:val="24"/>
          <w:szCs w:val="24"/>
        </w:rPr>
        <w:t>е</w:t>
      </w:r>
      <w:r w:rsidRPr="003F67B2">
        <w:rPr>
          <w:rFonts w:ascii="Times New Roman" w:hAnsi="Times New Roman"/>
          <w:sz w:val="24"/>
          <w:szCs w:val="24"/>
        </w:rPr>
        <w:t xml:space="preserve"> вложени</w:t>
      </w:r>
      <w:r>
        <w:rPr>
          <w:rFonts w:ascii="Times New Roman" w:hAnsi="Times New Roman"/>
          <w:sz w:val="24"/>
          <w:szCs w:val="24"/>
        </w:rPr>
        <w:t>я</w:t>
      </w:r>
      <w:r w:rsidRPr="003F67B2">
        <w:rPr>
          <w:rFonts w:ascii="Times New Roman" w:hAnsi="Times New Roman"/>
          <w:sz w:val="24"/>
          <w:szCs w:val="24"/>
        </w:rPr>
        <w:t xml:space="preserve"> </w:t>
      </w:r>
      <w:r>
        <w:rPr>
          <w:rFonts w:ascii="Times New Roman" w:hAnsi="Times New Roman"/>
          <w:sz w:val="24"/>
          <w:szCs w:val="24"/>
        </w:rPr>
        <w:t>в основной капитал на развитие и обновление основных фондов (в части новых и приобретенных по импорту основных средств) организациями всех форм собственности (без субъектов малого предпринимательства) сократились на 19,8%</w:t>
      </w:r>
      <w:r w:rsidRPr="003F67B2">
        <w:rPr>
          <w:rFonts w:ascii="Times New Roman" w:hAnsi="Times New Roman"/>
          <w:sz w:val="24"/>
          <w:szCs w:val="24"/>
        </w:rPr>
        <w:t xml:space="preserve"> </w:t>
      </w:r>
      <w:r>
        <w:rPr>
          <w:rFonts w:ascii="Times New Roman" w:hAnsi="Times New Roman"/>
          <w:sz w:val="24"/>
          <w:szCs w:val="24"/>
        </w:rPr>
        <w:t xml:space="preserve">(в сопоставимых ценах) до 1 085,4 млн. руб., </w:t>
      </w:r>
      <w:r w:rsidRPr="003F67B2">
        <w:rPr>
          <w:rFonts w:ascii="Times New Roman" w:hAnsi="Times New Roman"/>
          <w:sz w:val="24"/>
          <w:szCs w:val="24"/>
        </w:rPr>
        <w:t xml:space="preserve">из которых </w:t>
      </w:r>
      <w:r>
        <w:rPr>
          <w:rFonts w:ascii="Times New Roman" w:hAnsi="Times New Roman"/>
          <w:sz w:val="24"/>
          <w:szCs w:val="24"/>
        </w:rPr>
        <w:t>595,7</w:t>
      </w:r>
      <w:r w:rsidRPr="003F67B2">
        <w:rPr>
          <w:rFonts w:ascii="Times New Roman" w:hAnsi="Times New Roman"/>
          <w:sz w:val="24"/>
          <w:szCs w:val="24"/>
        </w:rPr>
        <w:t xml:space="preserve"> млн. руб. («-»</w:t>
      </w:r>
      <w:r>
        <w:rPr>
          <w:rFonts w:ascii="Times New Roman" w:hAnsi="Times New Roman"/>
          <w:sz w:val="24"/>
          <w:szCs w:val="24"/>
        </w:rPr>
        <w:t>16,4%</w:t>
      </w:r>
      <w:r w:rsidRPr="003F67B2">
        <w:rPr>
          <w:rFonts w:ascii="Times New Roman" w:hAnsi="Times New Roman"/>
          <w:sz w:val="24"/>
          <w:szCs w:val="24"/>
        </w:rPr>
        <w:t xml:space="preserve">) было </w:t>
      </w:r>
      <w:r>
        <w:rPr>
          <w:rFonts w:ascii="Times New Roman" w:hAnsi="Times New Roman"/>
          <w:sz w:val="24"/>
          <w:szCs w:val="24"/>
        </w:rPr>
        <w:t>направлен</w:t>
      </w:r>
      <w:r w:rsidR="004B168F">
        <w:rPr>
          <w:rFonts w:ascii="Times New Roman" w:hAnsi="Times New Roman"/>
          <w:sz w:val="24"/>
          <w:szCs w:val="24"/>
        </w:rPr>
        <w:t>н</w:t>
      </w:r>
      <w:r>
        <w:rPr>
          <w:rFonts w:ascii="Times New Roman" w:hAnsi="Times New Roman"/>
          <w:sz w:val="24"/>
          <w:szCs w:val="24"/>
        </w:rPr>
        <w:t>о</w:t>
      </w:r>
      <w:r w:rsidRPr="003F67B2">
        <w:rPr>
          <w:rFonts w:ascii="Times New Roman" w:hAnsi="Times New Roman"/>
          <w:sz w:val="24"/>
          <w:szCs w:val="24"/>
        </w:rPr>
        <w:t xml:space="preserve"> на </w:t>
      </w:r>
      <w:r w:rsidRPr="003F67B2">
        <w:rPr>
          <w:rFonts w:ascii="Times New Roman" w:hAnsi="Times New Roman"/>
          <w:spacing w:val="4"/>
          <w:sz w:val="24"/>
          <w:szCs w:val="24"/>
        </w:rPr>
        <w:t xml:space="preserve">обновление машин, оборудования, транспортных средств, на </w:t>
      </w:r>
      <w:r w:rsidRPr="003F67B2">
        <w:rPr>
          <w:rFonts w:ascii="Times New Roman" w:hAnsi="Times New Roman"/>
          <w:sz w:val="24"/>
          <w:szCs w:val="24"/>
        </w:rPr>
        <w:t xml:space="preserve">финансирование строительно-монтажных работ было </w:t>
      </w:r>
      <w:r>
        <w:rPr>
          <w:rFonts w:ascii="Times New Roman" w:hAnsi="Times New Roman"/>
          <w:sz w:val="24"/>
          <w:szCs w:val="24"/>
        </w:rPr>
        <w:t>израсходовано</w:t>
      </w:r>
      <w:r w:rsidRPr="003F67B2">
        <w:rPr>
          <w:rFonts w:ascii="Times New Roman" w:hAnsi="Times New Roman"/>
          <w:sz w:val="24"/>
          <w:szCs w:val="24"/>
        </w:rPr>
        <w:t xml:space="preserve"> </w:t>
      </w:r>
      <w:r>
        <w:rPr>
          <w:rFonts w:ascii="Times New Roman" w:hAnsi="Times New Roman"/>
          <w:sz w:val="24"/>
          <w:szCs w:val="24"/>
        </w:rPr>
        <w:t>447,8</w:t>
      </w:r>
      <w:r w:rsidRPr="003F67B2">
        <w:rPr>
          <w:rFonts w:ascii="Times New Roman" w:hAnsi="Times New Roman"/>
          <w:sz w:val="24"/>
          <w:szCs w:val="24"/>
        </w:rPr>
        <w:t xml:space="preserve"> </w:t>
      </w:r>
      <w:r w:rsidRPr="003F67B2">
        <w:rPr>
          <w:rFonts w:ascii="Times New Roman" w:hAnsi="Times New Roman"/>
          <w:spacing w:val="4"/>
          <w:sz w:val="24"/>
          <w:szCs w:val="24"/>
        </w:rPr>
        <w:t>млн. руб. («-»</w:t>
      </w:r>
      <w:r>
        <w:rPr>
          <w:rFonts w:ascii="Times New Roman" w:hAnsi="Times New Roman"/>
          <w:spacing w:val="4"/>
          <w:sz w:val="24"/>
          <w:szCs w:val="24"/>
        </w:rPr>
        <w:t>20,8</w:t>
      </w:r>
      <w:r w:rsidRPr="003F67B2">
        <w:rPr>
          <w:rFonts w:ascii="Times New Roman" w:hAnsi="Times New Roman"/>
          <w:sz w:val="24"/>
          <w:szCs w:val="24"/>
        </w:rPr>
        <w:t xml:space="preserve">%). </w:t>
      </w:r>
    </w:p>
    <w:p w:rsidR="00E34E0C" w:rsidRPr="00FB5017" w:rsidRDefault="00E34E0C" w:rsidP="0087075E">
      <w:pPr>
        <w:spacing w:after="0" w:line="240" w:lineRule="auto"/>
        <w:ind w:left="-284"/>
        <w:rPr>
          <w:rFonts w:ascii="Times New Roman" w:eastAsia="Calibri" w:hAnsi="Times New Roman"/>
          <w:spacing w:val="2"/>
          <w:sz w:val="18"/>
          <w:szCs w:val="18"/>
          <w:lang w:eastAsia="en-US"/>
        </w:rPr>
      </w:pPr>
      <w:r w:rsidRPr="00EA60A9">
        <w:rPr>
          <w:rFonts w:ascii="Times New Roman" w:hAnsi="Times New Roman"/>
          <w:noProof/>
          <w:sz w:val="24"/>
          <w:szCs w:val="24"/>
        </w:rPr>
        <w:drawing>
          <wp:inline distT="0" distB="0" distL="0" distR="0">
            <wp:extent cx="6448425" cy="1990725"/>
            <wp:effectExtent l="0" t="0" r="0" b="0"/>
            <wp:docPr id="23"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87075E">
        <w:rPr>
          <w:rFonts w:ascii="Times New Roman" w:eastAsia="Calibri" w:hAnsi="Times New Roman"/>
          <w:i/>
          <w:spacing w:val="2"/>
          <w:sz w:val="18"/>
          <w:szCs w:val="18"/>
          <w:lang w:eastAsia="en-US"/>
        </w:rPr>
        <w:t xml:space="preserve">        </w:t>
      </w:r>
      <w:r w:rsidRPr="00FB5017">
        <w:rPr>
          <w:rFonts w:ascii="Times New Roman" w:eastAsia="Calibri" w:hAnsi="Times New Roman"/>
          <w:i/>
          <w:spacing w:val="2"/>
          <w:sz w:val="18"/>
          <w:szCs w:val="18"/>
          <w:lang w:eastAsia="en-US"/>
        </w:rPr>
        <w:t>*</w:t>
      </w:r>
      <w:r w:rsidRPr="00FB5017">
        <w:rPr>
          <w:rFonts w:ascii="Times New Roman" w:eastAsia="Calibri" w:hAnsi="Times New Roman"/>
          <w:spacing w:val="2"/>
          <w:sz w:val="18"/>
          <w:szCs w:val="18"/>
          <w:lang w:eastAsia="en-US"/>
        </w:rPr>
        <w:t>-</w:t>
      </w:r>
      <w:r w:rsidRPr="00FB5017">
        <w:rPr>
          <w:rFonts w:ascii="Times New Roman" w:eastAsia="Calibri" w:hAnsi="Times New Roman"/>
          <w:i/>
          <w:spacing w:val="2"/>
          <w:sz w:val="18"/>
          <w:szCs w:val="18"/>
          <w:lang w:eastAsia="en-US"/>
        </w:rPr>
        <w:t xml:space="preserve"> </w:t>
      </w:r>
      <w:r w:rsidRPr="00FB5017">
        <w:rPr>
          <w:rFonts w:ascii="Times New Roman" w:eastAsia="Calibri" w:hAnsi="Times New Roman"/>
          <w:spacing w:val="2"/>
          <w:sz w:val="18"/>
          <w:szCs w:val="18"/>
          <w:lang w:eastAsia="en-US"/>
        </w:rPr>
        <w:t>темпы роста</w:t>
      </w:r>
      <w:r>
        <w:rPr>
          <w:rFonts w:ascii="Times New Roman" w:eastAsia="Calibri" w:hAnsi="Times New Roman"/>
          <w:spacing w:val="2"/>
          <w:sz w:val="18"/>
          <w:szCs w:val="18"/>
          <w:lang w:eastAsia="en-US"/>
        </w:rPr>
        <w:t xml:space="preserve"> (спада)</w:t>
      </w:r>
      <w:r w:rsidRPr="00FB5017">
        <w:rPr>
          <w:rFonts w:ascii="Times New Roman" w:eastAsia="Calibri" w:hAnsi="Times New Roman"/>
          <w:spacing w:val="2"/>
          <w:sz w:val="18"/>
          <w:szCs w:val="18"/>
          <w:lang w:eastAsia="en-US"/>
        </w:rPr>
        <w:t xml:space="preserve"> приведены к уточнённым данным ГСС</w:t>
      </w:r>
    </w:p>
    <w:p w:rsidR="0087075E" w:rsidRPr="0087075E" w:rsidRDefault="0087075E" w:rsidP="00E34E0C">
      <w:pPr>
        <w:spacing w:after="0" w:line="240" w:lineRule="auto"/>
        <w:ind w:firstLine="709"/>
        <w:jc w:val="both"/>
        <w:rPr>
          <w:rFonts w:ascii="Times New Roman" w:hAnsi="Times New Roman"/>
          <w:sz w:val="10"/>
          <w:szCs w:val="10"/>
        </w:rPr>
      </w:pPr>
    </w:p>
    <w:p w:rsidR="00E34E0C" w:rsidRPr="003F67B2" w:rsidRDefault="00E34E0C" w:rsidP="00E34E0C">
      <w:pPr>
        <w:spacing w:after="0" w:line="240" w:lineRule="auto"/>
        <w:ind w:firstLine="709"/>
        <w:jc w:val="both"/>
        <w:rPr>
          <w:rFonts w:ascii="Times New Roman" w:hAnsi="Times New Roman"/>
          <w:sz w:val="24"/>
        </w:rPr>
      </w:pPr>
      <w:r w:rsidRPr="003F67B2">
        <w:rPr>
          <w:rFonts w:ascii="Times New Roman" w:hAnsi="Times New Roman"/>
          <w:sz w:val="24"/>
        </w:rPr>
        <w:t xml:space="preserve">На строительство, расширение, реконструкцию и техническое перевооружение объектов производственного назначения направленно </w:t>
      </w:r>
      <w:r>
        <w:rPr>
          <w:rFonts w:ascii="Times New Roman" w:hAnsi="Times New Roman"/>
          <w:sz w:val="24"/>
        </w:rPr>
        <w:t>76,1</w:t>
      </w:r>
      <w:r w:rsidRPr="003F67B2">
        <w:rPr>
          <w:rFonts w:ascii="Times New Roman" w:hAnsi="Times New Roman"/>
          <w:sz w:val="24"/>
        </w:rPr>
        <w:t xml:space="preserve">% всех инвестиций </w:t>
      </w:r>
      <w:r w:rsidR="0087075E">
        <w:rPr>
          <w:rFonts w:ascii="Times New Roman" w:hAnsi="Times New Roman"/>
          <w:sz w:val="24"/>
        </w:rPr>
        <w:t xml:space="preserve">                       </w:t>
      </w:r>
      <w:r>
        <w:rPr>
          <w:rFonts w:ascii="Times New Roman" w:hAnsi="Times New Roman"/>
          <w:sz w:val="24"/>
        </w:rPr>
        <w:t>(826,2</w:t>
      </w:r>
      <w:r w:rsidRPr="003F67B2">
        <w:rPr>
          <w:rFonts w:ascii="Times New Roman" w:hAnsi="Times New Roman"/>
          <w:sz w:val="24"/>
        </w:rPr>
        <w:t xml:space="preserve"> млн. руб.), объем которых сократился к уровню базового показателя 201</w:t>
      </w:r>
      <w:r>
        <w:rPr>
          <w:rFonts w:ascii="Times New Roman" w:hAnsi="Times New Roman"/>
          <w:sz w:val="24"/>
        </w:rPr>
        <w:t>5</w:t>
      </w:r>
      <w:r w:rsidRPr="003F67B2">
        <w:rPr>
          <w:rFonts w:ascii="Times New Roman" w:hAnsi="Times New Roman"/>
          <w:sz w:val="24"/>
        </w:rPr>
        <w:t xml:space="preserve"> года на </w:t>
      </w:r>
      <w:r>
        <w:rPr>
          <w:rFonts w:ascii="Times New Roman" w:hAnsi="Times New Roman"/>
          <w:sz w:val="24"/>
        </w:rPr>
        <w:t>21,9</w:t>
      </w:r>
      <w:r w:rsidRPr="003F67B2">
        <w:rPr>
          <w:rFonts w:ascii="Times New Roman" w:hAnsi="Times New Roman"/>
          <w:sz w:val="24"/>
        </w:rPr>
        <w:t>%.</w:t>
      </w:r>
    </w:p>
    <w:p w:rsidR="00E34E0C" w:rsidRDefault="00E34E0C" w:rsidP="00E34E0C">
      <w:pPr>
        <w:spacing w:after="0" w:line="240" w:lineRule="auto"/>
        <w:ind w:firstLine="709"/>
        <w:jc w:val="both"/>
        <w:rPr>
          <w:rFonts w:ascii="Times New Roman" w:hAnsi="Times New Roman"/>
          <w:sz w:val="24"/>
        </w:rPr>
      </w:pPr>
      <w:r w:rsidRPr="003F67B2">
        <w:rPr>
          <w:rFonts w:ascii="Times New Roman" w:hAnsi="Times New Roman"/>
          <w:sz w:val="24"/>
        </w:rPr>
        <w:t xml:space="preserve">Традиционно большая часть инвестиций финансировалась за счет собственных средств организаций, доля которых </w:t>
      </w:r>
      <w:r>
        <w:rPr>
          <w:rFonts w:ascii="Times New Roman" w:hAnsi="Times New Roman"/>
          <w:sz w:val="24"/>
        </w:rPr>
        <w:t>сузилась</w:t>
      </w:r>
      <w:r w:rsidRPr="003F67B2">
        <w:rPr>
          <w:rFonts w:ascii="Times New Roman" w:hAnsi="Times New Roman"/>
          <w:sz w:val="24"/>
        </w:rPr>
        <w:t xml:space="preserve"> до </w:t>
      </w:r>
      <w:r>
        <w:rPr>
          <w:rFonts w:ascii="Times New Roman" w:hAnsi="Times New Roman"/>
          <w:sz w:val="24"/>
        </w:rPr>
        <w:t>84,1</w:t>
      </w:r>
      <w:r w:rsidRPr="003F67B2">
        <w:rPr>
          <w:rFonts w:ascii="Times New Roman" w:hAnsi="Times New Roman"/>
          <w:sz w:val="24"/>
        </w:rPr>
        <w:t>% («</w:t>
      </w:r>
      <w:r>
        <w:rPr>
          <w:rFonts w:ascii="Times New Roman" w:hAnsi="Times New Roman"/>
          <w:sz w:val="24"/>
        </w:rPr>
        <w:t>-</w:t>
      </w:r>
      <w:r w:rsidRPr="003F67B2">
        <w:rPr>
          <w:rFonts w:ascii="Times New Roman" w:hAnsi="Times New Roman"/>
          <w:sz w:val="24"/>
        </w:rPr>
        <w:t>»</w:t>
      </w:r>
      <w:r>
        <w:rPr>
          <w:rFonts w:ascii="Times New Roman" w:hAnsi="Times New Roman"/>
          <w:sz w:val="24"/>
        </w:rPr>
        <w:t>0,5</w:t>
      </w:r>
      <w:r w:rsidRPr="003F67B2">
        <w:rPr>
          <w:rFonts w:ascii="Times New Roman" w:hAnsi="Times New Roman"/>
          <w:sz w:val="24"/>
        </w:rPr>
        <w:t xml:space="preserve"> процентных пункта). Также </w:t>
      </w:r>
      <w:r>
        <w:rPr>
          <w:rFonts w:ascii="Times New Roman" w:hAnsi="Times New Roman"/>
          <w:sz w:val="24"/>
        </w:rPr>
        <w:t>сократилась</w:t>
      </w:r>
      <w:r w:rsidRPr="003F67B2">
        <w:rPr>
          <w:rFonts w:ascii="Times New Roman" w:hAnsi="Times New Roman"/>
          <w:sz w:val="24"/>
        </w:rPr>
        <w:t xml:space="preserve"> роль бюджетных источников в ос</w:t>
      </w:r>
      <w:r>
        <w:rPr>
          <w:rFonts w:ascii="Times New Roman" w:hAnsi="Times New Roman"/>
          <w:sz w:val="24"/>
        </w:rPr>
        <w:t>воении</w:t>
      </w:r>
      <w:r w:rsidRPr="003F67B2">
        <w:rPr>
          <w:rFonts w:ascii="Times New Roman" w:hAnsi="Times New Roman"/>
          <w:sz w:val="24"/>
        </w:rPr>
        <w:t xml:space="preserve"> капитальных вложений («</w:t>
      </w:r>
      <w:r>
        <w:rPr>
          <w:rFonts w:ascii="Times New Roman" w:hAnsi="Times New Roman"/>
          <w:sz w:val="24"/>
        </w:rPr>
        <w:t>-</w:t>
      </w:r>
      <w:r w:rsidRPr="003F67B2">
        <w:rPr>
          <w:rFonts w:ascii="Times New Roman" w:hAnsi="Times New Roman"/>
          <w:sz w:val="24"/>
        </w:rPr>
        <w:t>»</w:t>
      </w:r>
      <w:r>
        <w:rPr>
          <w:rFonts w:ascii="Times New Roman" w:hAnsi="Times New Roman"/>
          <w:sz w:val="24"/>
        </w:rPr>
        <w:t>0,6</w:t>
      </w:r>
      <w:r w:rsidRPr="003F67B2">
        <w:rPr>
          <w:rFonts w:ascii="Times New Roman" w:hAnsi="Times New Roman"/>
          <w:sz w:val="24"/>
        </w:rPr>
        <w:t xml:space="preserve"> процентных пункта до </w:t>
      </w:r>
      <w:r>
        <w:rPr>
          <w:rFonts w:ascii="Times New Roman" w:hAnsi="Times New Roman"/>
          <w:sz w:val="24"/>
        </w:rPr>
        <w:t>3,3</w:t>
      </w:r>
      <w:r w:rsidRPr="003F67B2">
        <w:rPr>
          <w:rFonts w:ascii="Times New Roman" w:hAnsi="Times New Roman"/>
          <w:sz w:val="24"/>
        </w:rPr>
        <w:t xml:space="preserve">%). </w:t>
      </w:r>
      <w:r>
        <w:rPr>
          <w:rFonts w:ascii="Times New Roman" w:hAnsi="Times New Roman"/>
          <w:sz w:val="24"/>
        </w:rPr>
        <w:t xml:space="preserve">На этом фоне расширилась доля </w:t>
      </w:r>
      <w:r w:rsidRPr="003F67B2">
        <w:rPr>
          <w:rFonts w:ascii="Times New Roman" w:hAnsi="Times New Roman"/>
          <w:sz w:val="24"/>
        </w:rPr>
        <w:t xml:space="preserve">кредитов (займов) банков </w:t>
      </w:r>
      <w:r>
        <w:rPr>
          <w:rFonts w:ascii="Times New Roman" w:hAnsi="Times New Roman"/>
          <w:sz w:val="24"/>
        </w:rPr>
        <w:t xml:space="preserve">и </w:t>
      </w:r>
      <w:r w:rsidRPr="003F67B2">
        <w:rPr>
          <w:rFonts w:ascii="Times New Roman" w:hAnsi="Times New Roman"/>
          <w:sz w:val="24"/>
        </w:rPr>
        <w:lastRenderedPageBreak/>
        <w:t xml:space="preserve">доля прочих источников финансирования программ долгосрочного развития </w:t>
      </w:r>
      <w:r>
        <w:rPr>
          <w:rFonts w:ascii="Times New Roman" w:hAnsi="Times New Roman"/>
          <w:sz w:val="24"/>
        </w:rPr>
        <w:t>до 0,2% и 12,4% соответственно.</w:t>
      </w:r>
      <w:r w:rsidRPr="003F67B2">
        <w:rPr>
          <w:rFonts w:ascii="Times New Roman" w:hAnsi="Times New Roman"/>
          <w:sz w:val="24"/>
        </w:rPr>
        <w:t xml:space="preserve"> </w:t>
      </w:r>
    </w:p>
    <w:p w:rsidR="00E34E0C" w:rsidRDefault="00E34E0C" w:rsidP="00E34E0C">
      <w:pPr>
        <w:spacing w:after="0" w:line="240" w:lineRule="auto"/>
        <w:jc w:val="both"/>
        <w:rPr>
          <w:rFonts w:ascii="Times New Roman" w:hAnsi="Times New Roman"/>
          <w:sz w:val="24"/>
        </w:rPr>
      </w:pPr>
      <w:r w:rsidRPr="006A661B">
        <w:rPr>
          <w:rFonts w:ascii="Times New Roman" w:hAnsi="Times New Roman"/>
          <w:noProof/>
          <w:sz w:val="24"/>
        </w:rPr>
        <w:drawing>
          <wp:inline distT="0" distB="0" distL="0" distR="0">
            <wp:extent cx="5943600" cy="2695575"/>
            <wp:effectExtent l="0" t="0" r="0" b="0"/>
            <wp:docPr id="2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34E0C" w:rsidRPr="00954092" w:rsidRDefault="00E34E0C" w:rsidP="00E34E0C">
      <w:pPr>
        <w:spacing w:after="0" w:line="240" w:lineRule="auto"/>
        <w:ind w:firstLine="709"/>
        <w:jc w:val="both"/>
        <w:rPr>
          <w:rFonts w:ascii="Times New Roman" w:hAnsi="Times New Roman"/>
          <w:sz w:val="24"/>
          <w:szCs w:val="24"/>
        </w:rPr>
      </w:pPr>
      <w:r w:rsidRPr="006A661B">
        <w:rPr>
          <w:rFonts w:ascii="Times New Roman" w:hAnsi="Times New Roman"/>
          <w:sz w:val="24"/>
          <w:szCs w:val="24"/>
        </w:rPr>
        <w:t>Отраслевой анализ инвестици</w:t>
      </w:r>
      <w:r>
        <w:rPr>
          <w:rFonts w:ascii="Times New Roman" w:hAnsi="Times New Roman"/>
          <w:sz w:val="24"/>
          <w:szCs w:val="24"/>
        </w:rPr>
        <w:t>й в основной капитал</w:t>
      </w:r>
      <w:r w:rsidRPr="006A661B">
        <w:rPr>
          <w:rFonts w:ascii="Times New Roman" w:hAnsi="Times New Roman"/>
          <w:sz w:val="24"/>
          <w:szCs w:val="24"/>
        </w:rPr>
        <w:t xml:space="preserve"> </w:t>
      </w:r>
      <w:r>
        <w:rPr>
          <w:rFonts w:ascii="Times New Roman" w:hAnsi="Times New Roman"/>
          <w:sz w:val="24"/>
          <w:szCs w:val="24"/>
        </w:rPr>
        <w:t xml:space="preserve">за </w:t>
      </w:r>
      <w:r w:rsidRPr="006A661B">
        <w:rPr>
          <w:rFonts w:ascii="Times New Roman" w:hAnsi="Times New Roman"/>
          <w:sz w:val="24"/>
          <w:szCs w:val="24"/>
        </w:rPr>
        <w:t>201</w:t>
      </w:r>
      <w:r>
        <w:rPr>
          <w:rFonts w:ascii="Times New Roman" w:hAnsi="Times New Roman"/>
          <w:sz w:val="24"/>
          <w:szCs w:val="24"/>
        </w:rPr>
        <w:t>6</w:t>
      </w:r>
      <w:r w:rsidRPr="006A661B">
        <w:rPr>
          <w:rFonts w:ascii="Times New Roman" w:hAnsi="Times New Roman"/>
          <w:sz w:val="24"/>
          <w:szCs w:val="24"/>
        </w:rPr>
        <w:t xml:space="preserve"> года показывает, что</w:t>
      </w:r>
      <w:r w:rsidRPr="00E01F6C">
        <w:rPr>
          <w:rFonts w:ascii="Times New Roman" w:hAnsi="Times New Roman"/>
          <w:sz w:val="24"/>
          <w:szCs w:val="24"/>
        </w:rPr>
        <w:t xml:space="preserve"> </w:t>
      </w:r>
      <w:r w:rsidRPr="006A661B">
        <w:rPr>
          <w:rFonts w:ascii="Times New Roman" w:hAnsi="Times New Roman"/>
          <w:sz w:val="24"/>
          <w:szCs w:val="24"/>
        </w:rPr>
        <w:t>набольший объем инвестирования долгосрочного развития был освоен в промышленности (</w:t>
      </w:r>
      <w:r>
        <w:rPr>
          <w:rFonts w:ascii="Times New Roman" w:hAnsi="Times New Roman"/>
          <w:sz w:val="24"/>
          <w:szCs w:val="24"/>
        </w:rPr>
        <w:t>438,3</w:t>
      </w:r>
      <w:r w:rsidRPr="006A661B">
        <w:rPr>
          <w:rFonts w:ascii="Times New Roman" w:hAnsi="Times New Roman"/>
          <w:sz w:val="24"/>
          <w:szCs w:val="24"/>
        </w:rPr>
        <w:t xml:space="preserve"> млн. руб., или </w:t>
      </w:r>
      <w:r>
        <w:rPr>
          <w:rFonts w:ascii="Times New Roman" w:hAnsi="Times New Roman"/>
          <w:sz w:val="24"/>
          <w:szCs w:val="24"/>
        </w:rPr>
        <w:t>40,4</w:t>
      </w:r>
      <w:r w:rsidRPr="006A661B">
        <w:rPr>
          <w:rFonts w:ascii="Times New Roman" w:hAnsi="Times New Roman"/>
          <w:sz w:val="24"/>
          <w:szCs w:val="24"/>
        </w:rPr>
        <w:t>% всех инвестиций),</w:t>
      </w:r>
      <w:r>
        <w:rPr>
          <w:rFonts w:ascii="Times New Roman" w:hAnsi="Times New Roman"/>
          <w:sz w:val="24"/>
          <w:szCs w:val="24"/>
        </w:rPr>
        <w:t xml:space="preserve"> при этом на фоне</w:t>
      </w:r>
      <w:r w:rsidRPr="006A661B">
        <w:rPr>
          <w:rFonts w:ascii="Times New Roman" w:hAnsi="Times New Roman"/>
          <w:sz w:val="24"/>
          <w:szCs w:val="24"/>
        </w:rPr>
        <w:t xml:space="preserve"> недостаточн</w:t>
      </w:r>
      <w:r>
        <w:rPr>
          <w:rFonts w:ascii="Times New Roman" w:hAnsi="Times New Roman"/>
          <w:sz w:val="24"/>
          <w:szCs w:val="24"/>
        </w:rPr>
        <w:t>ого</w:t>
      </w:r>
      <w:r w:rsidRPr="006A661B">
        <w:rPr>
          <w:rFonts w:ascii="Times New Roman" w:hAnsi="Times New Roman"/>
          <w:sz w:val="24"/>
          <w:szCs w:val="24"/>
        </w:rPr>
        <w:t xml:space="preserve"> спрос</w:t>
      </w:r>
      <w:r>
        <w:rPr>
          <w:rFonts w:ascii="Times New Roman" w:hAnsi="Times New Roman"/>
          <w:sz w:val="24"/>
          <w:szCs w:val="24"/>
        </w:rPr>
        <w:t>а</w:t>
      </w:r>
      <w:r w:rsidRPr="006A661B">
        <w:rPr>
          <w:rFonts w:ascii="Times New Roman" w:hAnsi="Times New Roman"/>
          <w:sz w:val="24"/>
          <w:szCs w:val="24"/>
        </w:rPr>
        <w:t xml:space="preserve"> на продукцию, высокие процентные ставки по банковским кредитам, а также неопределенност</w:t>
      </w:r>
      <w:r>
        <w:rPr>
          <w:rFonts w:ascii="Times New Roman" w:hAnsi="Times New Roman"/>
          <w:sz w:val="24"/>
          <w:szCs w:val="24"/>
        </w:rPr>
        <w:t>и</w:t>
      </w:r>
      <w:r w:rsidRPr="006A661B">
        <w:rPr>
          <w:rFonts w:ascii="Times New Roman" w:hAnsi="Times New Roman"/>
          <w:sz w:val="24"/>
          <w:szCs w:val="24"/>
        </w:rPr>
        <w:t xml:space="preserve"> экономической и политической ситуации, абсолютная величина </w:t>
      </w:r>
      <w:r>
        <w:rPr>
          <w:rFonts w:ascii="Times New Roman" w:hAnsi="Times New Roman"/>
          <w:sz w:val="24"/>
          <w:szCs w:val="24"/>
        </w:rPr>
        <w:t>вложений</w:t>
      </w:r>
      <w:r w:rsidRPr="006A661B">
        <w:rPr>
          <w:rFonts w:ascii="Times New Roman" w:hAnsi="Times New Roman"/>
          <w:sz w:val="24"/>
          <w:szCs w:val="24"/>
        </w:rPr>
        <w:t xml:space="preserve"> </w:t>
      </w:r>
      <w:r>
        <w:rPr>
          <w:rFonts w:ascii="Times New Roman" w:hAnsi="Times New Roman"/>
          <w:sz w:val="24"/>
          <w:szCs w:val="24"/>
        </w:rPr>
        <w:t>сократилась</w:t>
      </w:r>
      <w:r w:rsidRPr="006A661B">
        <w:rPr>
          <w:rFonts w:ascii="Times New Roman" w:hAnsi="Times New Roman"/>
          <w:sz w:val="24"/>
          <w:szCs w:val="24"/>
        </w:rPr>
        <w:t xml:space="preserve"> к уровню </w:t>
      </w:r>
      <w:r>
        <w:rPr>
          <w:rFonts w:ascii="Times New Roman" w:hAnsi="Times New Roman"/>
          <w:sz w:val="24"/>
          <w:szCs w:val="24"/>
        </w:rPr>
        <w:t xml:space="preserve">базовых параметров </w:t>
      </w:r>
      <w:r w:rsidRPr="006A661B">
        <w:rPr>
          <w:rFonts w:ascii="Times New Roman" w:hAnsi="Times New Roman"/>
          <w:sz w:val="24"/>
          <w:szCs w:val="24"/>
        </w:rPr>
        <w:t xml:space="preserve">2015 года на </w:t>
      </w:r>
      <w:r>
        <w:rPr>
          <w:rFonts w:ascii="Times New Roman" w:hAnsi="Times New Roman"/>
          <w:sz w:val="24"/>
          <w:szCs w:val="24"/>
        </w:rPr>
        <w:t>12,4</w:t>
      </w:r>
      <w:r w:rsidRPr="006A661B">
        <w:rPr>
          <w:rFonts w:ascii="Times New Roman" w:hAnsi="Times New Roman"/>
          <w:sz w:val="24"/>
          <w:szCs w:val="24"/>
        </w:rPr>
        <w:t>%. П</w:t>
      </w:r>
      <w:r w:rsidRPr="00954092">
        <w:rPr>
          <w:rFonts w:ascii="Times New Roman" w:hAnsi="Times New Roman"/>
          <w:sz w:val="24"/>
          <w:szCs w:val="24"/>
        </w:rPr>
        <w:t>родолжились обновление и модернизация</w:t>
      </w:r>
      <w:r w:rsidRPr="006A661B">
        <w:rPr>
          <w:rFonts w:ascii="Times New Roman" w:hAnsi="Times New Roman"/>
          <w:sz w:val="24"/>
          <w:szCs w:val="24"/>
        </w:rPr>
        <w:t xml:space="preserve"> </w:t>
      </w:r>
      <w:r w:rsidRPr="00954092">
        <w:rPr>
          <w:rFonts w:ascii="Times New Roman" w:hAnsi="Times New Roman"/>
          <w:sz w:val="24"/>
          <w:szCs w:val="24"/>
        </w:rPr>
        <w:t>сельскохозяйственной техники</w:t>
      </w:r>
      <w:r w:rsidRPr="006A661B">
        <w:rPr>
          <w:rFonts w:ascii="Times New Roman" w:hAnsi="Times New Roman"/>
          <w:sz w:val="24"/>
          <w:szCs w:val="24"/>
        </w:rPr>
        <w:t xml:space="preserve">, однако масштабы инвестирования проектов сократились до </w:t>
      </w:r>
      <w:r>
        <w:rPr>
          <w:rFonts w:ascii="Times New Roman" w:hAnsi="Times New Roman"/>
          <w:sz w:val="24"/>
          <w:szCs w:val="24"/>
        </w:rPr>
        <w:t>64,5</w:t>
      </w:r>
      <w:r w:rsidRPr="00954092">
        <w:rPr>
          <w:rFonts w:ascii="Times New Roman" w:hAnsi="Times New Roman"/>
          <w:sz w:val="24"/>
          <w:szCs w:val="24"/>
        </w:rPr>
        <w:t xml:space="preserve"> млн</w:t>
      </w:r>
      <w:r w:rsidRPr="006A661B">
        <w:rPr>
          <w:rFonts w:ascii="Times New Roman" w:hAnsi="Times New Roman"/>
          <w:sz w:val="24"/>
          <w:szCs w:val="24"/>
        </w:rPr>
        <w:t>.</w:t>
      </w:r>
      <w:r w:rsidRPr="00954092">
        <w:rPr>
          <w:rFonts w:ascii="Times New Roman" w:hAnsi="Times New Roman"/>
          <w:sz w:val="24"/>
          <w:szCs w:val="24"/>
        </w:rPr>
        <w:t xml:space="preserve"> руб. </w:t>
      </w:r>
      <w:r w:rsidRPr="006A661B">
        <w:rPr>
          <w:rFonts w:ascii="Times New Roman" w:hAnsi="Times New Roman"/>
          <w:sz w:val="24"/>
          <w:szCs w:val="24"/>
        </w:rPr>
        <w:t xml:space="preserve">или на </w:t>
      </w:r>
      <w:r>
        <w:rPr>
          <w:rFonts w:ascii="Times New Roman" w:hAnsi="Times New Roman"/>
          <w:sz w:val="24"/>
          <w:szCs w:val="24"/>
        </w:rPr>
        <w:t>52,5</w:t>
      </w:r>
      <w:r w:rsidRPr="006A661B">
        <w:rPr>
          <w:rFonts w:ascii="Times New Roman" w:hAnsi="Times New Roman"/>
          <w:sz w:val="24"/>
          <w:szCs w:val="24"/>
        </w:rPr>
        <w:t>%</w:t>
      </w:r>
      <w:r w:rsidRPr="00954092">
        <w:rPr>
          <w:rFonts w:ascii="Times New Roman" w:hAnsi="Times New Roman"/>
          <w:sz w:val="24"/>
          <w:szCs w:val="24"/>
        </w:rPr>
        <w:t>.</w:t>
      </w:r>
      <w:r w:rsidRPr="006A661B">
        <w:rPr>
          <w:rFonts w:ascii="Times New Roman" w:hAnsi="Times New Roman"/>
          <w:sz w:val="24"/>
          <w:szCs w:val="24"/>
        </w:rPr>
        <w:t xml:space="preserve"> В числе отраслей, уступивших параметрам инвести</w:t>
      </w:r>
      <w:r>
        <w:rPr>
          <w:rFonts w:ascii="Times New Roman" w:hAnsi="Times New Roman"/>
          <w:sz w:val="24"/>
          <w:szCs w:val="24"/>
        </w:rPr>
        <w:t>ционных вложений</w:t>
      </w:r>
      <w:r w:rsidRPr="006A661B">
        <w:rPr>
          <w:rFonts w:ascii="Times New Roman" w:hAnsi="Times New Roman"/>
          <w:sz w:val="24"/>
          <w:szCs w:val="24"/>
        </w:rPr>
        <w:t xml:space="preserve"> 2015 года фигурируют практически все отрасли экономики, кроме </w:t>
      </w:r>
      <w:r>
        <w:rPr>
          <w:rFonts w:ascii="Times New Roman" w:hAnsi="Times New Roman"/>
          <w:sz w:val="24"/>
          <w:szCs w:val="24"/>
        </w:rPr>
        <w:t xml:space="preserve">предприятий связи, строительства и социального обеспечения, демонстрировавшие </w:t>
      </w:r>
      <w:r w:rsidRPr="006A661B">
        <w:rPr>
          <w:rFonts w:ascii="Times New Roman" w:hAnsi="Times New Roman"/>
          <w:sz w:val="24"/>
          <w:szCs w:val="24"/>
        </w:rPr>
        <w:t xml:space="preserve">расширение инвестиционной активности в </w:t>
      </w:r>
      <w:r>
        <w:rPr>
          <w:rFonts w:ascii="Times New Roman" w:hAnsi="Times New Roman"/>
          <w:sz w:val="24"/>
          <w:szCs w:val="24"/>
        </w:rPr>
        <w:t>2016 году  на 84,1%, 35,4% и 55,9% соответственно.</w:t>
      </w:r>
    </w:p>
    <w:p w:rsidR="00E34E0C" w:rsidRDefault="00E34E0C" w:rsidP="00E34E0C">
      <w:pPr>
        <w:spacing w:after="0" w:line="240" w:lineRule="auto"/>
        <w:ind w:firstLine="709"/>
        <w:jc w:val="both"/>
        <w:rPr>
          <w:rFonts w:ascii="Times New Roman" w:hAnsi="Times New Roman"/>
          <w:b/>
          <w:sz w:val="24"/>
          <w:szCs w:val="24"/>
          <w:u w:val="single"/>
        </w:rPr>
      </w:pPr>
    </w:p>
    <w:p w:rsidR="00E34E0C" w:rsidRPr="00D143B3" w:rsidRDefault="00E34E0C" w:rsidP="00E34E0C">
      <w:pPr>
        <w:spacing w:after="0" w:line="240" w:lineRule="auto"/>
        <w:ind w:firstLine="709"/>
        <w:jc w:val="both"/>
        <w:rPr>
          <w:rFonts w:ascii="Times New Roman" w:hAnsi="Times New Roman"/>
          <w:sz w:val="24"/>
        </w:rPr>
      </w:pPr>
      <w:r w:rsidRPr="00D143B3">
        <w:rPr>
          <w:rFonts w:ascii="Times New Roman" w:hAnsi="Times New Roman"/>
          <w:b/>
          <w:sz w:val="24"/>
          <w:szCs w:val="24"/>
          <w:u w:val="single"/>
        </w:rPr>
        <w:t>Агропромышленный комплекс</w:t>
      </w:r>
    </w:p>
    <w:p w:rsidR="00E34E0C" w:rsidRDefault="00E34E0C" w:rsidP="00E34E0C">
      <w:pPr>
        <w:spacing w:after="0" w:line="240" w:lineRule="auto"/>
        <w:ind w:firstLine="709"/>
        <w:jc w:val="both"/>
        <w:rPr>
          <w:rFonts w:ascii="Times New Roman" w:hAnsi="Times New Roman"/>
          <w:sz w:val="24"/>
          <w:szCs w:val="24"/>
        </w:rPr>
      </w:pPr>
    </w:p>
    <w:p w:rsidR="00E34E0C" w:rsidRDefault="00E34E0C" w:rsidP="00E34E0C">
      <w:pPr>
        <w:spacing w:after="0" w:line="240" w:lineRule="auto"/>
        <w:ind w:firstLine="709"/>
        <w:jc w:val="both"/>
        <w:rPr>
          <w:rFonts w:ascii="Times New Roman" w:hAnsi="Times New Roman"/>
          <w:sz w:val="24"/>
          <w:szCs w:val="24"/>
        </w:rPr>
      </w:pPr>
      <w:r w:rsidRPr="003664C9">
        <w:rPr>
          <w:rFonts w:ascii="Times New Roman" w:hAnsi="Times New Roman"/>
          <w:sz w:val="24"/>
          <w:szCs w:val="24"/>
        </w:rPr>
        <w:t>В 2016 году вследствие более благоприятных погодных условий и на фоне низких базовых показателей 2015 года достаточно успешно сработал аграрный комплекс. Объем валовой продукции сельского хозяйства по всем категориям хозяйств возрос на</w:t>
      </w:r>
      <w:r>
        <w:rPr>
          <w:rFonts w:ascii="Times New Roman" w:hAnsi="Times New Roman"/>
          <w:sz w:val="24"/>
          <w:szCs w:val="24"/>
        </w:rPr>
        <w:t xml:space="preserve"> </w:t>
      </w:r>
      <w:r w:rsidRPr="00463A35">
        <w:rPr>
          <w:rFonts w:ascii="Times New Roman" w:hAnsi="Times New Roman"/>
          <w:sz w:val="24"/>
          <w:szCs w:val="24"/>
        </w:rPr>
        <w:t>8,6%</w:t>
      </w:r>
      <w:r w:rsidRPr="003664C9">
        <w:rPr>
          <w:rFonts w:ascii="Times New Roman" w:hAnsi="Times New Roman"/>
          <w:sz w:val="24"/>
          <w:szCs w:val="24"/>
        </w:rPr>
        <w:t xml:space="preserve"> и составил 2 </w:t>
      </w:r>
      <w:r>
        <w:rPr>
          <w:rFonts w:ascii="Times New Roman" w:hAnsi="Times New Roman"/>
          <w:sz w:val="24"/>
          <w:szCs w:val="24"/>
        </w:rPr>
        <w:t>209</w:t>
      </w:r>
      <w:r w:rsidRPr="003664C9">
        <w:rPr>
          <w:rFonts w:ascii="Times New Roman" w:hAnsi="Times New Roman"/>
          <w:sz w:val="24"/>
          <w:szCs w:val="24"/>
        </w:rPr>
        <w:t>,</w:t>
      </w:r>
      <w:r>
        <w:rPr>
          <w:rFonts w:ascii="Times New Roman" w:hAnsi="Times New Roman"/>
          <w:sz w:val="24"/>
          <w:szCs w:val="24"/>
        </w:rPr>
        <w:t>1</w:t>
      </w:r>
      <w:r w:rsidRPr="00D143B3">
        <w:rPr>
          <w:rFonts w:ascii="Times New Roman" w:hAnsi="Times New Roman"/>
          <w:sz w:val="24"/>
          <w:szCs w:val="24"/>
        </w:rPr>
        <w:t xml:space="preserve"> </w:t>
      </w:r>
      <w:r>
        <w:rPr>
          <w:rFonts w:ascii="Times New Roman" w:hAnsi="Times New Roman"/>
          <w:sz w:val="24"/>
          <w:szCs w:val="24"/>
        </w:rPr>
        <w:t>млн. руб.</w:t>
      </w:r>
    </w:p>
    <w:p w:rsidR="00F75873" w:rsidRPr="00F75873" w:rsidRDefault="00F75873" w:rsidP="00E34E0C">
      <w:pPr>
        <w:spacing w:after="0" w:line="240" w:lineRule="auto"/>
        <w:ind w:firstLine="709"/>
        <w:jc w:val="both"/>
        <w:rPr>
          <w:rFonts w:ascii="Times New Roman" w:hAnsi="Times New Roman"/>
          <w:sz w:val="10"/>
          <w:szCs w:val="10"/>
        </w:rPr>
      </w:pPr>
    </w:p>
    <w:p w:rsidR="00E34E0C" w:rsidRDefault="00E34E0C" w:rsidP="00D6670C">
      <w:pPr>
        <w:spacing w:after="0" w:line="240" w:lineRule="auto"/>
        <w:ind w:left="-284"/>
        <w:jc w:val="both"/>
        <w:rPr>
          <w:rFonts w:ascii="Times New Roman" w:hAnsi="Times New Roman"/>
          <w:sz w:val="24"/>
          <w:szCs w:val="24"/>
        </w:rPr>
      </w:pPr>
      <w:r w:rsidRPr="00DF7247">
        <w:rPr>
          <w:rFonts w:ascii="Times New Roman" w:hAnsi="Times New Roman"/>
          <w:noProof/>
          <w:sz w:val="24"/>
          <w:szCs w:val="24"/>
        </w:rPr>
        <w:drawing>
          <wp:inline distT="0" distB="0" distL="0" distR="0">
            <wp:extent cx="6362700" cy="1866900"/>
            <wp:effectExtent l="0" t="0" r="0" b="0"/>
            <wp:docPr id="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34E0C" w:rsidRDefault="00E34E0C" w:rsidP="00E34E0C">
      <w:pPr>
        <w:spacing w:after="0" w:line="240" w:lineRule="auto"/>
        <w:ind w:firstLine="709"/>
        <w:jc w:val="both"/>
        <w:rPr>
          <w:rFonts w:ascii="Times New Roman" w:hAnsi="Times New Roman"/>
          <w:sz w:val="24"/>
          <w:szCs w:val="24"/>
        </w:rPr>
      </w:pPr>
      <w:r w:rsidRPr="00FB5017">
        <w:rPr>
          <w:rFonts w:ascii="Times New Roman" w:eastAsia="Calibri" w:hAnsi="Times New Roman"/>
          <w:i/>
          <w:spacing w:val="2"/>
          <w:sz w:val="18"/>
          <w:szCs w:val="18"/>
          <w:lang w:eastAsia="en-US"/>
        </w:rPr>
        <w:t>*</w:t>
      </w:r>
      <w:r w:rsidRPr="00FB5017">
        <w:rPr>
          <w:rFonts w:ascii="Times New Roman" w:eastAsia="Calibri" w:hAnsi="Times New Roman"/>
          <w:spacing w:val="2"/>
          <w:sz w:val="18"/>
          <w:szCs w:val="18"/>
          <w:lang w:eastAsia="en-US"/>
        </w:rPr>
        <w:t>-</w:t>
      </w:r>
      <w:r w:rsidRPr="00FB5017">
        <w:rPr>
          <w:rFonts w:ascii="Times New Roman" w:eastAsia="Calibri" w:hAnsi="Times New Roman"/>
          <w:i/>
          <w:spacing w:val="2"/>
          <w:sz w:val="18"/>
          <w:szCs w:val="18"/>
          <w:lang w:eastAsia="en-US"/>
        </w:rPr>
        <w:t xml:space="preserve"> </w:t>
      </w:r>
      <w:r w:rsidRPr="00FB5017">
        <w:rPr>
          <w:rFonts w:ascii="Times New Roman" w:eastAsia="Calibri" w:hAnsi="Times New Roman"/>
          <w:spacing w:val="2"/>
          <w:sz w:val="18"/>
          <w:szCs w:val="18"/>
          <w:lang w:eastAsia="en-US"/>
        </w:rPr>
        <w:t>темпы роста</w:t>
      </w:r>
      <w:r>
        <w:rPr>
          <w:rFonts w:ascii="Times New Roman" w:eastAsia="Calibri" w:hAnsi="Times New Roman"/>
          <w:spacing w:val="2"/>
          <w:sz w:val="18"/>
          <w:szCs w:val="18"/>
          <w:lang w:eastAsia="en-US"/>
        </w:rPr>
        <w:t xml:space="preserve"> (спада)</w:t>
      </w:r>
      <w:r w:rsidRPr="00FB5017">
        <w:rPr>
          <w:rFonts w:ascii="Times New Roman" w:eastAsia="Calibri" w:hAnsi="Times New Roman"/>
          <w:spacing w:val="2"/>
          <w:sz w:val="18"/>
          <w:szCs w:val="18"/>
          <w:lang w:eastAsia="en-US"/>
        </w:rPr>
        <w:t xml:space="preserve"> приведены к уточнённым данным ГСС</w:t>
      </w:r>
    </w:p>
    <w:p w:rsidR="00656A17" w:rsidRPr="00656A17" w:rsidRDefault="00656A17" w:rsidP="00E34E0C">
      <w:pPr>
        <w:tabs>
          <w:tab w:val="left" w:pos="4253"/>
          <w:tab w:val="left" w:pos="5529"/>
        </w:tabs>
        <w:spacing w:after="0" w:line="240" w:lineRule="auto"/>
        <w:ind w:firstLine="709"/>
        <w:jc w:val="both"/>
        <w:rPr>
          <w:rFonts w:ascii="Times New Roman" w:hAnsi="Times New Roman"/>
          <w:sz w:val="10"/>
          <w:szCs w:val="10"/>
        </w:rPr>
      </w:pPr>
    </w:p>
    <w:p w:rsidR="00E34E0C" w:rsidRDefault="00E34E0C" w:rsidP="00E34E0C">
      <w:pPr>
        <w:tabs>
          <w:tab w:val="left" w:pos="4253"/>
          <w:tab w:val="left" w:pos="5529"/>
        </w:tabs>
        <w:spacing w:after="0" w:line="240" w:lineRule="auto"/>
        <w:ind w:firstLine="709"/>
        <w:jc w:val="both"/>
        <w:rPr>
          <w:rFonts w:ascii="Times New Roman" w:hAnsi="Times New Roman"/>
          <w:sz w:val="24"/>
          <w:szCs w:val="24"/>
        </w:rPr>
      </w:pPr>
      <w:r w:rsidRPr="00716498">
        <w:rPr>
          <w:rFonts w:ascii="Times New Roman" w:hAnsi="Times New Roman"/>
          <w:sz w:val="24"/>
          <w:szCs w:val="24"/>
        </w:rPr>
        <w:t>Положительные тенденции, связанные с благоприятными погодными условиями 2016</w:t>
      </w:r>
      <w:r w:rsidR="00F75873">
        <w:rPr>
          <w:rFonts w:ascii="Times New Roman" w:hAnsi="Times New Roman"/>
          <w:sz w:val="24"/>
          <w:szCs w:val="24"/>
        </w:rPr>
        <w:t> </w:t>
      </w:r>
      <w:r w:rsidRPr="00716498">
        <w:rPr>
          <w:rFonts w:ascii="Times New Roman" w:hAnsi="Times New Roman"/>
          <w:sz w:val="24"/>
          <w:szCs w:val="24"/>
        </w:rPr>
        <w:t xml:space="preserve">года, способствовали получению высоких показателей в растениеводческой отрасли практически по всем культурам. </w:t>
      </w:r>
      <w:r w:rsidRPr="00666512">
        <w:rPr>
          <w:rFonts w:ascii="Times New Roman" w:hAnsi="Times New Roman"/>
          <w:sz w:val="24"/>
          <w:szCs w:val="24"/>
        </w:rPr>
        <w:t>Вместе с этим, наблюдалась отрицательная динамика валового сбора плодов («-»2,1%) и винограда («-»22,8%) к уровню 2015 года, обусловленная низкими температурами весной, что спровоцировало развитие болезни многолетних насаждений.</w:t>
      </w:r>
    </w:p>
    <w:p w:rsidR="00F75873" w:rsidRDefault="00F75873" w:rsidP="00E34E0C">
      <w:pPr>
        <w:tabs>
          <w:tab w:val="left" w:pos="4253"/>
          <w:tab w:val="left" w:pos="5529"/>
        </w:tabs>
        <w:spacing w:after="0" w:line="240" w:lineRule="auto"/>
        <w:ind w:firstLine="709"/>
        <w:jc w:val="both"/>
        <w:rPr>
          <w:rFonts w:ascii="Times New Roman" w:hAnsi="Times New Roman"/>
          <w:sz w:val="24"/>
          <w:szCs w:val="24"/>
        </w:rPr>
      </w:pPr>
    </w:p>
    <w:p w:rsidR="0059595E" w:rsidRPr="00656A17" w:rsidRDefault="0059595E" w:rsidP="0059595E">
      <w:pPr>
        <w:spacing w:after="0" w:line="240" w:lineRule="auto"/>
        <w:ind w:firstLine="709"/>
        <w:jc w:val="right"/>
        <w:rPr>
          <w:rFonts w:ascii="Times New Roman" w:eastAsia="Calibri" w:hAnsi="Times New Roman"/>
          <w:sz w:val="24"/>
          <w:szCs w:val="24"/>
        </w:rPr>
      </w:pPr>
      <w:r w:rsidRPr="00656A17">
        <w:rPr>
          <w:rFonts w:ascii="Times New Roman" w:eastAsia="Calibri" w:hAnsi="Times New Roman"/>
          <w:sz w:val="24"/>
          <w:szCs w:val="24"/>
        </w:rPr>
        <w:lastRenderedPageBreak/>
        <w:t>Таблица №1</w:t>
      </w:r>
    </w:p>
    <w:p w:rsidR="00E34E0C" w:rsidRPr="00666512" w:rsidRDefault="00E34E0C" w:rsidP="00E34E0C">
      <w:pPr>
        <w:spacing w:after="0" w:line="240" w:lineRule="auto"/>
        <w:ind w:firstLine="709"/>
        <w:jc w:val="center"/>
        <w:rPr>
          <w:rFonts w:ascii="Times New Roman" w:eastAsia="Calibri" w:hAnsi="Times New Roman"/>
          <w:b/>
        </w:rPr>
      </w:pPr>
      <w:r w:rsidRPr="00666512">
        <w:rPr>
          <w:rFonts w:ascii="Times New Roman" w:eastAsia="Calibri" w:hAnsi="Times New Roman"/>
          <w:b/>
        </w:rPr>
        <w:t xml:space="preserve">Производство основных сельскохозяйственных культур </w:t>
      </w:r>
    </w:p>
    <w:p w:rsidR="00E34E0C" w:rsidRDefault="00E34E0C" w:rsidP="00E34E0C">
      <w:pPr>
        <w:spacing w:after="0" w:line="240" w:lineRule="auto"/>
        <w:ind w:firstLine="709"/>
        <w:jc w:val="center"/>
        <w:rPr>
          <w:rFonts w:ascii="Times New Roman" w:eastAsia="Calibri" w:hAnsi="Times New Roman"/>
          <w:b/>
        </w:rPr>
      </w:pPr>
      <w:r w:rsidRPr="00666512">
        <w:rPr>
          <w:rFonts w:ascii="Times New Roman" w:eastAsia="Calibri" w:hAnsi="Times New Roman"/>
          <w:b/>
        </w:rPr>
        <w:t>во всех категориях хозяйств за 2015 -2016 годы</w:t>
      </w:r>
    </w:p>
    <w:p w:rsidR="009A47C4" w:rsidRDefault="009A47C4" w:rsidP="00E34E0C">
      <w:pPr>
        <w:spacing w:after="0" w:line="240" w:lineRule="auto"/>
        <w:ind w:firstLine="709"/>
        <w:jc w:val="center"/>
        <w:rPr>
          <w:rFonts w:ascii="Times New Roman" w:eastAsia="Calibri" w:hAnsi="Times New Roman"/>
          <w:b/>
        </w:rPr>
      </w:pPr>
    </w:p>
    <w:tbl>
      <w:tblPr>
        <w:tblW w:w="9714" w:type="dxa"/>
        <w:tblInd w:w="108" w:type="dxa"/>
        <w:tblLayout w:type="fixed"/>
        <w:tblLook w:val="0000"/>
      </w:tblPr>
      <w:tblGrid>
        <w:gridCol w:w="3143"/>
        <w:gridCol w:w="897"/>
        <w:gridCol w:w="1103"/>
        <w:gridCol w:w="1338"/>
        <w:gridCol w:w="947"/>
        <w:gridCol w:w="960"/>
        <w:gridCol w:w="1326"/>
      </w:tblGrid>
      <w:tr w:rsidR="00E34E0C" w:rsidRPr="00666512" w:rsidTr="007D340E">
        <w:trPr>
          <w:trHeight w:val="397"/>
        </w:trPr>
        <w:tc>
          <w:tcPr>
            <w:tcW w:w="31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34E0C" w:rsidRPr="00666512" w:rsidRDefault="00E34E0C" w:rsidP="003B2047">
            <w:pPr>
              <w:spacing w:after="0" w:line="240" w:lineRule="auto"/>
              <w:jc w:val="center"/>
              <w:rPr>
                <w:rFonts w:ascii="Times New Roman" w:eastAsia="Calibri" w:hAnsi="Times New Roman"/>
                <w:bCs/>
              </w:rPr>
            </w:pPr>
            <w:r w:rsidRPr="00666512">
              <w:rPr>
                <w:rFonts w:ascii="Times New Roman" w:eastAsia="Calibri" w:hAnsi="Times New Roman"/>
                <w:bCs/>
              </w:rPr>
              <w:t>Культуры</w:t>
            </w:r>
          </w:p>
        </w:tc>
        <w:tc>
          <w:tcPr>
            <w:tcW w:w="3338" w:type="dxa"/>
            <w:gridSpan w:val="3"/>
            <w:tcBorders>
              <w:top w:val="single" w:sz="4" w:space="0" w:color="auto"/>
              <w:left w:val="nil"/>
              <w:bottom w:val="single" w:sz="4" w:space="0" w:color="auto"/>
              <w:right w:val="single" w:sz="4" w:space="0" w:color="auto"/>
            </w:tcBorders>
            <w:shd w:val="clear" w:color="auto" w:fill="auto"/>
            <w:vAlign w:val="center"/>
          </w:tcPr>
          <w:p w:rsidR="00E34E0C" w:rsidRPr="00666512" w:rsidRDefault="00E34E0C" w:rsidP="003B2047">
            <w:pPr>
              <w:spacing w:after="0" w:line="240" w:lineRule="auto"/>
              <w:jc w:val="center"/>
              <w:rPr>
                <w:rFonts w:ascii="Times New Roman" w:eastAsia="Calibri" w:hAnsi="Times New Roman"/>
                <w:bCs/>
              </w:rPr>
            </w:pPr>
            <w:r w:rsidRPr="00666512">
              <w:rPr>
                <w:rFonts w:ascii="Times New Roman" w:eastAsia="Calibri" w:hAnsi="Times New Roman"/>
                <w:bCs/>
              </w:rPr>
              <w:t>Валовой сбор, тыс. тонн</w:t>
            </w:r>
          </w:p>
        </w:tc>
        <w:tc>
          <w:tcPr>
            <w:tcW w:w="3233" w:type="dxa"/>
            <w:gridSpan w:val="3"/>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3B2047">
            <w:pPr>
              <w:spacing w:after="0" w:line="240" w:lineRule="auto"/>
              <w:ind w:left="-288"/>
              <w:jc w:val="center"/>
              <w:rPr>
                <w:rFonts w:ascii="Times New Roman" w:eastAsia="Calibri" w:hAnsi="Times New Roman"/>
                <w:bCs/>
              </w:rPr>
            </w:pPr>
            <w:r w:rsidRPr="00666512">
              <w:rPr>
                <w:rFonts w:ascii="Times New Roman" w:eastAsia="Calibri" w:hAnsi="Times New Roman"/>
                <w:bCs/>
              </w:rPr>
              <w:t>Средняя урожайность, ц/га*</w:t>
            </w:r>
          </w:p>
        </w:tc>
      </w:tr>
      <w:tr w:rsidR="00E34E0C" w:rsidRPr="00666512" w:rsidTr="007D340E">
        <w:trPr>
          <w:trHeight w:val="460"/>
        </w:trPr>
        <w:tc>
          <w:tcPr>
            <w:tcW w:w="3143" w:type="dxa"/>
            <w:vMerge/>
            <w:tcBorders>
              <w:top w:val="single" w:sz="4" w:space="0" w:color="auto"/>
              <w:left w:val="single" w:sz="4" w:space="0" w:color="auto"/>
              <w:bottom w:val="single" w:sz="4" w:space="0" w:color="auto"/>
              <w:right w:val="single" w:sz="4" w:space="0" w:color="auto"/>
            </w:tcBorders>
            <w:vAlign w:val="center"/>
          </w:tcPr>
          <w:p w:rsidR="00E34E0C" w:rsidRPr="00666512" w:rsidRDefault="00E34E0C" w:rsidP="003B2047">
            <w:pPr>
              <w:spacing w:after="0" w:line="240" w:lineRule="auto"/>
              <w:rPr>
                <w:rFonts w:ascii="Times New Roman" w:eastAsia="Calibri" w:hAnsi="Times New Roman"/>
                <w:bCs/>
              </w:rPr>
            </w:pPr>
          </w:p>
        </w:tc>
        <w:tc>
          <w:tcPr>
            <w:tcW w:w="897" w:type="dxa"/>
            <w:tcBorders>
              <w:top w:val="nil"/>
              <w:left w:val="nil"/>
              <w:bottom w:val="single" w:sz="4" w:space="0" w:color="auto"/>
              <w:right w:val="single" w:sz="4" w:space="0" w:color="auto"/>
            </w:tcBorders>
            <w:shd w:val="clear" w:color="auto" w:fill="auto"/>
            <w:vAlign w:val="center"/>
          </w:tcPr>
          <w:p w:rsidR="00E34E0C" w:rsidRPr="00666512" w:rsidRDefault="00E34E0C" w:rsidP="0087075E">
            <w:pPr>
              <w:spacing w:after="0" w:line="240" w:lineRule="auto"/>
              <w:ind w:left="-108" w:right="-68"/>
              <w:jc w:val="center"/>
              <w:rPr>
                <w:rFonts w:ascii="Times New Roman" w:eastAsia="Calibri" w:hAnsi="Times New Roman"/>
                <w:bCs/>
              </w:rPr>
            </w:pPr>
            <w:r w:rsidRPr="00666512">
              <w:rPr>
                <w:rFonts w:ascii="Times New Roman" w:eastAsia="Calibri" w:hAnsi="Times New Roman"/>
                <w:bCs/>
              </w:rPr>
              <w:t>2015</w:t>
            </w:r>
            <w:r w:rsidR="0087075E">
              <w:rPr>
                <w:rFonts w:ascii="Times New Roman" w:eastAsia="Calibri" w:hAnsi="Times New Roman"/>
                <w:bCs/>
              </w:rPr>
              <w:t xml:space="preserve"> </w:t>
            </w:r>
            <w:r w:rsidRPr="00666512">
              <w:rPr>
                <w:rFonts w:ascii="Times New Roman" w:eastAsia="Calibri" w:hAnsi="Times New Roman"/>
                <w:bCs/>
              </w:rPr>
              <w:t>год</w:t>
            </w:r>
          </w:p>
        </w:tc>
        <w:tc>
          <w:tcPr>
            <w:tcW w:w="1103" w:type="dxa"/>
            <w:tcBorders>
              <w:top w:val="nil"/>
              <w:left w:val="nil"/>
              <w:bottom w:val="single" w:sz="4" w:space="0" w:color="auto"/>
              <w:right w:val="single" w:sz="4" w:space="0" w:color="auto"/>
            </w:tcBorders>
            <w:shd w:val="clear" w:color="auto" w:fill="auto"/>
            <w:vAlign w:val="center"/>
          </w:tcPr>
          <w:p w:rsidR="00E34E0C" w:rsidRPr="00666512" w:rsidRDefault="0087075E" w:rsidP="009A47C4">
            <w:pPr>
              <w:spacing w:after="0" w:line="240" w:lineRule="auto"/>
              <w:ind w:left="-6"/>
              <w:jc w:val="center"/>
              <w:rPr>
                <w:rFonts w:ascii="Times New Roman" w:eastAsia="Calibri" w:hAnsi="Times New Roman"/>
                <w:bCs/>
              </w:rPr>
            </w:pPr>
            <w:r>
              <w:rPr>
                <w:rFonts w:ascii="Times New Roman" w:eastAsia="Calibri" w:hAnsi="Times New Roman"/>
                <w:bCs/>
              </w:rPr>
              <w:t xml:space="preserve">2016 </w:t>
            </w:r>
            <w:r w:rsidR="00E34E0C" w:rsidRPr="00666512">
              <w:rPr>
                <w:rFonts w:ascii="Times New Roman" w:eastAsia="Calibri" w:hAnsi="Times New Roman"/>
                <w:bCs/>
              </w:rPr>
              <w:t>год</w:t>
            </w:r>
          </w:p>
        </w:tc>
        <w:tc>
          <w:tcPr>
            <w:tcW w:w="1338" w:type="dxa"/>
            <w:tcBorders>
              <w:top w:val="nil"/>
              <w:left w:val="nil"/>
              <w:bottom w:val="single" w:sz="4" w:space="0" w:color="auto"/>
              <w:right w:val="single" w:sz="4" w:space="0" w:color="auto"/>
            </w:tcBorders>
            <w:shd w:val="clear" w:color="auto" w:fill="auto"/>
            <w:vAlign w:val="center"/>
          </w:tcPr>
          <w:p w:rsidR="0087075E" w:rsidRDefault="00E34E0C" w:rsidP="0087075E">
            <w:pPr>
              <w:spacing w:after="0" w:line="240" w:lineRule="auto"/>
              <w:ind w:left="-108"/>
              <w:jc w:val="center"/>
              <w:rPr>
                <w:rFonts w:ascii="Times New Roman" w:eastAsia="Calibri" w:hAnsi="Times New Roman"/>
                <w:bCs/>
              </w:rPr>
            </w:pPr>
            <w:r w:rsidRPr="00666512">
              <w:rPr>
                <w:rFonts w:ascii="Times New Roman" w:eastAsia="Calibri" w:hAnsi="Times New Roman"/>
                <w:bCs/>
              </w:rPr>
              <w:t xml:space="preserve">Темп роста </w:t>
            </w:r>
          </w:p>
          <w:p w:rsidR="00E34E0C" w:rsidRPr="00666512" w:rsidRDefault="00E34E0C" w:rsidP="0087075E">
            <w:pPr>
              <w:spacing w:after="0" w:line="240" w:lineRule="auto"/>
              <w:ind w:left="-108"/>
              <w:jc w:val="center"/>
              <w:rPr>
                <w:rFonts w:ascii="Times New Roman" w:eastAsia="Calibri" w:hAnsi="Times New Roman"/>
                <w:bCs/>
              </w:rPr>
            </w:pPr>
            <w:r w:rsidRPr="00666512">
              <w:rPr>
                <w:rFonts w:ascii="Times New Roman" w:eastAsia="Calibri" w:hAnsi="Times New Roman"/>
                <w:bCs/>
              </w:rPr>
              <w:t>в % к 2015г.</w:t>
            </w:r>
          </w:p>
        </w:tc>
        <w:tc>
          <w:tcPr>
            <w:tcW w:w="947" w:type="dxa"/>
            <w:tcBorders>
              <w:top w:val="nil"/>
              <w:left w:val="nil"/>
              <w:bottom w:val="single" w:sz="4" w:space="0" w:color="auto"/>
              <w:right w:val="single" w:sz="4" w:space="0" w:color="auto"/>
            </w:tcBorders>
            <w:shd w:val="clear" w:color="auto" w:fill="auto"/>
            <w:vAlign w:val="center"/>
          </w:tcPr>
          <w:p w:rsidR="00E34E0C" w:rsidRPr="00666512" w:rsidRDefault="00E34E0C" w:rsidP="0087075E">
            <w:pPr>
              <w:spacing w:after="0" w:line="240" w:lineRule="auto"/>
              <w:ind w:left="-92" w:right="-68"/>
              <w:jc w:val="center"/>
              <w:rPr>
                <w:rFonts w:ascii="Times New Roman" w:eastAsia="Calibri" w:hAnsi="Times New Roman"/>
                <w:bCs/>
              </w:rPr>
            </w:pPr>
            <w:r w:rsidRPr="00666512">
              <w:rPr>
                <w:rFonts w:ascii="Times New Roman" w:eastAsia="Calibri" w:hAnsi="Times New Roman"/>
                <w:bCs/>
              </w:rPr>
              <w:t>2015 год</w:t>
            </w:r>
          </w:p>
        </w:tc>
        <w:tc>
          <w:tcPr>
            <w:tcW w:w="960" w:type="dxa"/>
            <w:tcBorders>
              <w:top w:val="nil"/>
              <w:left w:val="nil"/>
              <w:bottom w:val="single" w:sz="4" w:space="0" w:color="auto"/>
              <w:right w:val="single" w:sz="4" w:space="0" w:color="auto"/>
            </w:tcBorders>
            <w:shd w:val="clear" w:color="auto" w:fill="auto"/>
            <w:vAlign w:val="center"/>
          </w:tcPr>
          <w:p w:rsidR="00E34E0C" w:rsidRPr="00666512" w:rsidRDefault="00E34E0C" w:rsidP="0087075E">
            <w:pPr>
              <w:spacing w:after="0" w:line="240" w:lineRule="auto"/>
              <w:ind w:left="-148" w:right="-108"/>
              <w:jc w:val="center"/>
              <w:rPr>
                <w:rFonts w:ascii="Times New Roman" w:eastAsia="Calibri" w:hAnsi="Times New Roman"/>
                <w:bCs/>
              </w:rPr>
            </w:pPr>
            <w:r w:rsidRPr="00666512">
              <w:rPr>
                <w:rFonts w:ascii="Times New Roman" w:eastAsia="Calibri" w:hAnsi="Times New Roman"/>
                <w:bCs/>
              </w:rPr>
              <w:t>2016 год</w:t>
            </w:r>
          </w:p>
        </w:tc>
        <w:tc>
          <w:tcPr>
            <w:tcW w:w="1326" w:type="dxa"/>
            <w:tcBorders>
              <w:top w:val="nil"/>
              <w:left w:val="nil"/>
              <w:bottom w:val="single" w:sz="4" w:space="0" w:color="auto"/>
              <w:right w:val="single" w:sz="4" w:space="0" w:color="auto"/>
            </w:tcBorders>
            <w:shd w:val="clear" w:color="auto" w:fill="auto"/>
            <w:vAlign w:val="center"/>
          </w:tcPr>
          <w:p w:rsidR="00E34E0C" w:rsidRPr="00666512" w:rsidRDefault="00E34E0C" w:rsidP="009A47C4">
            <w:pPr>
              <w:spacing w:after="0" w:line="240" w:lineRule="auto"/>
              <w:ind w:left="-141" w:right="-108"/>
              <w:jc w:val="center"/>
              <w:rPr>
                <w:rFonts w:ascii="Times New Roman" w:eastAsia="Calibri" w:hAnsi="Times New Roman"/>
                <w:bCs/>
              </w:rPr>
            </w:pPr>
            <w:r w:rsidRPr="00666512">
              <w:rPr>
                <w:rFonts w:ascii="Times New Roman" w:eastAsia="Calibri" w:hAnsi="Times New Roman"/>
                <w:bCs/>
              </w:rPr>
              <w:t>Темп роста</w:t>
            </w:r>
          </w:p>
          <w:p w:rsidR="00E34E0C" w:rsidRPr="00666512" w:rsidRDefault="004B168F" w:rsidP="004B168F">
            <w:pPr>
              <w:spacing w:after="0" w:line="240" w:lineRule="auto"/>
              <w:ind w:left="-141" w:right="-108"/>
              <w:jc w:val="center"/>
              <w:rPr>
                <w:rFonts w:ascii="Times New Roman" w:eastAsia="Calibri" w:hAnsi="Times New Roman"/>
                <w:bCs/>
              </w:rPr>
            </w:pPr>
            <w:r>
              <w:rPr>
                <w:rFonts w:ascii="Times New Roman" w:eastAsia="Calibri" w:hAnsi="Times New Roman"/>
                <w:bCs/>
              </w:rPr>
              <w:t xml:space="preserve"> в % к 2015</w:t>
            </w:r>
            <w:r w:rsidR="00E34E0C" w:rsidRPr="00666512">
              <w:rPr>
                <w:rFonts w:ascii="Times New Roman" w:eastAsia="Calibri" w:hAnsi="Times New Roman"/>
                <w:bCs/>
              </w:rPr>
              <w:t>г.</w:t>
            </w:r>
          </w:p>
        </w:tc>
      </w:tr>
      <w:tr w:rsidR="00E34E0C" w:rsidRPr="00666512" w:rsidTr="007D340E">
        <w:trPr>
          <w:trHeight w:val="444"/>
        </w:trPr>
        <w:tc>
          <w:tcPr>
            <w:tcW w:w="3143" w:type="dxa"/>
            <w:tcBorders>
              <w:top w:val="single" w:sz="4" w:space="0" w:color="auto"/>
              <w:left w:val="single" w:sz="4" w:space="0" w:color="auto"/>
              <w:bottom w:val="single" w:sz="4" w:space="0" w:color="auto"/>
              <w:right w:val="single" w:sz="4" w:space="0" w:color="auto"/>
            </w:tcBorders>
            <w:shd w:val="clear" w:color="auto" w:fill="auto"/>
            <w:vAlign w:val="center"/>
          </w:tcPr>
          <w:p w:rsidR="00E34E0C" w:rsidRPr="00666512" w:rsidRDefault="00E34E0C" w:rsidP="0087075E">
            <w:pPr>
              <w:spacing w:after="0" w:line="240" w:lineRule="auto"/>
              <w:ind w:right="-108"/>
              <w:rPr>
                <w:rFonts w:ascii="Times New Roman" w:eastAsia="Calibri" w:hAnsi="Times New Roman"/>
                <w:bCs/>
              </w:rPr>
            </w:pPr>
            <w:r w:rsidRPr="00666512">
              <w:rPr>
                <w:rFonts w:ascii="Times New Roman" w:eastAsia="Calibri" w:hAnsi="Times New Roman"/>
                <w:bCs/>
              </w:rPr>
              <w:t>Зерновые и зернобобовые культуры</w:t>
            </w:r>
          </w:p>
        </w:tc>
        <w:tc>
          <w:tcPr>
            <w:tcW w:w="897"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380,6</w:t>
            </w:r>
          </w:p>
        </w:tc>
        <w:tc>
          <w:tcPr>
            <w:tcW w:w="1103"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hAnsi="Times New Roman"/>
              </w:rPr>
            </w:pPr>
            <w:r w:rsidRPr="00666512">
              <w:rPr>
                <w:rFonts w:ascii="Times New Roman" w:hAnsi="Times New Roman"/>
              </w:rPr>
              <w:t>538,7</w:t>
            </w:r>
          </w:p>
        </w:tc>
        <w:tc>
          <w:tcPr>
            <w:tcW w:w="1338"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141,5</w:t>
            </w:r>
          </w:p>
        </w:tc>
        <w:tc>
          <w:tcPr>
            <w:tcW w:w="947"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33,2</w:t>
            </w:r>
          </w:p>
        </w:tc>
        <w:tc>
          <w:tcPr>
            <w:tcW w:w="960"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hAnsi="Times New Roman"/>
              </w:rPr>
            </w:pPr>
            <w:r w:rsidRPr="00666512">
              <w:rPr>
                <w:rFonts w:ascii="Times New Roman" w:hAnsi="Times New Roman"/>
              </w:rPr>
              <w:t>44,1</w:t>
            </w:r>
          </w:p>
        </w:tc>
        <w:tc>
          <w:tcPr>
            <w:tcW w:w="1326" w:type="dxa"/>
            <w:tcBorders>
              <w:top w:val="single" w:sz="4" w:space="0" w:color="auto"/>
              <w:left w:val="nil"/>
              <w:bottom w:val="single" w:sz="4" w:space="0" w:color="auto"/>
              <w:right w:val="single" w:sz="4" w:space="0" w:color="auto"/>
            </w:tcBorders>
            <w:shd w:val="clear" w:color="auto" w:fill="auto"/>
            <w:noWrap/>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132,8</w:t>
            </w:r>
          </w:p>
        </w:tc>
      </w:tr>
      <w:tr w:rsidR="00E34E0C" w:rsidRPr="00666512" w:rsidTr="007D340E">
        <w:trPr>
          <w:trHeight w:val="255"/>
        </w:trPr>
        <w:tc>
          <w:tcPr>
            <w:tcW w:w="3143" w:type="dxa"/>
            <w:tcBorders>
              <w:top w:val="single" w:sz="4" w:space="0" w:color="auto"/>
              <w:left w:val="single" w:sz="4" w:space="0" w:color="auto"/>
              <w:bottom w:val="single" w:sz="4" w:space="0" w:color="auto"/>
              <w:right w:val="single" w:sz="4" w:space="0" w:color="auto"/>
            </w:tcBorders>
            <w:shd w:val="clear" w:color="auto" w:fill="auto"/>
          </w:tcPr>
          <w:p w:rsidR="00E34E0C" w:rsidRPr="00666512" w:rsidRDefault="00E34E0C" w:rsidP="0087075E">
            <w:pPr>
              <w:spacing w:after="0" w:line="240" w:lineRule="auto"/>
              <w:ind w:right="-108"/>
              <w:rPr>
                <w:rFonts w:ascii="Times New Roman" w:eastAsia="Calibri" w:hAnsi="Times New Roman"/>
                <w:bCs/>
              </w:rPr>
            </w:pPr>
            <w:r w:rsidRPr="00666512">
              <w:rPr>
                <w:rFonts w:ascii="Times New Roman" w:eastAsia="Calibri" w:hAnsi="Times New Roman"/>
                <w:bCs/>
              </w:rPr>
              <w:t>из них: озимая пшеница</w:t>
            </w:r>
          </w:p>
        </w:tc>
        <w:tc>
          <w:tcPr>
            <w:tcW w:w="897"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258,2</w:t>
            </w:r>
          </w:p>
        </w:tc>
        <w:tc>
          <w:tcPr>
            <w:tcW w:w="1103"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hAnsi="Times New Roman"/>
              </w:rPr>
            </w:pPr>
            <w:r w:rsidRPr="00666512">
              <w:rPr>
                <w:rFonts w:ascii="Times New Roman" w:hAnsi="Times New Roman"/>
              </w:rPr>
              <w:t>361,8</w:t>
            </w:r>
          </w:p>
        </w:tc>
        <w:tc>
          <w:tcPr>
            <w:tcW w:w="1338"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140,1</w:t>
            </w:r>
          </w:p>
        </w:tc>
        <w:tc>
          <w:tcPr>
            <w:tcW w:w="947"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37,0</w:t>
            </w:r>
          </w:p>
        </w:tc>
        <w:tc>
          <w:tcPr>
            <w:tcW w:w="960"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hAnsi="Times New Roman"/>
              </w:rPr>
            </w:pPr>
            <w:r w:rsidRPr="00666512">
              <w:rPr>
                <w:rFonts w:ascii="Times New Roman" w:hAnsi="Times New Roman"/>
              </w:rPr>
              <w:t>44,9</w:t>
            </w:r>
          </w:p>
        </w:tc>
        <w:tc>
          <w:tcPr>
            <w:tcW w:w="1326" w:type="dxa"/>
            <w:tcBorders>
              <w:top w:val="single" w:sz="4" w:space="0" w:color="auto"/>
              <w:left w:val="nil"/>
              <w:bottom w:val="single" w:sz="4" w:space="0" w:color="auto"/>
              <w:right w:val="single" w:sz="4" w:space="0" w:color="auto"/>
            </w:tcBorders>
            <w:shd w:val="clear" w:color="auto" w:fill="auto"/>
            <w:noWrap/>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121,4</w:t>
            </w:r>
          </w:p>
        </w:tc>
      </w:tr>
      <w:tr w:rsidR="00E34E0C" w:rsidRPr="00666512" w:rsidTr="007D340E">
        <w:trPr>
          <w:trHeight w:val="165"/>
        </w:trPr>
        <w:tc>
          <w:tcPr>
            <w:tcW w:w="3143" w:type="dxa"/>
            <w:tcBorders>
              <w:top w:val="single" w:sz="4" w:space="0" w:color="auto"/>
              <w:left w:val="single" w:sz="4" w:space="0" w:color="auto"/>
              <w:bottom w:val="single" w:sz="4" w:space="0" w:color="auto"/>
              <w:right w:val="single" w:sz="4" w:space="0" w:color="auto"/>
            </w:tcBorders>
            <w:shd w:val="clear" w:color="auto" w:fill="auto"/>
          </w:tcPr>
          <w:p w:rsidR="00E34E0C" w:rsidRPr="00666512" w:rsidRDefault="00E34E0C" w:rsidP="0087075E">
            <w:pPr>
              <w:spacing w:after="0" w:line="240" w:lineRule="auto"/>
              <w:ind w:right="-108"/>
              <w:rPr>
                <w:rFonts w:ascii="Times New Roman" w:eastAsia="Calibri" w:hAnsi="Times New Roman"/>
                <w:bCs/>
              </w:rPr>
            </w:pPr>
            <w:r w:rsidRPr="00666512">
              <w:rPr>
                <w:rFonts w:ascii="Times New Roman" w:eastAsia="Calibri" w:hAnsi="Times New Roman"/>
                <w:bCs/>
              </w:rPr>
              <w:t>кукуруза на зерно</w:t>
            </w:r>
          </w:p>
        </w:tc>
        <w:tc>
          <w:tcPr>
            <w:tcW w:w="897"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56,8</w:t>
            </w:r>
          </w:p>
        </w:tc>
        <w:tc>
          <w:tcPr>
            <w:tcW w:w="1103"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hAnsi="Times New Roman"/>
              </w:rPr>
            </w:pPr>
            <w:r w:rsidRPr="00666512">
              <w:rPr>
                <w:rFonts w:ascii="Times New Roman" w:hAnsi="Times New Roman"/>
              </w:rPr>
              <w:t>93,3</w:t>
            </w:r>
          </w:p>
        </w:tc>
        <w:tc>
          <w:tcPr>
            <w:tcW w:w="1338"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164,3</w:t>
            </w:r>
          </w:p>
        </w:tc>
        <w:tc>
          <w:tcPr>
            <w:tcW w:w="947"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26,8</w:t>
            </w:r>
          </w:p>
        </w:tc>
        <w:tc>
          <w:tcPr>
            <w:tcW w:w="960"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hAnsi="Times New Roman"/>
              </w:rPr>
            </w:pPr>
            <w:r w:rsidRPr="00666512">
              <w:rPr>
                <w:rFonts w:ascii="Times New Roman" w:hAnsi="Times New Roman"/>
              </w:rPr>
              <w:t>55,3</w:t>
            </w:r>
          </w:p>
        </w:tc>
        <w:tc>
          <w:tcPr>
            <w:tcW w:w="1326" w:type="dxa"/>
            <w:tcBorders>
              <w:top w:val="single" w:sz="4" w:space="0" w:color="auto"/>
              <w:left w:val="nil"/>
              <w:bottom w:val="single" w:sz="4" w:space="0" w:color="auto"/>
              <w:right w:val="single" w:sz="4" w:space="0" w:color="auto"/>
            </w:tcBorders>
            <w:shd w:val="clear" w:color="auto" w:fill="auto"/>
            <w:noWrap/>
            <w:vAlign w:val="bottom"/>
          </w:tcPr>
          <w:p w:rsidR="00E34E0C" w:rsidRPr="00666512" w:rsidRDefault="0087075E" w:rsidP="0087075E">
            <w:pPr>
              <w:spacing w:after="0" w:line="240" w:lineRule="auto"/>
              <w:jc w:val="right"/>
              <w:rPr>
                <w:rFonts w:ascii="Times New Roman" w:eastAsia="Calibri" w:hAnsi="Times New Roman"/>
              </w:rPr>
            </w:pPr>
            <w:r>
              <w:rPr>
                <w:rFonts w:ascii="Times New Roman" w:eastAsia="Calibri" w:hAnsi="Times New Roman"/>
              </w:rPr>
              <w:t xml:space="preserve">в </w:t>
            </w:r>
            <w:r w:rsidR="00E34E0C" w:rsidRPr="00666512">
              <w:rPr>
                <w:rFonts w:ascii="Times New Roman" w:eastAsia="Calibri" w:hAnsi="Times New Roman"/>
              </w:rPr>
              <w:t>2,1 р.</w:t>
            </w:r>
          </w:p>
        </w:tc>
      </w:tr>
      <w:tr w:rsidR="00E34E0C" w:rsidRPr="00666512" w:rsidTr="007D340E">
        <w:trPr>
          <w:trHeight w:val="256"/>
        </w:trPr>
        <w:tc>
          <w:tcPr>
            <w:tcW w:w="3143" w:type="dxa"/>
            <w:tcBorders>
              <w:top w:val="single" w:sz="4" w:space="0" w:color="auto"/>
              <w:left w:val="single" w:sz="4" w:space="0" w:color="auto"/>
              <w:bottom w:val="single" w:sz="4" w:space="0" w:color="auto"/>
              <w:right w:val="single" w:sz="4" w:space="0" w:color="auto"/>
            </w:tcBorders>
            <w:shd w:val="clear" w:color="auto" w:fill="auto"/>
          </w:tcPr>
          <w:p w:rsidR="00E34E0C" w:rsidRPr="00666512" w:rsidRDefault="00E34E0C" w:rsidP="0087075E">
            <w:pPr>
              <w:spacing w:after="0" w:line="240" w:lineRule="auto"/>
              <w:ind w:right="-108"/>
              <w:rPr>
                <w:rFonts w:ascii="Times New Roman" w:eastAsia="Calibri" w:hAnsi="Times New Roman"/>
                <w:bCs/>
              </w:rPr>
            </w:pPr>
            <w:r w:rsidRPr="00666512">
              <w:rPr>
                <w:rFonts w:ascii="Times New Roman" w:eastAsia="Calibri" w:hAnsi="Times New Roman"/>
                <w:bCs/>
              </w:rPr>
              <w:t>Подсолнечник на зерно</w:t>
            </w:r>
          </w:p>
        </w:tc>
        <w:tc>
          <w:tcPr>
            <w:tcW w:w="897"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77,5</w:t>
            </w:r>
          </w:p>
        </w:tc>
        <w:tc>
          <w:tcPr>
            <w:tcW w:w="1103"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hAnsi="Times New Roman"/>
              </w:rPr>
            </w:pPr>
            <w:r w:rsidRPr="00666512">
              <w:rPr>
                <w:rFonts w:ascii="Times New Roman" w:hAnsi="Times New Roman"/>
              </w:rPr>
              <w:t>112,3</w:t>
            </w:r>
          </w:p>
        </w:tc>
        <w:tc>
          <w:tcPr>
            <w:tcW w:w="1338"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144,9</w:t>
            </w:r>
          </w:p>
        </w:tc>
        <w:tc>
          <w:tcPr>
            <w:tcW w:w="947"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15,7</w:t>
            </w:r>
          </w:p>
        </w:tc>
        <w:tc>
          <w:tcPr>
            <w:tcW w:w="960"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hAnsi="Times New Roman"/>
              </w:rPr>
            </w:pPr>
            <w:r w:rsidRPr="00666512">
              <w:rPr>
                <w:rFonts w:ascii="Times New Roman" w:hAnsi="Times New Roman"/>
              </w:rPr>
              <w:t>20,9</w:t>
            </w:r>
          </w:p>
        </w:tc>
        <w:tc>
          <w:tcPr>
            <w:tcW w:w="1326" w:type="dxa"/>
            <w:tcBorders>
              <w:top w:val="single" w:sz="4" w:space="0" w:color="auto"/>
              <w:left w:val="nil"/>
              <w:bottom w:val="single" w:sz="4" w:space="0" w:color="auto"/>
              <w:right w:val="single" w:sz="4" w:space="0" w:color="auto"/>
            </w:tcBorders>
            <w:shd w:val="clear" w:color="auto" w:fill="auto"/>
            <w:noWrap/>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133,1</w:t>
            </w:r>
          </w:p>
        </w:tc>
      </w:tr>
      <w:tr w:rsidR="00E34E0C" w:rsidRPr="00666512" w:rsidTr="007D340E">
        <w:trPr>
          <w:trHeight w:val="152"/>
        </w:trPr>
        <w:tc>
          <w:tcPr>
            <w:tcW w:w="3143" w:type="dxa"/>
            <w:tcBorders>
              <w:top w:val="single" w:sz="4" w:space="0" w:color="auto"/>
              <w:left w:val="single" w:sz="4" w:space="0" w:color="auto"/>
              <w:bottom w:val="single" w:sz="4" w:space="0" w:color="auto"/>
              <w:right w:val="single" w:sz="4" w:space="0" w:color="auto"/>
            </w:tcBorders>
            <w:shd w:val="clear" w:color="auto" w:fill="auto"/>
          </w:tcPr>
          <w:p w:rsidR="00E34E0C" w:rsidRPr="00666512" w:rsidRDefault="00E34E0C" w:rsidP="0087075E">
            <w:pPr>
              <w:spacing w:after="0" w:line="240" w:lineRule="auto"/>
              <w:ind w:right="-108"/>
              <w:rPr>
                <w:rFonts w:ascii="Times New Roman" w:eastAsia="Calibri" w:hAnsi="Times New Roman"/>
                <w:bCs/>
              </w:rPr>
            </w:pPr>
            <w:r w:rsidRPr="00666512">
              <w:rPr>
                <w:rFonts w:ascii="Times New Roman" w:eastAsia="Calibri" w:hAnsi="Times New Roman"/>
                <w:bCs/>
              </w:rPr>
              <w:t>Картофель</w:t>
            </w:r>
          </w:p>
        </w:tc>
        <w:tc>
          <w:tcPr>
            <w:tcW w:w="897"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5,6</w:t>
            </w:r>
          </w:p>
        </w:tc>
        <w:tc>
          <w:tcPr>
            <w:tcW w:w="1103"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hAnsi="Times New Roman"/>
              </w:rPr>
            </w:pPr>
            <w:r w:rsidRPr="00666512">
              <w:rPr>
                <w:rFonts w:ascii="Times New Roman" w:hAnsi="Times New Roman"/>
              </w:rPr>
              <w:t>6,3</w:t>
            </w:r>
          </w:p>
        </w:tc>
        <w:tc>
          <w:tcPr>
            <w:tcW w:w="1338"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112,5</w:t>
            </w:r>
          </w:p>
        </w:tc>
        <w:tc>
          <w:tcPr>
            <w:tcW w:w="947"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194,2</w:t>
            </w:r>
          </w:p>
        </w:tc>
        <w:tc>
          <w:tcPr>
            <w:tcW w:w="960"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hAnsi="Times New Roman"/>
              </w:rPr>
            </w:pPr>
            <w:r w:rsidRPr="00666512">
              <w:rPr>
                <w:rFonts w:ascii="Times New Roman" w:hAnsi="Times New Roman"/>
              </w:rPr>
              <w:t>262,9</w:t>
            </w:r>
          </w:p>
        </w:tc>
        <w:tc>
          <w:tcPr>
            <w:tcW w:w="1326" w:type="dxa"/>
            <w:tcBorders>
              <w:top w:val="single" w:sz="4" w:space="0" w:color="auto"/>
              <w:left w:val="nil"/>
              <w:bottom w:val="single" w:sz="4" w:space="0" w:color="auto"/>
              <w:right w:val="single" w:sz="4" w:space="0" w:color="auto"/>
            </w:tcBorders>
            <w:shd w:val="clear" w:color="auto" w:fill="auto"/>
            <w:noWrap/>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135,4</w:t>
            </w:r>
          </w:p>
        </w:tc>
      </w:tr>
      <w:tr w:rsidR="00E34E0C" w:rsidRPr="00666512" w:rsidTr="007D340E">
        <w:trPr>
          <w:trHeight w:val="272"/>
        </w:trPr>
        <w:tc>
          <w:tcPr>
            <w:tcW w:w="3143" w:type="dxa"/>
            <w:tcBorders>
              <w:top w:val="single" w:sz="4" w:space="0" w:color="auto"/>
              <w:left w:val="single" w:sz="4" w:space="0" w:color="auto"/>
              <w:bottom w:val="single" w:sz="4" w:space="0" w:color="auto"/>
              <w:right w:val="single" w:sz="4" w:space="0" w:color="auto"/>
            </w:tcBorders>
            <w:shd w:val="clear" w:color="auto" w:fill="auto"/>
            <w:vAlign w:val="center"/>
          </w:tcPr>
          <w:p w:rsidR="00E34E0C" w:rsidRPr="00666512" w:rsidRDefault="00E34E0C" w:rsidP="0087075E">
            <w:pPr>
              <w:spacing w:after="0" w:line="240" w:lineRule="auto"/>
              <w:ind w:right="-108"/>
              <w:rPr>
                <w:rFonts w:ascii="Times New Roman" w:eastAsia="Calibri" w:hAnsi="Times New Roman"/>
                <w:iCs/>
              </w:rPr>
            </w:pPr>
            <w:r w:rsidRPr="00666512">
              <w:rPr>
                <w:rFonts w:ascii="Times New Roman" w:eastAsia="Calibri" w:hAnsi="Times New Roman"/>
                <w:iCs/>
              </w:rPr>
              <w:t>Овощи открытого грунта</w:t>
            </w:r>
          </w:p>
        </w:tc>
        <w:tc>
          <w:tcPr>
            <w:tcW w:w="897"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31,8</w:t>
            </w:r>
          </w:p>
        </w:tc>
        <w:tc>
          <w:tcPr>
            <w:tcW w:w="1103"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hAnsi="Times New Roman"/>
              </w:rPr>
            </w:pPr>
            <w:r w:rsidRPr="00666512">
              <w:rPr>
                <w:rFonts w:ascii="Times New Roman" w:hAnsi="Times New Roman"/>
              </w:rPr>
              <w:t>39,8</w:t>
            </w:r>
          </w:p>
        </w:tc>
        <w:tc>
          <w:tcPr>
            <w:tcW w:w="1338"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125,2</w:t>
            </w:r>
          </w:p>
        </w:tc>
        <w:tc>
          <w:tcPr>
            <w:tcW w:w="947"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191,7</w:t>
            </w:r>
          </w:p>
        </w:tc>
        <w:tc>
          <w:tcPr>
            <w:tcW w:w="960"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hAnsi="Times New Roman"/>
              </w:rPr>
            </w:pPr>
            <w:r w:rsidRPr="00666512">
              <w:rPr>
                <w:rFonts w:ascii="Times New Roman" w:hAnsi="Times New Roman"/>
              </w:rPr>
              <w:t>164,3</w:t>
            </w:r>
          </w:p>
        </w:tc>
        <w:tc>
          <w:tcPr>
            <w:tcW w:w="1326"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85,7</w:t>
            </w:r>
          </w:p>
        </w:tc>
      </w:tr>
      <w:tr w:rsidR="00E34E0C" w:rsidRPr="00666512" w:rsidTr="007D340E">
        <w:trPr>
          <w:trHeight w:val="120"/>
        </w:trPr>
        <w:tc>
          <w:tcPr>
            <w:tcW w:w="3143" w:type="dxa"/>
            <w:tcBorders>
              <w:top w:val="single" w:sz="4" w:space="0" w:color="auto"/>
              <w:left w:val="single" w:sz="4" w:space="0" w:color="auto"/>
              <w:bottom w:val="single" w:sz="4" w:space="0" w:color="auto"/>
              <w:right w:val="single" w:sz="4" w:space="0" w:color="auto"/>
            </w:tcBorders>
            <w:shd w:val="clear" w:color="auto" w:fill="auto"/>
          </w:tcPr>
          <w:p w:rsidR="00E34E0C" w:rsidRPr="00666512" w:rsidRDefault="00E34E0C" w:rsidP="0087075E">
            <w:pPr>
              <w:spacing w:after="0" w:line="240" w:lineRule="auto"/>
              <w:ind w:right="-108"/>
              <w:rPr>
                <w:rFonts w:ascii="Times New Roman" w:eastAsia="Calibri" w:hAnsi="Times New Roman"/>
                <w:iCs/>
              </w:rPr>
            </w:pPr>
            <w:r w:rsidRPr="00666512">
              <w:rPr>
                <w:rFonts w:ascii="Times New Roman" w:eastAsia="Calibri" w:hAnsi="Times New Roman"/>
                <w:iCs/>
              </w:rPr>
              <w:t>Плоды</w:t>
            </w:r>
          </w:p>
        </w:tc>
        <w:tc>
          <w:tcPr>
            <w:tcW w:w="897"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14,5</w:t>
            </w:r>
          </w:p>
        </w:tc>
        <w:tc>
          <w:tcPr>
            <w:tcW w:w="1103"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hAnsi="Times New Roman"/>
              </w:rPr>
            </w:pPr>
            <w:r w:rsidRPr="00666512">
              <w:rPr>
                <w:rFonts w:ascii="Times New Roman" w:hAnsi="Times New Roman"/>
              </w:rPr>
              <w:t>14,2</w:t>
            </w:r>
          </w:p>
        </w:tc>
        <w:tc>
          <w:tcPr>
            <w:tcW w:w="1338"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97,9</w:t>
            </w:r>
          </w:p>
        </w:tc>
        <w:tc>
          <w:tcPr>
            <w:tcW w:w="947"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84,4**</w:t>
            </w:r>
          </w:p>
        </w:tc>
        <w:tc>
          <w:tcPr>
            <w:tcW w:w="960"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hAnsi="Times New Roman"/>
              </w:rPr>
            </w:pPr>
            <w:r w:rsidRPr="00666512">
              <w:rPr>
                <w:rFonts w:ascii="Times New Roman" w:hAnsi="Times New Roman"/>
              </w:rPr>
              <w:t>84,5**</w:t>
            </w:r>
          </w:p>
        </w:tc>
        <w:tc>
          <w:tcPr>
            <w:tcW w:w="1326"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tabs>
                <w:tab w:val="left" w:pos="867"/>
              </w:tabs>
              <w:spacing w:after="0" w:line="240" w:lineRule="auto"/>
              <w:jc w:val="right"/>
              <w:rPr>
                <w:rFonts w:ascii="Times New Roman" w:eastAsia="Calibri" w:hAnsi="Times New Roman"/>
              </w:rPr>
            </w:pPr>
            <w:r w:rsidRPr="00666512">
              <w:rPr>
                <w:rFonts w:ascii="Times New Roman" w:eastAsia="Calibri" w:hAnsi="Times New Roman"/>
              </w:rPr>
              <w:t>100,1</w:t>
            </w:r>
          </w:p>
        </w:tc>
      </w:tr>
      <w:tr w:rsidR="00E34E0C" w:rsidRPr="00666512" w:rsidTr="007D340E">
        <w:trPr>
          <w:trHeight w:val="213"/>
        </w:trPr>
        <w:tc>
          <w:tcPr>
            <w:tcW w:w="3143" w:type="dxa"/>
            <w:tcBorders>
              <w:top w:val="single" w:sz="4" w:space="0" w:color="auto"/>
              <w:left w:val="single" w:sz="4" w:space="0" w:color="auto"/>
              <w:bottom w:val="single" w:sz="4" w:space="0" w:color="auto"/>
              <w:right w:val="single" w:sz="4" w:space="0" w:color="auto"/>
            </w:tcBorders>
            <w:shd w:val="clear" w:color="auto" w:fill="auto"/>
          </w:tcPr>
          <w:p w:rsidR="00E34E0C" w:rsidRPr="00666512" w:rsidRDefault="00E34E0C" w:rsidP="0087075E">
            <w:pPr>
              <w:spacing w:after="0" w:line="240" w:lineRule="auto"/>
              <w:ind w:right="-108"/>
              <w:rPr>
                <w:rFonts w:ascii="Times New Roman" w:eastAsia="Calibri" w:hAnsi="Times New Roman"/>
                <w:iCs/>
              </w:rPr>
            </w:pPr>
            <w:r w:rsidRPr="00666512">
              <w:rPr>
                <w:rFonts w:ascii="Times New Roman" w:eastAsia="Calibri" w:hAnsi="Times New Roman"/>
                <w:iCs/>
              </w:rPr>
              <w:t>Виноград</w:t>
            </w:r>
          </w:p>
        </w:tc>
        <w:tc>
          <w:tcPr>
            <w:tcW w:w="897"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23,2</w:t>
            </w:r>
          </w:p>
        </w:tc>
        <w:tc>
          <w:tcPr>
            <w:tcW w:w="1103"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hAnsi="Times New Roman"/>
              </w:rPr>
            </w:pPr>
            <w:r w:rsidRPr="00666512">
              <w:rPr>
                <w:rFonts w:ascii="Times New Roman" w:hAnsi="Times New Roman"/>
              </w:rPr>
              <w:t>17,9</w:t>
            </w:r>
          </w:p>
        </w:tc>
        <w:tc>
          <w:tcPr>
            <w:tcW w:w="1338"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77,2</w:t>
            </w:r>
          </w:p>
        </w:tc>
        <w:tc>
          <w:tcPr>
            <w:tcW w:w="947"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103,0**</w:t>
            </w:r>
          </w:p>
        </w:tc>
        <w:tc>
          <w:tcPr>
            <w:tcW w:w="960"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hAnsi="Times New Roman"/>
              </w:rPr>
            </w:pPr>
            <w:r w:rsidRPr="00666512">
              <w:rPr>
                <w:rFonts w:ascii="Times New Roman" w:hAnsi="Times New Roman"/>
              </w:rPr>
              <w:t>74,3**</w:t>
            </w:r>
          </w:p>
        </w:tc>
        <w:tc>
          <w:tcPr>
            <w:tcW w:w="1326" w:type="dxa"/>
            <w:tcBorders>
              <w:top w:val="single" w:sz="4" w:space="0" w:color="auto"/>
              <w:left w:val="nil"/>
              <w:bottom w:val="single" w:sz="4" w:space="0" w:color="auto"/>
              <w:right w:val="single" w:sz="4" w:space="0" w:color="auto"/>
            </w:tcBorders>
            <w:shd w:val="clear" w:color="auto" w:fill="auto"/>
            <w:vAlign w:val="bottom"/>
          </w:tcPr>
          <w:p w:rsidR="00E34E0C" w:rsidRPr="00666512" w:rsidRDefault="00E34E0C" w:rsidP="0087075E">
            <w:pPr>
              <w:spacing w:after="0" w:line="240" w:lineRule="auto"/>
              <w:jc w:val="right"/>
              <w:rPr>
                <w:rFonts w:ascii="Times New Roman" w:eastAsia="Calibri" w:hAnsi="Times New Roman"/>
              </w:rPr>
            </w:pPr>
            <w:r w:rsidRPr="00666512">
              <w:rPr>
                <w:rFonts w:ascii="Times New Roman" w:eastAsia="Calibri" w:hAnsi="Times New Roman"/>
              </w:rPr>
              <w:t>72,1</w:t>
            </w:r>
          </w:p>
        </w:tc>
      </w:tr>
    </w:tbl>
    <w:p w:rsidR="00E34E0C" w:rsidRPr="00666512" w:rsidRDefault="00E34E0C" w:rsidP="00E34E0C">
      <w:pPr>
        <w:tabs>
          <w:tab w:val="left" w:pos="7020"/>
          <w:tab w:val="left" w:pos="8460"/>
        </w:tabs>
        <w:spacing w:after="0" w:line="240" w:lineRule="auto"/>
        <w:ind w:firstLine="709"/>
        <w:rPr>
          <w:rFonts w:ascii="Times New Roman" w:eastAsia="Calibri" w:hAnsi="Times New Roman"/>
          <w:sz w:val="20"/>
          <w:szCs w:val="20"/>
        </w:rPr>
      </w:pPr>
      <w:r w:rsidRPr="00666512">
        <w:rPr>
          <w:rFonts w:ascii="Times New Roman" w:eastAsia="Calibri" w:hAnsi="Times New Roman"/>
          <w:sz w:val="20"/>
          <w:szCs w:val="20"/>
        </w:rPr>
        <w:t>*- средняя урожайность, ц/га  с уборочной площади;</w:t>
      </w:r>
    </w:p>
    <w:p w:rsidR="00E34E0C" w:rsidRDefault="00E34E0C" w:rsidP="00E34E0C">
      <w:pPr>
        <w:tabs>
          <w:tab w:val="left" w:pos="8460"/>
        </w:tabs>
        <w:spacing w:after="0" w:line="240" w:lineRule="auto"/>
        <w:ind w:firstLine="709"/>
        <w:rPr>
          <w:rFonts w:ascii="Times New Roman" w:eastAsia="Calibri" w:hAnsi="Times New Roman"/>
          <w:sz w:val="20"/>
          <w:szCs w:val="20"/>
        </w:rPr>
      </w:pPr>
      <w:r w:rsidRPr="00666512">
        <w:rPr>
          <w:rFonts w:ascii="Times New Roman" w:eastAsia="Calibri" w:hAnsi="Times New Roman"/>
          <w:sz w:val="20"/>
          <w:szCs w:val="20"/>
        </w:rPr>
        <w:t xml:space="preserve">**- средняя урожайность, ц/га с площади в плодоносящем возрасте </w:t>
      </w:r>
    </w:p>
    <w:p w:rsidR="008E5079" w:rsidRPr="008E5079" w:rsidRDefault="008E5079" w:rsidP="00E34E0C">
      <w:pPr>
        <w:tabs>
          <w:tab w:val="left" w:pos="8460"/>
        </w:tabs>
        <w:spacing w:after="0" w:line="240" w:lineRule="auto"/>
        <w:ind w:firstLine="709"/>
        <w:rPr>
          <w:rFonts w:ascii="Times New Roman" w:eastAsia="Calibri" w:hAnsi="Times New Roman"/>
          <w:sz w:val="10"/>
          <w:szCs w:val="10"/>
        </w:rPr>
      </w:pPr>
    </w:p>
    <w:p w:rsidR="00E34E0C" w:rsidRPr="00B555ED" w:rsidRDefault="00E34E0C" w:rsidP="00E34E0C">
      <w:pPr>
        <w:tabs>
          <w:tab w:val="left" w:pos="8647"/>
        </w:tabs>
        <w:spacing w:after="0" w:line="240" w:lineRule="auto"/>
        <w:ind w:firstLine="709"/>
        <w:jc w:val="both"/>
        <w:rPr>
          <w:rFonts w:ascii="Times New Roman" w:hAnsi="Times New Roman"/>
          <w:sz w:val="24"/>
          <w:szCs w:val="24"/>
        </w:rPr>
      </w:pPr>
      <w:r>
        <w:rPr>
          <w:rFonts w:ascii="Times New Roman" w:eastAsia="Calibri" w:hAnsi="Times New Roman"/>
          <w:sz w:val="24"/>
          <w:szCs w:val="24"/>
        </w:rPr>
        <w:t>П</w:t>
      </w:r>
      <w:r w:rsidRPr="00C657E8">
        <w:rPr>
          <w:rFonts w:ascii="Times New Roman" w:eastAsia="Calibri" w:hAnsi="Times New Roman"/>
          <w:sz w:val="24"/>
          <w:szCs w:val="24"/>
        </w:rPr>
        <w:t>роблемной отраслью сельского хозяйства остается животноводство.</w:t>
      </w:r>
      <w:r w:rsidRPr="00C657E8">
        <w:rPr>
          <w:rFonts w:ascii="Times New Roman" w:hAnsi="Times New Roman"/>
          <w:sz w:val="24"/>
          <w:szCs w:val="24"/>
        </w:rPr>
        <w:t xml:space="preserve"> По состоянию на 1 января 2017 года к соответствующей дате 2016 года зафиксирован спад поголовья крупного рогатого скота («-»4,</w:t>
      </w:r>
      <w:r>
        <w:rPr>
          <w:rFonts w:ascii="Times New Roman" w:hAnsi="Times New Roman"/>
          <w:sz w:val="24"/>
          <w:szCs w:val="24"/>
        </w:rPr>
        <w:t>9</w:t>
      </w:r>
      <w:r w:rsidRPr="00C657E8">
        <w:rPr>
          <w:rFonts w:ascii="Times New Roman" w:hAnsi="Times New Roman"/>
          <w:sz w:val="24"/>
          <w:szCs w:val="24"/>
        </w:rPr>
        <w:t xml:space="preserve">%), свиней («-»1,8%), овец и коз («-»3,1%), при этом поголовье птицы выросло на 10,4%. Также в 2016 году по отношению к уровню 2015 года наблюдается снижение производства молока коровьего и яиц куриных соответственно на </w:t>
      </w:r>
      <w:r>
        <w:rPr>
          <w:rFonts w:ascii="Times New Roman" w:hAnsi="Times New Roman"/>
          <w:sz w:val="24"/>
          <w:szCs w:val="24"/>
        </w:rPr>
        <w:t>8,2</w:t>
      </w:r>
      <w:r w:rsidRPr="00C657E8">
        <w:rPr>
          <w:rFonts w:ascii="Times New Roman" w:hAnsi="Times New Roman"/>
          <w:sz w:val="24"/>
          <w:szCs w:val="24"/>
        </w:rPr>
        <w:t xml:space="preserve">% и на </w:t>
      </w:r>
      <w:r>
        <w:rPr>
          <w:rFonts w:ascii="Times New Roman" w:hAnsi="Times New Roman"/>
          <w:sz w:val="24"/>
          <w:szCs w:val="24"/>
        </w:rPr>
        <w:t>74,0</w:t>
      </w:r>
      <w:r w:rsidRPr="00C657E8">
        <w:rPr>
          <w:rFonts w:ascii="Times New Roman" w:hAnsi="Times New Roman"/>
          <w:sz w:val="24"/>
          <w:szCs w:val="24"/>
        </w:rPr>
        <w:t xml:space="preserve">%, что обусловлено сокращением поголовья коров молочного стада и поголовья кур-несушек. При этом в рассматриваемом периоде возрос объем реализации скота и птицы на убой (в живом весе) на </w:t>
      </w:r>
      <w:r>
        <w:rPr>
          <w:rFonts w:ascii="Times New Roman" w:hAnsi="Times New Roman"/>
          <w:sz w:val="24"/>
          <w:szCs w:val="24"/>
        </w:rPr>
        <w:t>34,8</w:t>
      </w:r>
      <w:r w:rsidRPr="00C657E8">
        <w:rPr>
          <w:rFonts w:ascii="Times New Roman" w:hAnsi="Times New Roman"/>
          <w:sz w:val="24"/>
          <w:szCs w:val="24"/>
        </w:rPr>
        <w:t>%.</w:t>
      </w:r>
    </w:p>
    <w:p w:rsidR="00E34E0C" w:rsidRPr="00666512" w:rsidRDefault="00E34E0C" w:rsidP="00E34E0C">
      <w:pPr>
        <w:shd w:val="clear" w:color="auto" w:fill="FFFFFF"/>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Таким образом,</w:t>
      </w:r>
      <w:r w:rsidRPr="00B555ED">
        <w:rPr>
          <w:rFonts w:ascii="Times New Roman" w:hAnsi="Times New Roman"/>
          <w:sz w:val="24"/>
          <w:szCs w:val="24"/>
        </w:rPr>
        <w:t xml:space="preserve"> в агропромышленном комплексе республики отмечаются положительные тенденции в развитии растениеводческой отрасли, что обусловлено расширением площадей орошаемых земель, смещением ориентиров в сторону выращивания и производства сельскохозяйственной продукции с более высокой добавленной стоимостью, внедрением интенсивных и ресурсосберегающих технологий, высокоурожайных и элитных сортов, а также использованием современной высокопроизводительной техники</w:t>
      </w:r>
      <w:r w:rsidRPr="009E48D5">
        <w:rPr>
          <w:rFonts w:ascii="Times New Roman" w:hAnsi="Times New Roman"/>
          <w:sz w:val="24"/>
          <w:szCs w:val="24"/>
        </w:rPr>
        <w:t>. Однако общая ситуация в животноводческой отрасли остаётся по-прежнему сложной и требует государственной поддержки в долгосрочной перспективе. Основными сдерживающими факторами развития отрасли, помимо высоких цен на корма и высокие процентные ставки по кредитам на фоне длительного периода окупаемости инвестиционных вложений выступают низкая инвестиционная привлекательность отрасли. Отрасль становится непривлекательна для молодых специалистов, в республике наблюдается</w:t>
      </w:r>
      <w:r w:rsidRPr="00666512">
        <w:rPr>
          <w:rFonts w:ascii="Times New Roman" w:hAnsi="Times New Roman"/>
          <w:sz w:val="24"/>
          <w:szCs w:val="24"/>
        </w:rPr>
        <w:t xml:space="preserve"> дефицит специалистов (зоотехники, селекционеры, техники-осеменаторы).</w:t>
      </w:r>
    </w:p>
    <w:p w:rsidR="00E34E0C" w:rsidRDefault="00E34E0C" w:rsidP="00E34E0C">
      <w:pPr>
        <w:shd w:val="clear" w:color="auto" w:fill="FFFFFF"/>
        <w:autoSpaceDE w:val="0"/>
        <w:autoSpaceDN w:val="0"/>
        <w:adjustRightInd w:val="0"/>
        <w:spacing w:after="0" w:line="240" w:lineRule="auto"/>
        <w:ind w:firstLine="709"/>
        <w:contextualSpacing/>
        <w:jc w:val="both"/>
        <w:rPr>
          <w:rFonts w:ascii="Times New Roman" w:hAnsi="Times New Roman"/>
          <w:sz w:val="24"/>
          <w:szCs w:val="24"/>
        </w:rPr>
      </w:pPr>
    </w:p>
    <w:p w:rsidR="00E34E0C" w:rsidRDefault="00E34E0C" w:rsidP="00E34E0C">
      <w:pPr>
        <w:spacing w:after="0" w:line="240" w:lineRule="auto"/>
        <w:ind w:firstLine="709"/>
        <w:jc w:val="both"/>
        <w:rPr>
          <w:rFonts w:ascii="Times New Roman" w:hAnsi="Times New Roman"/>
          <w:b/>
          <w:sz w:val="24"/>
          <w:szCs w:val="24"/>
          <w:u w:val="single"/>
        </w:rPr>
      </w:pPr>
      <w:r w:rsidRPr="00747D66">
        <w:rPr>
          <w:rFonts w:ascii="Times New Roman" w:hAnsi="Times New Roman"/>
          <w:b/>
          <w:sz w:val="24"/>
          <w:szCs w:val="24"/>
          <w:u w:val="single"/>
        </w:rPr>
        <w:t>Потребительский рынок</w:t>
      </w:r>
    </w:p>
    <w:p w:rsidR="00E34E0C" w:rsidRDefault="00E34E0C" w:rsidP="00E34E0C">
      <w:pPr>
        <w:spacing w:after="0" w:line="240" w:lineRule="auto"/>
        <w:ind w:firstLine="709"/>
        <w:jc w:val="both"/>
        <w:rPr>
          <w:rFonts w:ascii="Times New Roman" w:hAnsi="Times New Roman"/>
          <w:b/>
          <w:sz w:val="24"/>
          <w:szCs w:val="24"/>
          <w:u w:val="single"/>
        </w:rPr>
      </w:pPr>
    </w:p>
    <w:p w:rsidR="00F75873" w:rsidRDefault="00E34E0C" w:rsidP="00F75873">
      <w:pPr>
        <w:spacing w:after="0" w:line="240" w:lineRule="auto"/>
        <w:ind w:firstLine="709"/>
        <w:jc w:val="both"/>
        <w:rPr>
          <w:rFonts w:ascii="Times New Roman" w:hAnsi="Times New Roman"/>
          <w:sz w:val="24"/>
          <w:szCs w:val="24"/>
        </w:rPr>
      </w:pPr>
      <w:r w:rsidRPr="0080737A">
        <w:rPr>
          <w:rFonts w:ascii="Times New Roman" w:hAnsi="Times New Roman"/>
          <w:sz w:val="24"/>
          <w:szCs w:val="24"/>
        </w:rPr>
        <w:t>Инфляционные проявления в</w:t>
      </w:r>
      <w:r>
        <w:rPr>
          <w:rFonts w:ascii="Times New Roman" w:hAnsi="Times New Roman"/>
          <w:sz w:val="24"/>
          <w:szCs w:val="24"/>
        </w:rPr>
        <w:t xml:space="preserve"> во втором квартале (103,76%) и в четвертом квартале (102,85%),</w:t>
      </w:r>
      <w:r w:rsidRPr="0080737A">
        <w:rPr>
          <w:rFonts w:ascii="Times New Roman" w:hAnsi="Times New Roman"/>
          <w:sz w:val="24"/>
          <w:szCs w:val="24"/>
        </w:rPr>
        <w:t xml:space="preserve"> наличие которых во многом определялись </w:t>
      </w:r>
      <w:r>
        <w:rPr>
          <w:rFonts w:ascii="Times New Roman" w:hAnsi="Times New Roman"/>
          <w:sz w:val="24"/>
          <w:szCs w:val="24"/>
        </w:rPr>
        <w:t xml:space="preserve">влиянием сезонных факторов и </w:t>
      </w:r>
      <w:r w:rsidRPr="0080737A">
        <w:rPr>
          <w:rFonts w:ascii="Times New Roman" w:hAnsi="Times New Roman"/>
          <w:sz w:val="24"/>
          <w:szCs w:val="24"/>
        </w:rPr>
        <w:t xml:space="preserve">сложившейся ситуацией на валютном рынке, в совокупности с проводимыми антиинфляционными мерами со стороны государства по оптимизации тарифной политики обеспечили инфляцию на товары и услуги по итогам </w:t>
      </w:r>
      <w:r>
        <w:rPr>
          <w:rFonts w:ascii="Times New Roman" w:hAnsi="Times New Roman"/>
          <w:sz w:val="24"/>
          <w:szCs w:val="24"/>
        </w:rPr>
        <w:t>2016</w:t>
      </w:r>
      <w:r w:rsidRPr="0080737A">
        <w:rPr>
          <w:rFonts w:ascii="Times New Roman" w:hAnsi="Times New Roman"/>
          <w:sz w:val="24"/>
          <w:szCs w:val="24"/>
        </w:rPr>
        <w:t xml:space="preserve"> года на уровне 10</w:t>
      </w:r>
      <w:r>
        <w:rPr>
          <w:rFonts w:ascii="Times New Roman" w:hAnsi="Times New Roman"/>
          <w:sz w:val="24"/>
          <w:szCs w:val="24"/>
        </w:rPr>
        <w:t>4</w:t>
      </w:r>
      <w:r w:rsidRPr="0080737A">
        <w:rPr>
          <w:rFonts w:ascii="Times New Roman" w:hAnsi="Times New Roman"/>
          <w:sz w:val="24"/>
          <w:szCs w:val="24"/>
        </w:rPr>
        <w:t>,</w:t>
      </w:r>
      <w:r>
        <w:rPr>
          <w:rFonts w:ascii="Times New Roman" w:hAnsi="Times New Roman"/>
          <w:sz w:val="24"/>
          <w:szCs w:val="24"/>
        </w:rPr>
        <w:t>44</w:t>
      </w:r>
      <w:r w:rsidRPr="0080737A">
        <w:rPr>
          <w:rFonts w:ascii="Times New Roman" w:hAnsi="Times New Roman"/>
          <w:sz w:val="24"/>
          <w:szCs w:val="24"/>
        </w:rPr>
        <w:t>%</w:t>
      </w:r>
      <w:r>
        <w:rPr>
          <w:rFonts w:ascii="Times New Roman" w:hAnsi="Times New Roman"/>
          <w:sz w:val="24"/>
          <w:szCs w:val="24"/>
        </w:rPr>
        <w:t xml:space="preserve">, против дефляции </w:t>
      </w:r>
      <w:r w:rsidRPr="0080737A">
        <w:rPr>
          <w:rFonts w:ascii="Times New Roman" w:hAnsi="Times New Roman"/>
          <w:sz w:val="24"/>
          <w:szCs w:val="24"/>
        </w:rPr>
        <w:t>в 2015 год</w:t>
      </w:r>
      <w:r>
        <w:rPr>
          <w:rFonts w:ascii="Times New Roman" w:hAnsi="Times New Roman"/>
          <w:sz w:val="24"/>
          <w:szCs w:val="24"/>
        </w:rPr>
        <w:t>у</w:t>
      </w:r>
      <w:r w:rsidRPr="0080737A">
        <w:rPr>
          <w:rFonts w:ascii="Times New Roman" w:hAnsi="Times New Roman"/>
          <w:sz w:val="24"/>
          <w:szCs w:val="24"/>
        </w:rPr>
        <w:t xml:space="preserve"> </w:t>
      </w:r>
      <w:r>
        <w:rPr>
          <w:rFonts w:ascii="Times New Roman" w:hAnsi="Times New Roman"/>
          <w:sz w:val="24"/>
          <w:szCs w:val="24"/>
        </w:rPr>
        <w:t>(98,23</w:t>
      </w:r>
      <w:r w:rsidRPr="0080737A">
        <w:rPr>
          <w:rFonts w:ascii="Times New Roman" w:hAnsi="Times New Roman"/>
          <w:sz w:val="24"/>
          <w:szCs w:val="24"/>
        </w:rPr>
        <w:t>%).</w:t>
      </w:r>
      <w:r w:rsidR="00F75873" w:rsidRPr="00F75873">
        <w:rPr>
          <w:rFonts w:ascii="Times New Roman" w:hAnsi="Times New Roman"/>
          <w:sz w:val="24"/>
          <w:szCs w:val="24"/>
        </w:rPr>
        <w:t xml:space="preserve"> </w:t>
      </w:r>
    </w:p>
    <w:p w:rsidR="00F75873" w:rsidRDefault="00F75873" w:rsidP="00F75873">
      <w:pPr>
        <w:spacing w:after="0" w:line="240" w:lineRule="auto"/>
        <w:ind w:firstLine="709"/>
        <w:jc w:val="both"/>
        <w:rPr>
          <w:rFonts w:ascii="Times New Roman" w:hAnsi="Times New Roman"/>
          <w:bCs/>
          <w:color w:val="000000"/>
          <w:sz w:val="24"/>
          <w:shd w:val="clear" w:color="auto" w:fill="FFFFFF"/>
        </w:rPr>
      </w:pPr>
      <w:r>
        <w:rPr>
          <w:rFonts w:ascii="Times New Roman" w:hAnsi="Times New Roman"/>
          <w:sz w:val="24"/>
          <w:szCs w:val="24"/>
        </w:rPr>
        <w:t xml:space="preserve">Стоимость </w:t>
      </w:r>
      <w:r w:rsidRPr="001D6BC8">
        <w:rPr>
          <w:rFonts w:ascii="Times New Roman" w:hAnsi="Times New Roman"/>
          <w:b/>
          <w:i/>
          <w:sz w:val="24"/>
          <w:szCs w:val="24"/>
        </w:rPr>
        <w:t>продовольственных товаров</w:t>
      </w:r>
      <w:r w:rsidRPr="001D6BC8">
        <w:rPr>
          <w:rFonts w:ascii="Times New Roman" w:hAnsi="Times New Roman"/>
          <w:sz w:val="24"/>
          <w:szCs w:val="24"/>
        </w:rPr>
        <w:t xml:space="preserve"> </w:t>
      </w:r>
      <w:r>
        <w:rPr>
          <w:rFonts w:ascii="Times New Roman" w:hAnsi="Times New Roman"/>
          <w:sz w:val="24"/>
          <w:szCs w:val="24"/>
        </w:rPr>
        <w:t xml:space="preserve">в январе-декабре 2016 года, подверженных воздействию сезонных и административных факторов ценообразования, сформировала в продовольственном сегменте рынка </w:t>
      </w:r>
      <w:r w:rsidRPr="001D6BC8">
        <w:rPr>
          <w:rFonts w:ascii="Times New Roman" w:hAnsi="Times New Roman"/>
          <w:sz w:val="24"/>
          <w:szCs w:val="24"/>
        </w:rPr>
        <w:t>инфляцию в размере 3,80% (в январе-декабре 2015 года дефляция «-»4,6%). Основное влияние на определившийся инфляционный фон оказало</w:t>
      </w:r>
      <w:r w:rsidRPr="001D6BC8">
        <w:rPr>
          <w:rFonts w:ascii="Times New Roman" w:hAnsi="Times New Roman"/>
          <w:color w:val="000000"/>
          <w:sz w:val="24"/>
          <w:szCs w:val="24"/>
        </w:rPr>
        <w:t xml:space="preserve"> </w:t>
      </w:r>
      <w:r w:rsidRPr="001D6BC8">
        <w:rPr>
          <w:rStyle w:val="aa"/>
          <w:rFonts w:ascii="Times New Roman" w:hAnsi="Times New Roman"/>
          <w:color w:val="000000"/>
          <w:sz w:val="24"/>
          <w:szCs w:val="24"/>
        </w:rPr>
        <w:t>удорожание стоимости</w:t>
      </w:r>
      <w:r w:rsidRPr="001D6BC8">
        <w:rPr>
          <w:rFonts w:ascii="Times New Roman" w:hAnsi="Times New Roman"/>
          <w:bCs/>
          <w:color w:val="000000"/>
          <w:sz w:val="24"/>
          <w:shd w:val="clear" w:color="auto" w:fill="FFFFFF"/>
        </w:rPr>
        <w:t xml:space="preserve"> </w:t>
      </w:r>
      <w:r w:rsidRPr="001E499A">
        <w:rPr>
          <w:rFonts w:ascii="Times New Roman" w:hAnsi="Times New Roman"/>
          <w:bCs/>
          <w:color w:val="000000"/>
          <w:sz w:val="24"/>
          <w:shd w:val="clear" w:color="auto" w:fill="FFFFFF"/>
        </w:rPr>
        <w:t xml:space="preserve">мясопродуктов – на 11,45%, рыбопродуктов – на 8,95%, сахара – на 13,55%, яиц – на 25,82%, сыра – на 14,85%, масла растительного – на 3,96%, масла и жиров – </w:t>
      </w:r>
      <w:r w:rsidRPr="001E499A">
        <w:rPr>
          <w:rFonts w:ascii="Times New Roman" w:hAnsi="Times New Roman"/>
          <w:bCs/>
          <w:color w:val="000000"/>
          <w:sz w:val="24"/>
          <w:shd w:val="clear" w:color="auto" w:fill="FFFFFF"/>
        </w:rPr>
        <w:lastRenderedPageBreak/>
        <w:t xml:space="preserve">на 8,72%, молока и молочной продукции – на 5,71%, муки – на 3,48%, кондитерских </w:t>
      </w:r>
      <w:r w:rsidR="00656A17">
        <w:rPr>
          <w:rFonts w:ascii="Times New Roman" w:hAnsi="Times New Roman"/>
          <w:bCs/>
          <w:color w:val="000000"/>
          <w:sz w:val="24"/>
          <w:shd w:val="clear" w:color="auto" w:fill="FFFFFF"/>
        </w:rPr>
        <w:br/>
      </w:r>
      <w:r w:rsidRPr="001E499A">
        <w:rPr>
          <w:rFonts w:ascii="Times New Roman" w:hAnsi="Times New Roman"/>
          <w:bCs/>
          <w:color w:val="000000"/>
          <w:sz w:val="24"/>
          <w:shd w:val="clear" w:color="auto" w:fill="FFFFFF"/>
        </w:rPr>
        <w:t>изделий – на 3,36%</w:t>
      </w:r>
      <w:r>
        <w:rPr>
          <w:rFonts w:ascii="Times New Roman" w:hAnsi="Times New Roman"/>
          <w:bCs/>
          <w:color w:val="000000"/>
          <w:sz w:val="24"/>
          <w:shd w:val="clear" w:color="auto" w:fill="FFFFFF"/>
        </w:rPr>
        <w:t xml:space="preserve">. </w:t>
      </w:r>
    </w:p>
    <w:p w:rsidR="00E34E0C" w:rsidRPr="00F75873" w:rsidRDefault="00E34E0C" w:rsidP="00D6670C">
      <w:pPr>
        <w:shd w:val="clear" w:color="auto" w:fill="FFFFFF"/>
        <w:spacing w:after="0" w:line="240" w:lineRule="auto"/>
        <w:ind w:hanging="426"/>
        <w:jc w:val="both"/>
        <w:rPr>
          <w:rFonts w:ascii="Times New Roman" w:hAnsi="Times New Roman"/>
          <w:sz w:val="10"/>
          <w:szCs w:val="10"/>
        </w:rPr>
      </w:pPr>
      <w:r w:rsidRPr="007B4DB3">
        <w:rPr>
          <w:rFonts w:ascii="Times New Roman" w:hAnsi="Times New Roman"/>
          <w:noProof/>
          <w:sz w:val="24"/>
          <w:szCs w:val="24"/>
        </w:rPr>
        <w:drawing>
          <wp:inline distT="0" distB="0" distL="0" distR="0">
            <wp:extent cx="6400800" cy="2324100"/>
            <wp:effectExtent l="0" t="0" r="0" b="0"/>
            <wp:docPr id="65"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34E0C" w:rsidRDefault="00E34E0C" w:rsidP="00E34E0C">
      <w:pPr>
        <w:spacing w:after="0" w:line="240" w:lineRule="auto"/>
        <w:ind w:firstLine="709"/>
        <w:jc w:val="both"/>
        <w:rPr>
          <w:rFonts w:ascii="Times New Roman" w:hAnsi="Times New Roman"/>
          <w:sz w:val="24"/>
          <w:szCs w:val="24"/>
        </w:rPr>
      </w:pPr>
      <w:r w:rsidRPr="001D6BC8">
        <w:rPr>
          <w:rFonts w:ascii="Times New Roman" w:hAnsi="Times New Roman"/>
          <w:b/>
          <w:bCs/>
          <w:i/>
          <w:color w:val="000000"/>
          <w:sz w:val="24"/>
          <w:shd w:val="clear" w:color="auto" w:fill="FFFFFF"/>
        </w:rPr>
        <w:t>В</w:t>
      </w:r>
      <w:r w:rsidRPr="001D6BC8">
        <w:rPr>
          <w:rFonts w:ascii="Times New Roman" w:hAnsi="Times New Roman"/>
          <w:bCs/>
          <w:i/>
          <w:color w:val="000000"/>
          <w:sz w:val="24"/>
          <w:shd w:val="clear" w:color="auto" w:fill="FFFFFF"/>
        </w:rPr>
        <w:t xml:space="preserve"> </w:t>
      </w:r>
      <w:r w:rsidRPr="001D6BC8">
        <w:rPr>
          <w:rFonts w:ascii="Times New Roman" w:hAnsi="Times New Roman"/>
          <w:b/>
          <w:i/>
          <w:sz w:val="24"/>
          <w:szCs w:val="24"/>
        </w:rPr>
        <w:t>непродовольственном сегменте</w:t>
      </w:r>
      <w:r w:rsidRPr="001E499A">
        <w:rPr>
          <w:rFonts w:ascii="Times New Roman" w:hAnsi="Times New Roman"/>
          <w:b/>
          <w:sz w:val="24"/>
          <w:szCs w:val="24"/>
        </w:rPr>
        <w:t xml:space="preserve"> </w:t>
      </w:r>
      <w:r w:rsidRPr="001E499A">
        <w:rPr>
          <w:rFonts w:ascii="Times New Roman" w:hAnsi="Times New Roman"/>
          <w:sz w:val="24"/>
          <w:szCs w:val="24"/>
        </w:rPr>
        <w:t xml:space="preserve">потребительского рынка дефляционные процессы на протяжении ряда лет, сменились </w:t>
      </w:r>
      <w:r w:rsidRPr="00F63659">
        <w:rPr>
          <w:rFonts w:ascii="Times New Roman" w:hAnsi="Times New Roman"/>
          <w:sz w:val="24"/>
          <w:szCs w:val="24"/>
        </w:rPr>
        <w:t>усиление</w:t>
      </w:r>
      <w:r>
        <w:rPr>
          <w:rFonts w:ascii="Times New Roman" w:hAnsi="Times New Roman"/>
          <w:sz w:val="24"/>
          <w:szCs w:val="24"/>
        </w:rPr>
        <w:t>м</w:t>
      </w:r>
      <w:r w:rsidRPr="00F63659">
        <w:rPr>
          <w:rFonts w:ascii="Times New Roman" w:hAnsi="Times New Roman"/>
          <w:sz w:val="24"/>
          <w:szCs w:val="24"/>
        </w:rPr>
        <w:t xml:space="preserve"> инфляционных процессов </w:t>
      </w:r>
      <w:r>
        <w:rPr>
          <w:rFonts w:ascii="Times New Roman" w:hAnsi="Times New Roman"/>
          <w:sz w:val="24"/>
          <w:szCs w:val="24"/>
        </w:rPr>
        <w:t xml:space="preserve">до </w:t>
      </w:r>
      <w:r w:rsidRPr="001D6BC8">
        <w:rPr>
          <w:rFonts w:ascii="Times New Roman" w:hAnsi="Times New Roman"/>
          <w:sz w:val="24"/>
          <w:szCs w:val="24"/>
        </w:rPr>
        <w:t>6,88% (в январе</w:t>
      </w:r>
      <w:r w:rsidRPr="001D6BC8">
        <w:rPr>
          <w:rFonts w:ascii="Times New Roman" w:hAnsi="Times New Roman"/>
          <w:bCs/>
          <w:color w:val="000000"/>
          <w:sz w:val="24"/>
          <w:shd w:val="clear" w:color="auto" w:fill="FFFFFF"/>
        </w:rPr>
        <w:t>-декабре</w:t>
      </w:r>
      <w:r w:rsidRPr="001D6BC8">
        <w:rPr>
          <w:rFonts w:ascii="Times New Roman" w:hAnsi="Times New Roman"/>
          <w:sz w:val="24"/>
          <w:szCs w:val="24"/>
        </w:rPr>
        <w:t xml:space="preserve"> 2015 года дефляция «-»3,12%).</w:t>
      </w:r>
      <w:r w:rsidRPr="001E499A">
        <w:rPr>
          <w:rFonts w:ascii="Times New Roman" w:hAnsi="Times New Roman"/>
          <w:sz w:val="24"/>
          <w:szCs w:val="24"/>
        </w:rPr>
        <w:t xml:space="preserve"> Прежде всего, дорожали товары народного потребления, импортируемые на территорию республики. В общей структуре данного сегмента выделяется удорожание стоимости табачных изделий – на 27,31%, велосипедов – на 14,10%, ковров и ковровых изделий - на 14,32%, электротоваров и других бытовых приборов – на 14,45%, строительных материалов – на 10,90%, а также печатных изданий – на 11,05%, вычислительной техники – на 9,70%, медикаментов – на 11,09%, хозтоваров – на 6,41%, топлива (бензина) – на 1,42%. </w:t>
      </w:r>
    </w:p>
    <w:p w:rsidR="00E34E0C" w:rsidRPr="00DF4AEC" w:rsidRDefault="00E34E0C" w:rsidP="00E34E0C">
      <w:pPr>
        <w:spacing w:after="0" w:line="240" w:lineRule="auto"/>
        <w:ind w:firstLine="709"/>
        <w:jc w:val="both"/>
        <w:rPr>
          <w:rFonts w:ascii="Times New Roman" w:eastAsia="Calibri" w:hAnsi="Times New Roman"/>
          <w:sz w:val="24"/>
        </w:rPr>
      </w:pPr>
      <w:r w:rsidRPr="001D6BC8">
        <w:rPr>
          <w:rFonts w:ascii="Times New Roman" w:hAnsi="Times New Roman"/>
          <w:b/>
          <w:i/>
          <w:sz w:val="24"/>
          <w:szCs w:val="24"/>
        </w:rPr>
        <w:t>В сфере услуг</w:t>
      </w:r>
      <w:r w:rsidRPr="000E3FD9">
        <w:rPr>
          <w:rFonts w:ascii="Times New Roman" w:hAnsi="Times New Roman"/>
          <w:b/>
          <w:sz w:val="24"/>
          <w:szCs w:val="24"/>
        </w:rPr>
        <w:t xml:space="preserve"> </w:t>
      </w:r>
      <w:r w:rsidRPr="001D6BC8">
        <w:rPr>
          <w:rFonts w:ascii="Times New Roman" w:hAnsi="Times New Roman"/>
          <w:sz w:val="24"/>
          <w:szCs w:val="24"/>
        </w:rPr>
        <w:t>в январе-декабре 2016 года был зафиксирован минимальный прирост тарифов («+»1,48% против «+»5,92% в январе-декабре 2015 года),</w:t>
      </w:r>
      <w:r w:rsidRPr="001E499A">
        <w:rPr>
          <w:rFonts w:ascii="Times New Roman" w:hAnsi="Times New Roman"/>
          <w:sz w:val="24"/>
          <w:szCs w:val="24"/>
        </w:rPr>
        <w:t xml:space="preserve"> что стало следствием принятых на государственном уровне решений о неосуществлении в 2016 году корректировок стоимости ключевых потребительских услуг в целях минимизации инфляционной нагрузки на население в условиях экономического кризиса. При этом ключевым</w:t>
      </w:r>
      <w:r>
        <w:rPr>
          <w:rFonts w:ascii="Times New Roman" w:hAnsi="Times New Roman"/>
          <w:sz w:val="24"/>
          <w:szCs w:val="24"/>
        </w:rPr>
        <w:t>и</w:t>
      </w:r>
      <w:r w:rsidRPr="001E499A">
        <w:rPr>
          <w:rFonts w:ascii="Times New Roman" w:hAnsi="Times New Roman"/>
          <w:sz w:val="24"/>
          <w:szCs w:val="24"/>
        </w:rPr>
        <w:t xml:space="preserve"> фактор</w:t>
      </w:r>
      <w:r>
        <w:rPr>
          <w:rFonts w:ascii="Times New Roman" w:hAnsi="Times New Roman"/>
          <w:sz w:val="24"/>
          <w:szCs w:val="24"/>
        </w:rPr>
        <w:t>ами</w:t>
      </w:r>
      <w:r w:rsidRPr="001E499A">
        <w:rPr>
          <w:rFonts w:ascii="Times New Roman" w:hAnsi="Times New Roman"/>
          <w:sz w:val="24"/>
          <w:szCs w:val="24"/>
        </w:rPr>
        <w:t>, формирующим</w:t>
      </w:r>
      <w:r>
        <w:rPr>
          <w:rFonts w:ascii="Times New Roman" w:hAnsi="Times New Roman"/>
          <w:sz w:val="24"/>
          <w:szCs w:val="24"/>
        </w:rPr>
        <w:t>и</w:t>
      </w:r>
      <w:r w:rsidRPr="001E499A">
        <w:rPr>
          <w:rFonts w:ascii="Times New Roman" w:hAnsi="Times New Roman"/>
          <w:sz w:val="24"/>
          <w:szCs w:val="24"/>
        </w:rPr>
        <w:t xml:space="preserve"> инфляционный фон в сфере тарифов на услуги, выступило </w:t>
      </w:r>
      <w:r w:rsidRPr="001E499A">
        <w:rPr>
          <w:rFonts w:ascii="Times New Roman" w:eastAsia="Calibri" w:hAnsi="Times New Roman"/>
          <w:sz w:val="24"/>
        </w:rPr>
        <w:t>повышение тарифов на услуги банков</w:t>
      </w:r>
      <w:r>
        <w:rPr>
          <w:rFonts w:ascii="Times New Roman" w:eastAsia="Calibri" w:hAnsi="Times New Roman"/>
          <w:sz w:val="24"/>
        </w:rPr>
        <w:t xml:space="preserve"> </w:t>
      </w:r>
      <w:r w:rsidRPr="001E499A">
        <w:rPr>
          <w:rFonts w:ascii="Times New Roman" w:eastAsia="Calibri" w:hAnsi="Times New Roman"/>
          <w:sz w:val="24"/>
        </w:rPr>
        <w:t>(«+»22,64%), медицинские услуги («+»13,34%), услуги пассажирского транспорта («+»12,32%), услуги дошкольного воспитания («+»6,36%), услуги правового характера («+»8,21%). В то же время подешевели санаторно-оздоровительные услуги на 5,46%, услуги связи на 3,36%, бытовы</w:t>
      </w:r>
      <w:r>
        <w:rPr>
          <w:rFonts w:ascii="Times New Roman" w:eastAsia="Calibri" w:hAnsi="Times New Roman"/>
          <w:sz w:val="24"/>
        </w:rPr>
        <w:t>е услуги на 1,37%.</w:t>
      </w:r>
    </w:p>
    <w:p w:rsidR="00E34E0C" w:rsidRPr="00DD11B1" w:rsidRDefault="00E34E0C" w:rsidP="00E34E0C">
      <w:pPr>
        <w:spacing w:after="0" w:line="240" w:lineRule="auto"/>
        <w:ind w:firstLine="709"/>
        <w:jc w:val="both"/>
        <w:rPr>
          <w:rFonts w:ascii="Times New Roman" w:hAnsi="Times New Roman"/>
          <w:sz w:val="24"/>
          <w:szCs w:val="24"/>
        </w:rPr>
      </w:pPr>
      <w:r>
        <w:rPr>
          <w:rFonts w:ascii="Times New Roman" w:hAnsi="Times New Roman"/>
          <w:sz w:val="24"/>
          <w:szCs w:val="24"/>
        </w:rPr>
        <w:t>С</w:t>
      </w:r>
      <w:r w:rsidRPr="008C7C8B">
        <w:rPr>
          <w:rFonts w:ascii="Times New Roman" w:hAnsi="Times New Roman"/>
          <w:sz w:val="24"/>
          <w:szCs w:val="24"/>
        </w:rPr>
        <w:t>крыт</w:t>
      </w:r>
      <w:r>
        <w:rPr>
          <w:rFonts w:ascii="Times New Roman" w:hAnsi="Times New Roman"/>
          <w:sz w:val="24"/>
          <w:szCs w:val="24"/>
        </w:rPr>
        <w:t>ая</w:t>
      </w:r>
      <w:r w:rsidRPr="008C7C8B">
        <w:rPr>
          <w:rFonts w:ascii="Times New Roman" w:hAnsi="Times New Roman"/>
          <w:sz w:val="24"/>
          <w:szCs w:val="24"/>
        </w:rPr>
        <w:t xml:space="preserve"> девальваци</w:t>
      </w:r>
      <w:r>
        <w:rPr>
          <w:rFonts w:ascii="Times New Roman" w:hAnsi="Times New Roman"/>
          <w:sz w:val="24"/>
          <w:szCs w:val="24"/>
        </w:rPr>
        <w:t>я</w:t>
      </w:r>
      <w:r w:rsidRPr="008C7C8B">
        <w:rPr>
          <w:rFonts w:ascii="Times New Roman" w:hAnsi="Times New Roman"/>
          <w:sz w:val="24"/>
          <w:szCs w:val="24"/>
        </w:rPr>
        <w:t xml:space="preserve"> на валютном рынке и усугублени</w:t>
      </w:r>
      <w:r>
        <w:rPr>
          <w:rFonts w:ascii="Times New Roman" w:hAnsi="Times New Roman"/>
          <w:sz w:val="24"/>
          <w:szCs w:val="24"/>
        </w:rPr>
        <w:t>е</w:t>
      </w:r>
      <w:r w:rsidRPr="008C7C8B">
        <w:rPr>
          <w:rFonts w:ascii="Times New Roman" w:hAnsi="Times New Roman"/>
          <w:sz w:val="24"/>
          <w:szCs w:val="24"/>
        </w:rPr>
        <w:t xml:space="preserve"> ситуации в сфере доходов населения</w:t>
      </w:r>
      <w:r>
        <w:rPr>
          <w:rFonts w:ascii="Times New Roman" w:hAnsi="Times New Roman"/>
          <w:sz w:val="24"/>
          <w:szCs w:val="24"/>
        </w:rPr>
        <w:t xml:space="preserve"> выразилось в </w:t>
      </w:r>
      <w:r w:rsidRPr="008C7C8B">
        <w:rPr>
          <w:rFonts w:ascii="Times New Roman" w:hAnsi="Times New Roman"/>
          <w:sz w:val="24"/>
          <w:szCs w:val="24"/>
        </w:rPr>
        <w:t>сдержанно</w:t>
      </w:r>
      <w:r>
        <w:rPr>
          <w:rFonts w:ascii="Times New Roman" w:hAnsi="Times New Roman"/>
          <w:sz w:val="24"/>
          <w:szCs w:val="24"/>
        </w:rPr>
        <w:t>м</w:t>
      </w:r>
      <w:r w:rsidRPr="008C7C8B">
        <w:rPr>
          <w:rFonts w:ascii="Times New Roman" w:hAnsi="Times New Roman"/>
          <w:sz w:val="24"/>
          <w:szCs w:val="24"/>
        </w:rPr>
        <w:t xml:space="preserve"> поведени</w:t>
      </w:r>
      <w:r>
        <w:rPr>
          <w:rFonts w:ascii="Times New Roman" w:hAnsi="Times New Roman"/>
          <w:sz w:val="24"/>
          <w:szCs w:val="24"/>
        </w:rPr>
        <w:t>и</w:t>
      </w:r>
      <w:r w:rsidRPr="008C7C8B">
        <w:rPr>
          <w:rFonts w:ascii="Times New Roman" w:hAnsi="Times New Roman"/>
          <w:sz w:val="24"/>
          <w:szCs w:val="24"/>
        </w:rPr>
        <w:t xml:space="preserve"> потребителей в сфере розничных продаж и в меньшей степени </w:t>
      </w:r>
      <w:r w:rsidRPr="005039FB">
        <w:rPr>
          <w:rFonts w:ascii="Times New Roman" w:hAnsi="Times New Roman"/>
          <w:sz w:val="24"/>
          <w:szCs w:val="24"/>
        </w:rPr>
        <w:t xml:space="preserve">на </w:t>
      </w:r>
      <w:r w:rsidRPr="008C7C8B">
        <w:rPr>
          <w:rFonts w:ascii="Times New Roman" w:hAnsi="Times New Roman"/>
          <w:sz w:val="24"/>
          <w:szCs w:val="24"/>
        </w:rPr>
        <w:t xml:space="preserve">потреблении </w:t>
      </w:r>
      <w:r w:rsidRPr="005039FB">
        <w:rPr>
          <w:rFonts w:ascii="Times New Roman" w:hAnsi="Times New Roman"/>
          <w:sz w:val="24"/>
          <w:szCs w:val="24"/>
        </w:rPr>
        <w:t>платных услуг</w:t>
      </w:r>
      <w:r w:rsidRPr="008C7C8B">
        <w:rPr>
          <w:rFonts w:ascii="Times New Roman" w:hAnsi="Times New Roman"/>
          <w:sz w:val="24"/>
          <w:szCs w:val="24"/>
        </w:rPr>
        <w:t>.</w:t>
      </w:r>
      <w:r>
        <w:rPr>
          <w:rFonts w:ascii="Times New Roman" w:hAnsi="Times New Roman"/>
          <w:sz w:val="24"/>
          <w:szCs w:val="24"/>
        </w:rPr>
        <w:t xml:space="preserve"> В складывающихся условиях </w:t>
      </w:r>
      <w:r w:rsidRPr="00DD11B1">
        <w:rPr>
          <w:rFonts w:ascii="Times New Roman" w:hAnsi="Times New Roman"/>
          <w:sz w:val="24"/>
          <w:szCs w:val="24"/>
        </w:rPr>
        <w:t>розничный</w:t>
      </w:r>
      <w:r w:rsidRPr="00CC0D7D">
        <w:rPr>
          <w:rFonts w:ascii="Times New Roman" w:hAnsi="Times New Roman"/>
          <w:sz w:val="24"/>
          <w:szCs w:val="24"/>
        </w:rPr>
        <w:t xml:space="preserve"> </w:t>
      </w:r>
      <w:r w:rsidRPr="00DD11B1">
        <w:rPr>
          <w:rFonts w:ascii="Times New Roman" w:hAnsi="Times New Roman"/>
          <w:sz w:val="24"/>
          <w:szCs w:val="24"/>
        </w:rPr>
        <w:t>товарооборот</w:t>
      </w:r>
      <w:r w:rsidRPr="00CC0D7D">
        <w:rPr>
          <w:rFonts w:ascii="Times New Roman" w:hAnsi="Times New Roman"/>
          <w:sz w:val="24"/>
          <w:szCs w:val="24"/>
        </w:rPr>
        <w:t xml:space="preserve"> </w:t>
      </w:r>
      <w:r w:rsidRPr="00DD11B1">
        <w:rPr>
          <w:rFonts w:ascii="Times New Roman" w:hAnsi="Times New Roman"/>
          <w:sz w:val="24"/>
          <w:szCs w:val="24"/>
        </w:rPr>
        <w:t>уступил</w:t>
      </w:r>
      <w:r w:rsidRPr="00CC0D7D">
        <w:rPr>
          <w:rFonts w:ascii="Times New Roman" w:hAnsi="Times New Roman"/>
          <w:sz w:val="24"/>
          <w:szCs w:val="24"/>
        </w:rPr>
        <w:t xml:space="preserve"> </w:t>
      </w:r>
      <w:r w:rsidRPr="00DD11B1">
        <w:rPr>
          <w:rFonts w:ascii="Times New Roman" w:hAnsi="Times New Roman"/>
          <w:sz w:val="24"/>
          <w:szCs w:val="24"/>
        </w:rPr>
        <w:t>уровню</w:t>
      </w:r>
      <w:r w:rsidRPr="00CC0D7D">
        <w:rPr>
          <w:rFonts w:ascii="Times New Roman" w:hAnsi="Times New Roman"/>
          <w:sz w:val="24"/>
          <w:szCs w:val="24"/>
        </w:rPr>
        <w:t xml:space="preserve"> </w:t>
      </w:r>
      <w:r>
        <w:rPr>
          <w:rFonts w:ascii="Times New Roman" w:hAnsi="Times New Roman"/>
          <w:sz w:val="24"/>
          <w:szCs w:val="24"/>
        </w:rPr>
        <w:t>показателя 2015</w:t>
      </w:r>
      <w:r w:rsidRPr="00CC0D7D">
        <w:rPr>
          <w:rFonts w:ascii="Times New Roman" w:hAnsi="Times New Roman"/>
          <w:sz w:val="24"/>
          <w:szCs w:val="24"/>
        </w:rPr>
        <w:t xml:space="preserve"> </w:t>
      </w:r>
      <w:r w:rsidRPr="00DD11B1">
        <w:rPr>
          <w:rFonts w:ascii="Times New Roman" w:hAnsi="Times New Roman"/>
          <w:sz w:val="24"/>
          <w:szCs w:val="24"/>
        </w:rPr>
        <w:t>года</w:t>
      </w:r>
      <w:r w:rsidRPr="00CC0D7D">
        <w:rPr>
          <w:rFonts w:ascii="Times New Roman" w:hAnsi="Times New Roman"/>
          <w:sz w:val="24"/>
          <w:szCs w:val="24"/>
        </w:rPr>
        <w:t xml:space="preserve"> </w:t>
      </w:r>
      <w:r>
        <w:rPr>
          <w:rFonts w:ascii="Times New Roman" w:hAnsi="Times New Roman"/>
          <w:sz w:val="24"/>
          <w:szCs w:val="24"/>
        </w:rPr>
        <w:t>0,6</w:t>
      </w:r>
      <w:r w:rsidRPr="00DD11B1">
        <w:rPr>
          <w:rFonts w:ascii="Times New Roman" w:hAnsi="Times New Roman"/>
          <w:sz w:val="24"/>
          <w:szCs w:val="24"/>
        </w:rPr>
        <w:t xml:space="preserve">% </w:t>
      </w:r>
      <w:r>
        <w:rPr>
          <w:rFonts w:ascii="Times New Roman" w:hAnsi="Times New Roman"/>
          <w:sz w:val="24"/>
          <w:szCs w:val="24"/>
        </w:rPr>
        <w:t>(в сопоставимых ценах), составив</w:t>
      </w:r>
      <w:r w:rsidRPr="00CC0D7D">
        <w:rPr>
          <w:rFonts w:ascii="Times New Roman" w:hAnsi="Times New Roman"/>
          <w:sz w:val="24"/>
          <w:szCs w:val="24"/>
        </w:rPr>
        <w:t xml:space="preserve"> </w:t>
      </w:r>
      <w:r w:rsidRPr="00A64F50">
        <w:rPr>
          <w:rFonts w:ascii="Times New Roman" w:hAnsi="Times New Roman"/>
          <w:sz w:val="24"/>
          <w:szCs w:val="24"/>
        </w:rPr>
        <w:t>5</w:t>
      </w:r>
      <w:r w:rsidR="00CF1F5D">
        <w:rPr>
          <w:rFonts w:ascii="Times New Roman" w:hAnsi="Times New Roman"/>
          <w:sz w:val="24"/>
          <w:szCs w:val="24"/>
        </w:rPr>
        <w:t> </w:t>
      </w:r>
      <w:r w:rsidRPr="00A64F50">
        <w:rPr>
          <w:rFonts w:ascii="Times New Roman" w:hAnsi="Times New Roman"/>
          <w:sz w:val="24"/>
          <w:szCs w:val="24"/>
        </w:rPr>
        <w:t>375,7</w:t>
      </w:r>
      <w:r w:rsidRPr="00DD11B1">
        <w:rPr>
          <w:rFonts w:ascii="Times New Roman" w:hAnsi="Times New Roman"/>
          <w:sz w:val="24"/>
          <w:szCs w:val="24"/>
        </w:rPr>
        <w:t xml:space="preserve"> млн</w:t>
      </w:r>
      <w:r>
        <w:rPr>
          <w:rFonts w:ascii="Times New Roman" w:hAnsi="Times New Roman"/>
          <w:sz w:val="24"/>
          <w:szCs w:val="24"/>
        </w:rPr>
        <w:t>.</w:t>
      </w:r>
      <w:r w:rsidRPr="00CC0D7D">
        <w:rPr>
          <w:rFonts w:ascii="Times New Roman" w:hAnsi="Times New Roman"/>
          <w:sz w:val="24"/>
          <w:szCs w:val="24"/>
        </w:rPr>
        <w:t xml:space="preserve"> </w:t>
      </w:r>
      <w:r w:rsidRPr="00DD11B1">
        <w:rPr>
          <w:rFonts w:ascii="Times New Roman" w:hAnsi="Times New Roman"/>
          <w:sz w:val="24"/>
          <w:szCs w:val="24"/>
        </w:rPr>
        <w:t>руб.</w:t>
      </w:r>
      <w:r>
        <w:rPr>
          <w:rFonts w:ascii="Times New Roman" w:hAnsi="Times New Roman"/>
          <w:sz w:val="24"/>
          <w:szCs w:val="24"/>
        </w:rPr>
        <w:t xml:space="preserve">, потребление услуг практически соответствовало базовому показателю, составив 101,0% в сопоставимой оценке или 2 201,9 млн. руб. </w:t>
      </w:r>
    </w:p>
    <w:p w:rsidR="00E34E0C" w:rsidRDefault="00E34E0C" w:rsidP="00E34E0C">
      <w:pPr>
        <w:spacing w:after="0" w:line="240" w:lineRule="auto"/>
        <w:ind w:firstLine="709"/>
        <w:jc w:val="both"/>
        <w:rPr>
          <w:rFonts w:ascii="Times New Roman" w:hAnsi="Times New Roman"/>
          <w:b/>
          <w:sz w:val="24"/>
          <w:u w:val="single"/>
          <w:shd w:val="clear" w:color="auto" w:fill="FFFFFF"/>
        </w:rPr>
      </w:pPr>
    </w:p>
    <w:p w:rsidR="00E34E0C" w:rsidRPr="00F52779" w:rsidRDefault="00E34E0C" w:rsidP="00E34E0C">
      <w:pPr>
        <w:spacing w:after="0" w:line="240" w:lineRule="auto"/>
        <w:ind w:firstLine="709"/>
        <w:jc w:val="both"/>
        <w:rPr>
          <w:rFonts w:ascii="Times New Roman" w:hAnsi="Times New Roman"/>
          <w:b/>
          <w:sz w:val="24"/>
          <w:u w:val="single"/>
          <w:shd w:val="clear" w:color="auto" w:fill="FFFFFF"/>
        </w:rPr>
      </w:pPr>
      <w:r w:rsidRPr="00F52779">
        <w:rPr>
          <w:rFonts w:ascii="Times New Roman" w:hAnsi="Times New Roman"/>
          <w:b/>
          <w:sz w:val="24"/>
          <w:u w:val="single"/>
          <w:shd w:val="clear" w:color="auto" w:fill="FFFFFF"/>
        </w:rPr>
        <w:t>Уровень жизни и сфера занятости</w:t>
      </w:r>
    </w:p>
    <w:p w:rsidR="00E34E0C" w:rsidRPr="00F52779" w:rsidRDefault="00E34E0C" w:rsidP="00E34E0C">
      <w:pPr>
        <w:spacing w:after="0" w:line="240" w:lineRule="auto"/>
        <w:ind w:firstLine="709"/>
        <w:jc w:val="both"/>
        <w:rPr>
          <w:rFonts w:ascii="Times New Roman" w:hAnsi="Times New Roman"/>
          <w:sz w:val="24"/>
        </w:rPr>
      </w:pPr>
    </w:p>
    <w:p w:rsidR="00E34E0C" w:rsidRDefault="00E34E0C" w:rsidP="00E34E0C">
      <w:pPr>
        <w:spacing w:after="0" w:line="240" w:lineRule="auto"/>
        <w:ind w:firstLine="709"/>
        <w:jc w:val="both"/>
        <w:rPr>
          <w:rFonts w:ascii="Times New Roman" w:hAnsi="Times New Roman"/>
          <w:sz w:val="24"/>
          <w:szCs w:val="24"/>
          <w:shd w:val="clear" w:color="auto" w:fill="FFFFFF"/>
        </w:rPr>
      </w:pPr>
      <w:r w:rsidRPr="00F52779">
        <w:rPr>
          <w:rFonts w:ascii="Times New Roman" w:hAnsi="Times New Roman"/>
          <w:sz w:val="24"/>
          <w:szCs w:val="24"/>
          <w:shd w:val="clear" w:color="auto" w:fill="FFFFFF"/>
        </w:rPr>
        <w:t>Показатели уровня жизни населения в 2016 год</w:t>
      </w:r>
      <w:r>
        <w:rPr>
          <w:rFonts w:ascii="Times New Roman" w:hAnsi="Times New Roman"/>
          <w:sz w:val="24"/>
          <w:szCs w:val="24"/>
          <w:shd w:val="clear" w:color="auto" w:fill="FFFFFF"/>
        </w:rPr>
        <w:t>у</w:t>
      </w:r>
      <w:r w:rsidRPr="00F52779">
        <w:rPr>
          <w:rFonts w:ascii="Times New Roman" w:hAnsi="Times New Roman"/>
          <w:sz w:val="24"/>
          <w:szCs w:val="24"/>
          <w:shd w:val="clear" w:color="auto" w:fill="FFFFFF"/>
        </w:rPr>
        <w:t xml:space="preserve"> формировались в условиях усугубления ситуации в экономике, обусловленной рядом факторов как внутреннего так внешнего характера (снижение промышленного производства, падение спроса на продукцию отечественных товаропроизводителей, и как следствие</w:t>
      </w:r>
      <w:r w:rsidR="006158EC">
        <w:rPr>
          <w:rFonts w:ascii="Times New Roman" w:hAnsi="Times New Roman"/>
          <w:sz w:val="24"/>
          <w:szCs w:val="24"/>
          <w:shd w:val="clear" w:color="auto" w:fill="FFFFFF"/>
        </w:rPr>
        <w:t>,</w:t>
      </w:r>
      <w:r w:rsidRPr="00F52779">
        <w:rPr>
          <w:rFonts w:ascii="Times New Roman" w:hAnsi="Times New Roman"/>
          <w:sz w:val="24"/>
          <w:szCs w:val="24"/>
          <w:shd w:val="clear" w:color="auto" w:fill="FFFFFF"/>
        </w:rPr>
        <w:t xml:space="preserve"> недополучение налоговых поступлений в бюджет), что и предопределило их динамику.</w:t>
      </w:r>
    </w:p>
    <w:p w:rsidR="00E34E0C" w:rsidRDefault="00E34E0C" w:rsidP="00CF1F5D">
      <w:pPr>
        <w:spacing w:after="0" w:line="240" w:lineRule="auto"/>
        <w:ind w:left="-142"/>
        <w:rPr>
          <w:rFonts w:ascii="Times New Roman" w:eastAsia="Calibri" w:hAnsi="Times New Roman"/>
          <w:spacing w:val="2"/>
          <w:sz w:val="18"/>
          <w:szCs w:val="18"/>
          <w:lang w:eastAsia="en-US"/>
        </w:rPr>
      </w:pPr>
      <w:r w:rsidRPr="00DB495F">
        <w:rPr>
          <w:rFonts w:ascii="Times New Roman" w:hAnsi="Times New Roman"/>
          <w:noProof/>
          <w:sz w:val="24"/>
          <w:szCs w:val="24"/>
          <w:highlight w:val="yellow"/>
        </w:rPr>
        <w:lastRenderedPageBreak/>
        <w:drawing>
          <wp:inline distT="0" distB="0" distL="0" distR="0">
            <wp:extent cx="6315075" cy="1704975"/>
            <wp:effectExtent l="0" t="0" r="0" b="0"/>
            <wp:docPr id="7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CF1F5D">
        <w:rPr>
          <w:rFonts w:ascii="Times New Roman" w:eastAsia="Calibri" w:hAnsi="Times New Roman"/>
          <w:spacing w:val="2"/>
          <w:sz w:val="18"/>
          <w:szCs w:val="18"/>
          <w:lang w:eastAsia="en-US"/>
        </w:rPr>
        <w:t xml:space="preserve">        </w:t>
      </w:r>
      <w:r w:rsidRPr="00FB5017">
        <w:rPr>
          <w:rFonts w:ascii="Times New Roman" w:eastAsia="Calibri" w:hAnsi="Times New Roman"/>
          <w:spacing w:val="2"/>
          <w:sz w:val="18"/>
          <w:szCs w:val="18"/>
          <w:lang w:eastAsia="en-US"/>
        </w:rPr>
        <w:t>темпы роста</w:t>
      </w:r>
      <w:r>
        <w:rPr>
          <w:rFonts w:ascii="Times New Roman" w:eastAsia="Calibri" w:hAnsi="Times New Roman"/>
          <w:spacing w:val="2"/>
          <w:sz w:val="18"/>
          <w:szCs w:val="18"/>
          <w:lang w:eastAsia="en-US"/>
        </w:rPr>
        <w:t xml:space="preserve"> (спада)</w:t>
      </w:r>
      <w:r w:rsidRPr="00FB5017">
        <w:rPr>
          <w:rFonts w:ascii="Times New Roman" w:eastAsia="Calibri" w:hAnsi="Times New Roman"/>
          <w:spacing w:val="2"/>
          <w:sz w:val="18"/>
          <w:szCs w:val="18"/>
          <w:lang w:eastAsia="en-US"/>
        </w:rPr>
        <w:t xml:space="preserve"> приведены к уточнённым данным ГСС</w:t>
      </w:r>
    </w:p>
    <w:p w:rsidR="009A47C4" w:rsidRPr="00FB5017" w:rsidRDefault="009A47C4" w:rsidP="00CF1F5D">
      <w:pPr>
        <w:spacing w:after="0" w:line="240" w:lineRule="auto"/>
        <w:ind w:left="-142"/>
        <w:rPr>
          <w:rFonts w:ascii="Times New Roman" w:eastAsia="Calibri" w:hAnsi="Times New Roman"/>
          <w:spacing w:val="2"/>
          <w:sz w:val="18"/>
          <w:szCs w:val="18"/>
          <w:lang w:eastAsia="en-US"/>
        </w:rPr>
      </w:pPr>
    </w:p>
    <w:p w:rsidR="00E34E0C" w:rsidRPr="00F3796A" w:rsidRDefault="00E34E0C" w:rsidP="00E34E0C">
      <w:pPr>
        <w:spacing w:after="0" w:line="240" w:lineRule="auto"/>
        <w:ind w:firstLine="709"/>
        <w:jc w:val="both"/>
        <w:rPr>
          <w:rFonts w:ascii="Times New Roman" w:hAnsi="Times New Roman"/>
          <w:sz w:val="24"/>
          <w:szCs w:val="24"/>
          <w:shd w:val="clear" w:color="auto" w:fill="FFFFFF"/>
        </w:rPr>
      </w:pPr>
      <w:r w:rsidRPr="00C65060">
        <w:rPr>
          <w:rFonts w:ascii="Times New Roman" w:hAnsi="Times New Roman"/>
          <w:sz w:val="24"/>
          <w:szCs w:val="24"/>
          <w:shd w:val="clear" w:color="auto" w:fill="FFFFFF"/>
        </w:rPr>
        <w:t>Номинальная заработная плата в целом по республике (кроме субъектов малого предпринимательства и без учета силовых структур) составила 3 8</w:t>
      </w:r>
      <w:r>
        <w:rPr>
          <w:rFonts w:ascii="Times New Roman" w:hAnsi="Times New Roman"/>
          <w:sz w:val="24"/>
          <w:szCs w:val="24"/>
          <w:shd w:val="clear" w:color="auto" w:fill="FFFFFF"/>
        </w:rPr>
        <w:t>44</w:t>
      </w:r>
      <w:r w:rsidRPr="00C65060">
        <w:rPr>
          <w:rFonts w:ascii="Times New Roman" w:hAnsi="Times New Roman"/>
          <w:sz w:val="24"/>
          <w:szCs w:val="24"/>
          <w:shd w:val="clear" w:color="auto" w:fill="FFFFFF"/>
        </w:rPr>
        <w:t xml:space="preserve"> руб. и соответствовала 34</w:t>
      </w:r>
      <w:r>
        <w:rPr>
          <w:rFonts w:ascii="Times New Roman" w:hAnsi="Times New Roman"/>
          <w:sz w:val="24"/>
          <w:szCs w:val="24"/>
          <w:shd w:val="clear" w:color="auto" w:fill="FFFFFF"/>
        </w:rPr>
        <w:t>1</w:t>
      </w:r>
      <w:r w:rsidRPr="00C65060">
        <w:rPr>
          <w:rFonts w:ascii="Times New Roman" w:hAnsi="Times New Roman"/>
          <w:sz w:val="24"/>
          <w:szCs w:val="24"/>
          <w:shd w:val="clear" w:color="auto" w:fill="FFFFFF"/>
        </w:rPr>
        <w:t xml:space="preserve"> долл. США, сократившись на 2,0%. </w:t>
      </w:r>
      <w:r w:rsidRPr="00F3796A">
        <w:rPr>
          <w:rFonts w:ascii="Times New Roman" w:hAnsi="Times New Roman"/>
          <w:sz w:val="24"/>
          <w:szCs w:val="24"/>
          <w:shd w:val="clear" w:color="auto" w:fill="FFFFFF"/>
        </w:rPr>
        <w:t>Реальный размер заработной платы одного работника с учетом корректировки на инфляционный фактор сократился по отношению к базисному уровню минувшего года на 1,5%.</w:t>
      </w:r>
    </w:p>
    <w:p w:rsidR="00E34E0C" w:rsidRDefault="00E34E0C" w:rsidP="00CF1F5D">
      <w:pPr>
        <w:spacing w:after="0" w:line="240" w:lineRule="auto"/>
        <w:jc w:val="center"/>
        <w:rPr>
          <w:rFonts w:ascii="Times New Roman" w:hAnsi="Times New Roman"/>
          <w:sz w:val="24"/>
          <w:shd w:val="clear" w:color="auto" w:fill="FFFFFF"/>
        </w:rPr>
      </w:pPr>
      <w:r w:rsidRPr="00DB495F">
        <w:rPr>
          <w:rFonts w:ascii="Times New Roman" w:hAnsi="Times New Roman"/>
          <w:noProof/>
          <w:sz w:val="24"/>
          <w:szCs w:val="24"/>
          <w:highlight w:val="yellow"/>
        </w:rPr>
        <w:drawing>
          <wp:inline distT="0" distB="0" distL="0" distR="0">
            <wp:extent cx="6210300" cy="3019425"/>
            <wp:effectExtent l="0" t="0" r="0" b="0"/>
            <wp:docPr id="7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F1F5D" w:rsidRPr="00CF1F5D" w:rsidRDefault="00CF1F5D" w:rsidP="00CF1F5D">
      <w:pPr>
        <w:spacing w:after="0" w:line="240" w:lineRule="auto"/>
        <w:jc w:val="center"/>
        <w:rPr>
          <w:rFonts w:ascii="Times New Roman" w:hAnsi="Times New Roman"/>
          <w:sz w:val="10"/>
          <w:szCs w:val="10"/>
          <w:shd w:val="clear" w:color="auto" w:fill="FFFFFF"/>
        </w:rPr>
      </w:pPr>
    </w:p>
    <w:p w:rsidR="00E34E0C" w:rsidRDefault="00E34E0C" w:rsidP="00E34E0C">
      <w:pPr>
        <w:spacing w:after="0" w:line="240" w:lineRule="auto"/>
        <w:ind w:firstLine="709"/>
        <w:jc w:val="both"/>
        <w:rPr>
          <w:rFonts w:ascii="Times New Roman" w:hAnsi="Times New Roman"/>
          <w:sz w:val="24"/>
          <w:shd w:val="clear" w:color="auto" w:fill="FFFFFF"/>
        </w:rPr>
      </w:pPr>
      <w:r w:rsidRPr="008148E8">
        <w:rPr>
          <w:rFonts w:ascii="Times New Roman" w:hAnsi="Times New Roman"/>
          <w:sz w:val="24"/>
          <w:shd w:val="clear" w:color="auto" w:fill="FFFFFF"/>
        </w:rPr>
        <w:t>Дифференциация по уровню оплаты труда в различных секторах экономики не претерпела существенных структурных изменений и сохранилась на достаточно высокой отметке.</w:t>
      </w:r>
      <w:r w:rsidRPr="008148E8">
        <w:rPr>
          <w:rFonts w:ascii="Times New Roman" w:hAnsi="Times New Roman"/>
          <w:sz w:val="24"/>
          <w:szCs w:val="24"/>
        </w:rPr>
        <w:t xml:space="preserve"> Превышение уровня заработной платы в высоко- и низкооплачиваемых отраслях экономики составило </w:t>
      </w:r>
      <w:r>
        <w:rPr>
          <w:rFonts w:ascii="Times New Roman" w:hAnsi="Times New Roman"/>
          <w:sz w:val="24"/>
          <w:szCs w:val="24"/>
        </w:rPr>
        <w:t>4,9</w:t>
      </w:r>
      <w:r w:rsidRPr="008148E8">
        <w:rPr>
          <w:rFonts w:ascii="Times New Roman" w:hAnsi="Times New Roman"/>
          <w:sz w:val="24"/>
          <w:szCs w:val="24"/>
        </w:rPr>
        <w:t xml:space="preserve"> раза.</w:t>
      </w:r>
      <w:r w:rsidRPr="008148E8">
        <w:rPr>
          <w:rFonts w:ascii="Times New Roman" w:hAnsi="Times New Roman"/>
          <w:sz w:val="24"/>
          <w:shd w:val="clear" w:color="auto" w:fill="FFFFFF"/>
        </w:rPr>
        <w:t xml:space="preserve"> Самый высокий размер заработной платы традиционно оставался у работников таких отраслей экономики как, «Электро и радиосвязь» (9</w:t>
      </w:r>
      <w:r w:rsidR="008E5079">
        <w:rPr>
          <w:rFonts w:ascii="Times New Roman" w:hAnsi="Times New Roman"/>
          <w:sz w:val="24"/>
          <w:shd w:val="clear" w:color="auto" w:fill="FFFFFF"/>
        </w:rPr>
        <w:t> </w:t>
      </w:r>
      <w:r w:rsidRPr="008148E8">
        <w:rPr>
          <w:rFonts w:ascii="Times New Roman" w:hAnsi="Times New Roman"/>
          <w:sz w:val="24"/>
          <w:shd w:val="clear" w:color="auto" w:fill="FFFFFF"/>
        </w:rPr>
        <w:t>6</w:t>
      </w:r>
      <w:r>
        <w:rPr>
          <w:rFonts w:ascii="Times New Roman" w:hAnsi="Times New Roman"/>
          <w:sz w:val="24"/>
          <w:shd w:val="clear" w:color="auto" w:fill="FFFFFF"/>
        </w:rPr>
        <w:t>95</w:t>
      </w:r>
      <w:r w:rsidR="008E5079">
        <w:rPr>
          <w:rFonts w:ascii="Times New Roman" w:hAnsi="Times New Roman"/>
          <w:sz w:val="24"/>
          <w:shd w:val="clear" w:color="auto" w:fill="FFFFFF"/>
        </w:rPr>
        <w:t> </w:t>
      </w:r>
      <w:r w:rsidRPr="008148E8">
        <w:rPr>
          <w:rFonts w:ascii="Times New Roman" w:hAnsi="Times New Roman"/>
          <w:sz w:val="24"/>
          <w:shd w:val="clear" w:color="auto" w:fill="FFFFFF"/>
        </w:rPr>
        <w:t>руб., «+»</w:t>
      </w:r>
      <w:r>
        <w:rPr>
          <w:rFonts w:ascii="Times New Roman" w:hAnsi="Times New Roman"/>
          <w:sz w:val="24"/>
          <w:shd w:val="clear" w:color="auto" w:fill="FFFFFF"/>
        </w:rPr>
        <w:t>3,4</w:t>
      </w:r>
      <w:r w:rsidRPr="008148E8">
        <w:rPr>
          <w:rFonts w:ascii="Times New Roman" w:hAnsi="Times New Roman"/>
          <w:sz w:val="24"/>
          <w:shd w:val="clear" w:color="auto" w:fill="FFFFFF"/>
        </w:rPr>
        <w:t xml:space="preserve">%), «Банки и кредитование» (7 </w:t>
      </w:r>
      <w:r>
        <w:rPr>
          <w:rFonts w:ascii="Times New Roman" w:hAnsi="Times New Roman"/>
          <w:sz w:val="24"/>
          <w:shd w:val="clear" w:color="auto" w:fill="FFFFFF"/>
        </w:rPr>
        <w:t>331</w:t>
      </w:r>
      <w:r w:rsidRPr="008148E8">
        <w:rPr>
          <w:rFonts w:ascii="Times New Roman" w:hAnsi="Times New Roman"/>
          <w:sz w:val="24"/>
          <w:shd w:val="clear" w:color="auto" w:fill="FFFFFF"/>
        </w:rPr>
        <w:t xml:space="preserve"> руб. «-»7,</w:t>
      </w:r>
      <w:r>
        <w:rPr>
          <w:rFonts w:ascii="Times New Roman" w:hAnsi="Times New Roman"/>
          <w:sz w:val="24"/>
          <w:shd w:val="clear" w:color="auto" w:fill="FFFFFF"/>
        </w:rPr>
        <w:t>3</w:t>
      </w:r>
      <w:r w:rsidRPr="008148E8">
        <w:rPr>
          <w:rFonts w:ascii="Times New Roman" w:hAnsi="Times New Roman"/>
          <w:sz w:val="24"/>
          <w:shd w:val="clear" w:color="auto" w:fill="FFFFFF"/>
        </w:rPr>
        <w:t>%), «Страхование» (6</w:t>
      </w:r>
      <w:r w:rsidR="008E5079">
        <w:rPr>
          <w:rFonts w:ascii="Times New Roman" w:hAnsi="Times New Roman"/>
          <w:sz w:val="24"/>
          <w:shd w:val="clear" w:color="auto" w:fill="FFFFFF"/>
        </w:rPr>
        <w:t> </w:t>
      </w:r>
      <w:r w:rsidRPr="008148E8">
        <w:rPr>
          <w:rFonts w:ascii="Times New Roman" w:hAnsi="Times New Roman"/>
          <w:sz w:val="24"/>
          <w:shd w:val="clear" w:color="auto" w:fill="FFFFFF"/>
        </w:rPr>
        <w:t>9</w:t>
      </w:r>
      <w:r>
        <w:rPr>
          <w:rFonts w:ascii="Times New Roman" w:hAnsi="Times New Roman"/>
          <w:sz w:val="24"/>
          <w:shd w:val="clear" w:color="auto" w:fill="FFFFFF"/>
        </w:rPr>
        <w:t>31</w:t>
      </w:r>
      <w:r w:rsidR="008E5079">
        <w:rPr>
          <w:rFonts w:ascii="Times New Roman" w:hAnsi="Times New Roman"/>
          <w:sz w:val="24"/>
          <w:shd w:val="clear" w:color="auto" w:fill="FFFFFF"/>
        </w:rPr>
        <w:t> </w:t>
      </w:r>
      <w:r w:rsidRPr="008148E8">
        <w:rPr>
          <w:rFonts w:ascii="Times New Roman" w:hAnsi="Times New Roman"/>
          <w:sz w:val="24"/>
          <w:shd w:val="clear" w:color="auto" w:fill="FFFFFF"/>
        </w:rPr>
        <w:t>руб. «+»</w:t>
      </w:r>
      <w:r>
        <w:rPr>
          <w:rFonts w:ascii="Times New Roman" w:hAnsi="Times New Roman"/>
          <w:sz w:val="24"/>
          <w:shd w:val="clear" w:color="auto" w:fill="FFFFFF"/>
        </w:rPr>
        <w:t>12,1</w:t>
      </w:r>
      <w:r w:rsidRPr="008148E8">
        <w:rPr>
          <w:rFonts w:ascii="Times New Roman" w:hAnsi="Times New Roman"/>
          <w:sz w:val="24"/>
          <w:shd w:val="clear" w:color="auto" w:fill="FFFFFF"/>
        </w:rPr>
        <w:t>%), где превышение среднереспубликанского уровня варьировало в пределах 2,5 – 1,8 раза.</w:t>
      </w:r>
    </w:p>
    <w:p w:rsidR="00E34E0C" w:rsidRPr="0080737A" w:rsidRDefault="00E34E0C" w:rsidP="00E34E0C">
      <w:pPr>
        <w:widowControl w:val="0"/>
        <w:spacing w:after="0" w:line="240" w:lineRule="auto"/>
        <w:ind w:firstLine="709"/>
        <w:jc w:val="both"/>
        <w:rPr>
          <w:rFonts w:ascii="Times New Roman" w:hAnsi="Times New Roman"/>
          <w:sz w:val="24"/>
          <w:szCs w:val="24"/>
        </w:rPr>
      </w:pPr>
      <w:r w:rsidRPr="00F04677">
        <w:rPr>
          <w:rFonts w:ascii="Times New Roman" w:hAnsi="Times New Roman"/>
          <w:sz w:val="24"/>
          <w:szCs w:val="24"/>
        </w:rPr>
        <w:t xml:space="preserve">В 2016 году на фоне умеренных темпов инфляции при сокращении оплаты труда и прожиточного минимума трудоспособного человека </w:t>
      </w:r>
      <w:r>
        <w:rPr>
          <w:rFonts w:ascii="Times New Roman" w:hAnsi="Times New Roman"/>
          <w:sz w:val="24"/>
          <w:szCs w:val="24"/>
        </w:rPr>
        <w:t xml:space="preserve">соответственно </w:t>
      </w:r>
      <w:r w:rsidRPr="00F04677">
        <w:rPr>
          <w:rFonts w:ascii="Times New Roman" w:hAnsi="Times New Roman"/>
          <w:sz w:val="24"/>
          <w:szCs w:val="24"/>
        </w:rPr>
        <w:t>на 1,6%</w:t>
      </w:r>
      <w:r>
        <w:rPr>
          <w:rFonts w:ascii="Times New Roman" w:hAnsi="Times New Roman"/>
          <w:sz w:val="24"/>
          <w:szCs w:val="24"/>
        </w:rPr>
        <w:t xml:space="preserve"> и</w:t>
      </w:r>
      <w:r w:rsidRPr="00F04677">
        <w:rPr>
          <w:rFonts w:ascii="Times New Roman" w:hAnsi="Times New Roman"/>
          <w:sz w:val="24"/>
          <w:szCs w:val="24"/>
        </w:rPr>
        <w:t xml:space="preserve"> 0,6%, размер покупательной способности заработной платы остался на уровне 2015 года</w:t>
      </w:r>
      <w:r>
        <w:rPr>
          <w:rFonts w:ascii="Times New Roman" w:hAnsi="Times New Roman"/>
          <w:sz w:val="24"/>
          <w:szCs w:val="24"/>
        </w:rPr>
        <w:t>,</w:t>
      </w:r>
      <w:r w:rsidRPr="00F04677">
        <w:rPr>
          <w:rFonts w:ascii="Times New Roman" w:hAnsi="Times New Roman"/>
          <w:sz w:val="24"/>
          <w:szCs w:val="24"/>
        </w:rPr>
        <w:t xml:space="preserve"> обеспечив 2,8 набора прожиточного минимума.</w:t>
      </w:r>
    </w:p>
    <w:p w:rsidR="00E34E0C" w:rsidRPr="008148E8" w:rsidRDefault="00E34E0C" w:rsidP="00E34E0C">
      <w:pPr>
        <w:pStyle w:val="a3"/>
        <w:rPr>
          <w:shd w:val="clear" w:color="auto" w:fill="FFFFFF"/>
        </w:rPr>
      </w:pPr>
      <w:r w:rsidRPr="008148E8">
        <w:rPr>
          <w:shd w:val="clear" w:color="auto" w:fill="FFFFFF"/>
        </w:rPr>
        <w:t xml:space="preserve">Среднемесячная номинальная заработная плата работников </w:t>
      </w:r>
      <w:r w:rsidRPr="008148E8">
        <w:rPr>
          <w:b/>
          <w:shd w:val="clear" w:color="auto" w:fill="FFFFFF"/>
        </w:rPr>
        <w:t xml:space="preserve">бюджетной сферы </w:t>
      </w:r>
      <w:r w:rsidRPr="008148E8">
        <w:rPr>
          <w:shd w:val="clear" w:color="auto" w:fill="FFFFFF"/>
        </w:rPr>
        <w:t xml:space="preserve">по итогам </w:t>
      </w:r>
      <w:r>
        <w:rPr>
          <w:shd w:val="clear" w:color="auto" w:fill="FFFFFF"/>
        </w:rPr>
        <w:t>2016 года</w:t>
      </w:r>
      <w:r w:rsidRPr="008148E8">
        <w:rPr>
          <w:shd w:val="clear" w:color="auto" w:fill="FFFFFF"/>
        </w:rPr>
        <w:t xml:space="preserve"> состави</w:t>
      </w:r>
      <w:r>
        <w:rPr>
          <w:shd w:val="clear" w:color="auto" w:fill="FFFFFF"/>
        </w:rPr>
        <w:t>ла</w:t>
      </w:r>
      <w:r w:rsidRPr="008148E8">
        <w:rPr>
          <w:shd w:val="clear" w:color="auto" w:fill="FFFFFF"/>
        </w:rPr>
        <w:t xml:space="preserve"> 2 7</w:t>
      </w:r>
      <w:r>
        <w:rPr>
          <w:shd w:val="clear" w:color="auto" w:fill="FFFFFF"/>
        </w:rPr>
        <w:t>09</w:t>
      </w:r>
      <w:r w:rsidRPr="008148E8">
        <w:rPr>
          <w:shd w:val="clear" w:color="auto" w:fill="FFFFFF"/>
        </w:rPr>
        <w:t xml:space="preserve"> руб. («+»</w:t>
      </w:r>
      <w:r>
        <w:rPr>
          <w:shd w:val="clear" w:color="auto" w:fill="FFFFFF"/>
        </w:rPr>
        <w:t>2,0</w:t>
      </w:r>
      <w:r w:rsidRPr="008148E8">
        <w:rPr>
          <w:shd w:val="clear" w:color="auto" w:fill="FFFFFF"/>
        </w:rPr>
        <w:t xml:space="preserve">%), </w:t>
      </w:r>
      <w:r w:rsidRPr="002F3522">
        <w:rPr>
          <w:shd w:val="clear" w:color="auto" w:fill="FFFFFF"/>
        </w:rPr>
        <w:t>реальное повышение жалования у работников бюджетной сферы с учетом корректировки на инфляционный фактор составило</w:t>
      </w:r>
      <w:r>
        <w:rPr>
          <w:shd w:val="clear" w:color="auto" w:fill="FFFFFF"/>
        </w:rPr>
        <w:t xml:space="preserve"> 1,0</w:t>
      </w:r>
      <w:r w:rsidRPr="002F3522">
        <w:rPr>
          <w:shd w:val="clear" w:color="auto" w:fill="FFFFFF"/>
        </w:rPr>
        <w:t xml:space="preserve">%, </w:t>
      </w:r>
      <w:r w:rsidRPr="008148E8">
        <w:rPr>
          <w:shd w:val="clear" w:color="auto" w:fill="FFFFFF"/>
        </w:rPr>
        <w:t>при этом ее размер составляет 70,</w:t>
      </w:r>
      <w:r>
        <w:rPr>
          <w:shd w:val="clear" w:color="auto" w:fill="FFFFFF"/>
        </w:rPr>
        <w:t>5</w:t>
      </w:r>
      <w:r w:rsidRPr="008148E8">
        <w:rPr>
          <w:shd w:val="clear" w:color="auto" w:fill="FFFFFF"/>
        </w:rPr>
        <w:t>% от среднереспубликанского уровня.</w:t>
      </w:r>
    </w:p>
    <w:p w:rsidR="00E34E0C" w:rsidRPr="002F3522" w:rsidRDefault="00E34E0C" w:rsidP="00E34E0C">
      <w:pPr>
        <w:widowControl w:val="0"/>
        <w:spacing w:after="0" w:line="240" w:lineRule="auto"/>
        <w:ind w:firstLine="709"/>
        <w:jc w:val="both"/>
        <w:rPr>
          <w:rFonts w:ascii="Times New Roman" w:hAnsi="Times New Roman"/>
          <w:sz w:val="24"/>
          <w:szCs w:val="24"/>
        </w:rPr>
      </w:pPr>
      <w:r w:rsidRPr="008148E8">
        <w:rPr>
          <w:rFonts w:ascii="Times New Roman" w:hAnsi="Times New Roman"/>
          <w:b/>
          <w:sz w:val="24"/>
          <w:szCs w:val="24"/>
        </w:rPr>
        <w:t>Во внебюджетном секторе</w:t>
      </w:r>
      <w:r w:rsidRPr="008148E8">
        <w:rPr>
          <w:rFonts w:ascii="Times New Roman" w:hAnsi="Times New Roman"/>
          <w:sz w:val="24"/>
          <w:szCs w:val="24"/>
        </w:rPr>
        <w:t xml:space="preserve"> экономики начисленная номинальная среднемесячная заработная плата одного работника за 2016 год сократилась по отношению к базовому показателю 2015 года на </w:t>
      </w:r>
      <w:r>
        <w:rPr>
          <w:rFonts w:ascii="Times New Roman" w:hAnsi="Times New Roman"/>
          <w:sz w:val="24"/>
          <w:szCs w:val="24"/>
        </w:rPr>
        <w:t>1,1</w:t>
      </w:r>
      <w:r w:rsidRPr="008148E8">
        <w:rPr>
          <w:rFonts w:ascii="Times New Roman" w:hAnsi="Times New Roman"/>
          <w:sz w:val="24"/>
          <w:szCs w:val="24"/>
        </w:rPr>
        <w:t>% и сложилась в размере 4 8</w:t>
      </w:r>
      <w:r>
        <w:rPr>
          <w:rFonts w:ascii="Times New Roman" w:hAnsi="Times New Roman"/>
          <w:sz w:val="24"/>
          <w:szCs w:val="24"/>
        </w:rPr>
        <w:t>57</w:t>
      </w:r>
      <w:r w:rsidRPr="008148E8">
        <w:rPr>
          <w:rFonts w:ascii="Times New Roman" w:hAnsi="Times New Roman"/>
          <w:sz w:val="24"/>
          <w:szCs w:val="24"/>
        </w:rPr>
        <w:t xml:space="preserve"> руб</w:t>
      </w:r>
      <w:r w:rsidRPr="002F3522">
        <w:rPr>
          <w:rFonts w:ascii="Times New Roman" w:hAnsi="Times New Roman"/>
          <w:sz w:val="24"/>
          <w:szCs w:val="24"/>
        </w:rPr>
        <w:t xml:space="preserve">., что с учетом корректировки на индекс инфляции соответствует ее реальному сокращению на </w:t>
      </w:r>
      <w:r>
        <w:rPr>
          <w:rFonts w:ascii="Times New Roman" w:hAnsi="Times New Roman"/>
          <w:sz w:val="24"/>
          <w:szCs w:val="24"/>
        </w:rPr>
        <w:t>2,0</w:t>
      </w:r>
      <w:r w:rsidRPr="002F3522">
        <w:rPr>
          <w:rFonts w:ascii="Times New Roman" w:hAnsi="Times New Roman"/>
          <w:sz w:val="24"/>
          <w:szCs w:val="24"/>
        </w:rPr>
        <w:t>%.</w:t>
      </w:r>
    </w:p>
    <w:p w:rsidR="00E34E0C" w:rsidRPr="00E7646E" w:rsidRDefault="00E34E0C" w:rsidP="00E34E0C">
      <w:pPr>
        <w:spacing w:after="0" w:line="240" w:lineRule="auto"/>
        <w:ind w:firstLine="709"/>
        <w:jc w:val="both"/>
        <w:rPr>
          <w:rFonts w:ascii="Times New Roman" w:hAnsi="Times New Roman"/>
          <w:sz w:val="24"/>
          <w:szCs w:val="24"/>
        </w:rPr>
      </w:pPr>
      <w:r w:rsidRPr="00E7646E">
        <w:rPr>
          <w:rFonts w:ascii="Times New Roman" w:hAnsi="Times New Roman"/>
          <w:sz w:val="24"/>
          <w:szCs w:val="24"/>
        </w:rPr>
        <w:lastRenderedPageBreak/>
        <w:t xml:space="preserve">Сумма задолженности по оплате труда </w:t>
      </w:r>
      <w:r>
        <w:rPr>
          <w:rFonts w:ascii="Times New Roman" w:hAnsi="Times New Roman"/>
          <w:sz w:val="24"/>
          <w:szCs w:val="24"/>
        </w:rPr>
        <w:t>за</w:t>
      </w:r>
      <w:r w:rsidRPr="00E7646E">
        <w:rPr>
          <w:rFonts w:ascii="Times New Roman" w:hAnsi="Times New Roman"/>
          <w:sz w:val="24"/>
          <w:szCs w:val="24"/>
        </w:rPr>
        <w:t xml:space="preserve"> </w:t>
      </w:r>
      <w:r>
        <w:rPr>
          <w:rFonts w:ascii="Times New Roman" w:hAnsi="Times New Roman"/>
          <w:sz w:val="24"/>
          <w:szCs w:val="24"/>
        </w:rPr>
        <w:t>2016 год</w:t>
      </w:r>
      <w:r w:rsidRPr="00E7646E">
        <w:rPr>
          <w:rFonts w:ascii="Times New Roman" w:hAnsi="Times New Roman"/>
          <w:sz w:val="24"/>
          <w:szCs w:val="24"/>
        </w:rPr>
        <w:t xml:space="preserve"> на фоне действующего механизма выплат заработной платы работникам бюджетной сферы в 2015 год</w:t>
      </w:r>
      <w:r>
        <w:rPr>
          <w:rFonts w:ascii="Times New Roman" w:hAnsi="Times New Roman"/>
          <w:sz w:val="24"/>
          <w:szCs w:val="24"/>
        </w:rPr>
        <w:t>у</w:t>
      </w:r>
      <w:r w:rsidRPr="00E7646E">
        <w:rPr>
          <w:rFonts w:ascii="Times New Roman" w:hAnsi="Times New Roman"/>
          <w:sz w:val="24"/>
          <w:szCs w:val="24"/>
        </w:rPr>
        <w:t xml:space="preserve"> в целом по экономике сократилась в 9,</w:t>
      </w:r>
      <w:r>
        <w:rPr>
          <w:rFonts w:ascii="Times New Roman" w:hAnsi="Times New Roman"/>
          <w:sz w:val="24"/>
          <w:szCs w:val="24"/>
        </w:rPr>
        <w:t>5</w:t>
      </w:r>
      <w:r w:rsidRPr="00E7646E">
        <w:rPr>
          <w:rFonts w:ascii="Times New Roman" w:hAnsi="Times New Roman"/>
          <w:sz w:val="24"/>
          <w:szCs w:val="24"/>
        </w:rPr>
        <w:t xml:space="preserve"> раза, составив по состоянию на 1 </w:t>
      </w:r>
      <w:r>
        <w:rPr>
          <w:rFonts w:ascii="Times New Roman" w:hAnsi="Times New Roman"/>
          <w:sz w:val="24"/>
          <w:szCs w:val="24"/>
        </w:rPr>
        <w:t>января</w:t>
      </w:r>
      <w:r w:rsidRPr="00E7646E">
        <w:rPr>
          <w:rFonts w:ascii="Times New Roman" w:hAnsi="Times New Roman"/>
          <w:sz w:val="24"/>
          <w:szCs w:val="24"/>
        </w:rPr>
        <w:t xml:space="preserve"> 201</w:t>
      </w:r>
      <w:r>
        <w:rPr>
          <w:rFonts w:ascii="Times New Roman" w:hAnsi="Times New Roman"/>
          <w:sz w:val="24"/>
          <w:szCs w:val="24"/>
        </w:rPr>
        <w:t>7</w:t>
      </w:r>
      <w:r w:rsidRPr="00E7646E">
        <w:rPr>
          <w:rFonts w:ascii="Times New Roman" w:hAnsi="Times New Roman"/>
          <w:sz w:val="24"/>
          <w:szCs w:val="24"/>
        </w:rPr>
        <w:t xml:space="preserve"> года</w:t>
      </w:r>
      <w:r>
        <w:rPr>
          <w:rFonts w:ascii="Times New Roman" w:hAnsi="Times New Roman"/>
          <w:sz w:val="24"/>
          <w:szCs w:val="24"/>
        </w:rPr>
        <w:t xml:space="preserve"> </w:t>
      </w:r>
      <w:r w:rsidRPr="00E7646E">
        <w:rPr>
          <w:rFonts w:ascii="Times New Roman" w:hAnsi="Times New Roman"/>
          <w:sz w:val="24"/>
          <w:szCs w:val="24"/>
        </w:rPr>
        <w:t>25</w:t>
      </w:r>
      <w:r>
        <w:rPr>
          <w:rFonts w:ascii="Times New Roman" w:hAnsi="Times New Roman"/>
          <w:sz w:val="24"/>
          <w:szCs w:val="24"/>
        </w:rPr>
        <w:t>,2</w:t>
      </w:r>
      <w:r w:rsidR="008E5079">
        <w:rPr>
          <w:rFonts w:ascii="Times New Roman" w:hAnsi="Times New Roman"/>
          <w:sz w:val="24"/>
          <w:szCs w:val="24"/>
        </w:rPr>
        <w:t> </w:t>
      </w:r>
      <w:r w:rsidRPr="00E7646E">
        <w:rPr>
          <w:rFonts w:ascii="Times New Roman" w:hAnsi="Times New Roman"/>
          <w:sz w:val="24"/>
          <w:szCs w:val="24"/>
        </w:rPr>
        <w:t>млн. руб., при этом более половины сформировавшейся задолженности приходится на предприятия промышленного сектора (5</w:t>
      </w:r>
      <w:r>
        <w:rPr>
          <w:rFonts w:ascii="Times New Roman" w:hAnsi="Times New Roman"/>
          <w:sz w:val="24"/>
          <w:szCs w:val="24"/>
        </w:rPr>
        <w:t>7</w:t>
      </w:r>
      <w:r w:rsidRPr="00E7646E">
        <w:rPr>
          <w:rFonts w:ascii="Times New Roman" w:hAnsi="Times New Roman"/>
          <w:sz w:val="24"/>
          <w:szCs w:val="24"/>
        </w:rPr>
        <w:t>,</w:t>
      </w:r>
      <w:r>
        <w:rPr>
          <w:rFonts w:ascii="Times New Roman" w:hAnsi="Times New Roman"/>
          <w:sz w:val="24"/>
          <w:szCs w:val="24"/>
        </w:rPr>
        <w:t>7</w:t>
      </w:r>
      <w:r w:rsidRPr="00E7646E">
        <w:rPr>
          <w:rFonts w:ascii="Times New Roman" w:hAnsi="Times New Roman"/>
          <w:sz w:val="24"/>
          <w:szCs w:val="24"/>
        </w:rPr>
        <w:t xml:space="preserve">% всей задолженности). </w:t>
      </w:r>
    </w:p>
    <w:p w:rsidR="00E34E0C" w:rsidRPr="002F3522" w:rsidRDefault="00E34E0C" w:rsidP="00E34E0C">
      <w:pPr>
        <w:tabs>
          <w:tab w:val="left" w:pos="851"/>
          <w:tab w:val="left" w:pos="993"/>
        </w:tabs>
        <w:spacing w:after="0" w:line="240" w:lineRule="auto"/>
        <w:ind w:firstLine="709"/>
        <w:contextualSpacing/>
        <w:jc w:val="both"/>
        <w:rPr>
          <w:rFonts w:ascii="Times New Roman" w:hAnsi="Times New Roman"/>
          <w:sz w:val="24"/>
          <w:szCs w:val="24"/>
        </w:rPr>
      </w:pPr>
      <w:r w:rsidRPr="009047CB">
        <w:rPr>
          <w:rFonts w:ascii="Times New Roman" w:hAnsi="Times New Roman"/>
          <w:sz w:val="24"/>
          <w:szCs w:val="24"/>
        </w:rPr>
        <w:t>В складывающейся ситуации среднемесячная номинальная начисленная заработная плата одного работника с учетом субъектов малого предпринимательства, некоммерческих и религиозных организаций по оценке сократилась на 0,6% до 3 786 руб. и соответствовала</w:t>
      </w:r>
      <w:r>
        <w:rPr>
          <w:rFonts w:ascii="Times New Roman" w:hAnsi="Times New Roman"/>
          <w:sz w:val="24"/>
          <w:szCs w:val="24"/>
        </w:rPr>
        <w:t xml:space="preserve"> </w:t>
      </w:r>
      <w:r w:rsidRPr="009047CB">
        <w:rPr>
          <w:rFonts w:ascii="Times New Roman" w:hAnsi="Times New Roman"/>
          <w:sz w:val="24"/>
          <w:szCs w:val="24"/>
        </w:rPr>
        <w:t>336</w:t>
      </w:r>
      <w:r w:rsidR="00CF1F5D">
        <w:rPr>
          <w:rFonts w:ascii="Times New Roman" w:hAnsi="Times New Roman"/>
          <w:sz w:val="24"/>
          <w:szCs w:val="24"/>
        </w:rPr>
        <w:t> </w:t>
      </w:r>
      <w:r w:rsidRPr="009047CB">
        <w:rPr>
          <w:rFonts w:ascii="Times New Roman" w:hAnsi="Times New Roman"/>
          <w:sz w:val="24"/>
          <w:szCs w:val="24"/>
        </w:rPr>
        <w:t>долл. США, против 342 долл. США в 2015 году.</w:t>
      </w:r>
      <w:r w:rsidRPr="002F3522">
        <w:rPr>
          <w:rFonts w:ascii="Times New Roman" w:hAnsi="Times New Roman"/>
          <w:sz w:val="24"/>
          <w:szCs w:val="24"/>
        </w:rPr>
        <w:t xml:space="preserve"> </w:t>
      </w:r>
    </w:p>
    <w:p w:rsidR="00E34E0C" w:rsidRPr="00C85624" w:rsidRDefault="00E34E0C" w:rsidP="00E34E0C">
      <w:pPr>
        <w:spacing w:after="0" w:line="240" w:lineRule="auto"/>
        <w:ind w:firstLine="709"/>
        <w:jc w:val="both"/>
        <w:rPr>
          <w:rFonts w:ascii="Times New Roman" w:hAnsi="Times New Roman"/>
          <w:sz w:val="24"/>
          <w:szCs w:val="24"/>
        </w:rPr>
      </w:pPr>
      <w:r w:rsidRPr="00C85624">
        <w:rPr>
          <w:rFonts w:ascii="Times New Roman" w:hAnsi="Times New Roman"/>
          <w:b/>
          <w:sz w:val="24"/>
          <w:szCs w:val="24"/>
          <w:shd w:val="clear" w:color="auto" w:fill="FFFFFF"/>
        </w:rPr>
        <w:t>Средн</w:t>
      </w:r>
      <w:r>
        <w:rPr>
          <w:rFonts w:ascii="Times New Roman" w:hAnsi="Times New Roman"/>
          <w:b/>
          <w:sz w:val="24"/>
          <w:szCs w:val="24"/>
          <w:shd w:val="clear" w:color="auto" w:fill="FFFFFF"/>
        </w:rPr>
        <w:t xml:space="preserve">емесячный </w:t>
      </w:r>
      <w:r w:rsidRPr="00C85624">
        <w:rPr>
          <w:rFonts w:ascii="Times New Roman" w:hAnsi="Times New Roman"/>
          <w:b/>
          <w:sz w:val="24"/>
          <w:szCs w:val="24"/>
          <w:shd w:val="clear" w:color="auto" w:fill="FFFFFF"/>
        </w:rPr>
        <w:t>размер назначенных пенсий</w:t>
      </w:r>
      <w:r w:rsidRPr="00C85624">
        <w:rPr>
          <w:rFonts w:ascii="Times New Roman" w:hAnsi="Times New Roman"/>
          <w:sz w:val="24"/>
          <w:szCs w:val="24"/>
          <w:shd w:val="clear" w:color="auto" w:fill="FFFFFF"/>
        </w:rPr>
        <w:t xml:space="preserve"> по итогам 2016 года на фоне </w:t>
      </w:r>
      <w:r>
        <w:rPr>
          <w:rFonts w:ascii="Times New Roman" w:hAnsi="Times New Roman"/>
          <w:sz w:val="24"/>
          <w:szCs w:val="24"/>
          <w:shd w:val="clear" w:color="auto" w:fill="FFFFFF"/>
        </w:rPr>
        <w:t xml:space="preserve">сокращения </w:t>
      </w:r>
      <w:r w:rsidRPr="00C85624">
        <w:rPr>
          <w:rFonts w:ascii="Times New Roman" w:hAnsi="Times New Roman"/>
          <w:sz w:val="24"/>
          <w:szCs w:val="24"/>
          <w:shd w:val="clear" w:color="auto" w:fill="FFFFFF"/>
        </w:rPr>
        <w:t xml:space="preserve">количества получателей пенсий на </w:t>
      </w:r>
      <w:r>
        <w:rPr>
          <w:rFonts w:ascii="Times New Roman" w:hAnsi="Times New Roman"/>
          <w:sz w:val="24"/>
          <w:szCs w:val="24"/>
          <w:shd w:val="clear" w:color="auto" w:fill="FFFFFF"/>
        </w:rPr>
        <w:t>4 643</w:t>
      </w:r>
      <w:r w:rsidRPr="00C85624">
        <w:rPr>
          <w:rFonts w:ascii="Times New Roman" w:hAnsi="Times New Roman"/>
          <w:sz w:val="24"/>
          <w:szCs w:val="24"/>
          <w:shd w:val="clear" w:color="auto" w:fill="FFFFFF"/>
        </w:rPr>
        <w:t xml:space="preserve"> чел. до </w:t>
      </w:r>
      <w:r>
        <w:rPr>
          <w:rFonts w:ascii="Times New Roman" w:hAnsi="Times New Roman"/>
          <w:sz w:val="24"/>
          <w:szCs w:val="24"/>
          <w:shd w:val="clear" w:color="auto" w:fill="FFFFFF"/>
        </w:rPr>
        <w:t>126 200</w:t>
      </w:r>
      <w:r w:rsidRPr="00C85624">
        <w:rPr>
          <w:rFonts w:ascii="Times New Roman" w:hAnsi="Times New Roman"/>
          <w:sz w:val="24"/>
          <w:szCs w:val="24"/>
          <w:shd w:val="clear" w:color="auto" w:fill="FFFFFF"/>
        </w:rPr>
        <w:t xml:space="preserve"> чел. составил 1 355,</w:t>
      </w:r>
      <w:r>
        <w:rPr>
          <w:rFonts w:ascii="Times New Roman" w:hAnsi="Times New Roman"/>
          <w:sz w:val="24"/>
          <w:szCs w:val="24"/>
          <w:shd w:val="clear" w:color="auto" w:fill="FFFFFF"/>
        </w:rPr>
        <w:t>1</w:t>
      </w:r>
      <w:r w:rsidRPr="00C85624">
        <w:rPr>
          <w:rFonts w:ascii="Times New Roman" w:hAnsi="Times New Roman"/>
          <w:sz w:val="24"/>
          <w:szCs w:val="24"/>
          <w:shd w:val="clear" w:color="auto" w:fill="FFFFFF"/>
        </w:rPr>
        <w:t>5</w:t>
      </w:r>
      <w:r w:rsidR="00CF1F5D">
        <w:rPr>
          <w:rFonts w:ascii="Times New Roman" w:hAnsi="Times New Roman"/>
          <w:sz w:val="24"/>
          <w:szCs w:val="24"/>
          <w:shd w:val="clear" w:color="auto" w:fill="FFFFFF"/>
        </w:rPr>
        <w:t> </w:t>
      </w:r>
      <w:r w:rsidRPr="00C85624">
        <w:rPr>
          <w:rFonts w:ascii="Times New Roman" w:hAnsi="Times New Roman"/>
          <w:sz w:val="24"/>
          <w:szCs w:val="24"/>
          <w:shd w:val="clear" w:color="auto" w:fill="FFFFFF"/>
        </w:rPr>
        <w:t>руб., увеличившись по сравнению с соответствующим показателем 2015 года на</w:t>
      </w:r>
      <w:r>
        <w:rPr>
          <w:rFonts w:ascii="Times New Roman" w:hAnsi="Times New Roman"/>
          <w:sz w:val="24"/>
          <w:szCs w:val="24"/>
          <w:shd w:val="clear" w:color="auto" w:fill="FFFFFF"/>
        </w:rPr>
        <w:t xml:space="preserve"> </w:t>
      </w:r>
      <w:r w:rsidRPr="00C85624">
        <w:rPr>
          <w:rFonts w:ascii="Times New Roman" w:hAnsi="Times New Roman"/>
          <w:sz w:val="24"/>
          <w:szCs w:val="24"/>
          <w:shd w:val="clear" w:color="auto" w:fill="FFFFFF"/>
        </w:rPr>
        <w:t xml:space="preserve">1,0%, превысив при этом на 25,4% прожиточный минимум пенсионера. Кроме того, в целях повышения материального благосостояния пенсионеров, </w:t>
      </w:r>
      <w:r w:rsidRPr="00C85624">
        <w:rPr>
          <w:rFonts w:ascii="Times New Roman" w:hAnsi="Times New Roman"/>
          <w:sz w:val="24"/>
          <w:szCs w:val="24"/>
        </w:rPr>
        <w:t xml:space="preserve">каждому получателю пенсии одновременно с выплатой пенсии ежемесячно производилась выплата из средств гуманитарной помощи Российской Федерации в среднем по </w:t>
      </w:r>
      <w:r w:rsidRPr="009047CB">
        <w:rPr>
          <w:rFonts w:ascii="Times New Roman" w:hAnsi="Times New Roman"/>
          <w:sz w:val="24"/>
          <w:szCs w:val="24"/>
        </w:rPr>
        <w:t>128,67</w:t>
      </w:r>
      <w:r w:rsidRPr="00C85624">
        <w:rPr>
          <w:rFonts w:ascii="Times New Roman" w:hAnsi="Times New Roman"/>
          <w:sz w:val="24"/>
          <w:szCs w:val="24"/>
        </w:rPr>
        <w:t xml:space="preserve"> руб. ПМР. </w:t>
      </w:r>
    </w:p>
    <w:p w:rsidR="00E34E0C" w:rsidRDefault="00E34E0C" w:rsidP="00E34E0C">
      <w:pPr>
        <w:spacing w:after="0" w:line="240" w:lineRule="auto"/>
        <w:ind w:firstLine="709"/>
        <w:jc w:val="both"/>
        <w:rPr>
          <w:rFonts w:ascii="Times New Roman" w:hAnsi="Times New Roman"/>
          <w:sz w:val="24"/>
          <w:szCs w:val="24"/>
        </w:rPr>
      </w:pPr>
      <w:r w:rsidRPr="00C85624">
        <w:rPr>
          <w:rFonts w:ascii="Times New Roman" w:hAnsi="Times New Roman"/>
          <w:sz w:val="24"/>
          <w:szCs w:val="24"/>
        </w:rPr>
        <w:t xml:space="preserve">Ситуация на рынке труда в рассматриваемом периоде </w:t>
      </w:r>
      <w:r>
        <w:rPr>
          <w:rFonts w:ascii="Times New Roman" w:hAnsi="Times New Roman"/>
          <w:sz w:val="24"/>
          <w:szCs w:val="24"/>
        </w:rPr>
        <w:t>сохраняла понижающий тренд</w:t>
      </w:r>
      <w:r w:rsidRPr="00C85624">
        <w:rPr>
          <w:rFonts w:ascii="Times New Roman" w:hAnsi="Times New Roman"/>
          <w:sz w:val="24"/>
          <w:szCs w:val="24"/>
        </w:rPr>
        <w:t>. Так, число занятых в организациях всех отраслей экономики (без субъектов предпринимательства, силовых структур и таможенных органов) по состоянию на 1</w:t>
      </w:r>
      <w:r w:rsidR="008E5079">
        <w:rPr>
          <w:rFonts w:ascii="Times New Roman" w:hAnsi="Times New Roman"/>
          <w:sz w:val="24"/>
          <w:szCs w:val="24"/>
        </w:rPr>
        <w:t> </w:t>
      </w:r>
      <w:r w:rsidRPr="00C85624">
        <w:rPr>
          <w:rFonts w:ascii="Times New Roman" w:hAnsi="Times New Roman"/>
          <w:sz w:val="24"/>
          <w:szCs w:val="24"/>
        </w:rPr>
        <w:t>января 2017 года сократил</w:t>
      </w:r>
      <w:r>
        <w:rPr>
          <w:rFonts w:ascii="Times New Roman" w:hAnsi="Times New Roman"/>
          <w:sz w:val="24"/>
          <w:szCs w:val="24"/>
        </w:rPr>
        <w:t>о</w:t>
      </w:r>
      <w:r w:rsidRPr="00C85624">
        <w:rPr>
          <w:rFonts w:ascii="Times New Roman" w:hAnsi="Times New Roman"/>
          <w:sz w:val="24"/>
          <w:szCs w:val="24"/>
        </w:rPr>
        <w:t xml:space="preserve">сь по сравнению с аналогичной датой 2016 года на 1,2% </w:t>
      </w:r>
      <w:r w:rsidR="00CF1F5D">
        <w:rPr>
          <w:rFonts w:ascii="Times New Roman" w:hAnsi="Times New Roman"/>
          <w:sz w:val="24"/>
          <w:szCs w:val="24"/>
        </w:rPr>
        <w:t xml:space="preserve">                             </w:t>
      </w:r>
      <w:r w:rsidRPr="00C85624">
        <w:rPr>
          <w:rFonts w:ascii="Times New Roman" w:hAnsi="Times New Roman"/>
          <w:sz w:val="24"/>
          <w:szCs w:val="24"/>
        </w:rPr>
        <w:t xml:space="preserve">(на 2,3 тыс. чел.) до 97,5 тыс. чел. </w:t>
      </w:r>
      <w:r>
        <w:rPr>
          <w:rFonts w:ascii="Times New Roman" w:hAnsi="Times New Roman"/>
          <w:sz w:val="24"/>
          <w:szCs w:val="24"/>
        </w:rPr>
        <w:t>В</w:t>
      </w:r>
      <w:r w:rsidRPr="003043CD">
        <w:rPr>
          <w:rFonts w:ascii="Times New Roman" w:hAnsi="Times New Roman"/>
          <w:sz w:val="24"/>
          <w:szCs w:val="24"/>
        </w:rPr>
        <w:t xml:space="preserve"> сложившихся условиях </w:t>
      </w:r>
      <w:r>
        <w:rPr>
          <w:rFonts w:ascii="Times New Roman" w:hAnsi="Times New Roman"/>
          <w:sz w:val="24"/>
          <w:szCs w:val="24"/>
        </w:rPr>
        <w:t>рынок труда характеризовался</w:t>
      </w:r>
      <w:r w:rsidRPr="003043CD">
        <w:rPr>
          <w:rFonts w:ascii="Times New Roman" w:hAnsi="Times New Roman"/>
          <w:sz w:val="24"/>
          <w:szCs w:val="24"/>
        </w:rPr>
        <w:t xml:space="preserve"> превышением числа уволенных сотрудников (</w:t>
      </w:r>
      <w:r>
        <w:rPr>
          <w:rFonts w:ascii="Times New Roman" w:hAnsi="Times New Roman"/>
          <w:sz w:val="24"/>
          <w:szCs w:val="24"/>
        </w:rPr>
        <w:t>16,8 тыс.</w:t>
      </w:r>
      <w:r w:rsidRPr="003043CD">
        <w:rPr>
          <w:rFonts w:ascii="Times New Roman" w:hAnsi="Times New Roman"/>
          <w:sz w:val="24"/>
          <w:szCs w:val="24"/>
        </w:rPr>
        <w:t xml:space="preserve"> чел., из которых </w:t>
      </w:r>
      <w:r>
        <w:rPr>
          <w:rFonts w:ascii="Times New Roman" w:hAnsi="Times New Roman"/>
          <w:sz w:val="24"/>
          <w:szCs w:val="24"/>
        </w:rPr>
        <w:t>84,8</w:t>
      </w:r>
      <w:r w:rsidRPr="003043CD">
        <w:rPr>
          <w:rFonts w:ascii="Times New Roman" w:hAnsi="Times New Roman"/>
          <w:sz w:val="24"/>
          <w:szCs w:val="24"/>
        </w:rPr>
        <w:t>% по собственному желанию), над количеством принятых (</w:t>
      </w:r>
      <w:r>
        <w:rPr>
          <w:rFonts w:ascii="Times New Roman" w:hAnsi="Times New Roman"/>
          <w:sz w:val="24"/>
          <w:szCs w:val="24"/>
        </w:rPr>
        <w:t xml:space="preserve">15,8 тыс. </w:t>
      </w:r>
      <w:r w:rsidRPr="003043CD">
        <w:rPr>
          <w:rFonts w:ascii="Times New Roman" w:hAnsi="Times New Roman"/>
          <w:sz w:val="24"/>
          <w:szCs w:val="24"/>
        </w:rPr>
        <w:t xml:space="preserve">чел., в том числе </w:t>
      </w:r>
      <w:r>
        <w:rPr>
          <w:rFonts w:ascii="Times New Roman" w:hAnsi="Times New Roman"/>
          <w:sz w:val="24"/>
          <w:szCs w:val="24"/>
        </w:rPr>
        <w:t>901</w:t>
      </w:r>
      <w:r w:rsidRPr="003043CD">
        <w:rPr>
          <w:rFonts w:ascii="Times New Roman" w:hAnsi="Times New Roman"/>
          <w:sz w:val="24"/>
          <w:szCs w:val="24"/>
        </w:rPr>
        <w:t xml:space="preserve"> чел. трудоустроено на дополнительно введённые рабочие места). Процент замещения выбывших работников новыми кадрами составил </w:t>
      </w:r>
      <w:r>
        <w:rPr>
          <w:rFonts w:ascii="Times New Roman" w:hAnsi="Times New Roman"/>
          <w:sz w:val="24"/>
          <w:szCs w:val="24"/>
        </w:rPr>
        <w:t>93,7</w:t>
      </w:r>
      <w:r w:rsidRPr="003043CD">
        <w:rPr>
          <w:rFonts w:ascii="Times New Roman" w:hAnsi="Times New Roman"/>
          <w:sz w:val="24"/>
          <w:szCs w:val="24"/>
        </w:rPr>
        <w:t>% (+</w:t>
      </w:r>
      <w:r>
        <w:rPr>
          <w:rFonts w:ascii="Times New Roman" w:hAnsi="Times New Roman"/>
          <w:sz w:val="24"/>
          <w:szCs w:val="24"/>
        </w:rPr>
        <w:t>9,6</w:t>
      </w:r>
      <w:r w:rsidRPr="003043CD">
        <w:rPr>
          <w:rFonts w:ascii="Times New Roman" w:hAnsi="Times New Roman"/>
          <w:sz w:val="24"/>
          <w:szCs w:val="24"/>
        </w:rPr>
        <w:t xml:space="preserve"> </w:t>
      </w:r>
      <w:r>
        <w:rPr>
          <w:rFonts w:ascii="Times New Roman" w:hAnsi="Times New Roman"/>
          <w:sz w:val="24"/>
          <w:szCs w:val="24"/>
        </w:rPr>
        <w:t>процентных пункта</w:t>
      </w:r>
      <w:r w:rsidRPr="003043CD">
        <w:rPr>
          <w:rFonts w:ascii="Times New Roman" w:hAnsi="Times New Roman"/>
          <w:sz w:val="24"/>
          <w:szCs w:val="24"/>
        </w:rPr>
        <w:t>).</w:t>
      </w:r>
      <w:r>
        <w:rPr>
          <w:rFonts w:ascii="Times New Roman" w:hAnsi="Times New Roman"/>
          <w:sz w:val="24"/>
          <w:szCs w:val="24"/>
        </w:rPr>
        <w:t xml:space="preserve"> </w:t>
      </w:r>
    </w:p>
    <w:p w:rsidR="006A6007" w:rsidRDefault="006A6007" w:rsidP="00E34E0C">
      <w:pPr>
        <w:spacing w:after="0" w:line="240" w:lineRule="auto"/>
        <w:ind w:firstLine="709"/>
        <w:jc w:val="both"/>
        <w:rPr>
          <w:rFonts w:ascii="Times New Roman" w:hAnsi="Times New Roman"/>
          <w:b/>
          <w:sz w:val="24"/>
          <w:szCs w:val="24"/>
        </w:rPr>
      </w:pPr>
    </w:p>
    <w:p w:rsidR="00E34E0C" w:rsidRPr="00F51B73" w:rsidRDefault="00E34E0C" w:rsidP="00E34E0C">
      <w:pPr>
        <w:spacing w:after="0" w:line="240" w:lineRule="auto"/>
        <w:ind w:firstLine="709"/>
        <w:jc w:val="both"/>
        <w:rPr>
          <w:rFonts w:ascii="Times New Roman" w:hAnsi="Times New Roman"/>
          <w:b/>
          <w:sz w:val="24"/>
          <w:szCs w:val="24"/>
        </w:rPr>
      </w:pPr>
      <w:r w:rsidRPr="00F51B73">
        <w:rPr>
          <w:rFonts w:ascii="Times New Roman" w:hAnsi="Times New Roman"/>
          <w:b/>
          <w:sz w:val="24"/>
          <w:szCs w:val="24"/>
        </w:rPr>
        <w:t>Объем и структура ВВП</w:t>
      </w:r>
    </w:p>
    <w:p w:rsidR="00E34E0C" w:rsidRDefault="00E34E0C" w:rsidP="00E34E0C">
      <w:pPr>
        <w:pStyle w:val="a3"/>
      </w:pPr>
    </w:p>
    <w:p w:rsidR="00E34E0C" w:rsidRDefault="00E34E0C" w:rsidP="00E34E0C">
      <w:pPr>
        <w:pStyle w:val="a3"/>
      </w:pPr>
      <w:r>
        <w:t>Под в</w:t>
      </w:r>
      <w:r w:rsidRPr="00C37E8F">
        <w:t>оздействие</w:t>
      </w:r>
      <w:r>
        <w:t>м</w:t>
      </w:r>
      <w:r w:rsidRPr="00C37E8F">
        <w:t xml:space="preserve"> группы факторов, связанных с нестабильной внешнеполитической и экономической конъюнктурой в совокупности с углублением проблем в сфере финансов, </w:t>
      </w:r>
      <w:r>
        <w:t>ситуация в экономике в 2016 году оставалась достаточно сложной, что предопределило динамику и структуру составляющих ВВП.</w:t>
      </w:r>
    </w:p>
    <w:p w:rsidR="00E34E0C" w:rsidRDefault="00E34E0C" w:rsidP="00E34E0C">
      <w:pPr>
        <w:pStyle w:val="a3"/>
      </w:pPr>
      <w:r>
        <w:t>Номинальный объем созданного в республике валового внутреннего продукта за 2016</w:t>
      </w:r>
      <w:r w:rsidR="008176B9">
        <w:t> </w:t>
      </w:r>
      <w:r>
        <w:t xml:space="preserve">год составил 11 464,6 млн. руб. и соответствовал </w:t>
      </w:r>
      <w:r w:rsidR="00332B2B" w:rsidRPr="00AD263A">
        <w:rPr>
          <w:highlight w:val="yellow"/>
        </w:rPr>
        <w:t>1</w:t>
      </w:r>
      <w:r w:rsidR="00AD263A" w:rsidRPr="00AD263A">
        <w:rPr>
          <w:highlight w:val="yellow"/>
        </w:rPr>
        <w:t xml:space="preserve"> </w:t>
      </w:r>
      <w:r w:rsidR="00332B2B" w:rsidRPr="00AD263A">
        <w:rPr>
          <w:highlight w:val="yellow"/>
        </w:rPr>
        <w:t>018,3</w:t>
      </w:r>
      <w:r>
        <w:t xml:space="preserve"> млн. долл., превысив базовый показатель 2015 года в номинальном выражении на 14,5%.</w:t>
      </w:r>
    </w:p>
    <w:p w:rsidR="00E34E0C" w:rsidRDefault="00E34E0C" w:rsidP="00E34E0C">
      <w:pPr>
        <w:pStyle w:val="1"/>
        <w:ind w:firstLine="709"/>
        <w:jc w:val="both"/>
        <w:rPr>
          <w:rFonts w:ascii="Times New Roman" w:hAnsi="Times New Roman"/>
          <w:sz w:val="24"/>
          <w:szCs w:val="24"/>
        </w:rPr>
      </w:pPr>
      <w:r w:rsidRPr="00546B25">
        <w:rPr>
          <w:rFonts w:ascii="Times New Roman" w:hAnsi="Times New Roman"/>
          <w:sz w:val="24"/>
          <w:szCs w:val="24"/>
        </w:rPr>
        <w:t xml:space="preserve">Реальный размер совокупного показателя развития экономики (ВВП в сопоставимых ценах) </w:t>
      </w:r>
      <w:r>
        <w:rPr>
          <w:rFonts w:ascii="Times New Roman" w:hAnsi="Times New Roman"/>
          <w:sz w:val="24"/>
          <w:szCs w:val="24"/>
        </w:rPr>
        <w:t xml:space="preserve">на фоне низких базовых показателей 2015 года и с учетом выплаченной суммы кредиторской задолженности по оплате труда (с учетом начислений) работникам бюджетной сферы, образовавшейся в связи с действием в 2015 году особого порядка финансирования заработных плат работникам бюджетных учреждений, в совокупности с </w:t>
      </w:r>
      <w:r w:rsidRPr="0080737A">
        <w:rPr>
          <w:rFonts w:ascii="Times New Roman" w:hAnsi="Times New Roman"/>
          <w:sz w:val="24"/>
          <w:szCs w:val="24"/>
        </w:rPr>
        <w:t>влияни</w:t>
      </w:r>
      <w:r>
        <w:rPr>
          <w:rFonts w:ascii="Times New Roman" w:hAnsi="Times New Roman"/>
          <w:sz w:val="24"/>
          <w:szCs w:val="24"/>
        </w:rPr>
        <w:t>ем</w:t>
      </w:r>
      <w:r w:rsidRPr="0080737A">
        <w:rPr>
          <w:rFonts w:ascii="Times New Roman" w:hAnsi="Times New Roman"/>
          <w:sz w:val="24"/>
          <w:szCs w:val="24"/>
        </w:rPr>
        <w:t xml:space="preserve"> конъюнктуры цен вырос на </w:t>
      </w:r>
      <w:r>
        <w:rPr>
          <w:rFonts w:ascii="Times New Roman" w:hAnsi="Times New Roman"/>
          <w:sz w:val="24"/>
          <w:szCs w:val="24"/>
        </w:rPr>
        <w:t>17,8</w:t>
      </w:r>
      <w:r w:rsidRPr="0080737A">
        <w:rPr>
          <w:rFonts w:ascii="Times New Roman" w:hAnsi="Times New Roman"/>
          <w:sz w:val="24"/>
          <w:szCs w:val="24"/>
        </w:rPr>
        <w:t>%</w:t>
      </w:r>
      <w:r>
        <w:rPr>
          <w:rFonts w:ascii="Times New Roman" w:hAnsi="Times New Roman"/>
          <w:sz w:val="24"/>
          <w:szCs w:val="24"/>
        </w:rPr>
        <w:t xml:space="preserve">. </w:t>
      </w:r>
    </w:p>
    <w:p w:rsidR="00E34E0C" w:rsidRPr="00205F93" w:rsidRDefault="00E34E0C" w:rsidP="00E34E0C">
      <w:pPr>
        <w:pStyle w:val="1"/>
        <w:ind w:firstLine="709"/>
        <w:jc w:val="both"/>
        <w:rPr>
          <w:rFonts w:ascii="Times New Roman" w:hAnsi="Times New Roman"/>
          <w:sz w:val="24"/>
          <w:szCs w:val="24"/>
        </w:rPr>
      </w:pPr>
      <w:r>
        <w:rPr>
          <w:rFonts w:ascii="Times New Roman" w:hAnsi="Times New Roman"/>
          <w:sz w:val="24"/>
          <w:szCs w:val="24"/>
        </w:rPr>
        <w:t xml:space="preserve">С учетом корректировки на сумму выплаченной кредиторской задолженности, созданный в республике реальный ВВП по итогам 2016 года вырос на </w:t>
      </w:r>
      <w:r w:rsidR="00C504AF">
        <w:rPr>
          <w:rFonts w:ascii="Times New Roman" w:hAnsi="Times New Roman"/>
          <w:sz w:val="24"/>
          <w:szCs w:val="24"/>
          <w:highlight w:val="yellow"/>
        </w:rPr>
        <w:t>11,5</w:t>
      </w:r>
      <w:r w:rsidRPr="00C770B9">
        <w:rPr>
          <w:rFonts w:ascii="Times New Roman" w:hAnsi="Times New Roman"/>
          <w:sz w:val="24"/>
          <w:szCs w:val="24"/>
          <w:highlight w:val="yellow"/>
        </w:rPr>
        <w:t>%.</w:t>
      </w:r>
    </w:p>
    <w:p w:rsidR="00E34E0C" w:rsidRPr="006A6007" w:rsidRDefault="00E34E0C" w:rsidP="00E34E0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A6007">
        <w:rPr>
          <w:rFonts w:ascii="Times New Roman" w:hAnsi="Times New Roman"/>
          <w:b/>
          <w:sz w:val="24"/>
          <w:szCs w:val="24"/>
        </w:rPr>
        <w:t xml:space="preserve">Таким образом, основное влияние на фиксируемый прирост реального ВВП в 2016 году оказала: </w:t>
      </w:r>
    </w:p>
    <w:p w:rsidR="00E34E0C" w:rsidRPr="006A6007" w:rsidRDefault="00E34E0C" w:rsidP="00E34E0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A6007">
        <w:rPr>
          <w:rFonts w:ascii="Times New Roman" w:hAnsi="Times New Roman"/>
          <w:b/>
          <w:sz w:val="24"/>
          <w:szCs w:val="24"/>
        </w:rPr>
        <w:t>-</w:t>
      </w:r>
      <w:r w:rsidR="00174F9C">
        <w:rPr>
          <w:rFonts w:ascii="Times New Roman" w:hAnsi="Times New Roman"/>
          <w:b/>
          <w:sz w:val="24"/>
          <w:szCs w:val="24"/>
        </w:rPr>
        <w:tab/>
      </w:r>
      <w:r w:rsidRPr="006A6007">
        <w:rPr>
          <w:rFonts w:ascii="Times New Roman" w:hAnsi="Times New Roman"/>
          <w:b/>
          <w:sz w:val="24"/>
          <w:szCs w:val="24"/>
        </w:rPr>
        <w:t>выплата кредиторской задолженности по оплате труда (с учетом начислений) работникам бюджетной сферы, размер которой по состоянию на 1 января 2016 года составил 293, 9 млн. руб.;</w:t>
      </w:r>
    </w:p>
    <w:p w:rsidR="00E34E0C" w:rsidRPr="006A6007" w:rsidRDefault="00E34E0C" w:rsidP="00E34E0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A6007">
        <w:rPr>
          <w:rFonts w:ascii="Times New Roman" w:hAnsi="Times New Roman"/>
          <w:b/>
          <w:sz w:val="24"/>
          <w:szCs w:val="24"/>
        </w:rPr>
        <w:t>-</w:t>
      </w:r>
      <w:r w:rsidR="00174F9C">
        <w:rPr>
          <w:rFonts w:ascii="Times New Roman" w:hAnsi="Times New Roman"/>
          <w:b/>
          <w:sz w:val="24"/>
          <w:szCs w:val="24"/>
        </w:rPr>
        <w:tab/>
      </w:r>
      <w:r w:rsidRPr="006A6007">
        <w:rPr>
          <w:rFonts w:ascii="Times New Roman" w:hAnsi="Times New Roman"/>
          <w:b/>
          <w:sz w:val="24"/>
          <w:szCs w:val="24"/>
        </w:rPr>
        <w:t>снижение доли промежуточного потребления в отраслях материального производства (с 70,96% до 60,66%).</w:t>
      </w:r>
    </w:p>
    <w:p w:rsidR="00E34E0C" w:rsidRDefault="00E34E0C" w:rsidP="00E34E0C">
      <w:pPr>
        <w:pStyle w:val="a3"/>
      </w:pPr>
      <w:r w:rsidRPr="000A3B06">
        <w:t xml:space="preserve">Дефлятор ВВП, устанавливающий связь между реальным и номинальным ВВП, на фоне </w:t>
      </w:r>
      <w:r>
        <w:t>падения цен (дефляции)</w:t>
      </w:r>
      <w:r w:rsidRPr="000A3B06">
        <w:t xml:space="preserve"> в отраслях материального производства и в</w:t>
      </w:r>
      <w:r>
        <w:t xml:space="preserve"> совокупности с минимальным повышении цен в секторах </w:t>
      </w:r>
      <w:r w:rsidRPr="000A3B06">
        <w:t>сфер</w:t>
      </w:r>
      <w:r>
        <w:t>ы</w:t>
      </w:r>
      <w:r w:rsidRPr="000A3B06">
        <w:t xml:space="preserve"> услуг</w:t>
      </w:r>
      <w:r>
        <w:t xml:space="preserve"> («+»0,97%)</w:t>
      </w:r>
      <w:r w:rsidRPr="000A3B06">
        <w:t xml:space="preserve"> </w:t>
      </w:r>
      <w:r>
        <w:t xml:space="preserve">по </w:t>
      </w:r>
      <w:r w:rsidRPr="000A3B06">
        <w:t>итогам 201</w:t>
      </w:r>
      <w:r>
        <w:t>6</w:t>
      </w:r>
      <w:r w:rsidRPr="000A3B06">
        <w:t xml:space="preserve"> года </w:t>
      </w:r>
      <w:r>
        <w:t>составил 0,9722</w:t>
      </w:r>
      <w:r w:rsidRPr="000A3B06">
        <w:t xml:space="preserve"> против </w:t>
      </w:r>
      <w:r>
        <w:t>0,9706</w:t>
      </w:r>
      <w:r w:rsidRPr="000A3B06">
        <w:t xml:space="preserve"> в 201</w:t>
      </w:r>
      <w:r>
        <w:t xml:space="preserve">5 </w:t>
      </w:r>
      <w:r w:rsidRPr="000A3B06">
        <w:t>год</w:t>
      </w:r>
      <w:r>
        <w:t>у</w:t>
      </w:r>
      <w:r w:rsidRPr="000A3B06">
        <w:t xml:space="preserve">. </w:t>
      </w:r>
    </w:p>
    <w:p w:rsidR="002156EF" w:rsidRPr="005E7AEE" w:rsidRDefault="002156EF" w:rsidP="002156EF">
      <w:pPr>
        <w:pStyle w:val="a5"/>
        <w:spacing w:after="0" w:line="240" w:lineRule="auto"/>
        <w:ind w:left="0" w:firstLine="709"/>
        <w:jc w:val="both"/>
        <w:rPr>
          <w:rFonts w:ascii="Times New Roman" w:hAnsi="Times New Roman"/>
          <w:sz w:val="24"/>
          <w:szCs w:val="24"/>
        </w:rPr>
      </w:pPr>
      <w:r w:rsidRPr="005E7AEE">
        <w:rPr>
          <w:rFonts w:ascii="Times New Roman" w:hAnsi="Times New Roman"/>
          <w:sz w:val="24"/>
          <w:szCs w:val="24"/>
        </w:rPr>
        <w:lastRenderedPageBreak/>
        <w:t xml:space="preserve">В структуре валового внутреннего продукта на фоне широкого перечня конъюнктурных </w:t>
      </w:r>
      <w:r>
        <w:rPr>
          <w:rFonts w:ascii="Times New Roman" w:hAnsi="Times New Roman"/>
          <w:sz w:val="24"/>
          <w:szCs w:val="24"/>
        </w:rPr>
        <w:t>проблем</w:t>
      </w:r>
      <w:r w:rsidRPr="005E7AEE">
        <w:rPr>
          <w:rFonts w:ascii="Times New Roman" w:hAnsi="Times New Roman"/>
          <w:sz w:val="24"/>
          <w:szCs w:val="24"/>
        </w:rPr>
        <w:t>, усугубившихся дефицитом иностранной валюты и вызванными им курсовыми колебаниями в 2016 году, при преобладании инфраструктурных отраслей отмечается повышение удельного веса отраслей материального производства по отношению к базисным параметрам на 3,64 процентных пункта до 38,81% и сокращение долевого представительства сферы услуг на 0,76 процентных пункта до 61,23%. Это произошло на фоне падения удельного веса фискальной составляющей «чистые налоги на продукты и импорт» до отрицательного значения «-»0,04% против 2,84% в 2015 году.</w:t>
      </w:r>
    </w:p>
    <w:p w:rsidR="00E34E0C" w:rsidRDefault="00E34E0C" w:rsidP="002156EF">
      <w:pPr>
        <w:spacing w:after="0" w:line="240" w:lineRule="auto"/>
        <w:ind w:hanging="426"/>
      </w:pPr>
      <w:r w:rsidRPr="006E021D">
        <w:rPr>
          <w:noProof/>
        </w:rPr>
        <w:drawing>
          <wp:inline distT="0" distB="0" distL="0" distR="0">
            <wp:extent cx="6477000" cy="2371725"/>
            <wp:effectExtent l="0" t="0" r="0" b="0"/>
            <wp:docPr id="76"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34E0C" w:rsidRDefault="00E34E0C" w:rsidP="00E34E0C">
      <w:pPr>
        <w:pStyle w:val="a5"/>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Опережающее падение издержек производства (промежуточное потребление) в </w:t>
      </w:r>
      <w:r w:rsidRPr="005F421E">
        <w:rPr>
          <w:rFonts w:ascii="Times New Roman" w:hAnsi="Times New Roman"/>
          <w:b/>
          <w:sz w:val="24"/>
          <w:szCs w:val="24"/>
        </w:rPr>
        <w:t>индустриальном секторе</w:t>
      </w:r>
      <w:r>
        <w:rPr>
          <w:rFonts w:ascii="Times New Roman" w:hAnsi="Times New Roman"/>
          <w:sz w:val="24"/>
          <w:szCs w:val="24"/>
        </w:rPr>
        <w:t xml:space="preserve"> «-»23,6% относительно сокращения валового выпуска </w:t>
      </w:r>
      <w:r w:rsidR="006A6007">
        <w:rPr>
          <w:rFonts w:ascii="Times New Roman" w:hAnsi="Times New Roman"/>
          <w:sz w:val="24"/>
          <w:szCs w:val="24"/>
        </w:rPr>
        <w:br/>
      </w:r>
      <w:r>
        <w:rPr>
          <w:rFonts w:ascii="Times New Roman" w:hAnsi="Times New Roman"/>
          <w:sz w:val="24"/>
          <w:szCs w:val="24"/>
        </w:rPr>
        <w:t>(«-»9,7%)</w:t>
      </w:r>
      <w:r w:rsidRPr="005839FE">
        <w:rPr>
          <w:rFonts w:ascii="Times New Roman" w:hAnsi="Times New Roman"/>
          <w:sz w:val="24"/>
          <w:szCs w:val="24"/>
        </w:rPr>
        <w:t xml:space="preserve"> </w:t>
      </w:r>
      <w:r>
        <w:rPr>
          <w:rFonts w:ascii="Times New Roman" w:hAnsi="Times New Roman"/>
          <w:sz w:val="24"/>
          <w:szCs w:val="24"/>
        </w:rPr>
        <w:t>предопределило повышение</w:t>
      </w:r>
      <w:r w:rsidRPr="002D2426">
        <w:rPr>
          <w:rFonts w:ascii="Times New Roman" w:hAnsi="Times New Roman"/>
          <w:sz w:val="24"/>
          <w:szCs w:val="24"/>
        </w:rPr>
        <w:t xml:space="preserve"> результативности </w:t>
      </w:r>
      <w:r>
        <w:rPr>
          <w:rFonts w:ascii="Times New Roman" w:hAnsi="Times New Roman"/>
          <w:sz w:val="24"/>
          <w:szCs w:val="24"/>
        </w:rPr>
        <w:t>в данном секторе на 25,5</w:t>
      </w:r>
      <w:r w:rsidRPr="002D2426">
        <w:rPr>
          <w:rFonts w:ascii="Times New Roman" w:hAnsi="Times New Roman"/>
          <w:sz w:val="24"/>
          <w:szCs w:val="24"/>
        </w:rPr>
        <w:t>%</w:t>
      </w:r>
      <w:r>
        <w:rPr>
          <w:rFonts w:ascii="Times New Roman" w:hAnsi="Times New Roman"/>
          <w:sz w:val="24"/>
          <w:szCs w:val="24"/>
        </w:rPr>
        <w:t xml:space="preserve"> до                   3 385,1 млн. руб., и обеспечило расширение вклада в формирование </w:t>
      </w:r>
      <w:r w:rsidRPr="00C37E8F">
        <w:rPr>
          <w:rFonts w:ascii="Times New Roman" w:hAnsi="Times New Roman"/>
          <w:sz w:val="24"/>
          <w:szCs w:val="24"/>
        </w:rPr>
        <w:t>валового внутреннего продукта</w:t>
      </w:r>
      <w:r>
        <w:rPr>
          <w:rFonts w:ascii="Times New Roman" w:hAnsi="Times New Roman"/>
          <w:sz w:val="24"/>
          <w:szCs w:val="24"/>
        </w:rPr>
        <w:t xml:space="preserve"> на 2,59 процентных пункта до 29,53%.</w:t>
      </w:r>
    </w:p>
    <w:p w:rsidR="00E34E0C" w:rsidRPr="00E658AD" w:rsidRDefault="00E34E0C" w:rsidP="00E34E0C">
      <w:pPr>
        <w:pStyle w:val="a5"/>
        <w:spacing w:after="0" w:line="240" w:lineRule="auto"/>
        <w:ind w:left="0" w:firstLine="709"/>
        <w:jc w:val="both"/>
        <w:rPr>
          <w:rFonts w:ascii="Times New Roman" w:hAnsi="Times New Roman"/>
          <w:sz w:val="24"/>
          <w:szCs w:val="24"/>
        </w:rPr>
      </w:pPr>
      <w:r w:rsidRPr="00E658AD">
        <w:rPr>
          <w:rFonts w:ascii="Times New Roman" w:hAnsi="Times New Roman"/>
          <w:sz w:val="24"/>
          <w:szCs w:val="24"/>
        </w:rPr>
        <w:t xml:space="preserve">Аграрный сектор по итогам 2016 года обеспечил 6,93% валовой добавленной стоимости в совокупном показателе результативности экономики или 794,1 млн. руб., что является самым высоким показателем за весь период </w:t>
      </w:r>
      <w:r>
        <w:rPr>
          <w:rFonts w:ascii="Times New Roman" w:hAnsi="Times New Roman"/>
          <w:sz w:val="24"/>
          <w:szCs w:val="24"/>
        </w:rPr>
        <w:t>наблюдения</w:t>
      </w:r>
      <w:r w:rsidRPr="00E658AD">
        <w:rPr>
          <w:rFonts w:ascii="Times New Roman" w:hAnsi="Times New Roman"/>
          <w:sz w:val="24"/>
          <w:szCs w:val="24"/>
        </w:rPr>
        <w:t xml:space="preserve">, это произошло на фоне увеличения валового выпуска на 8,6%, в комплексе с сокращением стоимости расходных материалов, включаемых в промежуточное потребление на 6,4%. </w:t>
      </w:r>
    </w:p>
    <w:p w:rsidR="00E34E0C" w:rsidRPr="008E5079" w:rsidRDefault="00E34E0C" w:rsidP="00E34E0C">
      <w:pPr>
        <w:spacing w:after="0" w:line="240" w:lineRule="auto"/>
        <w:ind w:firstLine="709"/>
        <w:jc w:val="both"/>
        <w:rPr>
          <w:rFonts w:ascii="Times New Roman" w:hAnsi="Times New Roman"/>
          <w:sz w:val="10"/>
          <w:szCs w:val="10"/>
        </w:rPr>
      </w:pPr>
    </w:p>
    <w:p w:rsidR="00E34E0C" w:rsidRPr="008E5079" w:rsidRDefault="00E34E0C" w:rsidP="008E5079">
      <w:pPr>
        <w:pStyle w:val="a5"/>
        <w:spacing w:after="0" w:line="240" w:lineRule="auto"/>
        <w:ind w:left="-284"/>
        <w:jc w:val="both"/>
        <w:rPr>
          <w:rFonts w:ascii="Times New Roman" w:hAnsi="Times New Roman"/>
          <w:sz w:val="10"/>
          <w:szCs w:val="10"/>
        </w:rPr>
      </w:pPr>
      <w:r w:rsidRPr="00815810">
        <w:rPr>
          <w:rFonts w:ascii="Times New Roman" w:hAnsi="Times New Roman"/>
          <w:noProof/>
          <w:sz w:val="24"/>
          <w:szCs w:val="24"/>
        </w:rPr>
        <w:drawing>
          <wp:inline distT="0" distB="0" distL="0" distR="0">
            <wp:extent cx="6457950" cy="2181225"/>
            <wp:effectExtent l="0" t="0" r="0" b="0"/>
            <wp:docPr id="7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A47C4" w:rsidRPr="009A47C4" w:rsidRDefault="009A47C4" w:rsidP="006A6007">
      <w:pPr>
        <w:spacing w:after="0" w:line="240" w:lineRule="auto"/>
        <w:ind w:firstLine="709"/>
        <w:jc w:val="both"/>
        <w:rPr>
          <w:rFonts w:ascii="Times New Roman" w:hAnsi="Times New Roman"/>
          <w:sz w:val="10"/>
          <w:szCs w:val="10"/>
        </w:rPr>
      </w:pPr>
    </w:p>
    <w:p w:rsidR="006A6007" w:rsidRDefault="006A6007" w:rsidP="006A6007">
      <w:pPr>
        <w:spacing w:after="0" w:line="240" w:lineRule="auto"/>
        <w:ind w:firstLine="709"/>
        <w:jc w:val="both"/>
        <w:rPr>
          <w:rFonts w:ascii="Times New Roman" w:hAnsi="Times New Roman"/>
          <w:sz w:val="24"/>
          <w:szCs w:val="24"/>
        </w:rPr>
      </w:pPr>
      <w:r w:rsidRPr="00E658AD">
        <w:rPr>
          <w:rFonts w:ascii="Times New Roman" w:hAnsi="Times New Roman"/>
          <w:sz w:val="24"/>
          <w:szCs w:val="24"/>
        </w:rPr>
        <w:t>Параметры деятельности строительных организаций</w:t>
      </w:r>
      <w:r w:rsidRPr="00DA5132">
        <w:rPr>
          <w:rFonts w:ascii="Times New Roman" w:hAnsi="Times New Roman"/>
          <w:sz w:val="24"/>
          <w:szCs w:val="24"/>
        </w:rPr>
        <w:t xml:space="preserve"> </w:t>
      </w:r>
      <w:r>
        <w:rPr>
          <w:rFonts w:ascii="Times New Roman" w:hAnsi="Times New Roman"/>
          <w:sz w:val="24"/>
          <w:szCs w:val="24"/>
        </w:rPr>
        <w:t>по итогам</w:t>
      </w:r>
      <w:r w:rsidRPr="00DA5132">
        <w:rPr>
          <w:rFonts w:ascii="Times New Roman" w:hAnsi="Times New Roman"/>
          <w:sz w:val="24"/>
          <w:szCs w:val="24"/>
        </w:rPr>
        <w:t xml:space="preserve"> 201</w:t>
      </w:r>
      <w:r>
        <w:rPr>
          <w:rFonts w:ascii="Times New Roman" w:hAnsi="Times New Roman"/>
          <w:sz w:val="24"/>
          <w:szCs w:val="24"/>
        </w:rPr>
        <w:t>6 года</w:t>
      </w:r>
      <w:r w:rsidRPr="00DA5132">
        <w:rPr>
          <w:rFonts w:ascii="Times New Roman" w:hAnsi="Times New Roman"/>
          <w:sz w:val="24"/>
          <w:szCs w:val="24"/>
        </w:rPr>
        <w:t xml:space="preserve"> предопределили отставание от базисных значений показателя валового выпуска на </w:t>
      </w:r>
      <w:r>
        <w:rPr>
          <w:rFonts w:ascii="Times New Roman" w:hAnsi="Times New Roman"/>
          <w:sz w:val="24"/>
          <w:szCs w:val="24"/>
        </w:rPr>
        <w:t>12,8</w:t>
      </w:r>
      <w:r w:rsidRPr="00DA5132">
        <w:rPr>
          <w:rFonts w:ascii="Times New Roman" w:hAnsi="Times New Roman"/>
          <w:sz w:val="24"/>
          <w:szCs w:val="24"/>
        </w:rPr>
        <w:t xml:space="preserve">% и промежуточного потребления (расходные материалы) на </w:t>
      </w:r>
      <w:r>
        <w:rPr>
          <w:rFonts w:ascii="Times New Roman" w:hAnsi="Times New Roman"/>
          <w:sz w:val="24"/>
          <w:szCs w:val="24"/>
        </w:rPr>
        <w:t>15,6</w:t>
      </w:r>
      <w:r w:rsidRPr="00DA5132">
        <w:rPr>
          <w:rFonts w:ascii="Times New Roman" w:hAnsi="Times New Roman"/>
          <w:sz w:val="24"/>
          <w:szCs w:val="24"/>
        </w:rPr>
        <w:t>%</w:t>
      </w:r>
      <w:r>
        <w:rPr>
          <w:rFonts w:ascii="Times New Roman" w:hAnsi="Times New Roman"/>
          <w:sz w:val="24"/>
          <w:szCs w:val="24"/>
        </w:rPr>
        <w:t>, в</w:t>
      </w:r>
      <w:r w:rsidRPr="00DA5132">
        <w:rPr>
          <w:rFonts w:ascii="Times New Roman" w:hAnsi="Times New Roman"/>
          <w:sz w:val="24"/>
          <w:szCs w:val="24"/>
        </w:rPr>
        <w:t xml:space="preserve">следствие </w:t>
      </w:r>
      <w:r>
        <w:rPr>
          <w:rFonts w:ascii="Times New Roman" w:hAnsi="Times New Roman"/>
          <w:sz w:val="24"/>
          <w:szCs w:val="24"/>
        </w:rPr>
        <w:t xml:space="preserve">чего </w:t>
      </w:r>
      <w:r w:rsidRPr="00DA5132">
        <w:rPr>
          <w:rFonts w:ascii="Times New Roman" w:hAnsi="Times New Roman"/>
          <w:sz w:val="24"/>
          <w:szCs w:val="24"/>
        </w:rPr>
        <w:t xml:space="preserve">абсолютная величина созданной добавленной стоимости </w:t>
      </w:r>
      <w:r w:rsidRPr="00DA5132">
        <w:rPr>
          <w:rFonts w:ascii="Times New Roman" w:hAnsi="Times New Roman"/>
          <w:b/>
          <w:sz w:val="24"/>
          <w:szCs w:val="24"/>
        </w:rPr>
        <w:t xml:space="preserve">строительства </w:t>
      </w:r>
      <w:r w:rsidRPr="005F421E">
        <w:rPr>
          <w:rFonts w:ascii="Times New Roman" w:hAnsi="Times New Roman"/>
          <w:sz w:val="24"/>
          <w:szCs w:val="24"/>
        </w:rPr>
        <w:t>сократилась</w:t>
      </w:r>
      <w:r>
        <w:rPr>
          <w:rFonts w:ascii="Times New Roman" w:hAnsi="Times New Roman"/>
          <w:b/>
          <w:sz w:val="24"/>
          <w:szCs w:val="24"/>
        </w:rPr>
        <w:t xml:space="preserve"> </w:t>
      </w:r>
      <w:r w:rsidRPr="00DA5132">
        <w:rPr>
          <w:rFonts w:ascii="Times New Roman" w:hAnsi="Times New Roman"/>
          <w:sz w:val="24"/>
          <w:szCs w:val="24"/>
        </w:rPr>
        <w:t xml:space="preserve">на </w:t>
      </w:r>
      <w:r>
        <w:rPr>
          <w:rFonts w:ascii="Times New Roman" w:hAnsi="Times New Roman"/>
          <w:sz w:val="24"/>
          <w:szCs w:val="24"/>
        </w:rPr>
        <w:t>10,1</w:t>
      </w:r>
      <w:r w:rsidRPr="00DA5132">
        <w:rPr>
          <w:rFonts w:ascii="Times New Roman" w:hAnsi="Times New Roman"/>
          <w:sz w:val="24"/>
          <w:szCs w:val="24"/>
        </w:rPr>
        <w:t>% до</w:t>
      </w:r>
      <w:r>
        <w:rPr>
          <w:rFonts w:ascii="Times New Roman" w:hAnsi="Times New Roman"/>
          <w:sz w:val="24"/>
          <w:szCs w:val="24"/>
        </w:rPr>
        <w:t xml:space="preserve"> 270,0</w:t>
      </w:r>
      <w:r w:rsidR="00CF1F5D">
        <w:rPr>
          <w:rFonts w:ascii="Times New Roman" w:hAnsi="Times New Roman"/>
          <w:sz w:val="24"/>
          <w:szCs w:val="24"/>
        </w:rPr>
        <w:t> </w:t>
      </w:r>
      <w:r w:rsidRPr="00DA5132">
        <w:rPr>
          <w:rFonts w:ascii="Times New Roman" w:hAnsi="Times New Roman"/>
          <w:sz w:val="24"/>
          <w:szCs w:val="24"/>
        </w:rPr>
        <w:t xml:space="preserve">млн. руб., а ее доля в структуре производства </w:t>
      </w:r>
      <w:r w:rsidRPr="00C37E8F">
        <w:rPr>
          <w:rFonts w:ascii="Times New Roman" w:hAnsi="Times New Roman"/>
          <w:sz w:val="24"/>
          <w:szCs w:val="24"/>
        </w:rPr>
        <w:t>валового внутреннего продукта</w:t>
      </w:r>
      <w:r w:rsidRPr="00DA5132">
        <w:rPr>
          <w:rFonts w:ascii="Times New Roman" w:hAnsi="Times New Roman"/>
          <w:sz w:val="24"/>
          <w:szCs w:val="24"/>
        </w:rPr>
        <w:t xml:space="preserve"> понизилась на 0,</w:t>
      </w:r>
      <w:r>
        <w:rPr>
          <w:rFonts w:ascii="Times New Roman" w:hAnsi="Times New Roman"/>
          <w:sz w:val="24"/>
          <w:szCs w:val="24"/>
        </w:rPr>
        <w:t>7</w:t>
      </w:r>
      <w:r w:rsidRPr="00DA5132">
        <w:rPr>
          <w:rFonts w:ascii="Times New Roman" w:hAnsi="Times New Roman"/>
          <w:sz w:val="24"/>
          <w:szCs w:val="24"/>
        </w:rPr>
        <w:t xml:space="preserve"> процентных пункта до </w:t>
      </w:r>
      <w:r>
        <w:rPr>
          <w:rFonts w:ascii="Times New Roman" w:hAnsi="Times New Roman"/>
          <w:sz w:val="24"/>
          <w:szCs w:val="24"/>
        </w:rPr>
        <w:t>2,35</w:t>
      </w:r>
      <w:r w:rsidRPr="00DA5132">
        <w:rPr>
          <w:rFonts w:ascii="Times New Roman" w:hAnsi="Times New Roman"/>
          <w:sz w:val="24"/>
          <w:szCs w:val="24"/>
        </w:rPr>
        <w:t xml:space="preserve">%. </w:t>
      </w:r>
      <w:r>
        <w:rPr>
          <w:rFonts w:ascii="Times New Roman" w:hAnsi="Times New Roman"/>
          <w:sz w:val="24"/>
          <w:szCs w:val="24"/>
        </w:rPr>
        <w:t>Таким образом,</w:t>
      </w:r>
      <w:r w:rsidRPr="002D2426">
        <w:rPr>
          <w:rFonts w:ascii="Times New Roman" w:hAnsi="Times New Roman"/>
          <w:sz w:val="24"/>
          <w:szCs w:val="24"/>
        </w:rPr>
        <w:t xml:space="preserve"> совокупная номинальная величина вновь созданной добавленной стоимости отраслей </w:t>
      </w:r>
      <w:r w:rsidRPr="001034A3">
        <w:rPr>
          <w:rFonts w:ascii="Times New Roman" w:hAnsi="Times New Roman"/>
          <w:b/>
          <w:sz w:val="24"/>
          <w:szCs w:val="24"/>
        </w:rPr>
        <w:t>материального сектора</w:t>
      </w:r>
      <w:r w:rsidRPr="002D2426">
        <w:rPr>
          <w:rFonts w:ascii="Times New Roman" w:hAnsi="Times New Roman"/>
          <w:sz w:val="24"/>
          <w:szCs w:val="24"/>
        </w:rPr>
        <w:t xml:space="preserve"> </w:t>
      </w:r>
      <w:r>
        <w:rPr>
          <w:rFonts w:ascii="Times New Roman" w:hAnsi="Times New Roman"/>
          <w:sz w:val="24"/>
          <w:szCs w:val="24"/>
        </w:rPr>
        <w:t xml:space="preserve">по итогам 2016 </w:t>
      </w:r>
      <w:r w:rsidRPr="002D2426">
        <w:rPr>
          <w:rFonts w:ascii="Times New Roman" w:hAnsi="Times New Roman"/>
          <w:sz w:val="24"/>
          <w:szCs w:val="24"/>
        </w:rPr>
        <w:t xml:space="preserve">года составила </w:t>
      </w:r>
      <w:r>
        <w:rPr>
          <w:rFonts w:ascii="Times New Roman" w:hAnsi="Times New Roman"/>
          <w:sz w:val="24"/>
          <w:szCs w:val="24"/>
        </w:rPr>
        <w:t>4 449,1</w:t>
      </w:r>
      <w:r w:rsidRPr="002D2426">
        <w:rPr>
          <w:rFonts w:ascii="Times New Roman" w:hAnsi="Times New Roman"/>
          <w:sz w:val="24"/>
          <w:szCs w:val="24"/>
        </w:rPr>
        <w:t xml:space="preserve"> млн. руб. и </w:t>
      </w:r>
      <w:r>
        <w:rPr>
          <w:rFonts w:ascii="Times New Roman" w:hAnsi="Times New Roman"/>
          <w:sz w:val="24"/>
          <w:szCs w:val="24"/>
        </w:rPr>
        <w:t xml:space="preserve">превысила параметр 2015 года на 26,4% и обеспечила 63,9% прироста ВВП. </w:t>
      </w:r>
    </w:p>
    <w:p w:rsidR="00E34E0C" w:rsidRPr="00CD44E3" w:rsidRDefault="00E34E0C" w:rsidP="00E34E0C">
      <w:pPr>
        <w:spacing w:after="0" w:line="240" w:lineRule="auto"/>
        <w:ind w:firstLine="709"/>
        <w:jc w:val="both"/>
        <w:rPr>
          <w:rFonts w:ascii="Times New Roman" w:hAnsi="Times New Roman"/>
          <w:sz w:val="24"/>
          <w:szCs w:val="24"/>
        </w:rPr>
      </w:pPr>
      <w:r w:rsidRPr="00DA5132">
        <w:rPr>
          <w:rFonts w:ascii="Times New Roman" w:hAnsi="Times New Roman"/>
          <w:sz w:val="24"/>
          <w:szCs w:val="24"/>
        </w:rPr>
        <w:lastRenderedPageBreak/>
        <w:t>В то</w:t>
      </w:r>
      <w:r w:rsidR="006158EC">
        <w:rPr>
          <w:rFonts w:ascii="Times New Roman" w:hAnsi="Times New Roman"/>
          <w:sz w:val="24"/>
          <w:szCs w:val="24"/>
        </w:rPr>
        <w:t xml:space="preserve"> </w:t>
      </w:r>
      <w:r w:rsidRPr="00DA5132">
        <w:rPr>
          <w:rFonts w:ascii="Times New Roman" w:hAnsi="Times New Roman"/>
          <w:sz w:val="24"/>
          <w:szCs w:val="24"/>
        </w:rPr>
        <w:t xml:space="preserve">же время </w:t>
      </w:r>
      <w:r>
        <w:rPr>
          <w:rFonts w:ascii="Times New Roman" w:hAnsi="Times New Roman"/>
          <w:sz w:val="24"/>
          <w:szCs w:val="24"/>
        </w:rPr>
        <w:t>умеренные инфляционные</w:t>
      </w:r>
      <w:r w:rsidRPr="00DA5132">
        <w:rPr>
          <w:rFonts w:ascii="Times New Roman" w:hAnsi="Times New Roman"/>
          <w:sz w:val="24"/>
          <w:szCs w:val="24"/>
        </w:rPr>
        <w:t xml:space="preserve"> процессы на потребительском рынке</w:t>
      </w:r>
      <w:r>
        <w:rPr>
          <w:rFonts w:ascii="Times New Roman" w:hAnsi="Times New Roman"/>
          <w:sz w:val="24"/>
          <w:szCs w:val="24"/>
        </w:rPr>
        <w:t xml:space="preserve"> и сдержанный</w:t>
      </w:r>
      <w:r w:rsidRPr="00DA5132">
        <w:rPr>
          <w:rFonts w:ascii="Times New Roman" w:hAnsi="Times New Roman"/>
          <w:sz w:val="24"/>
          <w:szCs w:val="24"/>
        </w:rPr>
        <w:t xml:space="preserve"> потребительский спрос населения</w:t>
      </w:r>
      <w:r w:rsidRPr="00056F37">
        <w:rPr>
          <w:rFonts w:ascii="Times New Roman" w:hAnsi="Times New Roman"/>
          <w:sz w:val="24"/>
          <w:szCs w:val="24"/>
        </w:rPr>
        <w:t>, после отрицательного тренда в предыдущие периоды</w:t>
      </w:r>
      <w:r w:rsidRPr="001E3B08">
        <w:rPr>
          <w:rFonts w:ascii="Times New Roman" w:hAnsi="Times New Roman"/>
          <w:sz w:val="24"/>
          <w:szCs w:val="24"/>
        </w:rPr>
        <w:t>, получил</w:t>
      </w:r>
      <w:r w:rsidRPr="00056F37">
        <w:rPr>
          <w:rFonts w:ascii="Times New Roman" w:hAnsi="Times New Roman"/>
          <w:sz w:val="24"/>
          <w:szCs w:val="24"/>
        </w:rPr>
        <w:t xml:space="preserve"> </w:t>
      </w:r>
      <w:r w:rsidRPr="001E3B08">
        <w:rPr>
          <w:rFonts w:ascii="Times New Roman" w:hAnsi="Times New Roman"/>
          <w:sz w:val="24"/>
          <w:szCs w:val="24"/>
        </w:rPr>
        <w:t>положительную</w:t>
      </w:r>
      <w:r w:rsidRPr="00056F37">
        <w:rPr>
          <w:rFonts w:ascii="Times New Roman" w:hAnsi="Times New Roman"/>
          <w:sz w:val="24"/>
          <w:szCs w:val="24"/>
        </w:rPr>
        <w:t xml:space="preserve"> </w:t>
      </w:r>
      <w:r w:rsidRPr="001E3B08">
        <w:rPr>
          <w:rFonts w:ascii="Times New Roman" w:hAnsi="Times New Roman"/>
          <w:sz w:val="24"/>
          <w:szCs w:val="24"/>
        </w:rPr>
        <w:t>корректировку</w:t>
      </w:r>
      <w:r w:rsidRPr="00056F37">
        <w:rPr>
          <w:rFonts w:ascii="Times New Roman" w:hAnsi="Times New Roman"/>
          <w:sz w:val="24"/>
          <w:szCs w:val="24"/>
        </w:rPr>
        <w:t xml:space="preserve"> в</w:t>
      </w:r>
      <w:r>
        <w:rPr>
          <w:rFonts w:ascii="Times New Roman" w:hAnsi="Times New Roman"/>
          <w:sz w:val="24"/>
          <w:szCs w:val="24"/>
        </w:rPr>
        <w:t xml:space="preserve"> 2016 </w:t>
      </w:r>
      <w:r w:rsidRPr="00056F37">
        <w:rPr>
          <w:rFonts w:ascii="Times New Roman" w:hAnsi="Times New Roman"/>
          <w:sz w:val="24"/>
          <w:szCs w:val="24"/>
        </w:rPr>
        <w:t>год</w:t>
      </w:r>
      <w:r>
        <w:rPr>
          <w:rFonts w:ascii="Times New Roman" w:hAnsi="Times New Roman"/>
          <w:sz w:val="24"/>
          <w:szCs w:val="24"/>
        </w:rPr>
        <w:t>у</w:t>
      </w:r>
      <w:r w:rsidRPr="00056F37">
        <w:rPr>
          <w:rFonts w:ascii="Times New Roman" w:hAnsi="Times New Roman"/>
          <w:sz w:val="24"/>
          <w:szCs w:val="24"/>
        </w:rPr>
        <w:t xml:space="preserve"> </w:t>
      </w:r>
      <w:r w:rsidRPr="001E3B08">
        <w:rPr>
          <w:rFonts w:ascii="Times New Roman" w:hAnsi="Times New Roman"/>
          <w:sz w:val="24"/>
          <w:szCs w:val="24"/>
        </w:rPr>
        <w:t>в</w:t>
      </w:r>
      <w:r w:rsidRPr="00056F37">
        <w:rPr>
          <w:rFonts w:ascii="Times New Roman" w:hAnsi="Times New Roman"/>
          <w:sz w:val="24"/>
          <w:szCs w:val="24"/>
        </w:rPr>
        <w:t xml:space="preserve"> </w:t>
      </w:r>
      <w:r w:rsidRPr="001E3B08">
        <w:rPr>
          <w:rFonts w:ascii="Times New Roman" w:hAnsi="Times New Roman"/>
          <w:sz w:val="24"/>
          <w:szCs w:val="24"/>
        </w:rPr>
        <w:t>связи</w:t>
      </w:r>
      <w:r w:rsidRPr="00056F37">
        <w:rPr>
          <w:rFonts w:ascii="Times New Roman" w:hAnsi="Times New Roman"/>
          <w:sz w:val="24"/>
          <w:szCs w:val="24"/>
        </w:rPr>
        <w:t xml:space="preserve"> </w:t>
      </w:r>
      <w:r w:rsidRPr="001E3B08">
        <w:rPr>
          <w:rFonts w:ascii="Times New Roman" w:hAnsi="Times New Roman"/>
          <w:sz w:val="24"/>
          <w:szCs w:val="24"/>
        </w:rPr>
        <w:t>с</w:t>
      </w:r>
      <w:r w:rsidRPr="00056F37">
        <w:rPr>
          <w:rFonts w:ascii="Times New Roman" w:hAnsi="Times New Roman"/>
          <w:sz w:val="24"/>
          <w:szCs w:val="24"/>
        </w:rPr>
        <w:t xml:space="preserve"> </w:t>
      </w:r>
      <w:r w:rsidRPr="001E3B08">
        <w:rPr>
          <w:rFonts w:ascii="Times New Roman" w:hAnsi="Times New Roman"/>
          <w:sz w:val="24"/>
          <w:szCs w:val="24"/>
        </w:rPr>
        <w:t>поступлением</w:t>
      </w:r>
      <w:r w:rsidRPr="00056F37">
        <w:rPr>
          <w:rFonts w:ascii="Times New Roman" w:hAnsi="Times New Roman"/>
          <w:sz w:val="24"/>
          <w:szCs w:val="24"/>
        </w:rPr>
        <w:t xml:space="preserve"> </w:t>
      </w:r>
      <w:r w:rsidRPr="001E3B08">
        <w:rPr>
          <w:rFonts w:ascii="Times New Roman" w:hAnsi="Times New Roman"/>
          <w:sz w:val="24"/>
          <w:szCs w:val="24"/>
        </w:rPr>
        <w:t>в</w:t>
      </w:r>
      <w:r w:rsidRPr="00056F37">
        <w:rPr>
          <w:rFonts w:ascii="Times New Roman" w:hAnsi="Times New Roman"/>
          <w:sz w:val="24"/>
          <w:szCs w:val="24"/>
        </w:rPr>
        <w:t xml:space="preserve"> </w:t>
      </w:r>
      <w:r w:rsidRPr="001E3B08">
        <w:rPr>
          <w:rFonts w:ascii="Times New Roman" w:hAnsi="Times New Roman"/>
          <w:sz w:val="24"/>
          <w:szCs w:val="24"/>
        </w:rPr>
        <w:t>распоряжение</w:t>
      </w:r>
      <w:r w:rsidRPr="00056F37">
        <w:rPr>
          <w:rFonts w:ascii="Times New Roman" w:hAnsi="Times New Roman"/>
          <w:sz w:val="24"/>
          <w:szCs w:val="24"/>
        </w:rPr>
        <w:t xml:space="preserve"> </w:t>
      </w:r>
      <w:r w:rsidRPr="001E3B08">
        <w:rPr>
          <w:rFonts w:ascii="Times New Roman" w:hAnsi="Times New Roman"/>
          <w:sz w:val="24"/>
          <w:szCs w:val="24"/>
        </w:rPr>
        <w:t>граждан</w:t>
      </w:r>
      <w:r w:rsidRPr="00056F37">
        <w:rPr>
          <w:rFonts w:ascii="Times New Roman" w:hAnsi="Times New Roman"/>
          <w:sz w:val="24"/>
          <w:szCs w:val="24"/>
        </w:rPr>
        <w:t xml:space="preserve"> </w:t>
      </w:r>
      <w:r w:rsidRPr="001E3B08">
        <w:rPr>
          <w:rFonts w:ascii="Times New Roman" w:hAnsi="Times New Roman"/>
          <w:sz w:val="24"/>
          <w:szCs w:val="24"/>
        </w:rPr>
        <w:t>сумм</w:t>
      </w:r>
      <w:r w:rsidRPr="00056F37">
        <w:rPr>
          <w:rFonts w:ascii="Times New Roman" w:hAnsi="Times New Roman"/>
          <w:sz w:val="24"/>
          <w:szCs w:val="24"/>
        </w:rPr>
        <w:t xml:space="preserve"> </w:t>
      </w:r>
      <w:r w:rsidRPr="001E3B08">
        <w:rPr>
          <w:rFonts w:ascii="Times New Roman" w:hAnsi="Times New Roman"/>
          <w:sz w:val="24"/>
          <w:szCs w:val="24"/>
        </w:rPr>
        <w:t>накопленной</w:t>
      </w:r>
      <w:r w:rsidRPr="00056F37">
        <w:rPr>
          <w:rFonts w:ascii="Times New Roman" w:hAnsi="Times New Roman"/>
          <w:sz w:val="24"/>
          <w:szCs w:val="24"/>
        </w:rPr>
        <w:t xml:space="preserve"> </w:t>
      </w:r>
      <w:r w:rsidRPr="001E3B08">
        <w:rPr>
          <w:rFonts w:ascii="Times New Roman" w:hAnsi="Times New Roman"/>
          <w:sz w:val="24"/>
          <w:szCs w:val="24"/>
        </w:rPr>
        <w:t>перед</w:t>
      </w:r>
      <w:r w:rsidRPr="00056F37">
        <w:rPr>
          <w:rFonts w:ascii="Times New Roman" w:hAnsi="Times New Roman"/>
          <w:sz w:val="24"/>
          <w:szCs w:val="24"/>
        </w:rPr>
        <w:t xml:space="preserve"> </w:t>
      </w:r>
      <w:r w:rsidRPr="001E3B08">
        <w:rPr>
          <w:rFonts w:ascii="Times New Roman" w:hAnsi="Times New Roman"/>
          <w:sz w:val="24"/>
          <w:szCs w:val="24"/>
        </w:rPr>
        <w:t>ними</w:t>
      </w:r>
      <w:r w:rsidRPr="00056F37">
        <w:rPr>
          <w:rFonts w:ascii="Times New Roman" w:hAnsi="Times New Roman"/>
          <w:sz w:val="24"/>
          <w:szCs w:val="24"/>
        </w:rPr>
        <w:t xml:space="preserve"> </w:t>
      </w:r>
      <w:r w:rsidRPr="001E3B08">
        <w:rPr>
          <w:rFonts w:ascii="Times New Roman" w:hAnsi="Times New Roman"/>
          <w:sz w:val="24"/>
          <w:szCs w:val="24"/>
        </w:rPr>
        <w:t>бюджетной</w:t>
      </w:r>
      <w:r w:rsidRPr="00056F37">
        <w:rPr>
          <w:rFonts w:ascii="Times New Roman" w:hAnsi="Times New Roman"/>
          <w:sz w:val="24"/>
          <w:szCs w:val="24"/>
        </w:rPr>
        <w:t xml:space="preserve"> </w:t>
      </w:r>
      <w:r w:rsidRPr="001E3B08">
        <w:rPr>
          <w:rFonts w:ascii="Times New Roman" w:hAnsi="Times New Roman"/>
          <w:sz w:val="24"/>
          <w:szCs w:val="24"/>
        </w:rPr>
        <w:t>задолженности</w:t>
      </w:r>
      <w:r w:rsidRPr="00056F37">
        <w:rPr>
          <w:rFonts w:ascii="Times New Roman" w:hAnsi="Times New Roman"/>
          <w:sz w:val="24"/>
          <w:szCs w:val="24"/>
        </w:rPr>
        <w:t xml:space="preserve">, что стало </w:t>
      </w:r>
      <w:r w:rsidR="006A6007">
        <w:rPr>
          <w:rFonts w:ascii="Times New Roman" w:hAnsi="Times New Roman"/>
          <w:sz w:val="24"/>
          <w:szCs w:val="24"/>
        </w:rPr>
        <w:t>следствием</w:t>
      </w:r>
      <w:r w:rsidRPr="00056F37">
        <w:rPr>
          <w:rFonts w:ascii="Times New Roman" w:hAnsi="Times New Roman"/>
          <w:sz w:val="24"/>
          <w:szCs w:val="24"/>
        </w:rPr>
        <w:t xml:space="preserve"> увеличения </w:t>
      </w:r>
      <w:r>
        <w:rPr>
          <w:rFonts w:ascii="Times New Roman" w:hAnsi="Times New Roman"/>
          <w:sz w:val="24"/>
          <w:szCs w:val="24"/>
        </w:rPr>
        <w:t xml:space="preserve">совокупной </w:t>
      </w:r>
      <w:r w:rsidRPr="00056F37">
        <w:rPr>
          <w:rFonts w:ascii="Times New Roman" w:hAnsi="Times New Roman"/>
          <w:sz w:val="24"/>
          <w:szCs w:val="24"/>
        </w:rPr>
        <w:t xml:space="preserve">добавленной стоимости </w:t>
      </w:r>
      <w:r w:rsidRPr="00056F37">
        <w:rPr>
          <w:rFonts w:ascii="Times New Roman" w:hAnsi="Times New Roman"/>
          <w:b/>
          <w:sz w:val="24"/>
          <w:szCs w:val="24"/>
        </w:rPr>
        <w:t>отраслей сектора услуг</w:t>
      </w:r>
      <w:r w:rsidRPr="00056F37">
        <w:rPr>
          <w:rFonts w:ascii="Times New Roman" w:hAnsi="Times New Roman"/>
          <w:sz w:val="24"/>
          <w:szCs w:val="24"/>
        </w:rPr>
        <w:t xml:space="preserve"> на </w:t>
      </w:r>
      <w:r>
        <w:rPr>
          <w:rFonts w:ascii="Times New Roman" w:hAnsi="Times New Roman"/>
          <w:sz w:val="24"/>
          <w:szCs w:val="24"/>
        </w:rPr>
        <w:t>13,1</w:t>
      </w:r>
      <w:r w:rsidRPr="00056F37">
        <w:rPr>
          <w:rFonts w:ascii="Times New Roman" w:hAnsi="Times New Roman"/>
          <w:sz w:val="24"/>
          <w:szCs w:val="24"/>
        </w:rPr>
        <w:t>%</w:t>
      </w:r>
      <w:r w:rsidRPr="00CD44E3">
        <w:rPr>
          <w:rFonts w:ascii="Times New Roman" w:hAnsi="Times New Roman"/>
          <w:sz w:val="24"/>
          <w:szCs w:val="24"/>
        </w:rPr>
        <w:t xml:space="preserve"> до</w:t>
      </w:r>
      <w:r>
        <w:rPr>
          <w:rFonts w:ascii="Times New Roman" w:hAnsi="Times New Roman"/>
          <w:sz w:val="24"/>
          <w:szCs w:val="24"/>
        </w:rPr>
        <w:t xml:space="preserve"> 7 020,1</w:t>
      </w:r>
      <w:r w:rsidRPr="00CD44E3">
        <w:rPr>
          <w:rFonts w:ascii="Times New Roman" w:hAnsi="Times New Roman"/>
          <w:sz w:val="24"/>
          <w:szCs w:val="24"/>
        </w:rPr>
        <w:t xml:space="preserve"> млн. руб.</w:t>
      </w:r>
      <w:r>
        <w:rPr>
          <w:rFonts w:ascii="Times New Roman" w:hAnsi="Times New Roman"/>
          <w:sz w:val="24"/>
          <w:szCs w:val="24"/>
        </w:rPr>
        <w:t xml:space="preserve">, при этом на фоне более активного расширения других составляющих </w:t>
      </w:r>
      <w:r w:rsidRPr="00C37E8F">
        <w:rPr>
          <w:rFonts w:ascii="Times New Roman" w:hAnsi="Times New Roman"/>
          <w:sz w:val="24"/>
          <w:szCs w:val="24"/>
        </w:rPr>
        <w:t>валового внутреннего продукта</w:t>
      </w:r>
      <w:r>
        <w:rPr>
          <w:rFonts w:ascii="Times New Roman" w:hAnsi="Times New Roman"/>
          <w:sz w:val="24"/>
          <w:szCs w:val="24"/>
        </w:rPr>
        <w:t xml:space="preserve"> </w:t>
      </w:r>
      <w:r w:rsidRPr="00CD44E3">
        <w:rPr>
          <w:rFonts w:ascii="Times New Roman" w:hAnsi="Times New Roman"/>
          <w:sz w:val="24"/>
          <w:szCs w:val="24"/>
        </w:rPr>
        <w:t>долево</w:t>
      </w:r>
      <w:r>
        <w:rPr>
          <w:rFonts w:ascii="Times New Roman" w:hAnsi="Times New Roman"/>
          <w:sz w:val="24"/>
          <w:szCs w:val="24"/>
        </w:rPr>
        <w:t>е</w:t>
      </w:r>
      <w:r w:rsidRPr="00CD44E3">
        <w:rPr>
          <w:rFonts w:ascii="Times New Roman" w:hAnsi="Times New Roman"/>
          <w:sz w:val="24"/>
          <w:szCs w:val="24"/>
        </w:rPr>
        <w:t xml:space="preserve"> представлени</w:t>
      </w:r>
      <w:r>
        <w:rPr>
          <w:rFonts w:ascii="Times New Roman" w:hAnsi="Times New Roman"/>
          <w:sz w:val="24"/>
          <w:szCs w:val="24"/>
        </w:rPr>
        <w:t>е</w:t>
      </w:r>
      <w:r w:rsidRPr="00CD44E3">
        <w:rPr>
          <w:rFonts w:ascii="Times New Roman" w:hAnsi="Times New Roman"/>
          <w:sz w:val="24"/>
          <w:szCs w:val="24"/>
        </w:rPr>
        <w:t xml:space="preserve"> </w:t>
      </w:r>
      <w:r>
        <w:rPr>
          <w:rFonts w:ascii="Times New Roman" w:hAnsi="Times New Roman"/>
          <w:sz w:val="24"/>
          <w:szCs w:val="24"/>
        </w:rPr>
        <w:t xml:space="preserve">данных компонент </w:t>
      </w:r>
      <w:r w:rsidRPr="00CD44E3">
        <w:rPr>
          <w:rFonts w:ascii="Times New Roman" w:hAnsi="Times New Roman"/>
          <w:sz w:val="24"/>
          <w:szCs w:val="24"/>
        </w:rPr>
        <w:t xml:space="preserve">в структуре </w:t>
      </w:r>
      <w:r>
        <w:rPr>
          <w:rFonts w:ascii="Times New Roman" w:hAnsi="Times New Roman"/>
          <w:sz w:val="24"/>
          <w:szCs w:val="24"/>
        </w:rPr>
        <w:t>совокупного показателя</w:t>
      </w:r>
      <w:r w:rsidRPr="00CD44E3">
        <w:rPr>
          <w:rFonts w:ascii="Times New Roman" w:hAnsi="Times New Roman"/>
          <w:sz w:val="24"/>
          <w:szCs w:val="24"/>
        </w:rPr>
        <w:t xml:space="preserve"> </w:t>
      </w:r>
      <w:r>
        <w:rPr>
          <w:rFonts w:ascii="Times New Roman" w:hAnsi="Times New Roman"/>
          <w:sz w:val="24"/>
          <w:szCs w:val="24"/>
        </w:rPr>
        <w:t xml:space="preserve">сократилось </w:t>
      </w:r>
      <w:r w:rsidRPr="00CD44E3">
        <w:rPr>
          <w:rFonts w:ascii="Times New Roman" w:hAnsi="Times New Roman"/>
          <w:sz w:val="24"/>
          <w:szCs w:val="24"/>
        </w:rPr>
        <w:t xml:space="preserve">на </w:t>
      </w:r>
      <w:r>
        <w:rPr>
          <w:rFonts w:ascii="Times New Roman" w:hAnsi="Times New Roman"/>
          <w:sz w:val="24"/>
          <w:szCs w:val="24"/>
        </w:rPr>
        <w:t>0,76</w:t>
      </w:r>
      <w:r w:rsidRPr="00CD44E3">
        <w:rPr>
          <w:rFonts w:ascii="Times New Roman" w:hAnsi="Times New Roman"/>
          <w:sz w:val="24"/>
          <w:szCs w:val="24"/>
        </w:rPr>
        <w:t xml:space="preserve"> процентных пункта до </w:t>
      </w:r>
      <w:r>
        <w:rPr>
          <w:rFonts w:ascii="Times New Roman" w:hAnsi="Times New Roman"/>
          <w:sz w:val="24"/>
          <w:szCs w:val="24"/>
        </w:rPr>
        <w:t>61,23</w:t>
      </w:r>
      <w:r w:rsidRPr="00CD44E3">
        <w:rPr>
          <w:rFonts w:ascii="Times New Roman" w:hAnsi="Times New Roman"/>
          <w:sz w:val="24"/>
          <w:szCs w:val="24"/>
        </w:rPr>
        <w:t>%</w:t>
      </w:r>
      <w:r>
        <w:rPr>
          <w:rFonts w:ascii="Times New Roman" w:hAnsi="Times New Roman"/>
          <w:sz w:val="24"/>
          <w:szCs w:val="24"/>
        </w:rPr>
        <w:t>.</w:t>
      </w:r>
      <w:r w:rsidRPr="00CD44E3">
        <w:rPr>
          <w:rFonts w:ascii="Times New Roman" w:hAnsi="Times New Roman"/>
          <w:sz w:val="24"/>
          <w:szCs w:val="24"/>
        </w:rPr>
        <w:t xml:space="preserve"> </w:t>
      </w:r>
    </w:p>
    <w:p w:rsidR="00E34E0C" w:rsidRDefault="00E34E0C" w:rsidP="00E34E0C">
      <w:pPr>
        <w:spacing w:after="0" w:line="240" w:lineRule="auto"/>
        <w:ind w:firstLine="709"/>
        <w:jc w:val="both"/>
        <w:rPr>
          <w:rFonts w:ascii="Times New Roman" w:hAnsi="Times New Roman"/>
          <w:sz w:val="24"/>
          <w:szCs w:val="24"/>
        </w:rPr>
      </w:pPr>
      <w:r w:rsidRPr="00536252">
        <w:rPr>
          <w:rFonts w:ascii="Times New Roman" w:hAnsi="Times New Roman"/>
          <w:sz w:val="24"/>
          <w:szCs w:val="24"/>
        </w:rPr>
        <w:t>Вместе с этим</w:t>
      </w:r>
      <w:r>
        <w:rPr>
          <w:rFonts w:ascii="Times New Roman" w:hAnsi="Times New Roman"/>
          <w:sz w:val="24"/>
          <w:szCs w:val="24"/>
        </w:rPr>
        <w:t>,</w:t>
      </w:r>
      <w:r w:rsidRPr="00536252">
        <w:rPr>
          <w:rFonts w:ascii="Times New Roman" w:hAnsi="Times New Roman"/>
          <w:sz w:val="24"/>
          <w:szCs w:val="24"/>
        </w:rPr>
        <w:t xml:space="preserve"> сфера </w:t>
      </w:r>
      <w:r w:rsidRPr="00536252">
        <w:rPr>
          <w:rFonts w:ascii="Times New Roman" w:hAnsi="Times New Roman"/>
          <w:b/>
          <w:sz w:val="24"/>
          <w:szCs w:val="24"/>
        </w:rPr>
        <w:t>рыночных услуг</w:t>
      </w:r>
      <w:r>
        <w:rPr>
          <w:rFonts w:ascii="Times New Roman" w:hAnsi="Times New Roman"/>
          <w:b/>
          <w:sz w:val="24"/>
          <w:szCs w:val="24"/>
        </w:rPr>
        <w:t xml:space="preserve"> </w:t>
      </w:r>
      <w:r w:rsidRPr="00536252">
        <w:rPr>
          <w:rFonts w:ascii="Times New Roman" w:hAnsi="Times New Roman"/>
          <w:sz w:val="24"/>
          <w:szCs w:val="24"/>
        </w:rPr>
        <w:t>в 2016 году функционировала в условиях сохраняющегося сдержанного поведения потребителей и демонстрировал</w:t>
      </w:r>
      <w:r>
        <w:rPr>
          <w:rFonts w:ascii="Times New Roman" w:hAnsi="Times New Roman"/>
          <w:sz w:val="24"/>
          <w:szCs w:val="24"/>
        </w:rPr>
        <w:t>а</w:t>
      </w:r>
      <w:r w:rsidRPr="00536252">
        <w:rPr>
          <w:rFonts w:ascii="Times New Roman" w:hAnsi="Times New Roman"/>
          <w:sz w:val="24"/>
          <w:szCs w:val="24"/>
        </w:rPr>
        <w:t xml:space="preserve"> понижательный тренд, сократив абсолютную величину вновь созданной добавленной стоимости на 0,9% до </w:t>
      </w:r>
      <w:r>
        <w:rPr>
          <w:rFonts w:ascii="Times New Roman" w:hAnsi="Times New Roman"/>
          <w:sz w:val="24"/>
          <w:szCs w:val="24"/>
        </w:rPr>
        <w:t>3 526,5</w:t>
      </w:r>
      <w:r w:rsidRPr="00536252">
        <w:rPr>
          <w:rFonts w:ascii="Times New Roman" w:hAnsi="Times New Roman"/>
          <w:sz w:val="24"/>
          <w:szCs w:val="24"/>
        </w:rPr>
        <w:t xml:space="preserve"> млн. руб., при этом долевое представительство данного сегмента рынка в структуре </w:t>
      </w:r>
      <w:r w:rsidRPr="00C37E8F">
        <w:rPr>
          <w:rFonts w:ascii="Times New Roman" w:hAnsi="Times New Roman"/>
          <w:sz w:val="24"/>
          <w:szCs w:val="24"/>
        </w:rPr>
        <w:t>валового внутреннего продукта</w:t>
      </w:r>
      <w:r w:rsidRPr="00536252">
        <w:rPr>
          <w:rFonts w:ascii="Times New Roman" w:hAnsi="Times New Roman"/>
          <w:sz w:val="24"/>
          <w:szCs w:val="24"/>
        </w:rPr>
        <w:t xml:space="preserve"> сузилось на </w:t>
      </w:r>
      <w:r>
        <w:rPr>
          <w:rFonts w:ascii="Times New Roman" w:hAnsi="Times New Roman"/>
          <w:sz w:val="24"/>
          <w:szCs w:val="24"/>
        </w:rPr>
        <w:t>4,8</w:t>
      </w:r>
      <w:r w:rsidRPr="00536252">
        <w:rPr>
          <w:rFonts w:ascii="Times New Roman" w:hAnsi="Times New Roman"/>
          <w:sz w:val="24"/>
          <w:szCs w:val="24"/>
        </w:rPr>
        <w:t xml:space="preserve"> процентных пункта до </w:t>
      </w:r>
      <w:r>
        <w:rPr>
          <w:rFonts w:ascii="Times New Roman" w:hAnsi="Times New Roman"/>
          <w:sz w:val="24"/>
          <w:szCs w:val="24"/>
        </w:rPr>
        <w:t>30,76</w:t>
      </w:r>
      <w:r w:rsidRPr="00536252">
        <w:rPr>
          <w:rFonts w:ascii="Times New Roman" w:hAnsi="Times New Roman"/>
          <w:sz w:val="24"/>
          <w:szCs w:val="24"/>
        </w:rPr>
        <w:t>%.</w:t>
      </w:r>
    </w:p>
    <w:p w:rsidR="009A47C4" w:rsidRPr="009A47C4" w:rsidRDefault="009A47C4" w:rsidP="00E34E0C">
      <w:pPr>
        <w:spacing w:after="0" w:line="240" w:lineRule="auto"/>
        <w:ind w:firstLine="709"/>
        <w:jc w:val="both"/>
        <w:rPr>
          <w:rFonts w:ascii="Times New Roman" w:hAnsi="Times New Roman"/>
          <w:sz w:val="10"/>
          <w:szCs w:val="10"/>
        </w:rPr>
      </w:pPr>
    </w:p>
    <w:p w:rsidR="00E34E0C" w:rsidRDefault="00E34E0C" w:rsidP="00E34E0C">
      <w:pPr>
        <w:pStyle w:val="a3"/>
        <w:ind w:firstLine="0"/>
      </w:pPr>
      <w:r w:rsidRPr="00C84A22">
        <w:rPr>
          <w:noProof/>
        </w:rPr>
        <w:drawing>
          <wp:inline distT="0" distB="0" distL="0" distR="0">
            <wp:extent cx="6181725" cy="3190875"/>
            <wp:effectExtent l="0" t="0" r="0" b="0"/>
            <wp:docPr id="7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34E0C" w:rsidRPr="008E5079" w:rsidRDefault="00E34E0C" w:rsidP="00E34E0C">
      <w:pPr>
        <w:pStyle w:val="a3"/>
        <w:rPr>
          <w:sz w:val="10"/>
          <w:szCs w:val="10"/>
        </w:rPr>
      </w:pPr>
    </w:p>
    <w:p w:rsidR="00E34E0C" w:rsidRPr="00841A9E" w:rsidRDefault="00E34E0C" w:rsidP="00E34E0C">
      <w:pPr>
        <w:pStyle w:val="a3"/>
      </w:pPr>
      <w:r>
        <w:t>О</w:t>
      </w:r>
      <w:r w:rsidRPr="00841A9E">
        <w:t xml:space="preserve">бъем услуг, предоставляемых </w:t>
      </w:r>
      <w:r w:rsidRPr="00574CC6">
        <w:rPr>
          <w:b/>
        </w:rPr>
        <w:t>организациями торговли и общественного питания</w:t>
      </w:r>
      <w:r w:rsidRPr="00841A9E">
        <w:t>, оста</w:t>
      </w:r>
      <w:r>
        <w:t>вал</w:t>
      </w:r>
      <w:r w:rsidRPr="00841A9E">
        <w:t xml:space="preserve">ся </w:t>
      </w:r>
      <w:r>
        <w:t>доминирующим</w:t>
      </w:r>
      <w:r w:rsidRPr="00841A9E">
        <w:t xml:space="preserve"> </w:t>
      </w:r>
      <w:r>
        <w:t xml:space="preserve">структурным </w:t>
      </w:r>
      <w:r w:rsidRPr="00841A9E">
        <w:t>показателем</w:t>
      </w:r>
      <w:r>
        <w:t xml:space="preserve"> сектора рыночных услуг</w:t>
      </w:r>
      <w:r w:rsidRPr="00841A9E">
        <w:t xml:space="preserve"> </w:t>
      </w:r>
      <w:r>
        <w:t>в формировании совокупного показателя результативности экономики, обеспечивший 11,56% вновь созданной добавленной стоимости, расширив при этом абсолютную величину на 2,6% д</w:t>
      </w:r>
      <w:r w:rsidRPr="00841A9E">
        <w:t xml:space="preserve">о </w:t>
      </w:r>
      <w:r>
        <w:t>1 325,0</w:t>
      </w:r>
      <w:r w:rsidRPr="00841A9E">
        <w:t xml:space="preserve"> млн. руб.</w:t>
      </w:r>
      <w:r>
        <w:t>, но на фоне более активного расширения других составляющих совокупного показателя, долевое участие данного сегмента рынка в структуре формирования валового внутреннего продукта сократилось на 1,3</w:t>
      </w:r>
      <w:r w:rsidRPr="00841A9E">
        <w:t xml:space="preserve"> процентных пункта</w:t>
      </w:r>
      <w:r>
        <w:t>.</w:t>
      </w:r>
    </w:p>
    <w:p w:rsidR="00E34E0C" w:rsidRPr="00574CC6" w:rsidRDefault="00E34E0C" w:rsidP="00E34E0C">
      <w:pPr>
        <w:pStyle w:val="a3"/>
      </w:pPr>
      <w:r w:rsidRPr="00574CC6">
        <w:t xml:space="preserve">Стабильный потребительский спрос на услуги </w:t>
      </w:r>
      <w:r w:rsidRPr="00574CC6">
        <w:rPr>
          <w:b/>
        </w:rPr>
        <w:t xml:space="preserve">связи </w:t>
      </w:r>
      <w:r w:rsidRPr="00574CC6">
        <w:t>в предыдущие периоды</w:t>
      </w:r>
      <w:r>
        <w:t>,</w:t>
      </w:r>
      <w:r w:rsidRPr="00574CC6">
        <w:t xml:space="preserve"> в </w:t>
      </w:r>
      <w:r>
        <w:t>2016</w:t>
      </w:r>
      <w:r w:rsidR="00CF1F5D">
        <w:t> </w:t>
      </w:r>
      <w:r>
        <w:t>году</w:t>
      </w:r>
      <w:r w:rsidRPr="00574CC6">
        <w:t xml:space="preserve"> сменился понижательным трендом и обеспечил снижение валовой добавленной</w:t>
      </w:r>
      <w:r>
        <w:t xml:space="preserve"> </w:t>
      </w:r>
      <w:r w:rsidRPr="00574CC6">
        <w:t xml:space="preserve">стоимости на </w:t>
      </w:r>
      <w:r>
        <w:t>4,6</w:t>
      </w:r>
      <w:r w:rsidRPr="00574CC6">
        <w:t>%</w:t>
      </w:r>
      <w:r>
        <w:t xml:space="preserve"> до 394,0 млн. руб.</w:t>
      </w:r>
      <w:r w:rsidRPr="00574CC6">
        <w:t xml:space="preserve">, что предопределило сужение вклада отрасли в структуре валового внутреннего продукта на </w:t>
      </w:r>
      <w:r>
        <w:t>0,7</w:t>
      </w:r>
      <w:r w:rsidRPr="00574CC6">
        <w:t xml:space="preserve"> процентных пункта до </w:t>
      </w:r>
      <w:r>
        <w:t>3,44</w:t>
      </w:r>
      <w:r w:rsidRPr="00574CC6">
        <w:t>%.</w:t>
      </w:r>
    </w:p>
    <w:p w:rsidR="00E34E0C" w:rsidRDefault="00E34E0C" w:rsidP="00E34E0C">
      <w:pPr>
        <w:pStyle w:val="a3"/>
      </w:pPr>
      <w:r>
        <w:t xml:space="preserve">Добавленная стоимость, созданная </w:t>
      </w:r>
      <w:r w:rsidRPr="00574CC6">
        <w:rPr>
          <w:b/>
        </w:rPr>
        <w:t>транспортными организациями</w:t>
      </w:r>
      <w:r>
        <w:t xml:space="preserve">, по итогам   2016 года сократилась по отношению к соответствующему показателю 2015 года на 9,7% и сложилась в объеме 329,2 млн. руб., обеспечив в структуре валового внутреннего продукта 2,87% вновь созданной добавленной стоимости против 3,64% в базовом периоде 2015 года. </w:t>
      </w:r>
    </w:p>
    <w:p w:rsidR="00E34E0C" w:rsidRPr="00841A9E" w:rsidRDefault="00E34E0C" w:rsidP="00E34E0C">
      <w:pPr>
        <w:pStyle w:val="a3"/>
      </w:pPr>
      <w:r w:rsidRPr="00841A9E">
        <w:t xml:space="preserve">Организациями </w:t>
      </w:r>
      <w:r w:rsidRPr="00574CC6">
        <w:rPr>
          <w:b/>
        </w:rPr>
        <w:t>жилищно-коммунального хозяйства</w:t>
      </w:r>
      <w:r w:rsidRPr="00841A9E">
        <w:t xml:space="preserve"> в </w:t>
      </w:r>
      <w:r>
        <w:t>2016 году</w:t>
      </w:r>
      <w:r w:rsidRPr="00841A9E">
        <w:t xml:space="preserve"> создано </w:t>
      </w:r>
      <w:r>
        <w:t xml:space="preserve">           333,9</w:t>
      </w:r>
      <w:r w:rsidRPr="00841A9E">
        <w:t xml:space="preserve"> млн. руб. добавленной стоимости, номинальный объем которой сократился на </w:t>
      </w:r>
      <w:r>
        <w:t>4,2</w:t>
      </w:r>
      <w:r w:rsidRPr="00841A9E">
        <w:t>%</w:t>
      </w:r>
      <w:r>
        <w:t xml:space="preserve"> относительно показателя 2015 года</w:t>
      </w:r>
      <w:r w:rsidRPr="00841A9E">
        <w:t xml:space="preserve">, </w:t>
      </w:r>
      <w:r>
        <w:t>а долевое участие в структуре валового внутреннего продукта сузилось на 0,6 процентных пункта до 2,91</w:t>
      </w:r>
      <w:r w:rsidRPr="00841A9E">
        <w:t>%.</w:t>
      </w:r>
    </w:p>
    <w:p w:rsidR="00E34E0C" w:rsidRPr="00841A9E" w:rsidRDefault="00E34E0C" w:rsidP="00E34E0C">
      <w:pPr>
        <w:pStyle w:val="a3"/>
      </w:pPr>
      <w:r w:rsidRPr="00AF148D">
        <w:t xml:space="preserve">Сокращение процентных доходов по кредитам, предоставленных юридическим и физическим лицам, на фоне существенного увеличения расходов по торговым операциям позволило финансовым организациям создать в 2016 году добавленной стоимости на </w:t>
      </w:r>
      <w:r>
        <w:t xml:space="preserve">     </w:t>
      </w:r>
      <w:r w:rsidRPr="00AF148D">
        <w:lastRenderedPageBreak/>
        <w:t xml:space="preserve">421,7 млн. руб., </w:t>
      </w:r>
      <w:r>
        <w:t>или</w:t>
      </w:r>
      <w:r w:rsidRPr="00AF148D">
        <w:t xml:space="preserve"> на 17,4% ниже базового параметра 2015 года, что вызвало сужение вклада </w:t>
      </w:r>
      <w:r w:rsidRPr="00AF148D">
        <w:rPr>
          <w:b/>
        </w:rPr>
        <w:t>финансового сектора</w:t>
      </w:r>
      <w:r w:rsidRPr="00AF148D">
        <w:t xml:space="preserve"> в структуре валового внутреннего продукта на 1,4 процентных пункта до 3,7%.</w:t>
      </w:r>
      <w:r w:rsidRPr="00841A9E">
        <w:t xml:space="preserve"> </w:t>
      </w:r>
    </w:p>
    <w:p w:rsidR="00E34E0C" w:rsidRPr="00841A9E" w:rsidRDefault="00E34E0C" w:rsidP="00E34E0C">
      <w:pPr>
        <w:pStyle w:val="a3"/>
      </w:pPr>
      <w:r w:rsidRPr="00841A9E">
        <w:t>Организациями</w:t>
      </w:r>
      <w:r>
        <w:t>,</w:t>
      </w:r>
      <w:r w:rsidRPr="00841A9E">
        <w:t xml:space="preserve"> </w:t>
      </w:r>
      <w:r w:rsidRPr="007709DD">
        <w:t>осуществляющи</w:t>
      </w:r>
      <w:r>
        <w:t>ми</w:t>
      </w:r>
      <w:r w:rsidRPr="007709DD">
        <w:t xml:space="preserve"> </w:t>
      </w:r>
      <w:r w:rsidRPr="0046596E">
        <w:rPr>
          <w:b/>
        </w:rPr>
        <w:t>операции с недвижимым имуществом</w:t>
      </w:r>
      <w:r w:rsidRPr="00841A9E">
        <w:t xml:space="preserve"> в </w:t>
      </w:r>
      <w:r>
        <w:t>рассматриваемом периоде</w:t>
      </w:r>
      <w:r w:rsidRPr="00841A9E">
        <w:t xml:space="preserve"> создано </w:t>
      </w:r>
      <w:r>
        <w:t xml:space="preserve">323,8 </w:t>
      </w:r>
      <w:r w:rsidRPr="00841A9E">
        <w:t>млн. руб. добавленной стоимости, номинальный объем котор</w:t>
      </w:r>
      <w:r>
        <w:t>ой</w:t>
      </w:r>
      <w:r w:rsidRPr="00841A9E">
        <w:t xml:space="preserve"> </w:t>
      </w:r>
      <w:r>
        <w:t>вырос</w:t>
      </w:r>
      <w:r w:rsidRPr="00841A9E">
        <w:t xml:space="preserve"> на </w:t>
      </w:r>
      <w:r>
        <w:t>81,0%, расширив при этом долевое участие в структуре валового внутреннего продукта на 1,03 процентных пункта до 2,82</w:t>
      </w:r>
      <w:r w:rsidRPr="00841A9E">
        <w:t>%</w:t>
      </w:r>
      <w:r>
        <w:t>.</w:t>
      </w:r>
    </w:p>
    <w:p w:rsidR="00E34E0C" w:rsidRPr="00FB1D50" w:rsidRDefault="00E34E0C" w:rsidP="00E34E0C">
      <w:pPr>
        <w:spacing w:after="0" w:line="240" w:lineRule="auto"/>
        <w:ind w:firstLine="709"/>
        <w:jc w:val="both"/>
        <w:rPr>
          <w:rFonts w:ascii="Times New Roman" w:hAnsi="Times New Roman"/>
          <w:sz w:val="24"/>
          <w:szCs w:val="24"/>
        </w:rPr>
      </w:pPr>
      <w:r w:rsidRPr="00FB1D50">
        <w:rPr>
          <w:rFonts w:ascii="Times New Roman" w:hAnsi="Times New Roman"/>
          <w:sz w:val="24"/>
          <w:szCs w:val="24"/>
        </w:rPr>
        <w:t xml:space="preserve">Динамика составляющих </w:t>
      </w:r>
      <w:r w:rsidRPr="00FB1D50">
        <w:rPr>
          <w:rFonts w:ascii="Times New Roman" w:hAnsi="Times New Roman"/>
          <w:b/>
          <w:sz w:val="24"/>
          <w:szCs w:val="24"/>
        </w:rPr>
        <w:t>нерыночных услуг</w:t>
      </w:r>
      <w:r w:rsidRPr="00FB1D50">
        <w:rPr>
          <w:rFonts w:ascii="Times New Roman" w:hAnsi="Times New Roman"/>
          <w:sz w:val="24"/>
          <w:szCs w:val="24"/>
        </w:rPr>
        <w:t xml:space="preserve"> и их долевое участие в </w:t>
      </w:r>
      <w:r>
        <w:rPr>
          <w:rFonts w:ascii="Times New Roman" w:hAnsi="Times New Roman"/>
          <w:sz w:val="24"/>
          <w:szCs w:val="24"/>
        </w:rPr>
        <w:t xml:space="preserve">формировании </w:t>
      </w:r>
      <w:r w:rsidRPr="00FB1D50">
        <w:rPr>
          <w:rFonts w:ascii="Times New Roman" w:hAnsi="Times New Roman"/>
          <w:sz w:val="24"/>
          <w:szCs w:val="24"/>
        </w:rPr>
        <w:t>совокупно</w:t>
      </w:r>
      <w:r>
        <w:rPr>
          <w:rFonts w:ascii="Times New Roman" w:hAnsi="Times New Roman"/>
          <w:sz w:val="24"/>
          <w:szCs w:val="24"/>
        </w:rPr>
        <w:t xml:space="preserve">го </w:t>
      </w:r>
      <w:r w:rsidRPr="00FB1D50">
        <w:rPr>
          <w:rFonts w:ascii="Times New Roman" w:hAnsi="Times New Roman"/>
          <w:sz w:val="24"/>
          <w:szCs w:val="24"/>
        </w:rPr>
        <w:t>показател</w:t>
      </w:r>
      <w:r>
        <w:rPr>
          <w:rFonts w:ascii="Times New Roman" w:hAnsi="Times New Roman"/>
          <w:sz w:val="24"/>
          <w:szCs w:val="24"/>
        </w:rPr>
        <w:t>я</w:t>
      </w:r>
      <w:r w:rsidRPr="00FB1D50">
        <w:rPr>
          <w:rFonts w:ascii="Times New Roman" w:hAnsi="Times New Roman"/>
          <w:sz w:val="24"/>
          <w:szCs w:val="24"/>
        </w:rPr>
        <w:t xml:space="preserve"> (ВВП) отражают ситуацию с исполнением государственного бюджета и участие государства в распределительном процессе услуг. </w:t>
      </w:r>
    </w:p>
    <w:p w:rsidR="00E34E0C" w:rsidRPr="0029036D" w:rsidRDefault="00E34E0C" w:rsidP="00E34E0C">
      <w:pPr>
        <w:spacing w:after="0" w:line="240" w:lineRule="auto"/>
        <w:ind w:firstLine="709"/>
        <w:jc w:val="both"/>
        <w:rPr>
          <w:rFonts w:ascii="Times New Roman" w:hAnsi="Times New Roman"/>
          <w:sz w:val="24"/>
          <w:szCs w:val="24"/>
        </w:rPr>
      </w:pPr>
      <w:r w:rsidRPr="0029036D">
        <w:rPr>
          <w:rFonts w:ascii="Times New Roman" w:hAnsi="Times New Roman"/>
          <w:sz w:val="24"/>
          <w:szCs w:val="24"/>
        </w:rPr>
        <w:t xml:space="preserve">В условиях жесткой экономии и оптимизации расходования бюджетных средств, в совокупности с выплатой накопленной задолженности по заработной плате работникам бюджетной сферы и дополнительных выплат пенсионерам, номинальное увеличение финансирования расходов на содержание бюджетного сектора («+»31,9%) обеспечило размер добавленной стоимости в секторе нерыночных услуг в сумме 3 493,6 млн. руб. и обеспечило 31,5% вновь созданной добавленной стоимости в структуре валового внутреннего продукта. </w:t>
      </w:r>
    </w:p>
    <w:p w:rsidR="00E34E0C" w:rsidRDefault="00E34E0C" w:rsidP="00CF1F5D">
      <w:pPr>
        <w:spacing w:after="0" w:line="240" w:lineRule="auto"/>
        <w:ind w:left="-284"/>
        <w:jc w:val="both"/>
        <w:rPr>
          <w:rFonts w:ascii="Times New Roman" w:hAnsi="Times New Roman"/>
          <w:sz w:val="24"/>
          <w:szCs w:val="24"/>
        </w:rPr>
      </w:pPr>
      <w:r w:rsidRPr="009E0A24">
        <w:rPr>
          <w:rFonts w:ascii="Times New Roman" w:hAnsi="Times New Roman"/>
          <w:noProof/>
          <w:sz w:val="24"/>
          <w:szCs w:val="24"/>
        </w:rPr>
        <w:drawing>
          <wp:inline distT="0" distB="0" distL="0" distR="0">
            <wp:extent cx="6457950" cy="2590800"/>
            <wp:effectExtent l="0" t="0" r="0" b="0"/>
            <wp:docPr id="7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A47C4" w:rsidRPr="009A47C4" w:rsidRDefault="009A47C4" w:rsidP="00E34E0C">
      <w:pPr>
        <w:spacing w:after="0" w:line="240" w:lineRule="auto"/>
        <w:ind w:firstLine="709"/>
        <w:jc w:val="both"/>
        <w:rPr>
          <w:rFonts w:ascii="Times New Roman" w:hAnsi="Times New Roman"/>
          <w:sz w:val="10"/>
          <w:szCs w:val="10"/>
        </w:rPr>
      </w:pPr>
    </w:p>
    <w:p w:rsidR="00E34E0C" w:rsidRPr="003C5E09" w:rsidRDefault="00E34E0C" w:rsidP="00E34E0C">
      <w:pPr>
        <w:spacing w:after="0" w:line="240" w:lineRule="auto"/>
        <w:ind w:firstLine="709"/>
        <w:jc w:val="both"/>
        <w:rPr>
          <w:rFonts w:ascii="Times New Roman" w:hAnsi="Times New Roman"/>
          <w:sz w:val="24"/>
          <w:szCs w:val="24"/>
        </w:rPr>
      </w:pPr>
      <w:r w:rsidRPr="003C5E09">
        <w:rPr>
          <w:rFonts w:ascii="Times New Roman" w:hAnsi="Times New Roman"/>
          <w:sz w:val="24"/>
          <w:szCs w:val="24"/>
        </w:rPr>
        <w:t>Вместе с этим, сохранение приоритета политики государства в области отраслей социальной направленности (</w:t>
      </w:r>
      <w:r w:rsidRPr="003C5E09">
        <w:rPr>
          <w:rFonts w:ascii="Times New Roman" w:hAnsi="Times New Roman"/>
          <w:b/>
          <w:sz w:val="24"/>
          <w:szCs w:val="24"/>
        </w:rPr>
        <w:t>здравоохранение, социальное обеспечение, образование),</w:t>
      </w:r>
      <w:r w:rsidRPr="003C5E09">
        <w:rPr>
          <w:rFonts w:ascii="Times New Roman" w:hAnsi="Times New Roman"/>
          <w:sz w:val="24"/>
          <w:szCs w:val="24"/>
        </w:rPr>
        <w:t xml:space="preserve"> несмотря на нарастание кризисных тенденций в экономике республики, позволило обеспечить свыше половины (5</w:t>
      </w:r>
      <w:r>
        <w:rPr>
          <w:rFonts w:ascii="Times New Roman" w:hAnsi="Times New Roman"/>
          <w:sz w:val="24"/>
          <w:szCs w:val="24"/>
        </w:rPr>
        <w:t>1</w:t>
      </w:r>
      <w:r w:rsidRPr="003C5E09">
        <w:rPr>
          <w:rFonts w:ascii="Times New Roman" w:hAnsi="Times New Roman"/>
          <w:sz w:val="24"/>
          <w:szCs w:val="24"/>
        </w:rPr>
        <w:t>,</w:t>
      </w:r>
      <w:r>
        <w:rPr>
          <w:rFonts w:ascii="Times New Roman" w:hAnsi="Times New Roman"/>
          <w:sz w:val="24"/>
          <w:szCs w:val="24"/>
        </w:rPr>
        <w:t>8</w:t>
      </w:r>
      <w:r w:rsidRPr="003C5E09">
        <w:rPr>
          <w:rFonts w:ascii="Times New Roman" w:hAnsi="Times New Roman"/>
          <w:sz w:val="24"/>
          <w:szCs w:val="24"/>
        </w:rPr>
        <w:t xml:space="preserve">%) валовой добавленной стоимости сектора нерыночных услуг, расширив при этом абсолютную номинальную величину данных сфер на </w:t>
      </w:r>
      <w:r>
        <w:rPr>
          <w:rFonts w:ascii="Times New Roman" w:hAnsi="Times New Roman"/>
          <w:sz w:val="24"/>
          <w:szCs w:val="24"/>
        </w:rPr>
        <w:t>29,4</w:t>
      </w:r>
      <w:r w:rsidRPr="003C5E09">
        <w:rPr>
          <w:rFonts w:ascii="Times New Roman" w:hAnsi="Times New Roman"/>
          <w:sz w:val="24"/>
          <w:szCs w:val="24"/>
        </w:rPr>
        <w:t>%.</w:t>
      </w:r>
    </w:p>
    <w:p w:rsidR="00E34E0C" w:rsidRPr="003C5E09" w:rsidRDefault="00E34E0C" w:rsidP="00E34E0C">
      <w:pPr>
        <w:spacing w:after="0" w:line="240" w:lineRule="auto"/>
        <w:ind w:firstLine="709"/>
        <w:jc w:val="both"/>
        <w:rPr>
          <w:rFonts w:ascii="Times New Roman" w:hAnsi="Times New Roman"/>
          <w:sz w:val="24"/>
          <w:szCs w:val="24"/>
        </w:rPr>
      </w:pPr>
      <w:r w:rsidRPr="003C5E09">
        <w:rPr>
          <w:rFonts w:ascii="Times New Roman" w:hAnsi="Times New Roman"/>
          <w:sz w:val="24"/>
          <w:szCs w:val="24"/>
        </w:rPr>
        <w:t xml:space="preserve">Остальные составляющие нерыночного сектора (культура, искусство, кинематография, наука и научное обслуживание, управление) также демонстрировали повышательный тренд по формированию добавленной стоимости. </w:t>
      </w:r>
    </w:p>
    <w:p w:rsidR="00E34E0C" w:rsidRPr="003C5E09" w:rsidRDefault="00E34E0C" w:rsidP="00E34E0C">
      <w:pPr>
        <w:spacing w:after="0" w:line="240" w:lineRule="auto"/>
        <w:ind w:firstLine="709"/>
        <w:jc w:val="both"/>
        <w:rPr>
          <w:rFonts w:ascii="Times New Roman" w:hAnsi="Times New Roman"/>
          <w:sz w:val="24"/>
          <w:szCs w:val="24"/>
        </w:rPr>
      </w:pPr>
      <w:r w:rsidRPr="003C5E09">
        <w:rPr>
          <w:rFonts w:ascii="Times New Roman" w:hAnsi="Times New Roman"/>
          <w:sz w:val="24"/>
          <w:szCs w:val="24"/>
        </w:rPr>
        <w:t>Существенный рост субсидирования государством товаров и услуг (в 2,</w:t>
      </w:r>
      <w:r>
        <w:rPr>
          <w:rFonts w:ascii="Times New Roman" w:hAnsi="Times New Roman"/>
          <w:sz w:val="24"/>
          <w:szCs w:val="24"/>
        </w:rPr>
        <w:t>1</w:t>
      </w:r>
      <w:r w:rsidRPr="003C5E09">
        <w:rPr>
          <w:rFonts w:ascii="Times New Roman" w:hAnsi="Times New Roman"/>
          <w:sz w:val="24"/>
          <w:szCs w:val="24"/>
        </w:rPr>
        <w:t xml:space="preserve"> раза) до </w:t>
      </w:r>
      <w:r>
        <w:rPr>
          <w:rFonts w:ascii="Times New Roman" w:hAnsi="Times New Roman"/>
          <w:sz w:val="24"/>
          <w:szCs w:val="24"/>
        </w:rPr>
        <w:t>401,9</w:t>
      </w:r>
      <w:r w:rsidRPr="003C5E09">
        <w:rPr>
          <w:rFonts w:ascii="Times New Roman" w:hAnsi="Times New Roman"/>
          <w:sz w:val="24"/>
          <w:szCs w:val="24"/>
        </w:rPr>
        <w:t xml:space="preserve"> млн. руб. в </w:t>
      </w:r>
      <w:r>
        <w:rPr>
          <w:rFonts w:ascii="Times New Roman" w:hAnsi="Times New Roman"/>
          <w:sz w:val="24"/>
          <w:szCs w:val="24"/>
        </w:rPr>
        <w:t>2016</w:t>
      </w:r>
      <w:r w:rsidRPr="003C5E09">
        <w:rPr>
          <w:rFonts w:ascii="Times New Roman" w:hAnsi="Times New Roman"/>
          <w:sz w:val="24"/>
          <w:szCs w:val="24"/>
        </w:rPr>
        <w:t xml:space="preserve"> год</w:t>
      </w:r>
      <w:r>
        <w:rPr>
          <w:rFonts w:ascii="Times New Roman" w:hAnsi="Times New Roman"/>
          <w:sz w:val="24"/>
          <w:szCs w:val="24"/>
        </w:rPr>
        <w:t>у</w:t>
      </w:r>
      <w:r w:rsidRPr="003C5E09">
        <w:rPr>
          <w:rFonts w:ascii="Times New Roman" w:hAnsi="Times New Roman"/>
          <w:sz w:val="24"/>
          <w:szCs w:val="24"/>
        </w:rPr>
        <w:t xml:space="preserve"> не покрывал поступлений налогов на потребление (налог на внешнюю торговлю и внешнеэкономические операции и </w:t>
      </w:r>
      <w:r w:rsidRPr="003C4F2E">
        <w:rPr>
          <w:rFonts w:ascii="Times New Roman" w:hAnsi="Times New Roman"/>
          <w:sz w:val="24"/>
          <w:szCs w:val="24"/>
        </w:rPr>
        <w:t>акцизы «-15,8%» до 397,2</w:t>
      </w:r>
      <w:r w:rsidR="00CF1F5D">
        <w:rPr>
          <w:rFonts w:ascii="Times New Roman" w:hAnsi="Times New Roman"/>
          <w:sz w:val="24"/>
          <w:szCs w:val="24"/>
        </w:rPr>
        <w:t> </w:t>
      </w:r>
      <w:r w:rsidRPr="003C4F2E">
        <w:rPr>
          <w:rFonts w:ascii="Times New Roman" w:hAnsi="Times New Roman"/>
          <w:sz w:val="24"/>
          <w:szCs w:val="24"/>
        </w:rPr>
        <w:t>млн.</w:t>
      </w:r>
      <w:r w:rsidR="00CF1F5D">
        <w:rPr>
          <w:rFonts w:ascii="Times New Roman" w:hAnsi="Times New Roman"/>
          <w:sz w:val="24"/>
          <w:szCs w:val="24"/>
        </w:rPr>
        <w:t> </w:t>
      </w:r>
      <w:r w:rsidRPr="003C4F2E">
        <w:rPr>
          <w:rFonts w:ascii="Times New Roman" w:hAnsi="Times New Roman"/>
          <w:sz w:val="24"/>
          <w:szCs w:val="24"/>
        </w:rPr>
        <w:t>руб.),</w:t>
      </w:r>
      <w:r w:rsidRPr="003C5E09">
        <w:rPr>
          <w:rFonts w:ascii="Times New Roman" w:hAnsi="Times New Roman"/>
          <w:sz w:val="24"/>
          <w:szCs w:val="24"/>
        </w:rPr>
        <w:t xml:space="preserve"> что спровоцировало отрицательную динамику доходов государства, суммируемых по статье </w:t>
      </w:r>
      <w:r w:rsidRPr="003C5E09">
        <w:rPr>
          <w:rFonts w:ascii="Times New Roman" w:hAnsi="Times New Roman"/>
          <w:b/>
          <w:sz w:val="24"/>
          <w:szCs w:val="24"/>
        </w:rPr>
        <w:t xml:space="preserve">«чистые налоги на продукты и импорт» </w:t>
      </w:r>
      <w:r w:rsidRPr="003C5E09">
        <w:rPr>
          <w:rFonts w:ascii="Times New Roman" w:hAnsi="Times New Roman"/>
          <w:sz w:val="24"/>
          <w:szCs w:val="24"/>
        </w:rPr>
        <w:t>в структуре ВВП</w:t>
      </w:r>
      <w:r w:rsidRPr="003C5E09">
        <w:rPr>
          <w:rFonts w:ascii="Times New Roman" w:hAnsi="Times New Roman"/>
          <w:b/>
          <w:sz w:val="24"/>
          <w:szCs w:val="24"/>
        </w:rPr>
        <w:t xml:space="preserve"> </w:t>
      </w:r>
      <w:r w:rsidR="00CF1F5D">
        <w:rPr>
          <w:rFonts w:ascii="Times New Roman" w:hAnsi="Times New Roman"/>
          <w:b/>
          <w:sz w:val="24"/>
          <w:szCs w:val="24"/>
        </w:rPr>
        <w:t xml:space="preserve">                  </w:t>
      </w:r>
      <w:r w:rsidRPr="003C5E09">
        <w:rPr>
          <w:rFonts w:ascii="Times New Roman" w:hAnsi="Times New Roman"/>
          <w:sz w:val="24"/>
          <w:szCs w:val="24"/>
        </w:rPr>
        <w:t>(«-»</w:t>
      </w:r>
      <w:r>
        <w:rPr>
          <w:rFonts w:ascii="Times New Roman" w:hAnsi="Times New Roman"/>
          <w:sz w:val="24"/>
          <w:szCs w:val="24"/>
        </w:rPr>
        <w:t>0,04</w:t>
      </w:r>
      <w:r w:rsidRPr="003C5E09">
        <w:rPr>
          <w:rFonts w:ascii="Times New Roman" w:hAnsi="Times New Roman"/>
          <w:sz w:val="24"/>
          <w:szCs w:val="24"/>
        </w:rPr>
        <w:t xml:space="preserve">%). По итогам  2016 года величина данного показателя сложилась на уровне </w:t>
      </w:r>
      <w:r w:rsidR="00CF1F5D">
        <w:rPr>
          <w:rFonts w:ascii="Times New Roman" w:hAnsi="Times New Roman"/>
          <w:sz w:val="24"/>
          <w:szCs w:val="24"/>
        </w:rPr>
        <w:t xml:space="preserve">                   </w:t>
      </w:r>
      <w:r w:rsidRPr="003C5E09">
        <w:rPr>
          <w:rFonts w:ascii="Times New Roman" w:hAnsi="Times New Roman"/>
          <w:sz w:val="24"/>
          <w:szCs w:val="24"/>
        </w:rPr>
        <w:t>«-»</w:t>
      </w:r>
      <w:r w:rsidR="00CF1F5D">
        <w:rPr>
          <w:rFonts w:ascii="Times New Roman" w:hAnsi="Times New Roman"/>
          <w:sz w:val="24"/>
          <w:szCs w:val="24"/>
        </w:rPr>
        <w:t> </w:t>
      </w:r>
      <w:r w:rsidRPr="003C5E09">
        <w:rPr>
          <w:rFonts w:ascii="Times New Roman" w:hAnsi="Times New Roman"/>
          <w:sz w:val="24"/>
          <w:szCs w:val="24"/>
        </w:rPr>
        <w:t>4</w:t>
      </w:r>
      <w:r>
        <w:rPr>
          <w:rFonts w:ascii="Times New Roman" w:hAnsi="Times New Roman"/>
          <w:sz w:val="24"/>
          <w:szCs w:val="24"/>
        </w:rPr>
        <w:t>,7</w:t>
      </w:r>
      <w:r w:rsidR="00CF1F5D">
        <w:rPr>
          <w:rFonts w:ascii="Times New Roman" w:hAnsi="Times New Roman"/>
          <w:sz w:val="24"/>
          <w:szCs w:val="24"/>
        </w:rPr>
        <w:t> </w:t>
      </w:r>
      <w:r w:rsidRPr="003C5E09">
        <w:rPr>
          <w:rFonts w:ascii="Times New Roman" w:hAnsi="Times New Roman"/>
          <w:sz w:val="24"/>
          <w:szCs w:val="24"/>
        </w:rPr>
        <w:t xml:space="preserve">млн. руб. </w:t>
      </w:r>
    </w:p>
    <w:p w:rsidR="00E34E0C" w:rsidRPr="00B90F3F" w:rsidRDefault="00E34E0C" w:rsidP="00E34E0C">
      <w:pPr>
        <w:pStyle w:val="2"/>
        <w:spacing w:after="0" w:line="240" w:lineRule="auto"/>
        <w:ind w:firstLine="709"/>
        <w:jc w:val="both"/>
        <w:rPr>
          <w:rFonts w:ascii="Times New Roman" w:hAnsi="Times New Roman"/>
          <w:sz w:val="24"/>
          <w:szCs w:val="24"/>
        </w:rPr>
      </w:pPr>
      <w:r w:rsidRPr="00B90F3F">
        <w:rPr>
          <w:rFonts w:ascii="Times New Roman" w:hAnsi="Times New Roman"/>
          <w:sz w:val="24"/>
          <w:szCs w:val="24"/>
        </w:rPr>
        <w:t>Таким образом, результативность экономики в 2016 год</w:t>
      </w:r>
      <w:r>
        <w:rPr>
          <w:rFonts w:ascii="Times New Roman" w:hAnsi="Times New Roman"/>
          <w:sz w:val="24"/>
          <w:szCs w:val="24"/>
        </w:rPr>
        <w:t>у</w:t>
      </w:r>
      <w:r w:rsidRPr="00B90F3F">
        <w:rPr>
          <w:rFonts w:ascii="Times New Roman" w:hAnsi="Times New Roman"/>
          <w:sz w:val="24"/>
          <w:szCs w:val="24"/>
        </w:rPr>
        <w:t xml:space="preserve"> на фоне нарастания кризисных тенденций, определялась расширением результативности в промышленности и аграрном секторе, а также необходимостью выполнения государством обязательств по выплате накопленной задолженности по заработной плате работникам бюджетной сферы, что спровоцировало существенное расширение добавленной стоимости в секторе нерыночных услуг.</w:t>
      </w:r>
    </w:p>
    <w:p w:rsidR="00BE59CB" w:rsidRDefault="00BE59CB" w:rsidP="00BE59CB">
      <w:pPr>
        <w:spacing w:after="0" w:line="240" w:lineRule="auto"/>
        <w:ind w:firstLine="709"/>
        <w:contextualSpacing/>
        <w:jc w:val="both"/>
        <w:rPr>
          <w:rFonts w:ascii="Times New Roman" w:hAnsi="Times New Roman"/>
          <w:b/>
          <w:sz w:val="24"/>
          <w:szCs w:val="24"/>
        </w:rPr>
      </w:pPr>
    </w:p>
    <w:p w:rsidR="00BE59CB" w:rsidRPr="00830937" w:rsidRDefault="00BE59CB" w:rsidP="00BE59CB">
      <w:pPr>
        <w:spacing w:after="0" w:line="240" w:lineRule="auto"/>
        <w:ind w:firstLine="709"/>
        <w:contextualSpacing/>
        <w:jc w:val="both"/>
        <w:rPr>
          <w:rFonts w:ascii="Times New Roman" w:hAnsi="Times New Roman"/>
          <w:b/>
          <w:sz w:val="24"/>
          <w:szCs w:val="24"/>
        </w:rPr>
      </w:pPr>
      <w:r w:rsidRPr="00FE4A1D">
        <w:rPr>
          <w:rFonts w:ascii="Times New Roman" w:hAnsi="Times New Roman"/>
          <w:b/>
          <w:sz w:val="24"/>
          <w:szCs w:val="24"/>
        </w:rPr>
        <w:lastRenderedPageBreak/>
        <w:t>Денежно-кредитная политика</w:t>
      </w:r>
    </w:p>
    <w:p w:rsidR="00BE59CB" w:rsidRPr="00830937" w:rsidRDefault="00BE59CB" w:rsidP="00BE59CB">
      <w:pPr>
        <w:spacing w:after="0" w:line="240" w:lineRule="auto"/>
        <w:ind w:firstLine="709"/>
        <w:contextualSpacing/>
        <w:jc w:val="both"/>
        <w:rPr>
          <w:rFonts w:ascii="Times New Roman" w:hAnsi="Times New Roman"/>
          <w:b/>
          <w:sz w:val="24"/>
          <w:szCs w:val="24"/>
        </w:rPr>
      </w:pPr>
    </w:p>
    <w:p w:rsidR="00BE59CB" w:rsidRPr="000B1277" w:rsidRDefault="00BE59CB" w:rsidP="00BE59CB">
      <w:pPr>
        <w:spacing w:after="0" w:line="240" w:lineRule="auto"/>
        <w:ind w:firstLine="709"/>
        <w:jc w:val="both"/>
        <w:rPr>
          <w:rFonts w:ascii="Times New Roman" w:hAnsi="Times New Roman"/>
          <w:spacing w:val="-4"/>
          <w:sz w:val="24"/>
          <w:szCs w:val="24"/>
        </w:rPr>
      </w:pPr>
      <w:r>
        <w:rPr>
          <w:rFonts w:ascii="Times New Roman" w:hAnsi="Times New Roman"/>
          <w:spacing w:val="-4"/>
          <w:sz w:val="24"/>
          <w:szCs w:val="24"/>
        </w:rPr>
        <w:t>Последствия существенных внешне</w:t>
      </w:r>
      <w:r w:rsidRPr="000B1277">
        <w:rPr>
          <w:rFonts w:ascii="Times New Roman" w:hAnsi="Times New Roman"/>
          <w:spacing w:val="-4"/>
          <w:sz w:val="24"/>
          <w:szCs w:val="24"/>
        </w:rPr>
        <w:t>политических и экономических ограничений, в условиях которых действуют хозяйствующие субъекты республики, прослеживаются как в производственной, инвестиционной деятельности, так и в социальной сфере. Широкий перечень конъюнктурных проблем, с которыми сталкивается бизнес-сообщество республики, усугубляется дефицитом иностранной валюты и вызванными им курсовыми колебаниями. Искусственно зафиксированный официальный курс, не согласующийся с рыночными реалиями, на фоне высоких девальвационных ожиданий участников рынка, обуславливает активность теневого сегмента.</w:t>
      </w:r>
    </w:p>
    <w:p w:rsidR="00BE59CB" w:rsidRPr="007D2E0A" w:rsidRDefault="00BE59CB" w:rsidP="00BE59CB">
      <w:pPr>
        <w:spacing w:after="0" w:line="240" w:lineRule="auto"/>
        <w:ind w:firstLine="709"/>
        <w:jc w:val="both"/>
        <w:rPr>
          <w:rFonts w:ascii="Times New Roman" w:hAnsi="Times New Roman"/>
          <w:sz w:val="24"/>
          <w:szCs w:val="24"/>
        </w:rPr>
      </w:pPr>
      <w:r w:rsidRPr="007D2E0A">
        <w:rPr>
          <w:rFonts w:ascii="Times New Roman" w:hAnsi="Times New Roman"/>
          <w:sz w:val="24"/>
          <w:szCs w:val="24"/>
        </w:rPr>
        <w:t xml:space="preserve">В 2016 году в динамике официального курса доллара США на валютном рынке можно выделить два периода. Первый – с января до середины марта, когда курс сохранялся на уровне 11,10 руб. ПМР, и второй – с 16 марта 2016 года, когда стоимость единицы американской валюты была повышена до верхней границы утверждённого валютного коридора – 11,30 руб. ПМР, и до конца года. Таким образом, за период с 1 января 2016 года по 1 января 2017 года приднестровский рубль девальвировал на 1,8%. Официальный средневзвешенный курс за 2016 год составил 11,2590 руб. ПМР, что на 1,4% выше отметки прошлого года. </w:t>
      </w:r>
    </w:p>
    <w:p w:rsidR="00BE59CB" w:rsidRPr="007D2E0A" w:rsidRDefault="00BE59CB" w:rsidP="00BE59CB">
      <w:pPr>
        <w:spacing w:after="0" w:line="240" w:lineRule="auto"/>
        <w:ind w:firstLine="709"/>
        <w:jc w:val="both"/>
        <w:rPr>
          <w:rFonts w:ascii="Times New Roman" w:hAnsi="Times New Roman"/>
          <w:sz w:val="24"/>
          <w:szCs w:val="24"/>
        </w:rPr>
      </w:pPr>
      <w:r w:rsidRPr="007D2E0A">
        <w:rPr>
          <w:rFonts w:ascii="Times New Roman" w:hAnsi="Times New Roman"/>
          <w:sz w:val="24"/>
          <w:szCs w:val="24"/>
        </w:rPr>
        <w:t xml:space="preserve">Объём совокупного денежного предложения за 2016 год сократился на 1,4%                (на 74,7 млн. руб.) до 5 320,9 млн. руб. В его структуре на фоне выраженной понижательной динамики валютной составляющей наблюдалось расширение рублёвого предложения. </w:t>
      </w:r>
    </w:p>
    <w:p w:rsidR="00BE59CB" w:rsidRDefault="00BE59CB" w:rsidP="00BE59CB">
      <w:pPr>
        <w:spacing w:after="0" w:line="240" w:lineRule="auto"/>
        <w:ind w:firstLine="709"/>
        <w:jc w:val="both"/>
        <w:rPr>
          <w:sz w:val="24"/>
          <w:szCs w:val="24"/>
        </w:rPr>
      </w:pPr>
      <w:r w:rsidRPr="007D2E0A">
        <w:rPr>
          <w:rFonts w:ascii="Times New Roman" w:hAnsi="Times New Roman"/>
          <w:sz w:val="24"/>
          <w:szCs w:val="24"/>
        </w:rPr>
        <w:t>Совокупная емкость наличного сегмента валютного рынка составила в эквиваленте 190,0 млн. долл. США, что в 2,3 раза ниже базисного значения (в 2015 году спад составил</w:t>
      </w:r>
      <w:r w:rsidR="009A47C4">
        <w:rPr>
          <w:rFonts w:ascii="Times New Roman" w:hAnsi="Times New Roman"/>
          <w:sz w:val="24"/>
          <w:szCs w:val="24"/>
        </w:rPr>
        <w:br/>
      </w:r>
      <w:r w:rsidRPr="007D2E0A">
        <w:rPr>
          <w:rFonts w:ascii="Times New Roman" w:hAnsi="Times New Roman"/>
          <w:sz w:val="24"/>
          <w:szCs w:val="24"/>
        </w:rPr>
        <w:t xml:space="preserve"> «-»39,5%).</w:t>
      </w:r>
      <w:r>
        <w:rPr>
          <w:sz w:val="24"/>
          <w:szCs w:val="24"/>
        </w:rPr>
        <w:t xml:space="preserve"> </w:t>
      </w:r>
    </w:p>
    <w:p w:rsidR="00BE59CB" w:rsidRPr="008C1FB5" w:rsidRDefault="00BE59CB" w:rsidP="00BE59CB">
      <w:pPr>
        <w:widowControl w:val="0"/>
        <w:spacing w:after="0" w:line="240" w:lineRule="auto"/>
        <w:ind w:firstLine="709"/>
        <w:contextualSpacing/>
        <w:jc w:val="both"/>
        <w:rPr>
          <w:rFonts w:ascii="Times New Roman" w:hAnsi="Times New Roman"/>
          <w:sz w:val="24"/>
          <w:szCs w:val="24"/>
        </w:rPr>
      </w:pPr>
    </w:p>
    <w:p w:rsidR="00BE59CB" w:rsidRPr="008C1FB5" w:rsidRDefault="00BE59CB" w:rsidP="00BE59CB">
      <w:pPr>
        <w:widowControl w:val="0"/>
        <w:spacing w:after="0" w:line="240" w:lineRule="auto"/>
        <w:ind w:firstLine="709"/>
        <w:contextualSpacing/>
        <w:jc w:val="both"/>
        <w:rPr>
          <w:rFonts w:ascii="Times New Roman" w:hAnsi="Times New Roman"/>
          <w:b/>
          <w:i/>
          <w:color w:val="000000"/>
          <w:sz w:val="24"/>
          <w:szCs w:val="24"/>
        </w:rPr>
      </w:pPr>
      <w:r w:rsidRPr="008C1FB5">
        <w:rPr>
          <w:rFonts w:ascii="Times New Roman" w:hAnsi="Times New Roman"/>
          <w:b/>
          <w:i/>
          <w:color w:val="000000"/>
          <w:sz w:val="24"/>
          <w:szCs w:val="24"/>
        </w:rPr>
        <w:t>Монетарная сфера</w:t>
      </w:r>
    </w:p>
    <w:p w:rsidR="00BE59CB" w:rsidRPr="007D2E0A" w:rsidRDefault="00BE59CB" w:rsidP="00BE59CB">
      <w:pPr>
        <w:spacing w:after="0" w:line="240" w:lineRule="auto"/>
        <w:ind w:firstLine="709"/>
        <w:jc w:val="both"/>
        <w:rPr>
          <w:rFonts w:ascii="Times New Roman" w:hAnsi="Times New Roman"/>
          <w:sz w:val="24"/>
          <w:szCs w:val="24"/>
        </w:rPr>
      </w:pPr>
      <w:r w:rsidRPr="007D2E0A">
        <w:rPr>
          <w:rFonts w:ascii="Times New Roman" w:hAnsi="Times New Roman"/>
          <w:sz w:val="24"/>
          <w:szCs w:val="24"/>
        </w:rPr>
        <w:t>Рублевое денежное предложение характеризовалось положительной динамикой, его объем увеличился на 20,5% до 2 518,8 млн. руб. Определяющим фактором роста выступило существенное расширение объема наличных денег в обращении (+27,4%, до                     1 094,2 млн. руб.). Основным импульсом повышения стало погашение задолженности по заработной плате работникам бюджетной сферы, в результате чего в наличном сегменте было зафиксировано практически 43,4% рублёвой денежной массы.</w:t>
      </w:r>
    </w:p>
    <w:p w:rsidR="00BE59CB" w:rsidRPr="007D2E0A" w:rsidRDefault="00BE59CB" w:rsidP="00BE59CB">
      <w:pPr>
        <w:spacing w:after="0" w:line="240" w:lineRule="auto"/>
        <w:ind w:firstLine="709"/>
        <w:jc w:val="both"/>
        <w:rPr>
          <w:rFonts w:ascii="Times New Roman" w:hAnsi="Times New Roman"/>
          <w:sz w:val="24"/>
          <w:szCs w:val="24"/>
        </w:rPr>
      </w:pPr>
      <w:r w:rsidRPr="007D2E0A">
        <w:rPr>
          <w:rFonts w:ascii="Times New Roman" w:hAnsi="Times New Roman"/>
          <w:sz w:val="24"/>
          <w:szCs w:val="24"/>
        </w:rPr>
        <w:t xml:space="preserve">Более умеренными темпами роста характеризовалась сфера безналичных расчетов. По состоянию на 1 января 2017 года в безналичном сегменте было сосредоточено                 1 424,6 млн. руб., что на 15,7% выше показателя на 1 января 2016 года, что вызвано значительным притоком средств на депозитах до востребования (+17,7% до </w:t>
      </w:r>
      <w:r w:rsidR="00CF1F5D">
        <w:rPr>
          <w:rFonts w:ascii="Times New Roman" w:hAnsi="Times New Roman"/>
          <w:sz w:val="24"/>
          <w:szCs w:val="24"/>
        </w:rPr>
        <w:t xml:space="preserve">                          </w:t>
      </w:r>
      <w:r w:rsidRPr="007D2E0A">
        <w:rPr>
          <w:rFonts w:ascii="Times New Roman" w:hAnsi="Times New Roman"/>
          <w:sz w:val="24"/>
          <w:szCs w:val="24"/>
        </w:rPr>
        <w:t xml:space="preserve">1 318,7 млн. руб.). </w:t>
      </w:r>
    </w:p>
    <w:p w:rsidR="00BE59CB" w:rsidRPr="0059595E" w:rsidRDefault="00BE59CB" w:rsidP="00BE59CB">
      <w:pPr>
        <w:spacing w:after="0" w:line="240" w:lineRule="auto"/>
        <w:ind w:firstLine="709"/>
        <w:contextualSpacing/>
        <w:jc w:val="right"/>
        <w:rPr>
          <w:rFonts w:ascii="Times New Roman" w:hAnsi="Times New Roman"/>
          <w:sz w:val="24"/>
          <w:szCs w:val="24"/>
        </w:rPr>
      </w:pPr>
      <w:r w:rsidRPr="0059595E">
        <w:rPr>
          <w:rFonts w:ascii="Times New Roman" w:hAnsi="Times New Roman"/>
          <w:sz w:val="24"/>
          <w:szCs w:val="24"/>
        </w:rPr>
        <w:t>Таблица №</w:t>
      </w:r>
      <w:r w:rsidR="0059595E" w:rsidRPr="0059595E">
        <w:rPr>
          <w:rFonts w:ascii="Times New Roman" w:hAnsi="Times New Roman"/>
          <w:sz w:val="24"/>
          <w:szCs w:val="24"/>
        </w:rPr>
        <w:t>2</w:t>
      </w:r>
    </w:p>
    <w:p w:rsidR="00BE59CB" w:rsidRDefault="00BE59CB" w:rsidP="00BE59CB">
      <w:pPr>
        <w:spacing w:after="0" w:line="240" w:lineRule="auto"/>
        <w:ind w:firstLine="709"/>
        <w:jc w:val="center"/>
        <w:rPr>
          <w:rFonts w:ascii="Times New Roman" w:hAnsi="Times New Roman"/>
          <w:b/>
          <w:color w:val="000000"/>
          <w:sz w:val="24"/>
          <w:szCs w:val="24"/>
        </w:rPr>
      </w:pPr>
      <w:bookmarkStart w:id="0" w:name="OLE_LINK10"/>
      <w:r w:rsidRPr="007D2E0A">
        <w:rPr>
          <w:rFonts w:ascii="Times New Roman" w:hAnsi="Times New Roman"/>
          <w:b/>
          <w:color w:val="000000"/>
          <w:sz w:val="24"/>
          <w:szCs w:val="24"/>
        </w:rPr>
        <w:t>Структура и динамика денежного предложения</w:t>
      </w:r>
      <w:r w:rsidRPr="008C1FB5">
        <w:rPr>
          <w:rFonts w:ascii="Times New Roman" w:hAnsi="Times New Roman"/>
          <w:b/>
          <w:color w:val="000000"/>
          <w:sz w:val="24"/>
          <w:szCs w:val="24"/>
        </w:rPr>
        <w:t xml:space="preserve"> </w:t>
      </w: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37"/>
        <w:gridCol w:w="1125"/>
        <w:gridCol w:w="1126"/>
        <w:gridCol w:w="1126"/>
        <w:gridCol w:w="1126"/>
        <w:gridCol w:w="991"/>
      </w:tblGrid>
      <w:tr w:rsidR="00BE59CB" w:rsidRPr="008C1FB5" w:rsidTr="003B2047">
        <w:trPr>
          <w:cantSplit/>
          <w:trHeight w:val="75"/>
        </w:trPr>
        <w:tc>
          <w:tcPr>
            <w:tcW w:w="4137" w:type="dxa"/>
            <w:vMerge w:val="restart"/>
            <w:shd w:val="clear" w:color="auto" w:fill="C0C0C0"/>
          </w:tcPr>
          <w:p w:rsidR="00BE59CB" w:rsidRPr="00A04AF4" w:rsidRDefault="00BE59CB" w:rsidP="003B2047">
            <w:pPr>
              <w:spacing w:after="0" w:line="240" w:lineRule="auto"/>
              <w:ind w:right="-1"/>
              <w:jc w:val="both"/>
              <w:rPr>
                <w:rFonts w:ascii="Times New Roman" w:hAnsi="Times New Roman"/>
                <w:color w:val="000000"/>
                <w:sz w:val="21"/>
                <w:szCs w:val="21"/>
              </w:rPr>
            </w:pPr>
          </w:p>
        </w:tc>
        <w:tc>
          <w:tcPr>
            <w:tcW w:w="2251" w:type="dxa"/>
            <w:gridSpan w:val="2"/>
            <w:shd w:val="clear" w:color="auto" w:fill="C0C0C0"/>
            <w:vAlign w:val="center"/>
          </w:tcPr>
          <w:p w:rsidR="00BE59CB" w:rsidRPr="00A04AF4" w:rsidRDefault="00BE59CB" w:rsidP="003B2047">
            <w:pPr>
              <w:spacing w:after="0" w:line="240" w:lineRule="auto"/>
              <w:jc w:val="center"/>
              <w:rPr>
                <w:rFonts w:ascii="Times New Roman" w:hAnsi="Times New Roman"/>
                <w:color w:val="000000"/>
                <w:sz w:val="21"/>
                <w:szCs w:val="21"/>
              </w:rPr>
            </w:pPr>
            <w:r w:rsidRPr="00A04AF4">
              <w:rPr>
                <w:rFonts w:ascii="Times New Roman" w:hAnsi="Times New Roman"/>
                <w:color w:val="000000"/>
                <w:sz w:val="21"/>
                <w:szCs w:val="21"/>
              </w:rPr>
              <w:t>на 01.01.2016 г.</w:t>
            </w:r>
          </w:p>
        </w:tc>
        <w:tc>
          <w:tcPr>
            <w:tcW w:w="2252" w:type="dxa"/>
            <w:gridSpan w:val="2"/>
            <w:shd w:val="clear" w:color="auto" w:fill="C0C0C0"/>
            <w:vAlign w:val="center"/>
          </w:tcPr>
          <w:p w:rsidR="00BE59CB" w:rsidRPr="00A04AF4" w:rsidRDefault="00BE59CB" w:rsidP="003B2047">
            <w:pPr>
              <w:spacing w:after="0" w:line="240" w:lineRule="auto"/>
              <w:jc w:val="center"/>
              <w:rPr>
                <w:rFonts w:ascii="Times New Roman" w:hAnsi="Times New Roman"/>
                <w:color w:val="000000"/>
                <w:sz w:val="21"/>
                <w:szCs w:val="21"/>
              </w:rPr>
            </w:pPr>
            <w:r w:rsidRPr="00A04AF4">
              <w:rPr>
                <w:rFonts w:ascii="Times New Roman" w:hAnsi="Times New Roman"/>
                <w:color w:val="000000"/>
                <w:sz w:val="21"/>
                <w:szCs w:val="21"/>
              </w:rPr>
              <w:t>на 01.01.2017 г.</w:t>
            </w:r>
          </w:p>
        </w:tc>
        <w:tc>
          <w:tcPr>
            <w:tcW w:w="991" w:type="dxa"/>
            <w:vMerge w:val="restart"/>
            <w:shd w:val="clear" w:color="auto" w:fill="C0C0C0"/>
          </w:tcPr>
          <w:p w:rsidR="00BE59CB" w:rsidRPr="00A04AF4" w:rsidRDefault="00BE59CB" w:rsidP="003B2047">
            <w:pPr>
              <w:spacing w:after="0" w:line="240" w:lineRule="auto"/>
              <w:ind w:left="-108" w:right="-108"/>
              <w:jc w:val="center"/>
              <w:rPr>
                <w:rFonts w:ascii="Times New Roman" w:hAnsi="Times New Roman"/>
                <w:color w:val="000000"/>
                <w:sz w:val="21"/>
                <w:szCs w:val="21"/>
              </w:rPr>
            </w:pPr>
            <w:r w:rsidRPr="00A04AF4">
              <w:rPr>
                <w:rFonts w:ascii="Times New Roman" w:hAnsi="Times New Roman"/>
                <w:color w:val="000000"/>
                <w:sz w:val="21"/>
                <w:szCs w:val="21"/>
              </w:rPr>
              <w:t>темп</w:t>
            </w:r>
          </w:p>
          <w:p w:rsidR="00BE59CB" w:rsidRPr="00A04AF4" w:rsidRDefault="00BE59CB" w:rsidP="003B2047">
            <w:pPr>
              <w:spacing w:after="0" w:line="240" w:lineRule="auto"/>
              <w:ind w:left="-108" w:right="-108"/>
              <w:jc w:val="center"/>
              <w:rPr>
                <w:rFonts w:ascii="Times New Roman" w:hAnsi="Times New Roman"/>
                <w:color w:val="000000"/>
                <w:sz w:val="21"/>
                <w:szCs w:val="21"/>
              </w:rPr>
            </w:pPr>
            <w:r w:rsidRPr="00A04AF4">
              <w:rPr>
                <w:rFonts w:ascii="Times New Roman" w:hAnsi="Times New Roman"/>
                <w:color w:val="000000"/>
                <w:sz w:val="21"/>
                <w:szCs w:val="21"/>
              </w:rPr>
              <w:t>роста, %</w:t>
            </w:r>
          </w:p>
        </w:tc>
      </w:tr>
      <w:tr w:rsidR="00BE59CB" w:rsidRPr="008C1FB5" w:rsidTr="003B2047">
        <w:trPr>
          <w:cantSplit/>
          <w:trHeight w:val="70"/>
        </w:trPr>
        <w:tc>
          <w:tcPr>
            <w:tcW w:w="4137" w:type="dxa"/>
            <w:vMerge/>
          </w:tcPr>
          <w:p w:rsidR="00BE59CB" w:rsidRPr="00A04AF4" w:rsidRDefault="00BE59CB" w:rsidP="003B2047">
            <w:pPr>
              <w:spacing w:after="0" w:line="240" w:lineRule="auto"/>
              <w:ind w:right="-1"/>
              <w:jc w:val="both"/>
              <w:rPr>
                <w:rFonts w:ascii="Times New Roman" w:hAnsi="Times New Roman"/>
                <w:color w:val="000000"/>
                <w:sz w:val="21"/>
                <w:szCs w:val="21"/>
              </w:rPr>
            </w:pPr>
          </w:p>
        </w:tc>
        <w:tc>
          <w:tcPr>
            <w:tcW w:w="1125" w:type="dxa"/>
            <w:shd w:val="clear" w:color="auto" w:fill="C0C0C0"/>
          </w:tcPr>
          <w:p w:rsidR="00BE59CB" w:rsidRPr="00A04AF4" w:rsidRDefault="00BE59CB" w:rsidP="003B2047">
            <w:pPr>
              <w:spacing w:after="0" w:line="240" w:lineRule="auto"/>
              <w:jc w:val="center"/>
              <w:rPr>
                <w:rFonts w:ascii="Times New Roman" w:hAnsi="Times New Roman"/>
                <w:color w:val="000000"/>
                <w:sz w:val="21"/>
                <w:szCs w:val="21"/>
              </w:rPr>
            </w:pPr>
            <w:r w:rsidRPr="00A04AF4">
              <w:rPr>
                <w:rFonts w:ascii="Times New Roman" w:hAnsi="Times New Roman"/>
                <w:color w:val="000000"/>
                <w:sz w:val="21"/>
                <w:szCs w:val="21"/>
              </w:rPr>
              <w:t>млн. руб.</w:t>
            </w:r>
          </w:p>
        </w:tc>
        <w:tc>
          <w:tcPr>
            <w:tcW w:w="1126" w:type="dxa"/>
            <w:shd w:val="clear" w:color="auto" w:fill="C0C0C0"/>
          </w:tcPr>
          <w:p w:rsidR="00BE59CB" w:rsidRPr="00A04AF4" w:rsidRDefault="00BE59CB" w:rsidP="003B2047">
            <w:pPr>
              <w:keepNext/>
              <w:spacing w:after="0" w:line="240" w:lineRule="auto"/>
              <w:ind w:left="-117" w:right="-108"/>
              <w:jc w:val="center"/>
              <w:outlineLvl w:val="2"/>
              <w:rPr>
                <w:rFonts w:ascii="Times New Roman" w:hAnsi="Times New Roman" w:cs="Arial"/>
                <w:bCs/>
                <w:color w:val="000000"/>
                <w:sz w:val="21"/>
                <w:szCs w:val="21"/>
              </w:rPr>
            </w:pPr>
            <w:r w:rsidRPr="00A04AF4">
              <w:rPr>
                <w:rFonts w:ascii="Times New Roman" w:hAnsi="Times New Roman" w:cs="Arial"/>
                <w:bCs/>
                <w:color w:val="000000"/>
                <w:sz w:val="21"/>
                <w:szCs w:val="21"/>
              </w:rPr>
              <w:t>уд. вес, %</w:t>
            </w:r>
          </w:p>
        </w:tc>
        <w:tc>
          <w:tcPr>
            <w:tcW w:w="1126" w:type="dxa"/>
            <w:tcBorders>
              <w:bottom w:val="double" w:sz="4" w:space="0" w:color="auto"/>
            </w:tcBorders>
            <w:shd w:val="clear" w:color="auto" w:fill="C0C0C0"/>
          </w:tcPr>
          <w:p w:rsidR="00BE59CB" w:rsidRPr="00A04AF4" w:rsidRDefault="00BE59CB" w:rsidP="003B2047">
            <w:pPr>
              <w:spacing w:after="0" w:line="240" w:lineRule="auto"/>
              <w:jc w:val="center"/>
              <w:rPr>
                <w:rFonts w:ascii="Times New Roman" w:hAnsi="Times New Roman"/>
                <w:color w:val="000000"/>
                <w:sz w:val="21"/>
                <w:szCs w:val="21"/>
              </w:rPr>
            </w:pPr>
            <w:r w:rsidRPr="00A04AF4">
              <w:rPr>
                <w:rFonts w:ascii="Times New Roman" w:hAnsi="Times New Roman"/>
                <w:color w:val="000000"/>
                <w:sz w:val="21"/>
                <w:szCs w:val="21"/>
              </w:rPr>
              <w:t>млн. руб.</w:t>
            </w:r>
          </w:p>
        </w:tc>
        <w:tc>
          <w:tcPr>
            <w:tcW w:w="1126" w:type="dxa"/>
            <w:shd w:val="clear" w:color="auto" w:fill="C0C0C0"/>
          </w:tcPr>
          <w:p w:rsidR="00BE59CB" w:rsidRPr="00A04AF4" w:rsidRDefault="00BE59CB" w:rsidP="003B2047">
            <w:pPr>
              <w:keepNext/>
              <w:spacing w:after="0" w:line="240" w:lineRule="auto"/>
              <w:ind w:left="-117" w:right="-108"/>
              <w:jc w:val="center"/>
              <w:outlineLvl w:val="2"/>
              <w:rPr>
                <w:rFonts w:ascii="Times New Roman" w:hAnsi="Times New Roman" w:cs="Arial"/>
                <w:bCs/>
                <w:color w:val="000000"/>
                <w:sz w:val="21"/>
                <w:szCs w:val="21"/>
              </w:rPr>
            </w:pPr>
            <w:r w:rsidRPr="00A04AF4">
              <w:rPr>
                <w:rFonts w:ascii="Times New Roman" w:hAnsi="Times New Roman" w:cs="Arial"/>
                <w:bCs/>
                <w:color w:val="000000"/>
                <w:sz w:val="21"/>
                <w:szCs w:val="21"/>
              </w:rPr>
              <w:t>уд. вес, %</w:t>
            </w:r>
          </w:p>
        </w:tc>
        <w:tc>
          <w:tcPr>
            <w:tcW w:w="991" w:type="dxa"/>
            <w:vMerge/>
            <w:shd w:val="clear" w:color="auto" w:fill="C0C0C0"/>
          </w:tcPr>
          <w:p w:rsidR="00BE59CB" w:rsidRPr="00A04AF4" w:rsidRDefault="00BE59CB" w:rsidP="003B2047">
            <w:pPr>
              <w:keepNext/>
              <w:spacing w:after="0" w:line="240" w:lineRule="auto"/>
              <w:ind w:left="-91" w:right="-94"/>
              <w:outlineLvl w:val="2"/>
              <w:rPr>
                <w:rFonts w:ascii="Times New Roman" w:hAnsi="Times New Roman" w:cs="Arial"/>
                <w:bCs/>
                <w:color w:val="000000"/>
                <w:sz w:val="21"/>
                <w:szCs w:val="21"/>
              </w:rPr>
            </w:pPr>
          </w:p>
        </w:tc>
      </w:tr>
      <w:tr w:rsidR="00BE59CB" w:rsidRPr="008C1FB5" w:rsidTr="003B2047">
        <w:trPr>
          <w:cantSplit/>
          <w:trHeight w:val="50"/>
        </w:trPr>
        <w:tc>
          <w:tcPr>
            <w:tcW w:w="4137" w:type="dxa"/>
            <w:tcBorders>
              <w:top w:val="double" w:sz="4" w:space="0" w:color="auto"/>
              <w:bottom w:val="single" w:sz="4" w:space="0" w:color="auto"/>
            </w:tcBorders>
            <w:shd w:val="clear" w:color="auto" w:fill="E6E6E6"/>
          </w:tcPr>
          <w:p w:rsidR="00BE59CB" w:rsidRPr="00A04AF4" w:rsidRDefault="00BE59CB" w:rsidP="00CF1F5D">
            <w:pPr>
              <w:keepNext/>
              <w:spacing w:after="0" w:line="240" w:lineRule="auto"/>
              <w:ind w:right="-1"/>
              <w:outlineLvl w:val="2"/>
              <w:rPr>
                <w:rFonts w:ascii="Times New Roman" w:hAnsi="Times New Roman" w:cs="Arial"/>
                <w:bCs/>
                <w:color w:val="000000"/>
                <w:sz w:val="21"/>
                <w:szCs w:val="21"/>
              </w:rPr>
            </w:pPr>
            <w:r w:rsidRPr="00A04AF4">
              <w:rPr>
                <w:rFonts w:ascii="Times New Roman" w:hAnsi="Times New Roman" w:cs="Arial"/>
                <w:bCs/>
                <w:color w:val="000000"/>
                <w:sz w:val="21"/>
                <w:szCs w:val="21"/>
              </w:rPr>
              <w:t>Полная денежная масса (М3)</w:t>
            </w:r>
          </w:p>
        </w:tc>
        <w:tc>
          <w:tcPr>
            <w:tcW w:w="1125" w:type="dxa"/>
            <w:tcBorders>
              <w:top w:val="double" w:sz="4" w:space="0" w:color="auto"/>
              <w:bottom w:val="single" w:sz="4" w:space="0" w:color="auto"/>
            </w:tcBorders>
            <w:shd w:val="clear" w:color="auto" w:fill="E6E6E6"/>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5 395,7</w:t>
            </w:r>
          </w:p>
        </w:tc>
        <w:tc>
          <w:tcPr>
            <w:tcW w:w="1126" w:type="dxa"/>
            <w:tcBorders>
              <w:top w:val="double" w:sz="4" w:space="0" w:color="auto"/>
              <w:bottom w:val="single" w:sz="4" w:space="0" w:color="auto"/>
            </w:tcBorders>
            <w:shd w:val="clear" w:color="auto" w:fill="E6E6E6"/>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100,0</w:t>
            </w:r>
          </w:p>
        </w:tc>
        <w:tc>
          <w:tcPr>
            <w:tcW w:w="1126" w:type="dxa"/>
            <w:tcBorders>
              <w:top w:val="double" w:sz="4" w:space="0" w:color="auto"/>
              <w:bottom w:val="single" w:sz="4" w:space="0" w:color="auto"/>
            </w:tcBorders>
            <w:shd w:val="clear" w:color="auto" w:fill="E6E6E6"/>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5 320,9</w:t>
            </w:r>
          </w:p>
        </w:tc>
        <w:tc>
          <w:tcPr>
            <w:tcW w:w="1126" w:type="dxa"/>
            <w:tcBorders>
              <w:top w:val="double" w:sz="4" w:space="0" w:color="auto"/>
              <w:bottom w:val="single" w:sz="4" w:space="0" w:color="auto"/>
            </w:tcBorders>
            <w:shd w:val="clear" w:color="auto" w:fill="E6E6E6"/>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100,0</w:t>
            </w:r>
          </w:p>
        </w:tc>
        <w:tc>
          <w:tcPr>
            <w:tcW w:w="991" w:type="dxa"/>
            <w:tcBorders>
              <w:top w:val="double" w:sz="4" w:space="0" w:color="auto"/>
              <w:bottom w:val="single" w:sz="4" w:space="0" w:color="auto"/>
            </w:tcBorders>
            <w:shd w:val="clear" w:color="auto" w:fill="E6E6E6"/>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98,6</w:t>
            </w:r>
          </w:p>
        </w:tc>
      </w:tr>
      <w:tr w:rsidR="00BE59CB" w:rsidRPr="008C1FB5" w:rsidTr="003B2047">
        <w:trPr>
          <w:cantSplit/>
          <w:trHeight w:val="50"/>
        </w:trPr>
        <w:tc>
          <w:tcPr>
            <w:tcW w:w="4137" w:type="dxa"/>
            <w:tcBorders>
              <w:top w:val="single" w:sz="4" w:space="0" w:color="auto"/>
              <w:bottom w:val="nil"/>
            </w:tcBorders>
            <w:shd w:val="clear" w:color="auto" w:fill="E6E6E6"/>
          </w:tcPr>
          <w:p w:rsidR="00BE59CB" w:rsidRPr="00A04AF4" w:rsidRDefault="00BE59CB" w:rsidP="00CF1F5D">
            <w:pPr>
              <w:keepNext/>
              <w:spacing w:after="0" w:line="240" w:lineRule="auto"/>
              <w:ind w:right="-1" w:firstLine="112"/>
              <w:outlineLvl w:val="2"/>
              <w:rPr>
                <w:rFonts w:ascii="Times New Roman" w:hAnsi="Times New Roman" w:cs="Arial"/>
                <w:bCs/>
                <w:color w:val="000000"/>
                <w:sz w:val="21"/>
                <w:szCs w:val="21"/>
              </w:rPr>
            </w:pPr>
            <w:r w:rsidRPr="00A04AF4">
              <w:rPr>
                <w:rFonts w:ascii="Times New Roman" w:hAnsi="Times New Roman" w:cs="Arial"/>
                <w:bCs/>
                <w:color w:val="000000"/>
                <w:sz w:val="21"/>
                <w:szCs w:val="21"/>
              </w:rPr>
              <w:t>в том числе:</w:t>
            </w:r>
          </w:p>
        </w:tc>
        <w:tc>
          <w:tcPr>
            <w:tcW w:w="1125" w:type="dxa"/>
            <w:tcBorders>
              <w:top w:val="single" w:sz="4" w:space="0" w:color="auto"/>
              <w:bottom w:val="nil"/>
            </w:tcBorders>
            <w:shd w:val="clear" w:color="auto" w:fill="E6E6E6"/>
            <w:vAlign w:val="bottom"/>
          </w:tcPr>
          <w:p w:rsidR="00BE59CB" w:rsidRPr="00A04AF4" w:rsidRDefault="00BE59CB" w:rsidP="003B2047">
            <w:pPr>
              <w:spacing w:after="0" w:line="240" w:lineRule="auto"/>
              <w:ind w:right="89"/>
              <w:jc w:val="right"/>
              <w:rPr>
                <w:rFonts w:ascii="Times New Roman" w:hAnsi="Times New Roman" w:cs="Arial CYR"/>
                <w:sz w:val="21"/>
                <w:szCs w:val="21"/>
              </w:rPr>
            </w:pPr>
          </w:p>
        </w:tc>
        <w:tc>
          <w:tcPr>
            <w:tcW w:w="1126" w:type="dxa"/>
            <w:tcBorders>
              <w:top w:val="single" w:sz="4" w:space="0" w:color="auto"/>
              <w:bottom w:val="nil"/>
            </w:tcBorders>
            <w:shd w:val="clear" w:color="auto" w:fill="E6E6E6"/>
            <w:vAlign w:val="bottom"/>
          </w:tcPr>
          <w:p w:rsidR="00BE59CB" w:rsidRPr="00A04AF4" w:rsidRDefault="00BE59CB" w:rsidP="003B2047">
            <w:pPr>
              <w:spacing w:after="0" w:line="240" w:lineRule="auto"/>
              <w:ind w:right="89"/>
              <w:jc w:val="right"/>
              <w:rPr>
                <w:rFonts w:ascii="Times New Roman" w:hAnsi="Times New Roman" w:cs="Arial CYR"/>
                <w:sz w:val="21"/>
                <w:szCs w:val="21"/>
              </w:rPr>
            </w:pPr>
          </w:p>
        </w:tc>
        <w:tc>
          <w:tcPr>
            <w:tcW w:w="1126" w:type="dxa"/>
            <w:tcBorders>
              <w:top w:val="single" w:sz="4" w:space="0" w:color="auto"/>
              <w:bottom w:val="nil"/>
            </w:tcBorders>
            <w:shd w:val="clear" w:color="auto" w:fill="E6E6E6"/>
            <w:vAlign w:val="bottom"/>
          </w:tcPr>
          <w:p w:rsidR="00BE59CB" w:rsidRPr="00A04AF4" w:rsidRDefault="00BE59CB" w:rsidP="003B2047">
            <w:pPr>
              <w:spacing w:after="0" w:line="240" w:lineRule="auto"/>
              <w:ind w:right="89"/>
              <w:jc w:val="right"/>
              <w:rPr>
                <w:rFonts w:ascii="Times New Roman" w:hAnsi="Times New Roman" w:cs="Arial CYR"/>
                <w:sz w:val="21"/>
                <w:szCs w:val="21"/>
              </w:rPr>
            </w:pPr>
          </w:p>
        </w:tc>
        <w:tc>
          <w:tcPr>
            <w:tcW w:w="1126" w:type="dxa"/>
            <w:tcBorders>
              <w:top w:val="single" w:sz="4" w:space="0" w:color="auto"/>
              <w:bottom w:val="nil"/>
            </w:tcBorders>
            <w:shd w:val="clear" w:color="auto" w:fill="E6E6E6"/>
            <w:vAlign w:val="bottom"/>
          </w:tcPr>
          <w:p w:rsidR="00BE59CB" w:rsidRPr="00A04AF4" w:rsidRDefault="00BE59CB" w:rsidP="003B2047">
            <w:pPr>
              <w:spacing w:after="0" w:line="240" w:lineRule="auto"/>
              <w:ind w:right="89"/>
              <w:jc w:val="right"/>
              <w:rPr>
                <w:rFonts w:ascii="Times New Roman" w:hAnsi="Times New Roman" w:cs="Arial CYR"/>
                <w:sz w:val="21"/>
                <w:szCs w:val="21"/>
              </w:rPr>
            </w:pPr>
          </w:p>
        </w:tc>
        <w:tc>
          <w:tcPr>
            <w:tcW w:w="991" w:type="dxa"/>
            <w:tcBorders>
              <w:top w:val="single" w:sz="4" w:space="0" w:color="auto"/>
              <w:bottom w:val="nil"/>
            </w:tcBorders>
            <w:shd w:val="clear" w:color="auto" w:fill="E6E6E6"/>
            <w:vAlign w:val="bottom"/>
          </w:tcPr>
          <w:p w:rsidR="00BE59CB" w:rsidRPr="00A04AF4" w:rsidRDefault="00BE59CB" w:rsidP="003B2047">
            <w:pPr>
              <w:spacing w:after="0" w:line="240" w:lineRule="auto"/>
              <w:ind w:right="89"/>
              <w:jc w:val="right"/>
              <w:rPr>
                <w:rFonts w:ascii="Times New Roman" w:hAnsi="Times New Roman" w:cs="Arial CYR"/>
                <w:sz w:val="21"/>
                <w:szCs w:val="21"/>
              </w:rPr>
            </w:pPr>
          </w:p>
        </w:tc>
      </w:tr>
      <w:tr w:rsidR="00BE59CB" w:rsidRPr="008C1FB5" w:rsidTr="003B2047">
        <w:trPr>
          <w:cantSplit/>
          <w:trHeight w:val="77"/>
        </w:trPr>
        <w:tc>
          <w:tcPr>
            <w:tcW w:w="4137" w:type="dxa"/>
            <w:tcBorders>
              <w:top w:val="nil"/>
            </w:tcBorders>
            <w:shd w:val="clear" w:color="auto" w:fill="E6E6E6"/>
          </w:tcPr>
          <w:p w:rsidR="00BE59CB" w:rsidRPr="00A04AF4" w:rsidRDefault="00BE59CB" w:rsidP="00CF1F5D">
            <w:pPr>
              <w:keepNext/>
              <w:spacing w:after="0" w:line="240" w:lineRule="auto"/>
              <w:ind w:right="-108" w:firstLine="12"/>
              <w:outlineLvl w:val="2"/>
              <w:rPr>
                <w:rFonts w:ascii="Times New Roman" w:hAnsi="Times New Roman" w:cs="Arial"/>
                <w:bCs/>
                <w:color w:val="000000"/>
                <w:sz w:val="21"/>
                <w:szCs w:val="21"/>
              </w:rPr>
            </w:pPr>
            <w:r w:rsidRPr="00A04AF4">
              <w:rPr>
                <w:rFonts w:ascii="Times New Roman" w:hAnsi="Times New Roman" w:cs="Arial"/>
                <w:bCs/>
                <w:color w:val="000000"/>
                <w:sz w:val="21"/>
                <w:szCs w:val="21"/>
              </w:rPr>
              <w:t>Национальная денежная масса (М2х)</w:t>
            </w:r>
          </w:p>
        </w:tc>
        <w:tc>
          <w:tcPr>
            <w:tcW w:w="1125" w:type="dxa"/>
            <w:tcBorders>
              <w:top w:val="nil"/>
            </w:tcBorders>
            <w:shd w:val="clear" w:color="auto" w:fill="E6E6E6"/>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2 089,9</w:t>
            </w:r>
          </w:p>
        </w:tc>
        <w:tc>
          <w:tcPr>
            <w:tcW w:w="1126" w:type="dxa"/>
            <w:tcBorders>
              <w:top w:val="nil"/>
            </w:tcBorders>
            <w:shd w:val="clear" w:color="auto" w:fill="E6E6E6"/>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38,7</w:t>
            </w:r>
          </w:p>
        </w:tc>
        <w:tc>
          <w:tcPr>
            <w:tcW w:w="1126" w:type="dxa"/>
            <w:tcBorders>
              <w:top w:val="nil"/>
            </w:tcBorders>
            <w:shd w:val="clear" w:color="auto" w:fill="E6E6E6"/>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2 518,8</w:t>
            </w:r>
          </w:p>
        </w:tc>
        <w:tc>
          <w:tcPr>
            <w:tcW w:w="1126" w:type="dxa"/>
            <w:tcBorders>
              <w:top w:val="nil"/>
            </w:tcBorders>
            <w:shd w:val="clear" w:color="auto" w:fill="E6E6E6"/>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47,3</w:t>
            </w:r>
          </w:p>
        </w:tc>
        <w:tc>
          <w:tcPr>
            <w:tcW w:w="991" w:type="dxa"/>
            <w:tcBorders>
              <w:top w:val="nil"/>
            </w:tcBorders>
            <w:shd w:val="clear" w:color="auto" w:fill="E6E6E6"/>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120,5</w:t>
            </w:r>
          </w:p>
        </w:tc>
      </w:tr>
      <w:tr w:rsidR="00BE59CB" w:rsidRPr="008C1FB5" w:rsidTr="003B2047">
        <w:trPr>
          <w:cantSplit/>
          <w:trHeight w:val="183"/>
        </w:trPr>
        <w:tc>
          <w:tcPr>
            <w:tcW w:w="4137" w:type="dxa"/>
            <w:tcBorders>
              <w:bottom w:val="single" w:sz="4" w:space="0" w:color="FFFFFF"/>
            </w:tcBorders>
          </w:tcPr>
          <w:p w:rsidR="00BE59CB" w:rsidRPr="00A04AF4" w:rsidRDefault="00BE59CB" w:rsidP="00CF1F5D">
            <w:pPr>
              <w:keepNext/>
              <w:tabs>
                <w:tab w:val="left" w:pos="612"/>
              </w:tabs>
              <w:spacing w:after="0" w:line="240" w:lineRule="auto"/>
              <w:ind w:right="-108" w:firstLine="46"/>
              <w:outlineLvl w:val="2"/>
              <w:rPr>
                <w:rFonts w:ascii="Times New Roman" w:hAnsi="Times New Roman" w:cs="Arial"/>
                <w:bCs/>
                <w:color w:val="000000"/>
                <w:sz w:val="21"/>
                <w:szCs w:val="21"/>
              </w:rPr>
            </w:pPr>
            <w:r w:rsidRPr="00A04AF4">
              <w:rPr>
                <w:rFonts w:ascii="Times New Roman" w:hAnsi="Times New Roman" w:cs="Arial"/>
                <w:bCs/>
                <w:color w:val="000000"/>
                <w:sz w:val="21"/>
                <w:szCs w:val="21"/>
              </w:rPr>
              <w:t>в том числе</w:t>
            </w:r>
            <w:r w:rsidRPr="00A04AF4">
              <w:rPr>
                <w:rFonts w:ascii="Times New Roman" w:hAnsi="Times New Roman" w:cs="Arial"/>
                <w:bCs/>
                <w:color w:val="000000"/>
                <w:sz w:val="21"/>
                <w:szCs w:val="21"/>
                <w:lang w:val="en-US"/>
              </w:rPr>
              <w:t>:</w:t>
            </w:r>
          </w:p>
        </w:tc>
        <w:tc>
          <w:tcPr>
            <w:tcW w:w="1125" w:type="dxa"/>
            <w:tcBorders>
              <w:bottom w:val="single" w:sz="4" w:space="0" w:color="FFFFFF"/>
            </w:tcBorders>
            <w:vAlign w:val="bottom"/>
          </w:tcPr>
          <w:p w:rsidR="00BE59CB" w:rsidRPr="00A04AF4" w:rsidRDefault="00BE59CB" w:rsidP="003B2047">
            <w:pPr>
              <w:spacing w:after="0" w:line="240" w:lineRule="auto"/>
              <w:ind w:right="89"/>
              <w:jc w:val="right"/>
              <w:rPr>
                <w:rFonts w:ascii="Times New Roman" w:hAnsi="Times New Roman" w:cs="Arial CYR"/>
                <w:sz w:val="21"/>
                <w:szCs w:val="21"/>
              </w:rPr>
            </w:pPr>
          </w:p>
        </w:tc>
        <w:tc>
          <w:tcPr>
            <w:tcW w:w="1126" w:type="dxa"/>
            <w:tcBorders>
              <w:bottom w:val="single" w:sz="4" w:space="0" w:color="FFFFFF"/>
            </w:tcBorders>
            <w:vAlign w:val="bottom"/>
          </w:tcPr>
          <w:p w:rsidR="00BE59CB" w:rsidRPr="00A04AF4" w:rsidRDefault="00BE59CB" w:rsidP="003B2047">
            <w:pPr>
              <w:spacing w:after="0" w:line="240" w:lineRule="auto"/>
              <w:ind w:right="89"/>
              <w:jc w:val="right"/>
              <w:rPr>
                <w:rFonts w:ascii="Times New Roman" w:hAnsi="Times New Roman" w:cs="Arial CYR"/>
                <w:sz w:val="21"/>
                <w:szCs w:val="21"/>
              </w:rPr>
            </w:pPr>
          </w:p>
        </w:tc>
        <w:tc>
          <w:tcPr>
            <w:tcW w:w="1126" w:type="dxa"/>
            <w:tcBorders>
              <w:bottom w:val="single" w:sz="4" w:space="0" w:color="FFFFFF"/>
            </w:tcBorders>
            <w:vAlign w:val="bottom"/>
          </w:tcPr>
          <w:p w:rsidR="00BE59CB" w:rsidRPr="00A04AF4" w:rsidRDefault="00BE59CB" w:rsidP="003B2047">
            <w:pPr>
              <w:spacing w:after="0" w:line="240" w:lineRule="auto"/>
              <w:ind w:right="89"/>
              <w:jc w:val="right"/>
              <w:rPr>
                <w:rFonts w:ascii="Times New Roman" w:hAnsi="Times New Roman" w:cs="Arial CYR"/>
                <w:sz w:val="21"/>
                <w:szCs w:val="21"/>
              </w:rPr>
            </w:pPr>
          </w:p>
        </w:tc>
        <w:tc>
          <w:tcPr>
            <w:tcW w:w="1126" w:type="dxa"/>
            <w:tcBorders>
              <w:bottom w:val="single" w:sz="4" w:space="0" w:color="FFFFFF"/>
            </w:tcBorders>
            <w:vAlign w:val="bottom"/>
          </w:tcPr>
          <w:p w:rsidR="00BE59CB" w:rsidRPr="00A04AF4" w:rsidRDefault="00BE59CB" w:rsidP="003B2047">
            <w:pPr>
              <w:spacing w:after="0" w:line="240" w:lineRule="auto"/>
              <w:ind w:right="89"/>
              <w:jc w:val="right"/>
              <w:rPr>
                <w:rFonts w:ascii="Times New Roman" w:hAnsi="Times New Roman" w:cs="Arial CYR"/>
                <w:sz w:val="21"/>
                <w:szCs w:val="21"/>
              </w:rPr>
            </w:pPr>
          </w:p>
        </w:tc>
        <w:tc>
          <w:tcPr>
            <w:tcW w:w="991" w:type="dxa"/>
            <w:tcBorders>
              <w:bottom w:val="single" w:sz="4" w:space="0" w:color="FFFFFF"/>
            </w:tcBorders>
            <w:vAlign w:val="bottom"/>
          </w:tcPr>
          <w:p w:rsidR="00BE59CB" w:rsidRPr="00A04AF4" w:rsidRDefault="00BE59CB" w:rsidP="003B2047">
            <w:pPr>
              <w:spacing w:after="0" w:line="240" w:lineRule="auto"/>
              <w:ind w:right="89"/>
              <w:jc w:val="right"/>
              <w:rPr>
                <w:rFonts w:ascii="Times New Roman" w:hAnsi="Times New Roman" w:cs="Arial CYR"/>
                <w:sz w:val="21"/>
                <w:szCs w:val="21"/>
              </w:rPr>
            </w:pPr>
          </w:p>
        </w:tc>
      </w:tr>
      <w:tr w:rsidR="00BE59CB" w:rsidRPr="008C1FB5" w:rsidTr="00A04AF4">
        <w:trPr>
          <w:cantSplit/>
          <w:trHeight w:val="95"/>
        </w:trPr>
        <w:tc>
          <w:tcPr>
            <w:tcW w:w="4137" w:type="dxa"/>
            <w:tcBorders>
              <w:top w:val="single" w:sz="4" w:space="0" w:color="FFFFFF"/>
              <w:bottom w:val="single" w:sz="4" w:space="0" w:color="auto"/>
            </w:tcBorders>
          </w:tcPr>
          <w:p w:rsidR="00BE59CB" w:rsidRPr="00A04AF4" w:rsidRDefault="00BE59CB" w:rsidP="00CF1F5D">
            <w:pPr>
              <w:keepNext/>
              <w:tabs>
                <w:tab w:val="left" w:pos="176"/>
                <w:tab w:val="left" w:pos="612"/>
              </w:tabs>
              <w:spacing w:after="0" w:line="240" w:lineRule="auto"/>
              <w:ind w:right="-108" w:firstLine="176"/>
              <w:outlineLvl w:val="2"/>
              <w:rPr>
                <w:rFonts w:ascii="Times New Roman" w:hAnsi="Times New Roman" w:cs="Arial"/>
                <w:bCs/>
                <w:color w:val="000000"/>
                <w:sz w:val="21"/>
                <w:szCs w:val="21"/>
              </w:rPr>
            </w:pPr>
            <w:r w:rsidRPr="00A04AF4">
              <w:rPr>
                <w:rFonts w:ascii="Times New Roman" w:hAnsi="Times New Roman" w:cs="Arial"/>
                <w:bCs/>
                <w:color w:val="000000"/>
                <w:sz w:val="21"/>
                <w:szCs w:val="21"/>
              </w:rPr>
              <w:t>- наличные деньги в обращении</w:t>
            </w:r>
          </w:p>
        </w:tc>
        <w:tc>
          <w:tcPr>
            <w:tcW w:w="1125" w:type="dxa"/>
            <w:tcBorders>
              <w:top w:val="single" w:sz="4" w:space="0" w:color="FFFFFF"/>
              <w:bottom w:val="single" w:sz="4" w:space="0" w:color="auto"/>
            </w:tcBorders>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858,5</w:t>
            </w:r>
          </w:p>
        </w:tc>
        <w:tc>
          <w:tcPr>
            <w:tcW w:w="1126" w:type="dxa"/>
            <w:tcBorders>
              <w:top w:val="single" w:sz="4" w:space="0" w:color="FFFFFF"/>
              <w:bottom w:val="single" w:sz="4" w:space="0" w:color="auto"/>
            </w:tcBorders>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15,9</w:t>
            </w:r>
          </w:p>
        </w:tc>
        <w:tc>
          <w:tcPr>
            <w:tcW w:w="1126" w:type="dxa"/>
            <w:tcBorders>
              <w:top w:val="single" w:sz="4" w:space="0" w:color="FFFFFF"/>
              <w:bottom w:val="single" w:sz="4" w:space="0" w:color="auto"/>
            </w:tcBorders>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1 094,2</w:t>
            </w:r>
          </w:p>
        </w:tc>
        <w:tc>
          <w:tcPr>
            <w:tcW w:w="1126" w:type="dxa"/>
            <w:tcBorders>
              <w:top w:val="single" w:sz="4" w:space="0" w:color="FFFFFF"/>
              <w:bottom w:val="single" w:sz="4" w:space="0" w:color="auto"/>
            </w:tcBorders>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20,5</w:t>
            </w:r>
          </w:p>
        </w:tc>
        <w:tc>
          <w:tcPr>
            <w:tcW w:w="991" w:type="dxa"/>
            <w:tcBorders>
              <w:top w:val="single" w:sz="4" w:space="0" w:color="FFFFFF"/>
              <w:bottom w:val="single" w:sz="4" w:space="0" w:color="auto"/>
            </w:tcBorders>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127,4</w:t>
            </w:r>
          </w:p>
        </w:tc>
      </w:tr>
      <w:tr w:rsidR="00BE59CB" w:rsidRPr="008C1FB5" w:rsidTr="003B2047">
        <w:trPr>
          <w:cantSplit/>
          <w:trHeight w:val="193"/>
        </w:trPr>
        <w:tc>
          <w:tcPr>
            <w:tcW w:w="4137" w:type="dxa"/>
            <w:tcBorders>
              <w:top w:val="single" w:sz="4" w:space="0" w:color="FFFFFF"/>
              <w:bottom w:val="single" w:sz="4" w:space="0" w:color="auto"/>
            </w:tcBorders>
          </w:tcPr>
          <w:p w:rsidR="00BE59CB" w:rsidRPr="00A04AF4" w:rsidRDefault="00BE59CB" w:rsidP="00CF1F5D">
            <w:pPr>
              <w:keepNext/>
              <w:tabs>
                <w:tab w:val="left" w:pos="176"/>
                <w:tab w:val="left" w:pos="612"/>
              </w:tabs>
              <w:spacing w:after="0" w:line="240" w:lineRule="auto"/>
              <w:ind w:right="-108" w:firstLine="176"/>
              <w:outlineLvl w:val="2"/>
              <w:rPr>
                <w:rFonts w:ascii="Times New Roman" w:hAnsi="Times New Roman" w:cs="Arial"/>
                <w:bCs/>
                <w:color w:val="000000"/>
                <w:sz w:val="21"/>
                <w:szCs w:val="21"/>
              </w:rPr>
            </w:pPr>
            <w:r w:rsidRPr="00A04AF4">
              <w:rPr>
                <w:rFonts w:ascii="Times New Roman" w:hAnsi="Times New Roman" w:cs="Arial"/>
                <w:bCs/>
                <w:color w:val="000000"/>
                <w:sz w:val="21"/>
                <w:szCs w:val="21"/>
                <w:lang w:val="en-US"/>
              </w:rPr>
              <w:t>-</w:t>
            </w:r>
            <w:r w:rsidRPr="00A04AF4">
              <w:rPr>
                <w:rFonts w:ascii="Times New Roman" w:hAnsi="Times New Roman" w:cs="Arial"/>
                <w:bCs/>
                <w:color w:val="000000"/>
                <w:sz w:val="21"/>
                <w:szCs w:val="21"/>
              </w:rPr>
              <w:t xml:space="preserve"> безналичные денежные средства</w:t>
            </w:r>
          </w:p>
        </w:tc>
        <w:tc>
          <w:tcPr>
            <w:tcW w:w="1125" w:type="dxa"/>
            <w:tcBorders>
              <w:top w:val="single" w:sz="4" w:space="0" w:color="FFFFFF"/>
              <w:bottom w:val="single" w:sz="4" w:space="0" w:color="auto"/>
            </w:tcBorders>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1 231,4</w:t>
            </w:r>
          </w:p>
        </w:tc>
        <w:tc>
          <w:tcPr>
            <w:tcW w:w="1126" w:type="dxa"/>
            <w:tcBorders>
              <w:top w:val="single" w:sz="4" w:space="0" w:color="FFFFFF"/>
              <w:bottom w:val="single" w:sz="4" w:space="0" w:color="auto"/>
            </w:tcBorders>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22,8</w:t>
            </w:r>
          </w:p>
        </w:tc>
        <w:tc>
          <w:tcPr>
            <w:tcW w:w="1126" w:type="dxa"/>
            <w:tcBorders>
              <w:top w:val="single" w:sz="4" w:space="0" w:color="FFFFFF"/>
              <w:bottom w:val="single" w:sz="4" w:space="0" w:color="auto"/>
            </w:tcBorders>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1 424,6</w:t>
            </w:r>
          </w:p>
        </w:tc>
        <w:tc>
          <w:tcPr>
            <w:tcW w:w="1126" w:type="dxa"/>
            <w:tcBorders>
              <w:top w:val="single" w:sz="4" w:space="0" w:color="FFFFFF"/>
              <w:bottom w:val="single" w:sz="4" w:space="0" w:color="auto"/>
            </w:tcBorders>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26,8</w:t>
            </w:r>
          </w:p>
        </w:tc>
        <w:tc>
          <w:tcPr>
            <w:tcW w:w="991" w:type="dxa"/>
            <w:tcBorders>
              <w:top w:val="single" w:sz="4" w:space="0" w:color="FFFFFF"/>
              <w:bottom w:val="single" w:sz="4" w:space="0" w:color="auto"/>
            </w:tcBorders>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115,7</w:t>
            </w:r>
          </w:p>
        </w:tc>
      </w:tr>
      <w:tr w:rsidR="00BE59CB" w:rsidRPr="008C1FB5" w:rsidTr="003B2047">
        <w:trPr>
          <w:trHeight w:val="170"/>
        </w:trPr>
        <w:tc>
          <w:tcPr>
            <w:tcW w:w="4137" w:type="dxa"/>
            <w:shd w:val="clear" w:color="auto" w:fill="E6E6E6"/>
          </w:tcPr>
          <w:p w:rsidR="00BE59CB" w:rsidRPr="00A04AF4" w:rsidRDefault="00BE59CB" w:rsidP="00CF1F5D">
            <w:pPr>
              <w:tabs>
                <w:tab w:val="left" w:pos="0"/>
                <w:tab w:val="left" w:pos="612"/>
              </w:tabs>
              <w:spacing w:after="0" w:line="240" w:lineRule="auto"/>
              <w:ind w:right="-1"/>
              <w:rPr>
                <w:rFonts w:ascii="Times New Roman" w:hAnsi="Times New Roman"/>
                <w:color w:val="000000"/>
                <w:sz w:val="21"/>
                <w:szCs w:val="21"/>
              </w:rPr>
            </w:pPr>
            <w:r w:rsidRPr="00A04AF4">
              <w:rPr>
                <w:rFonts w:ascii="Times New Roman" w:hAnsi="Times New Roman"/>
                <w:color w:val="000000"/>
                <w:sz w:val="21"/>
                <w:szCs w:val="21"/>
              </w:rPr>
              <w:t>Денежная масса в иностранной валюте</w:t>
            </w:r>
          </w:p>
        </w:tc>
        <w:tc>
          <w:tcPr>
            <w:tcW w:w="1125" w:type="dxa"/>
            <w:shd w:val="clear" w:color="auto" w:fill="E6E6E6"/>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3 305,8</w:t>
            </w:r>
          </w:p>
        </w:tc>
        <w:tc>
          <w:tcPr>
            <w:tcW w:w="1126" w:type="dxa"/>
            <w:shd w:val="clear" w:color="auto" w:fill="E6E6E6"/>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61,3</w:t>
            </w:r>
          </w:p>
        </w:tc>
        <w:tc>
          <w:tcPr>
            <w:tcW w:w="1126" w:type="dxa"/>
            <w:shd w:val="clear" w:color="auto" w:fill="E6E6E6"/>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2 802,1</w:t>
            </w:r>
          </w:p>
        </w:tc>
        <w:tc>
          <w:tcPr>
            <w:tcW w:w="1126" w:type="dxa"/>
            <w:shd w:val="clear" w:color="auto" w:fill="E6E6E6"/>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52,7</w:t>
            </w:r>
          </w:p>
        </w:tc>
        <w:tc>
          <w:tcPr>
            <w:tcW w:w="991" w:type="dxa"/>
            <w:shd w:val="clear" w:color="auto" w:fill="E6E6E6"/>
            <w:vAlign w:val="bottom"/>
          </w:tcPr>
          <w:p w:rsidR="00BE59CB" w:rsidRPr="00A04AF4" w:rsidRDefault="00BE59CB" w:rsidP="003B2047">
            <w:pPr>
              <w:spacing w:after="0" w:line="240" w:lineRule="auto"/>
              <w:ind w:right="89"/>
              <w:jc w:val="right"/>
              <w:rPr>
                <w:rFonts w:ascii="Times New Roman" w:hAnsi="Times New Roman" w:cs="Arial CYR"/>
                <w:sz w:val="21"/>
                <w:szCs w:val="21"/>
              </w:rPr>
            </w:pPr>
            <w:r w:rsidRPr="00A04AF4">
              <w:rPr>
                <w:rFonts w:ascii="Times New Roman" w:hAnsi="Times New Roman" w:cs="Arial CYR"/>
                <w:sz w:val="21"/>
                <w:szCs w:val="21"/>
              </w:rPr>
              <w:t>84,8</w:t>
            </w:r>
          </w:p>
        </w:tc>
      </w:tr>
    </w:tbl>
    <w:p w:rsidR="00BE59CB" w:rsidRPr="00CF1F5D" w:rsidRDefault="00BE59CB" w:rsidP="00BE59CB">
      <w:pPr>
        <w:spacing w:after="0" w:line="240" w:lineRule="auto"/>
        <w:rPr>
          <w:rFonts w:ascii="Times New Roman" w:hAnsi="Times New Roman"/>
          <w:b/>
          <w:color w:val="000000"/>
          <w:sz w:val="10"/>
          <w:szCs w:val="10"/>
        </w:rPr>
      </w:pPr>
    </w:p>
    <w:bookmarkEnd w:id="0"/>
    <w:p w:rsidR="00BE59CB" w:rsidRDefault="00BE59CB" w:rsidP="00BE59CB">
      <w:pPr>
        <w:spacing w:after="0" w:line="240" w:lineRule="auto"/>
        <w:ind w:firstLine="709"/>
        <w:jc w:val="both"/>
        <w:rPr>
          <w:rFonts w:ascii="Times New Roman" w:hAnsi="Times New Roman"/>
          <w:sz w:val="24"/>
        </w:rPr>
      </w:pPr>
      <w:r w:rsidRPr="007D2E0A">
        <w:rPr>
          <w:rFonts w:ascii="Times New Roman" w:hAnsi="Times New Roman"/>
          <w:sz w:val="24"/>
        </w:rPr>
        <w:t xml:space="preserve">В отличие от динамики рублевого предложения, величина денежной массы в иностранной валюте за 2016 год сократилась на 15,2% (на 503,7 млн. руб.) до                    2 802,1 млн. руб., что стало следствием существенного сокращения объема средств,                  задействованных в операциях с ценными бумагами в 6,1 р. до 61,8 млн. руб.). Объем валютной наличности в кассах банков уступил значению начала отчётного года 20,9%, составив на 1 января 2017 года 279,7 млн. руб. Понижательная динамика наблюдалась и по </w:t>
      </w:r>
      <w:r w:rsidRPr="007D2E0A">
        <w:rPr>
          <w:rFonts w:ascii="Times New Roman" w:hAnsi="Times New Roman"/>
          <w:sz w:val="24"/>
        </w:rPr>
        <w:lastRenderedPageBreak/>
        <w:t>депозитам до востребования (-11,6%) до 393,1 млн. руб., и по срочным депозитам (-2,9%) до 2 067,5 млн. руб.</w:t>
      </w:r>
    </w:p>
    <w:p w:rsidR="00BE59CB" w:rsidRPr="0059595E" w:rsidRDefault="00BE59CB" w:rsidP="00BE59CB">
      <w:pPr>
        <w:widowControl w:val="0"/>
        <w:spacing w:after="0" w:line="240" w:lineRule="auto"/>
        <w:ind w:firstLine="709"/>
        <w:jc w:val="right"/>
        <w:rPr>
          <w:rFonts w:ascii="Times New Roman" w:hAnsi="Times New Roman"/>
          <w:bCs/>
          <w:iCs/>
          <w:sz w:val="24"/>
          <w:szCs w:val="24"/>
        </w:rPr>
      </w:pPr>
      <w:r w:rsidRPr="0059595E">
        <w:rPr>
          <w:rFonts w:ascii="Times New Roman" w:hAnsi="Times New Roman"/>
          <w:bCs/>
          <w:iCs/>
          <w:sz w:val="24"/>
          <w:szCs w:val="24"/>
        </w:rPr>
        <w:t>Таблица №</w:t>
      </w:r>
      <w:r w:rsidR="0059595E" w:rsidRPr="0059595E">
        <w:rPr>
          <w:rFonts w:ascii="Times New Roman" w:hAnsi="Times New Roman"/>
          <w:bCs/>
          <w:iCs/>
          <w:sz w:val="24"/>
          <w:szCs w:val="24"/>
        </w:rPr>
        <w:t>3</w:t>
      </w:r>
    </w:p>
    <w:p w:rsidR="00BE59CB" w:rsidRDefault="00BE59CB" w:rsidP="00BE59CB">
      <w:pPr>
        <w:spacing w:after="0" w:line="240" w:lineRule="auto"/>
        <w:ind w:firstLine="709"/>
        <w:jc w:val="center"/>
        <w:rPr>
          <w:rFonts w:ascii="Times New Roman" w:hAnsi="Times New Roman"/>
          <w:b/>
          <w:color w:val="000000"/>
          <w:sz w:val="24"/>
          <w:szCs w:val="24"/>
        </w:rPr>
      </w:pPr>
      <w:r w:rsidRPr="007D2E0A">
        <w:rPr>
          <w:rFonts w:ascii="Times New Roman" w:hAnsi="Times New Roman"/>
          <w:b/>
          <w:color w:val="000000"/>
          <w:sz w:val="24"/>
          <w:szCs w:val="24"/>
        </w:rPr>
        <w:t>Структура и динамика денежной базы</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1134"/>
        <w:gridCol w:w="1276"/>
        <w:gridCol w:w="1134"/>
        <w:gridCol w:w="1241"/>
        <w:gridCol w:w="1027"/>
      </w:tblGrid>
      <w:tr w:rsidR="00BE59CB" w:rsidRPr="00A04AF4" w:rsidTr="00CF1F5D">
        <w:trPr>
          <w:cantSplit/>
          <w:trHeight w:val="151"/>
        </w:trPr>
        <w:tc>
          <w:tcPr>
            <w:tcW w:w="3828" w:type="dxa"/>
            <w:vMerge w:val="restart"/>
            <w:shd w:val="clear" w:color="auto" w:fill="CCCCCC"/>
          </w:tcPr>
          <w:p w:rsidR="00BE59CB" w:rsidRPr="00A04AF4" w:rsidRDefault="00BE59CB" w:rsidP="003B2047">
            <w:pPr>
              <w:spacing w:after="0" w:line="240" w:lineRule="auto"/>
              <w:ind w:left="-108"/>
              <w:jc w:val="both"/>
              <w:rPr>
                <w:rFonts w:ascii="Times New Roman" w:hAnsi="Times New Roman"/>
                <w:sz w:val="21"/>
                <w:szCs w:val="21"/>
              </w:rPr>
            </w:pPr>
          </w:p>
        </w:tc>
        <w:tc>
          <w:tcPr>
            <w:tcW w:w="2410" w:type="dxa"/>
            <w:gridSpan w:val="2"/>
            <w:shd w:val="clear" w:color="auto" w:fill="CCCCCC"/>
            <w:vAlign w:val="bottom"/>
          </w:tcPr>
          <w:p w:rsidR="00BE59CB" w:rsidRPr="00A04AF4" w:rsidRDefault="00BE59CB" w:rsidP="003B2047">
            <w:pPr>
              <w:spacing w:after="0" w:line="240" w:lineRule="auto"/>
              <w:ind w:left="-107" w:right="-111"/>
              <w:jc w:val="center"/>
              <w:rPr>
                <w:rFonts w:ascii="Times New Roman" w:hAnsi="Times New Roman"/>
                <w:sz w:val="21"/>
                <w:szCs w:val="21"/>
              </w:rPr>
            </w:pPr>
            <w:r w:rsidRPr="00A04AF4">
              <w:rPr>
                <w:rFonts w:ascii="Times New Roman" w:hAnsi="Times New Roman"/>
                <w:sz w:val="21"/>
                <w:szCs w:val="21"/>
              </w:rPr>
              <w:t>на 01.01.2016 г.</w:t>
            </w:r>
          </w:p>
        </w:tc>
        <w:tc>
          <w:tcPr>
            <w:tcW w:w="2375" w:type="dxa"/>
            <w:gridSpan w:val="2"/>
            <w:shd w:val="clear" w:color="auto" w:fill="CCCCCC"/>
            <w:vAlign w:val="bottom"/>
          </w:tcPr>
          <w:p w:rsidR="00BE59CB" w:rsidRPr="00A04AF4" w:rsidRDefault="00BE59CB" w:rsidP="003B2047">
            <w:pPr>
              <w:spacing w:after="0" w:line="240" w:lineRule="auto"/>
              <w:ind w:left="-107" w:right="-111"/>
              <w:jc w:val="center"/>
              <w:rPr>
                <w:rFonts w:ascii="Times New Roman" w:hAnsi="Times New Roman"/>
                <w:sz w:val="21"/>
                <w:szCs w:val="21"/>
              </w:rPr>
            </w:pPr>
            <w:r w:rsidRPr="00A04AF4">
              <w:rPr>
                <w:rFonts w:ascii="Times New Roman" w:hAnsi="Times New Roman"/>
                <w:sz w:val="21"/>
                <w:szCs w:val="21"/>
              </w:rPr>
              <w:t>на 01.01.2017 г.</w:t>
            </w:r>
          </w:p>
        </w:tc>
        <w:tc>
          <w:tcPr>
            <w:tcW w:w="1027" w:type="dxa"/>
            <w:vMerge w:val="restart"/>
            <w:shd w:val="clear" w:color="auto" w:fill="CCCCCC"/>
            <w:vAlign w:val="center"/>
          </w:tcPr>
          <w:p w:rsidR="00BE59CB" w:rsidRPr="00A04AF4" w:rsidRDefault="00BE59CB" w:rsidP="003B2047">
            <w:pPr>
              <w:spacing w:after="0" w:line="240" w:lineRule="auto"/>
              <w:jc w:val="center"/>
              <w:rPr>
                <w:rFonts w:ascii="Times New Roman" w:hAnsi="Times New Roman"/>
                <w:sz w:val="21"/>
                <w:szCs w:val="21"/>
              </w:rPr>
            </w:pPr>
            <w:r w:rsidRPr="00A04AF4">
              <w:rPr>
                <w:rFonts w:ascii="Times New Roman" w:hAnsi="Times New Roman"/>
                <w:sz w:val="21"/>
                <w:szCs w:val="21"/>
              </w:rPr>
              <w:t>темп роста, %</w:t>
            </w:r>
          </w:p>
        </w:tc>
      </w:tr>
      <w:tr w:rsidR="00BE59CB" w:rsidRPr="00A04AF4" w:rsidTr="00CF1F5D">
        <w:trPr>
          <w:cantSplit/>
          <w:trHeight w:val="117"/>
        </w:trPr>
        <w:tc>
          <w:tcPr>
            <w:tcW w:w="3828" w:type="dxa"/>
            <w:vMerge/>
            <w:tcBorders>
              <w:bottom w:val="double" w:sz="4" w:space="0" w:color="auto"/>
            </w:tcBorders>
          </w:tcPr>
          <w:p w:rsidR="00BE59CB" w:rsidRPr="00A04AF4" w:rsidRDefault="00BE59CB" w:rsidP="003B2047">
            <w:pPr>
              <w:spacing w:after="0" w:line="240" w:lineRule="auto"/>
              <w:ind w:left="-108"/>
              <w:jc w:val="both"/>
              <w:rPr>
                <w:rFonts w:ascii="Times New Roman" w:hAnsi="Times New Roman"/>
                <w:sz w:val="21"/>
                <w:szCs w:val="21"/>
              </w:rPr>
            </w:pPr>
          </w:p>
        </w:tc>
        <w:tc>
          <w:tcPr>
            <w:tcW w:w="1134" w:type="dxa"/>
            <w:tcBorders>
              <w:bottom w:val="double" w:sz="4" w:space="0" w:color="auto"/>
            </w:tcBorders>
            <w:shd w:val="clear" w:color="auto" w:fill="CCCCCC"/>
            <w:vAlign w:val="center"/>
          </w:tcPr>
          <w:p w:rsidR="00BE59CB" w:rsidRPr="00A04AF4" w:rsidRDefault="00BE59CB" w:rsidP="00CF1F5D">
            <w:pPr>
              <w:spacing w:after="0" w:line="240" w:lineRule="auto"/>
              <w:ind w:left="-108"/>
              <w:jc w:val="center"/>
              <w:rPr>
                <w:rFonts w:ascii="Times New Roman" w:hAnsi="Times New Roman"/>
                <w:sz w:val="21"/>
                <w:szCs w:val="21"/>
              </w:rPr>
            </w:pPr>
            <w:r w:rsidRPr="00A04AF4">
              <w:rPr>
                <w:rFonts w:ascii="Times New Roman" w:hAnsi="Times New Roman"/>
                <w:sz w:val="21"/>
                <w:szCs w:val="21"/>
              </w:rPr>
              <w:t>млн. руб.</w:t>
            </w:r>
          </w:p>
        </w:tc>
        <w:tc>
          <w:tcPr>
            <w:tcW w:w="1276" w:type="dxa"/>
            <w:tcBorders>
              <w:bottom w:val="double" w:sz="4" w:space="0" w:color="auto"/>
            </w:tcBorders>
            <w:shd w:val="clear" w:color="auto" w:fill="CCCCCC"/>
            <w:vAlign w:val="center"/>
          </w:tcPr>
          <w:p w:rsidR="00BE59CB" w:rsidRPr="00A04AF4" w:rsidRDefault="00BE59CB" w:rsidP="003B2047">
            <w:pPr>
              <w:spacing w:after="0" w:line="240" w:lineRule="auto"/>
              <w:jc w:val="center"/>
              <w:rPr>
                <w:rFonts w:ascii="Times New Roman" w:hAnsi="Times New Roman"/>
                <w:sz w:val="21"/>
                <w:szCs w:val="21"/>
              </w:rPr>
            </w:pPr>
            <w:r w:rsidRPr="00A04AF4">
              <w:rPr>
                <w:rFonts w:ascii="Times New Roman" w:hAnsi="Times New Roman"/>
                <w:sz w:val="21"/>
                <w:szCs w:val="21"/>
              </w:rPr>
              <w:t>уд. вес, %</w:t>
            </w:r>
          </w:p>
        </w:tc>
        <w:tc>
          <w:tcPr>
            <w:tcW w:w="1134" w:type="dxa"/>
            <w:tcBorders>
              <w:bottom w:val="double" w:sz="4" w:space="0" w:color="auto"/>
            </w:tcBorders>
            <w:shd w:val="clear" w:color="auto" w:fill="CCCCCC"/>
            <w:vAlign w:val="center"/>
          </w:tcPr>
          <w:p w:rsidR="00BE59CB" w:rsidRPr="00A04AF4" w:rsidRDefault="00BE59CB" w:rsidP="003B2047">
            <w:pPr>
              <w:spacing w:after="0" w:line="240" w:lineRule="auto"/>
              <w:jc w:val="center"/>
              <w:rPr>
                <w:rFonts w:ascii="Times New Roman" w:hAnsi="Times New Roman"/>
                <w:sz w:val="21"/>
                <w:szCs w:val="21"/>
              </w:rPr>
            </w:pPr>
            <w:r w:rsidRPr="00A04AF4">
              <w:rPr>
                <w:rFonts w:ascii="Times New Roman" w:hAnsi="Times New Roman"/>
                <w:sz w:val="21"/>
                <w:szCs w:val="21"/>
              </w:rPr>
              <w:t>млн. руб.</w:t>
            </w:r>
          </w:p>
        </w:tc>
        <w:tc>
          <w:tcPr>
            <w:tcW w:w="1241" w:type="dxa"/>
            <w:tcBorders>
              <w:bottom w:val="double" w:sz="4" w:space="0" w:color="auto"/>
            </w:tcBorders>
            <w:shd w:val="clear" w:color="auto" w:fill="CCCCCC"/>
            <w:vAlign w:val="center"/>
          </w:tcPr>
          <w:p w:rsidR="00BE59CB" w:rsidRPr="00A04AF4" w:rsidRDefault="00BE59CB" w:rsidP="003B2047">
            <w:pPr>
              <w:spacing w:after="0" w:line="240" w:lineRule="auto"/>
              <w:jc w:val="center"/>
              <w:rPr>
                <w:rFonts w:ascii="Times New Roman" w:hAnsi="Times New Roman"/>
                <w:sz w:val="21"/>
                <w:szCs w:val="21"/>
              </w:rPr>
            </w:pPr>
            <w:r w:rsidRPr="00A04AF4">
              <w:rPr>
                <w:rFonts w:ascii="Times New Roman" w:hAnsi="Times New Roman"/>
                <w:sz w:val="21"/>
                <w:szCs w:val="21"/>
              </w:rPr>
              <w:t>уд. вес, %</w:t>
            </w:r>
          </w:p>
        </w:tc>
        <w:tc>
          <w:tcPr>
            <w:tcW w:w="1027" w:type="dxa"/>
            <w:vMerge/>
            <w:tcBorders>
              <w:bottom w:val="double" w:sz="4" w:space="0" w:color="auto"/>
            </w:tcBorders>
            <w:vAlign w:val="center"/>
          </w:tcPr>
          <w:p w:rsidR="00BE59CB" w:rsidRPr="00A04AF4" w:rsidRDefault="00BE59CB" w:rsidP="003B2047">
            <w:pPr>
              <w:spacing w:after="0" w:line="240" w:lineRule="auto"/>
              <w:jc w:val="both"/>
              <w:rPr>
                <w:rFonts w:ascii="Times New Roman" w:hAnsi="Times New Roman"/>
                <w:sz w:val="21"/>
                <w:szCs w:val="21"/>
              </w:rPr>
            </w:pPr>
          </w:p>
        </w:tc>
      </w:tr>
      <w:tr w:rsidR="00BE59CB" w:rsidRPr="00A04AF4" w:rsidTr="00CF1F5D">
        <w:trPr>
          <w:trHeight w:val="221"/>
        </w:trPr>
        <w:tc>
          <w:tcPr>
            <w:tcW w:w="3828" w:type="dxa"/>
            <w:tcBorders>
              <w:top w:val="double" w:sz="4" w:space="0" w:color="auto"/>
            </w:tcBorders>
            <w:shd w:val="clear" w:color="auto" w:fill="E0E0E0"/>
            <w:vAlign w:val="center"/>
          </w:tcPr>
          <w:p w:rsidR="00BE59CB" w:rsidRPr="00A04AF4" w:rsidRDefault="00BE59CB" w:rsidP="00CF1F5D">
            <w:pPr>
              <w:spacing w:after="0" w:line="240" w:lineRule="auto"/>
              <w:rPr>
                <w:rFonts w:ascii="Times New Roman" w:hAnsi="Times New Roman"/>
                <w:sz w:val="21"/>
                <w:szCs w:val="21"/>
              </w:rPr>
            </w:pPr>
            <w:r w:rsidRPr="00A04AF4">
              <w:rPr>
                <w:rFonts w:ascii="Times New Roman" w:hAnsi="Times New Roman"/>
                <w:sz w:val="21"/>
                <w:szCs w:val="21"/>
              </w:rPr>
              <w:t>Денежная база</w:t>
            </w:r>
          </w:p>
        </w:tc>
        <w:tc>
          <w:tcPr>
            <w:tcW w:w="1134" w:type="dxa"/>
            <w:tcBorders>
              <w:top w:val="double" w:sz="4" w:space="0" w:color="auto"/>
            </w:tcBorders>
            <w:shd w:val="clear" w:color="auto" w:fill="E0E0E0"/>
            <w:vAlign w:val="bottom"/>
          </w:tcPr>
          <w:p w:rsidR="00BE59CB" w:rsidRPr="00A04AF4" w:rsidRDefault="00BE59CB" w:rsidP="00CF1F5D">
            <w:pPr>
              <w:spacing w:after="0" w:line="240" w:lineRule="auto"/>
              <w:ind w:left="-108" w:right="-2"/>
              <w:jc w:val="right"/>
              <w:rPr>
                <w:rFonts w:ascii="Times New Roman" w:hAnsi="Times New Roman" w:cs="Arial CYR"/>
                <w:sz w:val="21"/>
                <w:szCs w:val="21"/>
              </w:rPr>
            </w:pPr>
            <w:r w:rsidRPr="00A04AF4">
              <w:rPr>
                <w:rFonts w:ascii="Times New Roman" w:hAnsi="Times New Roman" w:cs="Arial CYR"/>
                <w:sz w:val="21"/>
                <w:szCs w:val="21"/>
              </w:rPr>
              <w:t>1 818,0</w:t>
            </w:r>
          </w:p>
        </w:tc>
        <w:tc>
          <w:tcPr>
            <w:tcW w:w="1276" w:type="dxa"/>
            <w:tcBorders>
              <w:top w:val="double" w:sz="4" w:space="0" w:color="auto"/>
            </w:tcBorders>
            <w:shd w:val="clear" w:color="auto" w:fill="E0E0E0"/>
            <w:vAlign w:val="bottom"/>
          </w:tcPr>
          <w:p w:rsidR="00BE59CB" w:rsidRPr="00A04AF4" w:rsidRDefault="00BE59CB" w:rsidP="00CF1F5D">
            <w:pPr>
              <w:spacing w:after="0" w:line="240" w:lineRule="auto"/>
              <w:ind w:left="-72" w:right="-38"/>
              <w:jc w:val="right"/>
              <w:rPr>
                <w:rFonts w:ascii="Times New Roman" w:hAnsi="Times New Roman" w:cs="Arial CYR"/>
                <w:sz w:val="21"/>
                <w:szCs w:val="21"/>
              </w:rPr>
            </w:pPr>
            <w:r w:rsidRPr="00A04AF4">
              <w:rPr>
                <w:rFonts w:ascii="Times New Roman" w:hAnsi="Times New Roman" w:cs="Arial CYR"/>
                <w:sz w:val="21"/>
                <w:szCs w:val="21"/>
              </w:rPr>
              <w:t>100,0</w:t>
            </w:r>
          </w:p>
        </w:tc>
        <w:tc>
          <w:tcPr>
            <w:tcW w:w="1134" w:type="dxa"/>
            <w:tcBorders>
              <w:top w:val="double" w:sz="4" w:space="0" w:color="auto"/>
            </w:tcBorders>
            <w:shd w:val="clear" w:color="auto" w:fill="E0E0E0"/>
            <w:vAlign w:val="bottom"/>
          </w:tcPr>
          <w:p w:rsidR="00BE59CB" w:rsidRPr="00A04AF4" w:rsidRDefault="00BE59CB" w:rsidP="003B2047">
            <w:pPr>
              <w:spacing w:after="0" w:line="240" w:lineRule="auto"/>
              <w:ind w:right="176"/>
              <w:jc w:val="right"/>
              <w:rPr>
                <w:rFonts w:ascii="Times New Roman" w:hAnsi="Times New Roman" w:cs="Arial CYR"/>
                <w:sz w:val="21"/>
                <w:szCs w:val="21"/>
              </w:rPr>
            </w:pPr>
            <w:r w:rsidRPr="00A04AF4">
              <w:rPr>
                <w:rFonts w:ascii="Times New Roman" w:hAnsi="Times New Roman" w:cs="Arial CYR"/>
                <w:sz w:val="21"/>
                <w:szCs w:val="21"/>
              </w:rPr>
              <w:t>2 119,7</w:t>
            </w:r>
          </w:p>
        </w:tc>
        <w:tc>
          <w:tcPr>
            <w:tcW w:w="1241" w:type="dxa"/>
            <w:tcBorders>
              <w:top w:val="double" w:sz="4" w:space="0" w:color="auto"/>
            </w:tcBorders>
            <w:shd w:val="clear" w:color="auto" w:fill="E0E0E0"/>
            <w:vAlign w:val="bottom"/>
          </w:tcPr>
          <w:p w:rsidR="00BE59CB" w:rsidRPr="00A04AF4" w:rsidRDefault="00BE59CB" w:rsidP="003B2047">
            <w:pPr>
              <w:spacing w:after="0" w:line="240" w:lineRule="auto"/>
              <w:ind w:right="176"/>
              <w:jc w:val="right"/>
              <w:rPr>
                <w:rFonts w:ascii="Times New Roman" w:hAnsi="Times New Roman" w:cs="Arial CYR"/>
                <w:sz w:val="21"/>
                <w:szCs w:val="21"/>
              </w:rPr>
            </w:pPr>
            <w:r w:rsidRPr="00A04AF4">
              <w:rPr>
                <w:rFonts w:ascii="Times New Roman" w:hAnsi="Times New Roman" w:cs="Arial CYR"/>
                <w:sz w:val="21"/>
                <w:szCs w:val="21"/>
              </w:rPr>
              <w:t>100,0</w:t>
            </w:r>
          </w:p>
        </w:tc>
        <w:tc>
          <w:tcPr>
            <w:tcW w:w="1027" w:type="dxa"/>
            <w:tcBorders>
              <w:top w:val="double" w:sz="4" w:space="0" w:color="auto"/>
            </w:tcBorders>
            <w:shd w:val="clear" w:color="auto" w:fill="E0E0E0"/>
            <w:vAlign w:val="bottom"/>
          </w:tcPr>
          <w:p w:rsidR="00BE59CB" w:rsidRPr="00A04AF4" w:rsidRDefault="00BE59CB" w:rsidP="003B2047">
            <w:pPr>
              <w:spacing w:after="0" w:line="240" w:lineRule="auto"/>
              <w:ind w:right="176"/>
              <w:jc w:val="right"/>
              <w:rPr>
                <w:rFonts w:ascii="Times New Roman" w:hAnsi="Times New Roman" w:cs="Arial CYR"/>
                <w:sz w:val="21"/>
                <w:szCs w:val="21"/>
              </w:rPr>
            </w:pPr>
            <w:r w:rsidRPr="00A04AF4">
              <w:rPr>
                <w:rFonts w:ascii="Times New Roman" w:hAnsi="Times New Roman" w:cs="Arial CYR"/>
                <w:sz w:val="21"/>
                <w:szCs w:val="21"/>
              </w:rPr>
              <w:t>116,6</w:t>
            </w:r>
          </w:p>
        </w:tc>
      </w:tr>
      <w:tr w:rsidR="00BE59CB" w:rsidRPr="00A04AF4" w:rsidTr="00CF1F5D">
        <w:trPr>
          <w:trHeight w:val="140"/>
        </w:trPr>
        <w:tc>
          <w:tcPr>
            <w:tcW w:w="3828" w:type="dxa"/>
            <w:tcBorders>
              <w:bottom w:val="nil"/>
            </w:tcBorders>
            <w:vAlign w:val="center"/>
          </w:tcPr>
          <w:p w:rsidR="00BE59CB" w:rsidRPr="00A04AF4" w:rsidRDefault="00BE59CB" w:rsidP="00A04AF4">
            <w:pPr>
              <w:spacing w:after="0" w:line="240" w:lineRule="auto"/>
              <w:ind w:right="-108" w:firstLine="34"/>
              <w:rPr>
                <w:rFonts w:ascii="Times New Roman" w:hAnsi="Times New Roman"/>
                <w:color w:val="000000"/>
                <w:sz w:val="21"/>
                <w:szCs w:val="21"/>
              </w:rPr>
            </w:pPr>
            <w:r w:rsidRPr="00A04AF4">
              <w:rPr>
                <w:rFonts w:ascii="Times New Roman" w:hAnsi="Times New Roman"/>
                <w:color w:val="000000"/>
                <w:sz w:val="21"/>
                <w:szCs w:val="21"/>
              </w:rPr>
              <w:t>в том числе:</w:t>
            </w:r>
          </w:p>
        </w:tc>
        <w:tc>
          <w:tcPr>
            <w:tcW w:w="1134" w:type="dxa"/>
            <w:tcBorders>
              <w:bottom w:val="nil"/>
            </w:tcBorders>
            <w:vAlign w:val="bottom"/>
          </w:tcPr>
          <w:p w:rsidR="00BE59CB" w:rsidRPr="00A04AF4" w:rsidRDefault="00BE59CB" w:rsidP="00CF1F5D">
            <w:pPr>
              <w:spacing w:after="0" w:line="240" w:lineRule="auto"/>
              <w:ind w:left="-108" w:right="176"/>
              <w:rPr>
                <w:rFonts w:ascii="Times New Roman" w:hAnsi="Times New Roman" w:cs="Arial CYR"/>
                <w:sz w:val="21"/>
                <w:szCs w:val="21"/>
              </w:rPr>
            </w:pPr>
            <w:r w:rsidRPr="00A04AF4">
              <w:rPr>
                <w:rFonts w:ascii="Times New Roman" w:hAnsi="Times New Roman" w:cs="Arial CYR"/>
                <w:sz w:val="21"/>
                <w:szCs w:val="21"/>
              </w:rPr>
              <w:t> </w:t>
            </w:r>
          </w:p>
        </w:tc>
        <w:tc>
          <w:tcPr>
            <w:tcW w:w="1276" w:type="dxa"/>
            <w:tcBorders>
              <w:bottom w:val="nil"/>
            </w:tcBorders>
            <w:vAlign w:val="bottom"/>
          </w:tcPr>
          <w:p w:rsidR="00BE59CB" w:rsidRPr="00A04AF4" w:rsidRDefault="00BE59CB" w:rsidP="00CF1F5D">
            <w:pPr>
              <w:spacing w:after="0" w:line="240" w:lineRule="auto"/>
              <w:ind w:left="-72" w:right="-38"/>
              <w:jc w:val="right"/>
              <w:rPr>
                <w:rFonts w:ascii="Times New Roman" w:hAnsi="Times New Roman" w:cs="Arial CYR"/>
                <w:color w:val="000000"/>
                <w:sz w:val="21"/>
                <w:szCs w:val="21"/>
              </w:rPr>
            </w:pPr>
            <w:r w:rsidRPr="00A04AF4">
              <w:rPr>
                <w:rFonts w:ascii="Times New Roman" w:hAnsi="Times New Roman" w:cs="Arial CYR"/>
                <w:color w:val="000000"/>
                <w:sz w:val="21"/>
                <w:szCs w:val="21"/>
              </w:rPr>
              <w:t> </w:t>
            </w:r>
          </w:p>
        </w:tc>
        <w:tc>
          <w:tcPr>
            <w:tcW w:w="1134" w:type="dxa"/>
            <w:tcBorders>
              <w:bottom w:val="nil"/>
            </w:tcBorders>
            <w:vAlign w:val="bottom"/>
          </w:tcPr>
          <w:p w:rsidR="00BE59CB" w:rsidRPr="00A04AF4" w:rsidRDefault="00BE59CB" w:rsidP="003B2047">
            <w:pPr>
              <w:spacing w:after="0" w:line="240" w:lineRule="auto"/>
              <w:ind w:right="176"/>
              <w:rPr>
                <w:rFonts w:ascii="Times New Roman" w:hAnsi="Times New Roman" w:cs="Arial CYR"/>
                <w:sz w:val="21"/>
                <w:szCs w:val="21"/>
              </w:rPr>
            </w:pPr>
          </w:p>
        </w:tc>
        <w:tc>
          <w:tcPr>
            <w:tcW w:w="1241" w:type="dxa"/>
            <w:tcBorders>
              <w:bottom w:val="nil"/>
            </w:tcBorders>
            <w:vAlign w:val="bottom"/>
          </w:tcPr>
          <w:p w:rsidR="00BE59CB" w:rsidRPr="00A04AF4" w:rsidRDefault="00BE59CB" w:rsidP="003B2047">
            <w:pPr>
              <w:spacing w:after="0" w:line="240" w:lineRule="auto"/>
              <w:ind w:right="176"/>
              <w:jc w:val="right"/>
              <w:rPr>
                <w:rFonts w:ascii="Times New Roman" w:hAnsi="Times New Roman" w:cs="Arial CYR"/>
                <w:color w:val="000000"/>
                <w:sz w:val="21"/>
                <w:szCs w:val="21"/>
              </w:rPr>
            </w:pPr>
          </w:p>
        </w:tc>
        <w:tc>
          <w:tcPr>
            <w:tcW w:w="1027" w:type="dxa"/>
            <w:tcBorders>
              <w:bottom w:val="nil"/>
            </w:tcBorders>
            <w:vAlign w:val="bottom"/>
          </w:tcPr>
          <w:p w:rsidR="00BE59CB" w:rsidRPr="00A04AF4" w:rsidRDefault="00BE59CB" w:rsidP="003B2047">
            <w:pPr>
              <w:spacing w:after="0" w:line="240" w:lineRule="auto"/>
              <w:ind w:right="176"/>
              <w:jc w:val="right"/>
              <w:rPr>
                <w:rFonts w:ascii="Times New Roman" w:hAnsi="Times New Roman" w:cs="Arial CYR"/>
                <w:color w:val="000000"/>
                <w:sz w:val="21"/>
                <w:szCs w:val="21"/>
              </w:rPr>
            </w:pPr>
          </w:p>
        </w:tc>
      </w:tr>
      <w:tr w:rsidR="00BE59CB" w:rsidRPr="00A04AF4" w:rsidTr="00CF1F5D">
        <w:tc>
          <w:tcPr>
            <w:tcW w:w="3828" w:type="dxa"/>
            <w:tcBorders>
              <w:top w:val="nil"/>
              <w:bottom w:val="nil"/>
            </w:tcBorders>
            <w:vAlign w:val="center"/>
          </w:tcPr>
          <w:p w:rsidR="00BE59CB" w:rsidRPr="00A04AF4" w:rsidRDefault="00BE59CB" w:rsidP="00A04AF4">
            <w:pPr>
              <w:spacing w:after="0" w:line="240" w:lineRule="auto"/>
              <w:ind w:right="-108" w:firstLine="176"/>
              <w:rPr>
                <w:rFonts w:ascii="Times New Roman" w:hAnsi="Times New Roman"/>
                <w:color w:val="000000"/>
                <w:sz w:val="21"/>
                <w:szCs w:val="21"/>
              </w:rPr>
            </w:pPr>
            <w:r w:rsidRPr="00A04AF4">
              <w:rPr>
                <w:rFonts w:ascii="Times New Roman" w:hAnsi="Times New Roman"/>
                <w:color w:val="000000"/>
                <w:sz w:val="21"/>
                <w:szCs w:val="21"/>
              </w:rPr>
              <w:t>- наличные деньги в обращении</w:t>
            </w:r>
          </w:p>
        </w:tc>
        <w:tc>
          <w:tcPr>
            <w:tcW w:w="1134" w:type="dxa"/>
            <w:tcBorders>
              <w:top w:val="nil"/>
              <w:bottom w:val="nil"/>
            </w:tcBorders>
            <w:vAlign w:val="bottom"/>
          </w:tcPr>
          <w:p w:rsidR="00BE59CB" w:rsidRPr="00A04AF4" w:rsidRDefault="00BE59CB" w:rsidP="00CF1F5D">
            <w:pPr>
              <w:spacing w:after="0" w:line="240" w:lineRule="auto"/>
              <w:ind w:left="-108" w:right="176"/>
              <w:jc w:val="right"/>
              <w:rPr>
                <w:rFonts w:ascii="Times New Roman" w:hAnsi="Times New Roman" w:cs="Arial CYR"/>
                <w:color w:val="000000"/>
                <w:sz w:val="21"/>
                <w:szCs w:val="21"/>
              </w:rPr>
            </w:pPr>
            <w:r w:rsidRPr="00A04AF4">
              <w:rPr>
                <w:rFonts w:ascii="Times New Roman" w:hAnsi="Times New Roman" w:cs="Arial CYR"/>
                <w:color w:val="000000"/>
                <w:sz w:val="21"/>
                <w:szCs w:val="21"/>
              </w:rPr>
              <w:t>858,5</w:t>
            </w:r>
          </w:p>
        </w:tc>
        <w:tc>
          <w:tcPr>
            <w:tcW w:w="1276" w:type="dxa"/>
            <w:tcBorders>
              <w:top w:val="nil"/>
              <w:bottom w:val="nil"/>
            </w:tcBorders>
            <w:vAlign w:val="bottom"/>
          </w:tcPr>
          <w:p w:rsidR="00BE59CB" w:rsidRPr="00A04AF4" w:rsidRDefault="00BE59CB" w:rsidP="00CF1F5D">
            <w:pPr>
              <w:spacing w:after="0" w:line="240" w:lineRule="auto"/>
              <w:ind w:left="-72" w:right="-38"/>
              <w:jc w:val="right"/>
              <w:rPr>
                <w:rFonts w:ascii="Times New Roman" w:hAnsi="Times New Roman" w:cs="Arial CYR"/>
                <w:color w:val="000000"/>
                <w:sz w:val="21"/>
                <w:szCs w:val="21"/>
              </w:rPr>
            </w:pPr>
            <w:r w:rsidRPr="00A04AF4">
              <w:rPr>
                <w:rFonts w:ascii="Times New Roman" w:hAnsi="Times New Roman" w:cs="Arial CYR"/>
                <w:color w:val="000000"/>
                <w:sz w:val="21"/>
                <w:szCs w:val="21"/>
              </w:rPr>
              <w:t>47,2</w:t>
            </w:r>
          </w:p>
        </w:tc>
        <w:tc>
          <w:tcPr>
            <w:tcW w:w="1134" w:type="dxa"/>
            <w:tcBorders>
              <w:top w:val="nil"/>
              <w:bottom w:val="nil"/>
            </w:tcBorders>
            <w:vAlign w:val="bottom"/>
          </w:tcPr>
          <w:p w:rsidR="00BE59CB" w:rsidRPr="00A04AF4" w:rsidRDefault="00BE59CB" w:rsidP="003B2047">
            <w:pPr>
              <w:spacing w:after="0" w:line="240" w:lineRule="auto"/>
              <w:ind w:right="176"/>
              <w:jc w:val="right"/>
              <w:rPr>
                <w:rFonts w:ascii="Times New Roman" w:hAnsi="Times New Roman" w:cs="Arial CYR"/>
                <w:color w:val="000000"/>
                <w:sz w:val="21"/>
                <w:szCs w:val="21"/>
              </w:rPr>
            </w:pPr>
            <w:r w:rsidRPr="00A04AF4">
              <w:rPr>
                <w:rFonts w:ascii="Times New Roman" w:hAnsi="Times New Roman" w:cs="Arial CYR"/>
                <w:color w:val="000000"/>
                <w:sz w:val="21"/>
                <w:szCs w:val="21"/>
              </w:rPr>
              <w:t>1 094,2</w:t>
            </w:r>
          </w:p>
        </w:tc>
        <w:tc>
          <w:tcPr>
            <w:tcW w:w="1241" w:type="dxa"/>
            <w:tcBorders>
              <w:top w:val="nil"/>
              <w:bottom w:val="nil"/>
            </w:tcBorders>
            <w:vAlign w:val="bottom"/>
          </w:tcPr>
          <w:p w:rsidR="00BE59CB" w:rsidRPr="00A04AF4" w:rsidRDefault="00BE59CB" w:rsidP="003B2047">
            <w:pPr>
              <w:spacing w:after="0" w:line="240" w:lineRule="auto"/>
              <w:ind w:right="176"/>
              <w:jc w:val="right"/>
              <w:rPr>
                <w:rFonts w:ascii="Times New Roman" w:hAnsi="Times New Roman" w:cs="Arial CYR"/>
                <w:color w:val="000000"/>
                <w:sz w:val="21"/>
                <w:szCs w:val="21"/>
              </w:rPr>
            </w:pPr>
            <w:r w:rsidRPr="00A04AF4">
              <w:rPr>
                <w:rFonts w:ascii="Times New Roman" w:hAnsi="Times New Roman" w:cs="Arial CYR"/>
                <w:color w:val="000000"/>
                <w:sz w:val="21"/>
                <w:szCs w:val="21"/>
              </w:rPr>
              <w:t>51,6</w:t>
            </w:r>
          </w:p>
        </w:tc>
        <w:tc>
          <w:tcPr>
            <w:tcW w:w="1027" w:type="dxa"/>
            <w:tcBorders>
              <w:top w:val="nil"/>
              <w:bottom w:val="nil"/>
            </w:tcBorders>
            <w:vAlign w:val="bottom"/>
          </w:tcPr>
          <w:p w:rsidR="00BE59CB" w:rsidRPr="00A04AF4" w:rsidRDefault="00BE59CB" w:rsidP="003B2047">
            <w:pPr>
              <w:spacing w:after="0" w:line="240" w:lineRule="auto"/>
              <w:ind w:right="176"/>
              <w:jc w:val="right"/>
              <w:rPr>
                <w:rFonts w:ascii="Times New Roman" w:hAnsi="Times New Roman" w:cs="Arial CYR"/>
                <w:color w:val="000000"/>
                <w:sz w:val="21"/>
                <w:szCs w:val="21"/>
              </w:rPr>
            </w:pPr>
            <w:r w:rsidRPr="00A04AF4">
              <w:rPr>
                <w:rFonts w:ascii="Times New Roman" w:hAnsi="Times New Roman" w:cs="Arial CYR"/>
                <w:color w:val="000000"/>
                <w:sz w:val="21"/>
                <w:szCs w:val="21"/>
              </w:rPr>
              <w:t>127,4</w:t>
            </w:r>
          </w:p>
        </w:tc>
      </w:tr>
      <w:tr w:rsidR="00BE59CB" w:rsidRPr="00A04AF4" w:rsidTr="00CF1F5D">
        <w:tc>
          <w:tcPr>
            <w:tcW w:w="3828" w:type="dxa"/>
            <w:tcBorders>
              <w:top w:val="nil"/>
              <w:bottom w:val="nil"/>
            </w:tcBorders>
            <w:vAlign w:val="center"/>
          </w:tcPr>
          <w:p w:rsidR="00BE59CB" w:rsidRPr="00A04AF4" w:rsidRDefault="00BE59CB" w:rsidP="00A04AF4">
            <w:pPr>
              <w:spacing w:after="0" w:line="240" w:lineRule="auto"/>
              <w:ind w:right="-108" w:firstLine="176"/>
              <w:rPr>
                <w:rFonts w:ascii="Times New Roman" w:hAnsi="Times New Roman"/>
                <w:color w:val="000000"/>
                <w:sz w:val="21"/>
                <w:szCs w:val="21"/>
              </w:rPr>
            </w:pPr>
            <w:r w:rsidRPr="00A04AF4">
              <w:rPr>
                <w:rFonts w:ascii="Times New Roman" w:hAnsi="Times New Roman"/>
                <w:color w:val="000000"/>
                <w:sz w:val="21"/>
                <w:szCs w:val="21"/>
              </w:rPr>
              <w:t>- средства в кассах банков</w:t>
            </w:r>
          </w:p>
        </w:tc>
        <w:tc>
          <w:tcPr>
            <w:tcW w:w="1134" w:type="dxa"/>
            <w:tcBorders>
              <w:top w:val="nil"/>
              <w:bottom w:val="nil"/>
            </w:tcBorders>
            <w:vAlign w:val="bottom"/>
          </w:tcPr>
          <w:p w:rsidR="00BE59CB" w:rsidRPr="00A04AF4" w:rsidRDefault="00BE59CB" w:rsidP="00CF1F5D">
            <w:pPr>
              <w:spacing w:after="0" w:line="240" w:lineRule="auto"/>
              <w:ind w:left="-108" w:right="176"/>
              <w:jc w:val="right"/>
              <w:rPr>
                <w:rFonts w:ascii="Times New Roman" w:hAnsi="Times New Roman" w:cs="Arial CYR"/>
                <w:color w:val="000000"/>
                <w:sz w:val="21"/>
                <w:szCs w:val="21"/>
              </w:rPr>
            </w:pPr>
            <w:r w:rsidRPr="00A04AF4">
              <w:rPr>
                <w:rFonts w:ascii="Times New Roman" w:hAnsi="Times New Roman" w:cs="Arial CYR"/>
                <w:color w:val="000000"/>
                <w:sz w:val="21"/>
                <w:szCs w:val="21"/>
              </w:rPr>
              <w:t>232,8</w:t>
            </w:r>
          </w:p>
        </w:tc>
        <w:tc>
          <w:tcPr>
            <w:tcW w:w="1276" w:type="dxa"/>
            <w:tcBorders>
              <w:top w:val="nil"/>
              <w:bottom w:val="nil"/>
            </w:tcBorders>
            <w:vAlign w:val="bottom"/>
          </w:tcPr>
          <w:p w:rsidR="00BE59CB" w:rsidRPr="00A04AF4" w:rsidRDefault="00BE59CB" w:rsidP="00CF1F5D">
            <w:pPr>
              <w:spacing w:after="0" w:line="240" w:lineRule="auto"/>
              <w:ind w:left="-72" w:right="-38"/>
              <w:jc w:val="right"/>
              <w:rPr>
                <w:rFonts w:ascii="Times New Roman" w:hAnsi="Times New Roman" w:cs="Arial CYR"/>
                <w:color w:val="000000"/>
                <w:sz w:val="21"/>
                <w:szCs w:val="21"/>
              </w:rPr>
            </w:pPr>
            <w:r w:rsidRPr="00A04AF4">
              <w:rPr>
                <w:rFonts w:ascii="Times New Roman" w:hAnsi="Times New Roman" w:cs="Arial CYR"/>
                <w:color w:val="000000"/>
                <w:sz w:val="21"/>
                <w:szCs w:val="21"/>
              </w:rPr>
              <w:t>12,8</w:t>
            </w:r>
          </w:p>
        </w:tc>
        <w:tc>
          <w:tcPr>
            <w:tcW w:w="1134" w:type="dxa"/>
            <w:tcBorders>
              <w:top w:val="nil"/>
              <w:bottom w:val="nil"/>
            </w:tcBorders>
            <w:vAlign w:val="bottom"/>
          </w:tcPr>
          <w:p w:rsidR="00BE59CB" w:rsidRPr="00A04AF4" w:rsidRDefault="00BE59CB" w:rsidP="003B2047">
            <w:pPr>
              <w:spacing w:after="0" w:line="240" w:lineRule="auto"/>
              <w:ind w:right="176"/>
              <w:jc w:val="right"/>
              <w:rPr>
                <w:rFonts w:ascii="Times New Roman" w:hAnsi="Times New Roman" w:cs="Arial CYR"/>
                <w:color w:val="000000"/>
                <w:sz w:val="21"/>
                <w:szCs w:val="21"/>
              </w:rPr>
            </w:pPr>
            <w:r w:rsidRPr="00A04AF4">
              <w:rPr>
                <w:rFonts w:ascii="Times New Roman" w:hAnsi="Times New Roman" w:cs="Arial CYR"/>
                <w:color w:val="000000"/>
                <w:sz w:val="21"/>
                <w:szCs w:val="21"/>
              </w:rPr>
              <w:t>203,1</w:t>
            </w:r>
          </w:p>
        </w:tc>
        <w:tc>
          <w:tcPr>
            <w:tcW w:w="1241" w:type="dxa"/>
            <w:tcBorders>
              <w:top w:val="nil"/>
              <w:bottom w:val="nil"/>
            </w:tcBorders>
            <w:vAlign w:val="bottom"/>
          </w:tcPr>
          <w:p w:rsidR="00BE59CB" w:rsidRPr="00A04AF4" w:rsidRDefault="00BE59CB" w:rsidP="003B2047">
            <w:pPr>
              <w:spacing w:after="0" w:line="240" w:lineRule="auto"/>
              <w:ind w:right="176"/>
              <w:jc w:val="right"/>
              <w:rPr>
                <w:rFonts w:ascii="Times New Roman" w:hAnsi="Times New Roman" w:cs="Arial CYR"/>
                <w:color w:val="000000"/>
                <w:sz w:val="21"/>
                <w:szCs w:val="21"/>
              </w:rPr>
            </w:pPr>
            <w:r w:rsidRPr="00A04AF4">
              <w:rPr>
                <w:rFonts w:ascii="Times New Roman" w:hAnsi="Times New Roman" w:cs="Arial CYR"/>
                <w:color w:val="000000"/>
                <w:sz w:val="21"/>
                <w:szCs w:val="21"/>
              </w:rPr>
              <w:t>9,6</w:t>
            </w:r>
          </w:p>
        </w:tc>
        <w:tc>
          <w:tcPr>
            <w:tcW w:w="1027" w:type="dxa"/>
            <w:tcBorders>
              <w:top w:val="nil"/>
              <w:bottom w:val="nil"/>
            </w:tcBorders>
            <w:vAlign w:val="bottom"/>
          </w:tcPr>
          <w:p w:rsidR="00BE59CB" w:rsidRPr="00A04AF4" w:rsidRDefault="00BE59CB" w:rsidP="003B2047">
            <w:pPr>
              <w:spacing w:after="0" w:line="240" w:lineRule="auto"/>
              <w:ind w:right="176"/>
              <w:jc w:val="right"/>
              <w:rPr>
                <w:rFonts w:ascii="Times New Roman" w:hAnsi="Times New Roman" w:cs="Arial CYR"/>
                <w:color w:val="000000"/>
                <w:sz w:val="21"/>
                <w:szCs w:val="21"/>
              </w:rPr>
            </w:pPr>
            <w:r w:rsidRPr="00A04AF4">
              <w:rPr>
                <w:rFonts w:ascii="Times New Roman" w:hAnsi="Times New Roman" w:cs="Arial CYR"/>
                <w:color w:val="000000"/>
                <w:sz w:val="21"/>
                <w:szCs w:val="21"/>
              </w:rPr>
              <w:t>87,3</w:t>
            </w:r>
          </w:p>
        </w:tc>
      </w:tr>
      <w:tr w:rsidR="00BE59CB" w:rsidRPr="00A04AF4" w:rsidTr="00CF1F5D">
        <w:tc>
          <w:tcPr>
            <w:tcW w:w="3828" w:type="dxa"/>
            <w:tcBorders>
              <w:top w:val="nil"/>
              <w:bottom w:val="nil"/>
            </w:tcBorders>
            <w:vAlign w:val="center"/>
          </w:tcPr>
          <w:p w:rsidR="00BE59CB" w:rsidRPr="00A04AF4" w:rsidRDefault="00BE59CB" w:rsidP="00A04AF4">
            <w:pPr>
              <w:spacing w:after="0" w:line="240" w:lineRule="auto"/>
              <w:ind w:right="-108" w:firstLine="176"/>
              <w:rPr>
                <w:rFonts w:ascii="Times New Roman" w:hAnsi="Times New Roman"/>
                <w:color w:val="000000"/>
                <w:sz w:val="21"/>
                <w:szCs w:val="21"/>
              </w:rPr>
            </w:pPr>
            <w:r w:rsidRPr="00A04AF4">
              <w:rPr>
                <w:rFonts w:ascii="Times New Roman" w:hAnsi="Times New Roman"/>
                <w:color w:val="000000"/>
                <w:sz w:val="21"/>
                <w:szCs w:val="21"/>
              </w:rPr>
              <w:t>- корреспондентские счета коммерческих банков</w:t>
            </w:r>
          </w:p>
        </w:tc>
        <w:tc>
          <w:tcPr>
            <w:tcW w:w="1134" w:type="dxa"/>
            <w:tcBorders>
              <w:top w:val="nil"/>
              <w:bottom w:val="nil"/>
            </w:tcBorders>
            <w:vAlign w:val="bottom"/>
          </w:tcPr>
          <w:p w:rsidR="00BE59CB" w:rsidRPr="00A04AF4" w:rsidRDefault="00BE59CB" w:rsidP="00CF1F5D">
            <w:pPr>
              <w:spacing w:after="0" w:line="240" w:lineRule="auto"/>
              <w:ind w:left="-108" w:right="176"/>
              <w:jc w:val="right"/>
              <w:rPr>
                <w:rFonts w:ascii="Times New Roman" w:hAnsi="Times New Roman" w:cs="Arial CYR"/>
                <w:color w:val="000000"/>
                <w:sz w:val="21"/>
                <w:szCs w:val="21"/>
              </w:rPr>
            </w:pPr>
            <w:r w:rsidRPr="00A04AF4">
              <w:rPr>
                <w:rFonts w:ascii="Times New Roman" w:hAnsi="Times New Roman" w:cs="Arial CYR"/>
                <w:color w:val="000000"/>
                <w:sz w:val="21"/>
                <w:szCs w:val="21"/>
              </w:rPr>
              <w:t>726,7</w:t>
            </w:r>
          </w:p>
        </w:tc>
        <w:tc>
          <w:tcPr>
            <w:tcW w:w="1276" w:type="dxa"/>
            <w:tcBorders>
              <w:top w:val="nil"/>
              <w:bottom w:val="nil"/>
            </w:tcBorders>
            <w:vAlign w:val="bottom"/>
          </w:tcPr>
          <w:p w:rsidR="00BE59CB" w:rsidRPr="00A04AF4" w:rsidRDefault="00BE59CB" w:rsidP="00CF1F5D">
            <w:pPr>
              <w:spacing w:after="0" w:line="240" w:lineRule="auto"/>
              <w:ind w:left="-72" w:right="-38"/>
              <w:jc w:val="right"/>
              <w:rPr>
                <w:rFonts w:ascii="Times New Roman" w:hAnsi="Times New Roman" w:cs="Arial CYR"/>
                <w:color w:val="000000"/>
                <w:sz w:val="21"/>
                <w:szCs w:val="21"/>
              </w:rPr>
            </w:pPr>
            <w:r w:rsidRPr="00A04AF4">
              <w:rPr>
                <w:rFonts w:ascii="Times New Roman" w:hAnsi="Times New Roman" w:cs="Arial CYR"/>
                <w:color w:val="000000"/>
                <w:sz w:val="21"/>
                <w:szCs w:val="21"/>
              </w:rPr>
              <w:t>40,0</w:t>
            </w:r>
          </w:p>
        </w:tc>
        <w:tc>
          <w:tcPr>
            <w:tcW w:w="1134" w:type="dxa"/>
            <w:tcBorders>
              <w:top w:val="nil"/>
              <w:bottom w:val="nil"/>
            </w:tcBorders>
            <w:vAlign w:val="bottom"/>
          </w:tcPr>
          <w:p w:rsidR="00BE59CB" w:rsidRPr="00A04AF4" w:rsidRDefault="00BE59CB" w:rsidP="003B2047">
            <w:pPr>
              <w:spacing w:after="0" w:line="240" w:lineRule="auto"/>
              <w:ind w:right="176"/>
              <w:jc w:val="right"/>
              <w:rPr>
                <w:rFonts w:ascii="Times New Roman" w:hAnsi="Times New Roman" w:cs="Arial CYR"/>
                <w:color w:val="000000"/>
                <w:sz w:val="21"/>
                <w:szCs w:val="21"/>
              </w:rPr>
            </w:pPr>
            <w:r w:rsidRPr="00A04AF4">
              <w:rPr>
                <w:rFonts w:ascii="Times New Roman" w:hAnsi="Times New Roman" w:cs="Arial CYR"/>
                <w:color w:val="000000"/>
                <w:sz w:val="21"/>
                <w:szCs w:val="21"/>
              </w:rPr>
              <w:t>822,4</w:t>
            </w:r>
          </w:p>
        </w:tc>
        <w:tc>
          <w:tcPr>
            <w:tcW w:w="1241" w:type="dxa"/>
            <w:tcBorders>
              <w:top w:val="nil"/>
              <w:bottom w:val="nil"/>
            </w:tcBorders>
            <w:vAlign w:val="bottom"/>
          </w:tcPr>
          <w:p w:rsidR="00BE59CB" w:rsidRPr="00A04AF4" w:rsidRDefault="00BE59CB" w:rsidP="003B2047">
            <w:pPr>
              <w:spacing w:after="0" w:line="240" w:lineRule="auto"/>
              <w:ind w:right="176"/>
              <w:jc w:val="right"/>
              <w:rPr>
                <w:rFonts w:ascii="Times New Roman" w:hAnsi="Times New Roman" w:cs="Arial CYR"/>
                <w:color w:val="000000"/>
                <w:sz w:val="21"/>
                <w:szCs w:val="21"/>
              </w:rPr>
            </w:pPr>
            <w:r w:rsidRPr="00A04AF4">
              <w:rPr>
                <w:rFonts w:ascii="Times New Roman" w:hAnsi="Times New Roman" w:cs="Arial CYR"/>
                <w:color w:val="000000"/>
                <w:sz w:val="21"/>
                <w:szCs w:val="21"/>
              </w:rPr>
              <w:t>38,8</w:t>
            </w:r>
          </w:p>
        </w:tc>
        <w:tc>
          <w:tcPr>
            <w:tcW w:w="1027" w:type="dxa"/>
            <w:tcBorders>
              <w:top w:val="nil"/>
              <w:bottom w:val="nil"/>
            </w:tcBorders>
            <w:vAlign w:val="bottom"/>
          </w:tcPr>
          <w:p w:rsidR="00BE59CB" w:rsidRPr="00A04AF4" w:rsidRDefault="00BE59CB" w:rsidP="003B2047">
            <w:pPr>
              <w:spacing w:after="0" w:line="240" w:lineRule="auto"/>
              <w:ind w:right="176"/>
              <w:jc w:val="right"/>
              <w:rPr>
                <w:rFonts w:ascii="Times New Roman" w:hAnsi="Times New Roman" w:cs="Arial CYR"/>
                <w:color w:val="000000"/>
                <w:sz w:val="21"/>
                <w:szCs w:val="21"/>
              </w:rPr>
            </w:pPr>
            <w:r w:rsidRPr="00A04AF4">
              <w:rPr>
                <w:rFonts w:ascii="Times New Roman" w:hAnsi="Times New Roman" w:cs="Arial CYR"/>
                <w:color w:val="000000"/>
                <w:sz w:val="21"/>
                <w:szCs w:val="21"/>
              </w:rPr>
              <w:t>113,2</w:t>
            </w:r>
          </w:p>
        </w:tc>
      </w:tr>
      <w:tr w:rsidR="00BE59CB" w:rsidRPr="00A04AF4" w:rsidTr="00CF1F5D">
        <w:tc>
          <w:tcPr>
            <w:tcW w:w="3828" w:type="dxa"/>
            <w:tcBorders>
              <w:top w:val="nil"/>
              <w:bottom w:val="single" w:sz="4" w:space="0" w:color="auto"/>
            </w:tcBorders>
            <w:vAlign w:val="center"/>
          </w:tcPr>
          <w:p w:rsidR="00BE59CB" w:rsidRPr="00A04AF4" w:rsidRDefault="00BE59CB" w:rsidP="00A04AF4">
            <w:pPr>
              <w:spacing w:after="0" w:line="240" w:lineRule="auto"/>
              <w:ind w:right="-108" w:firstLine="176"/>
              <w:rPr>
                <w:rFonts w:ascii="Times New Roman" w:hAnsi="Times New Roman"/>
                <w:color w:val="000000"/>
                <w:sz w:val="21"/>
                <w:szCs w:val="21"/>
              </w:rPr>
            </w:pPr>
            <w:r w:rsidRPr="00A04AF4">
              <w:rPr>
                <w:rFonts w:ascii="Times New Roman" w:hAnsi="Times New Roman"/>
                <w:color w:val="000000"/>
                <w:sz w:val="21"/>
                <w:szCs w:val="21"/>
              </w:rPr>
              <w:t>- средства резервирования по валютным операциям, внесенные в ПРБ</w:t>
            </w:r>
          </w:p>
        </w:tc>
        <w:tc>
          <w:tcPr>
            <w:tcW w:w="1134" w:type="dxa"/>
            <w:tcBorders>
              <w:top w:val="nil"/>
              <w:bottom w:val="single" w:sz="4" w:space="0" w:color="auto"/>
            </w:tcBorders>
            <w:vAlign w:val="bottom"/>
          </w:tcPr>
          <w:p w:rsidR="00BE59CB" w:rsidRPr="00A04AF4" w:rsidRDefault="00BE59CB" w:rsidP="00CF1F5D">
            <w:pPr>
              <w:spacing w:after="0" w:line="240" w:lineRule="auto"/>
              <w:ind w:left="-108" w:right="176"/>
              <w:jc w:val="right"/>
              <w:rPr>
                <w:rFonts w:ascii="Times New Roman" w:hAnsi="Times New Roman" w:cs="Arial CYR"/>
                <w:color w:val="000000"/>
                <w:sz w:val="21"/>
                <w:szCs w:val="21"/>
              </w:rPr>
            </w:pPr>
            <w:r w:rsidRPr="00A04AF4">
              <w:rPr>
                <w:rFonts w:ascii="Times New Roman" w:hAnsi="Times New Roman" w:cs="Arial CYR"/>
                <w:color w:val="000000"/>
                <w:sz w:val="21"/>
                <w:szCs w:val="21"/>
              </w:rPr>
              <w:t>-</w:t>
            </w:r>
          </w:p>
        </w:tc>
        <w:tc>
          <w:tcPr>
            <w:tcW w:w="1276" w:type="dxa"/>
            <w:tcBorders>
              <w:top w:val="nil"/>
              <w:bottom w:val="single" w:sz="4" w:space="0" w:color="auto"/>
            </w:tcBorders>
            <w:vAlign w:val="bottom"/>
          </w:tcPr>
          <w:p w:rsidR="00BE59CB" w:rsidRPr="00A04AF4" w:rsidRDefault="00BE59CB" w:rsidP="003B2047">
            <w:pPr>
              <w:spacing w:after="0" w:line="240" w:lineRule="auto"/>
              <w:ind w:right="176"/>
              <w:jc w:val="right"/>
              <w:rPr>
                <w:rFonts w:ascii="Times New Roman" w:hAnsi="Times New Roman" w:cs="Arial CYR"/>
                <w:color w:val="000000"/>
                <w:sz w:val="21"/>
                <w:szCs w:val="21"/>
              </w:rPr>
            </w:pPr>
            <w:r w:rsidRPr="00A04AF4">
              <w:rPr>
                <w:rFonts w:ascii="Times New Roman" w:hAnsi="Times New Roman" w:cs="Arial CYR"/>
                <w:color w:val="000000"/>
                <w:sz w:val="21"/>
                <w:szCs w:val="21"/>
              </w:rPr>
              <w:t>-</w:t>
            </w:r>
          </w:p>
        </w:tc>
        <w:tc>
          <w:tcPr>
            <w:tcW w:w="1134" w:type="dxa"/>
            <w:tcBorders>
              <w:top w:val="nil"/>
              <w:bottom w:val="single" w:sz="4" w:space="0" w:color="auto"/>
            </w:tcBorders>
            <w:vAlign w:val="bottom"/>
          </w:tcPr>
          <w:p w:rsidR="00BE59CB" w:rsidRPr="00A04AF4" w:rsidRDefault="00BE59CB" w:rsidP="003B2047">
            <w:pPr>
              <w:spacing w:after="0" w:line="240" w:lineRule="auto"/>
              <w:ind w:right="176"/>
              <w:jc w:val="right"/>
              <w:rPr>
                <w:rFonts w:ascii="Times New Roman" w:hAnsi="Times New Roman" w:cs="Arial CYR"/>
                <w:color w:val="000000"/>
                <w:sz w:val="21"/>
                <w:szCs w:val="21"/>
              </w:rPr>
            </w:pPr>
            <w:r w:rsidRPr="00A04AF4">
              <w:rPr>
                <w:rFonts w:ascii="Times New Roman" w:hAnsi="Times New Roman" w:cs="Arial CYR"/>
                <w:color w:val="000000"/>
                <w:sz w:val="21"/>
                <w:szCs w:val="21"/>
              </w:rPr>
              <w:t>-</w:t>
            </w:r>
          </w:p>
        </w:tc>
        <w:tc>
          <w:tcPr>
            <w:tcW w:w="1241" w:type="dxa"/>
            <w:tcBorders>
              <w:top w:val="nil"/>
              <w:bottom w:val="single" w:sz="4" w:space="0" w:color="auto"/>
            </w:tcBorders>
            <w:vAlign w:val="bottom"/>
          </w:tcPr>
          <w:p w:rsidR="00BE59CB" w:rsidRPr="00A04AF4" w:rsidRDefault="00BE59CB" w:rsidP="003B2047">
            <w:pPr>
              <w:spacing w:after="0" w:line="240" w:lineRule="auto"/>
              <w:ind w:right="176"/>
              <w:jc w:val="right"/>
              <w:rPr>
                <w:rFonts w:ascii="Times New Roman" w:hAnsi="Times New Roman" w:cs="Arial CYR"/>
                <w:color w:val="000000"/>
                <w:sz w:val="21"/>
                <w:szCs w:val="21"/>
              </w:rPr>
            </w:pPr>
            <w:r w:rsidRPr="00A04AF4">
              <w:rPr>
                <w:rFonts w:ascii="Times New Roman" w:hAnsi="Times New Roman" w:cs="Arial CYR"/>
                <w:color w:val="000000"/>
                <w:sz w:val="21"/>
                <w:szCs w:val="21"/>
              </w:rPr>
              <w:t>-</w:t>
            </w:r>
          </w:p>
        </w:tc>
        <w:tc>
          <w:tcPr>
            <w:tcW w:w="1027" w:type="dxa"/>
            <w:tcBorders>
              <w:top w:val="nil"/>
              <w:bottom w:val="single" w:sz="4" w:space="0" w:color="auto"/>
            </w:tcBorders>
            <w:vAlign w:val="bottom"/>
          </w:tcPr>
          <w:p w:rsidR="00BE59CB" w:rsidRPr="00A04AF4" w:rsidRDefault="00BE59CB" w:rsidP="003B2047">
            <w:pPr>
              <w:spacing w:after="0" w:line="240" w:lineRule="auto"/>
              <w:ind w:right="176"/>
              <w:jc w:val="right"/>
              <w:rPr>
                <w:rFonts w:ascii="Times New Roman" w:hAnsi="Times New Roman" w:cs="Arial CYR"/>
                <w:color w:val="000000"/>
                <w:sz w:val="21"/>
                <w:szCs w:val="21"/>
              </w:rPr>
            </w:pPr>
            <w:r w:rsidRPr="00A04AF4">
              <w:rPr>
                <w:rFonts w:ascii="Times New Roman" w:hAnsi="Times New Roman" w:cs="Arial CYR"/>
                <w:color w:val="000000"/>
                <w:sz w:val="21"/>
                <w:szCs w:val="21"/>
              </w:rPr>
              <w:t>-</w:t>
            </w:r>
          </w:p>
        </w:tc>
      </w:tr>
    </w:tbl>
    <w:p w:rsidR="00174F9C" w:rsidRDefault="00174F9C" w:rsidP="00BE59CB">
      <w:pPr>
        <w:spacing w:after="0" w:line="240" w:lineRule="auto"/>
        <w:ind w:firstLine="709"/>
        <w:jc w:val="both"/>
        <w:rPr>
          <w:rFonts w:ascii="Times New Roman" w:hAnsi="Times New Roman"/>
          <w:color w:val="000000"/>
          <w:sz w:val="24"/>
          <w:szCs w:val="24"/>
        </w:rPr>
      </w:pPr>
    </w:p>
    <w:p w:rsidR="00BE59CB" w:rsidRPr="007D2E0A" w:rsidRDefault="00BE59CB" w:rsidP="00BE59CB">
      <w:pPr>
        <w:spacing w:after="0" w:line="240" w:lineRule="auto"/>
        <w:ind w:firstLine="709"/>
        <w:jc w:val="both"/>
        <w:rPr>
          <w:rFonts w:ascii="Times New Roman" w:hAnsi="Times New Roman"/>
          <w:color w:val="000000"/>
          <w:sz w:val="24"/>
          <w:szCs w:val="24"/>
        </w:rPr>
      </w:pPr>
      <w:r w:rsidRPr="007D2E0A">
        <w:rPr>
          <w:rFonts w:ascii="Times New Roman" w:hAnsi="Times New Roman"/>
          <w:color w:val="000000"/>
          <w:sz w:val="24"/>
          <w:szCs w:val="24"/>
        </w:rPr>
        <w:t>Рублевая денежная база за 2016 год выросла на 16,6%, составив в абсолютном выражении 2 119,7 млн. руб. В основном это было обусловлено расширением обязательств центрального банка по выпущенным наличным денежным средствам: в целом за отчётный период их объём увеличился на 18,9% до 1 297,3 млн. руб. Из данной суммы 203,1 млн. руб. находилось в кассах банков. В результате удельный вес наличной составляющей в структуре денежной базы увеличился с 60,0% на начало 2016 года до 61,2% на 1 января 2017 года. Также существенное влияние оказывала динамика средств на корреспондентских счетах банков в Приднестровском республиканском банке, объём которых по итогам 2016 года повысился на 13,2% до 822,4 млн. руб.</w:t>
      </w:r>
    </w:p>
    <w:p w:rsidR="00BE59CB" w:rsidRPr="007D2E0A" w:rsidRDefault="00BE59CB" w:rsidP="00BE59CB">
      <w:pPr>
        <w:widowControl w:val="0"/>
        <w:spacing w:after="0" w:line="240" w:lineRule="auto"/>
        <w:ind w:firstLine="709"/>
        <w:jc w:val="both"/>
        <w:rPr>
          <w:rFonts w:ascii="Times New Roman" w:hAnsi="Times New Roman"/>
          <w:b/>
          <w:i/>
          <w:color w:val="000000"/>
          <w:sz w:val="24"/>
          <w:szCs w:val="24"/>
        </w:rPr>
      </w:pPr>
    </w:p>
    <w:p w:rsidR="00BE59CB" w:rsidRPr="007D2E0A" w:rsidRDefault="00BE59CB" w:rsidP="00BE59CB">
      <w:pPr>
        <w:widowControl w:val="0"/>
        <w:spacing w:after="0" w:line="240" w:lineRule="auto"/>
        <w:ind w:firstLine="709"/>
        <w:jc w:val="both"/>
        <w:rPr>
          <w:rFonts w:ascii="Times New Roman" w:hAnsi="Times New Roman"/>
          <w:b/>
          <w:i/>
          <w:color w:val="000000"/>
          <w:sz w:val="24"/>
          <w:szCs w:val="24"/>
        </w:rPr>
      </w:pPr>
      <w:r w:rsidRPr="007D2E0A">
        <w:rPr>
          <w:rFonts w:ascii="Times New Roman" w:hAnsi="Times New Roman"/>
          <w:b/>
          <w:i/>
          <w:color w:val="000000"/>
          <w:sz w:val="24"/>
          <w:szCs w:val="24"/>
        </w:rPr>
        <w:t>Валютная сфера</w:t>
      </w:r>
    </w:p>
    <w:p w:rsidR="00BE59CB" w:rsidRPr="007D2E0A" w:rsidRDefault="00BE59CB" w:rsidP="00BE59CB">
      <w:pPr>
        <w:widowControl w:val="0"/>
        <w:shd w:val="clear" w:color="auto" w:fill="FFFFFF"/>
        <w:spacing w:after="0" w:line="240" w:lineRule="auto"/>
        <w:ind w:firstLine="709"/>
        <w:jc w:val="both"/>
        <w:rPr>
          <w:rFonts w:ascii="Times New Roman" w:hAnsi="Times New Roman"/>
          <w:sz w:val="24"/>
          <w:szCs w:val="24"/>
        </w:rPr>
      </w:pPr>
      <w:r w:rsidRPr="007D2E0A">
        <w:rPr>
          <w:rFonts w:ascii="Times New Roman" w:hAnsi="Times New Roman"/>
          <w:sz w:val="24"/>
          <w:szCs w:val="24"/>
        </w:rPr>
        <w:t xml:space="preserve">В течение всего 2016 года ситуация на внутреннем валютном рынке республики характеризовалась острым дефицитом иностранной валюты и разрастанием теневого сегмента, где расширялись не только объемы операций, но регулярно увеличивался разрыв с официальным курсом. Весной 2016 года коммерческие банки и кредитные организации в своих обменно-валютных пунктах установили по таким валютам, как евро, российский рубль, гривна, молдавский лей, курсы, которые в пересчете через кросс-курсы к доллару США значительно превысили не только официальный курс доллара (11,30 руб.), но и преодолели отметку 14,5 руб. </w:t>
      </w:r>
    </w:p>
    <w:p w:rsidR="00BE59CB" w:rsidRPr="007D2E0A" w:rsidRDefault="00BE59CB" w:rsidP="00BE59CB">
      <w:pPr>
        <w:widowControl w:val="0"/>
        <w:shd w:val="clear" w:color="auto" w:fill="FFFFFF"/>
        <w:spacing w:after="0" w:line="240" w:lineRule="auto"/>
        <w:ind w:firstLine="709"/>
        <w:jc w:val="both"/>
        <w:rPr>
          <w:rFonts w:ascii="Times New Roman" w:hAnsi="Times New Roman"/>
          <w:sz w:val="24"/>
          <w:szCs w:val="24"/>
        </w:rPr>
      </w:pPr>
      <w:bookmarkStart w:id="1" w:name="OLE_LINK16"/>
      <w:r w:rsidRPr="007D2E0A">
        <w:rPr>
          <w:rFonts w:ascii="Times New Roman" w:hAnsi="Times New Roman"/>
          <w:sz w:val="24"/>
          <w:szCs w:val="24"/>
        </w:rPr>
        <w:t>В результате снижения объемов купли/продажи наличной иностранной валюты совокупная емкость рынка регистрируемых валютообменных операций за 2016 год сузилась в 2,3 раза до 190,0 млн. долл. США. Итогом конверсионных сделок стала нетто-покупка гражданами валюты в сумме 22,0 млн. долл. США, что ниже на 21,7% уровня 2015 года.</w:t>
      </w:r>
      <w:bookmarkEnd w:id="1"/>
      <w:r w:rsidRPr="007D2E0A">
        <w:rPr>
          <w:rFonts w:ascii="Times New Roman" w:hAnsi="Times New Roman"/>
          <w:sz w:val="24"/>
          <w:szCs w:val="24"/>
        </w:rPr>
        <w:t xml:space="preserve"> При этом во втором полугодии, впервые с июля 2015 года, стала фиксироваться нетто-продажа валюты клиентами. В сентябре она составила 0,6 млн. долл. США, а в декабре ее объемы расширились до 2,4 млн. долл. США. Традиционно большая часть показателя – следствие операций с долларом США, нетто-спрос на который был удовлетворен кредитными организациями в сумме 36,7 млн. долл., что на 46,9% ниже уровня 2015 года. </w:t>
      </w:r>
    </w:p>
    <w:p w:rsidR="00BE59CB" w:rsidRPr="00F404CC" w:rsidRDefault="00BE59CB" w:rsidP="00BE59CB">
      <w:pPr>
        <w:widowControl w:val="0"/>
        <w:shd w:val="clear" w:color="auto" w:fill="FFFFFF"/>
        <w:spacing w:after="0" w:line="240" w:lineRule="auto"/>
        <w:ind w:firstLine="709"/>
        <w:jc w:val="both"/>
        <w:rPr>
          <w:rFonts w:ascii="Times New Roman" w:hAnsi="Times New Roman"/>
          <w:sz w:val="24"/>
          <w:szCs w:val="24"/>
        </w:rPr>
      </w:pPr>
      <w:r w:rsidRPr="007D2E0A">
        <w:rPr>
          <w:rFonts w:ascii="Times New Roman" w:hAnsi="Times New Roman"/>
          <w:sz w:val="24"/>
          <w:szCs w:val="24"/>
        </w:rPr>
        <w:t>На безналичном сегменте также фиксировался спад объемов конверсионных операций – оборот на внутреннем валютном аукционе банков уменьшился на 24,2% до 753,4</w:t>
      </w:r>
      <w:r w:rsidR="008176B9">
        <w:rPr>
          <w:rFonts w:ascii="Times New Roman" w:hAnsi="Times New Roman"/>
          <w:sz w:val="24"/>
          <w:szCs w:val="24"/>
        </w:rPr>
        <w:t> </w:t>
      </w:r>
      <w:r w:rsidRPr="007D2E0A">
        <w:rPr>
          <w:rFonts w:ascii="Times New Roman" w:hAnsi="Times New Roman"/>
          <w:sz w:val="24"/>
          <w:szCs w:val="24"/>
        </w:rPr>
        <w:t>млн.</w:t>
      </w:r>
      <w:r w:rsidR="008176B9">
        <w:rPr>
          <w:rFonts w:ascii="Times New Roman" w:hAnsi="Times New Roman"/>
          <w:sz w:val="24"/>
          <w:szCs w:val="24"/>
        </w:rPr>
        <w:t> </w:t>
      </w:r>
      <w:r w:rsidRPr="007D2E0A">
        <w:rPr>
          <w:rFonts w:ascii="Times New Roman" w:hAnsi="Times New Roman"/>
          <w:sz w:val="24"/>
          <w:szCs w:val="24"/>
        </w:rPr>
        <w:t xml:space="preserve">долл. Итогом сделок стала нетто-покупка клиентами иностранной валюты у кредитных организаций в эквиваленте 38,4 млн. долл. против чистой продажи годом ранее в </w:t>
      </w:r>
      <w:r w:rsidRPr="00F404CC">
        <w:rPr>
          <w:rFonts w:ascii="Times New Roman" w:hAnsi="Times New Roman"/>
          <w:sz w:val="24"/>
          <w:szCs w:val="24"/>
        </w:rPr>
        <w:t>сумме 82,0</w:t>
      </w:r>
      <w:r w:rsidR="00A04AF4">
        <w:rPr>
          <w:rFonts w:ascii="Times New Roman" w:hAnsi="Times New Roman"/>
          <w:sz w:val="24"/>
          <w:szCs w:val="24"/>
        </w:rPr>
        <w:t> </w:t>
      </w:r>
      <w:r w:rsidRPr="00F404CC">
        <w:rPr>
          <w:rFonts w:ascii="Times New Roman" w:hAnsi="Times New Roman"/>
          <w:sz w:val="24"/>
          <w:szCs w:val="24"/>
        </w:rPr>
        <w:t xml:space="preserve">млн. долл. </w:t>
      </w:r>
    </w:p>
    <w:p w:rsidR="00BE59CB" w:rsidRPr="00F404CC" w:rsidRDefault="00BE59CB" w:rsidP="00BE59CB">
      <w:pPr>
        <w:widowControl w:val="0"/>
        <w:shd w:val="clear" w:color="auto" w:fill="FFFFFF"/>
        <w:spacing w:after="0" w:line="240" w:lineRule="auto"/>
        <w:ind w:firstLine="709"/>
        <w:jc w:val="both"/>
        <w:rPr>
          <w:rFonts w:ascii="Times New Roman" w:hAnsi="Times New Roman"/>
          <w:sz w:val="24"/>
          <w:szCs w:val="24"/>
        </w:rPr>
      </w:pPr>
      <w:r w:rsidRPr="00F404CC">
        <w:rPr>
          <w:rFonts w:ascii="Times New Roman" w:hAnsi="Times New Roman"/>
          <w:sz w:val="24"/>
          <w:szCs w:val="24"/>
        </w:rPr>
        <w:t xml:space="preserve">Среди норм регулирования валютных операций в начале года действовала норма обязательной продажи части валютной выручки от внешнеэкономической деятельности на уровне 0%. Норма обязательной продажи валютной выручки, получаемой от реализации товаров, работ, услуг на территории Приднестровской Молдавской Республики за наличную иностранную валюту на основании лицензий, выданных Приднестровским республиканским банком, составляла 10%. Затем Указами Президента № 133 от 28 марта 2016 года и № 189 от 19 мая 2016 года норма обязательной продажи части валютной выручки была повышена до </w:t>
      </w:r>
      <w:r w:rsidRPr="00F404CC">
        <w:rPr>
          <w:rFonts w:ascii="Times New Roman" w:hAnsi="Times New Roman"/>
          <w:sz w:val="24"/>
          <w:szCs w:val="24"/>
        </w:rPr>
        <w:lastRenderedPageBreak/>
        <w:t xml:space="preserve">7% и до 25% соответственно. </w:t>
      </w:r>
    </w:p>
    <w:p w:rsidR="00BE59CB" w:rsidRPr="00F404CC" w:rsidRDefault="00BE59CB" w:rsidP="00BE59CB">
      <w:pPr>
        <w:widowControl w:val="0"/>
        <w:shd w:val="clear" w:color="auto" w:fill="FFFFFF"/>
        <w:spacing w:after="0" w:line="240" w:lineRule="auto"/>
        <w:ind w:firstLine="709"/>
        <w:jc w:val="both"/>
        <w:rPr>
          <w:rFonts w:ascii="Times New Roman" w:hAnsi="Times New Roman"/>
          <w:sz w:val="24"/>
          <w:szCs w:val="24"/>
        </w:rPr>
      </w:pPr>
      <w:r w:rsidRPr="00F404CC">
        <w:rPr>
          <w:rFonts w:ascii="Times New Roman" w:hAnsi="Times New Roman"/>
          <w:sz w:val="24"/>
          <w:szCs w:val="24"/>
        </w:rPr>
        <w:t xml:space="preserve">Кроме того, с 17 мая 2016 года денежные средства, полученные резидентами и нерезидентами в иностранной валюте от экспорта электроэнергии, в полном объёме подлежат обязательной продаже в валютный резерв. </w:t>
      </w:r>
    </w:p>
    <w:p w:rsidR="00BE59CB" w:rsidRPr="00F404CC" w:rsidRDefault="00BE59CB" w:rsidP="00BE59CB">
      <w:pPr>
        <w:widowControl w:val="0"/>
        <w:shd w:val="clear" w:color="auto" w:fill="FFFFFF"/>
        <w:spacing w:after="0" w:line="240" w:lineRule="auto"/>
        <w:ind w:firstLine="709"/>
        <w:jc w:val="both"/>
        <w:rPr>
          <w:rFonts w:ascii="Times New Roman" w:hAnsi="Times New Roman"/>
          <w:bCs/>
          <w:iCs/>
          <w:sz w:val="24"/>
          <w:szCs w:val="24"/>
        </w:rPr>
      </w:pPr>
      <w:r w:rsidRPr="00F404CC">
        <w:rPr>
          <w:rFonts w:ascii="Times New Roman" w:hAnsi="Times New Roman"/>
          <w:bCs/>
          <w:iCs/>
          <w:sz w:val="24"/>
          <w:szCs w:val="24"/>
        </w:rPr>
        <w:t>С 29 декабря 2016 года все юридические и физические лица, осуществляющие предпринимательскую деятельность без образования юридического лица, – резиденты Приднестровской Молдавской Республики независимо от формы собственности и организационно-правовой формы производят обязательную продажу в размере 25% от суммы получаемой валютной выручки, за исключением валютной выручки, получаемой от реализации товаров, работ, услуг на территории Приднестровской Молдавской Республики за наличную иностранную валюту на основании лицензий, выданных Приднестровским республиканским банком. При этом обязательная продажа валютной выручки, полученной от экспорта электроэнергии, сохранилась на уровне 100%.</w:t>
      </w:r>
    </w:p>
    <w:p w:rsidR="00BE59CB" w:rsidRPr="00993FAD" w:rsidRDefault="00BE59CB" w:rsidP="00BE59CB">
      <w:pPr>
        <w:widowControl w:val="0"/>
        <w:shd w:val="clear" w:color="auto" w:fill="FFFFFF"/>
        <w:spacing w:after="0" w:line="240" w:lineRule="auto"/>
        <w:ind w:firstLine="709"/>
        <w:jc w:val="both"/>
        <w:rPr>
          <w:rFonts w:ascii="Times New Roman" w:hAnsi="Times New Roman"/>
          <w:sz w:val="24"/>
          <w:szCs w:val="24"/>
        </w:rPr>
      </w:pPr>
      <w:r w:rsidRPr="00F404CC">
        <w:rPr>
          <w:rFonts w:ascii="Times New Roman" w:hAnsi="Times New Roman"/>
          <w:sz w:val="24"/>
          <w:szCs w:val="24"/>
        </w:rPr>
        <w:t xml:space="preserve">По итогам 2016 года объем средств, поступивших в валютный резерв в рамках обязательной продажи, в целом сложился на уровне 140,6 млн. долл. в эквиваленте (в </w:t>
      </w:r>
      <w:r w:rsidR="00A04AF4">
        <w:rPr>
          <w:rFonts w:ascii="Times New Roman" w:hAnsi="Times New Roman"/>
          <w:sz w:val="24"/>
          <w:szCs w:val="24"/>
        </w:rPr>
        <w:t xml:space="preserve">             </w:t>
      </w:r>
      <w:r w:rsidRPr="00F404CC">
        <w:rPr>
          <w:rFonts w:ascii="Times New Roman" w:hAnsi="Times New Roman"/>
          <w:sz w:val="24"/>
          <w:szCs w:val="24"/>
        </w:rPr>
        <w:t>2015 году – 3,3 млн. долл.), из них 0,7 млн. долл. в виде наличных средств. В последующем данные суммы реализовывались на валютном аукционе центрального банка. В совокупности на всех сегментах рынка регулятор купил 209,8 млн. долл., объем проданной валюты составил 258,0 млн. долл., в том числе на валютном аукционе по заявкам экономических агентов – 109,2 млн. долл. (108,8 млн. долл. за 2015 год), в рамках наличных валютных интервенций – 15,7 млн. долл.</w:t>
      </w:r>
      <w:r w:rsidRPr="00993FAD">
        <w:rPr>
          <w:rFonts w:ascii="Times New Roman" w:hAnsi="Times New Roman"/>
          <w:sz w:val="24"/>
          <w:szCs w:val="24"/>
        </w:rPr>
        <w:t xml:space="preserve"> </w:t>
      </w:r>
    </w:p>
    <w:p w:rsidR="00BE59CB" w:rsidRPr="008C1FB5" w:rsidRDefault="00BE59CB" w:rsidP="00BE59CB">
      <w:pPr>
        <w:widowControl w:val="0"/>
        <w:shd w:val="clear" w:color="auto" w:fill="FFFFFF"/>
        <w:spacing w:after="0" w:line="240" w:lineRule="auto"/>
        <w:ind w:firstLine="709"/>
        <w:jc w:val="both"/>
        <w:rPr>
          <w:rFonts w:ascii="Times New Roman" w:hAnsi="Times New Roman"/>
          <w:sz w:val="24"/>
          <w:szCs w:val="24"/>
        </w:rPr>
      </w:pPr>
    </w:p>
    <w:p w:rsidR="00BE59CB" w:rsidRPr="007D2E0A" w:rsidRDefault="00BE59CB" w:rsidP="00BE59CB">
      <w:pPr>
        <w:widowControl w:val="0"/>
        <w:spacing w:after="0" w:line="240" w:lineRule="auto"/>
        <w:ind w:firstLine="709"/>
        <w:jc w:val="both"/>
        <w:rPr>
          <w:rFonts w:ascii="Times New Roman" w:hAnsi="Times New Roman"/>
          <w:b/>
          <w:bCs/>
          <w:i/>
          <w:iCs/>
          <w:sz w:val="24"/>
          <w:szCs w:val="24"/>
        </w:rPr>
      </w:pPr>
      <w:r w:rsidRPr="007D2E0A">
        <w:rPr>
          <w:rFonts w:ascii="Times New Roman" w:hAnsi="Times New Roman"/>
          <w:b/>
          <w:bCs/>
          <w:i/>
          <w:iCs/>
          <w:sz w:val="24"/>
          <w:szCs w:val="24"/>
        </w:rPr>
        <w:t>Кредитная деятельность ПРБ</w:t>
      </w:r>
    </w:p>
    <w:p w:rsidR="00BE59CB" w:rsidRPr="007D2E0A" w:rsidRDefault="00BE59CB" w:rsidP="00BE59CB">
      <w:pPr>
        <w:widowControl w:val="0"/>
        <w:spacing w:after="0" w:line="240" w:lineRule="auto"/>
        <w:ind w:firstLine="709"/>
        <w:jc w:val="both"/>
        <w:rPr>
          <w:rFonts w:ascii="Times New Roman" w:hAnsi="Times New Roman"/>
          <w:bCs/>
          <w:iCs/>
          <w:sz w:val="24"/>
          <w:szCs w:val="24"/>
        </w:rPr>
      </w:pPr>
      <w:r w:rsidRPr="007D2E0A">
        <w:rPr>
          <w:rFonts w:ascii="Times New Roman" w:hAnsi="Times New Roman"/>
          <w:bCs/>
          <w:iCs/>
          <w:sz w:val="24"/>
          <w:szCs w:val="24"/>
        </w:rPr>
        <w:t xml:space="preserve">По состоянию на 1 января 2017 года совокупная задолженность банков перед Приднестровским республиканским банком составила 818,3 млн. руб., в том числе по кредитам – 113,0 млн. руб., по депозитам – 705,3 млн. руб. </w:t>
      </w:r>
    </w:p>
    <w:p w:rsidR="00BE59CB" w:rsidRPr="007D2E0A" w:rsidRDefault="00BE59CB" w:rsidP="00BE59CB">
      <w:pPr>
        <w:widowControl w:val="0"/>
        <w:spacing w:after="0" w:line="240" w:lineRule="auto"/>
        <w:ind w:firstLine="709"/>
        <w:jc w:val="both"/>
        <w:rPr>
          <w:rFonts w:ascii="Times New Roman" w:hAnsi="Times New Roman"/>
          <w:bCs/>
          <w:iCs/>
          <w:sz w:val="24"/>
          <w:szCs w:val="24"/>
        </w:rPr>
      </w:pPr>
      <w:r w:rsidRPr="007D2E0A">
        <w:rPr>
          <w:rFonts w:ascii="Times New Roman" w:hAnsi="Times New Roman"/>
          <w:bCs/>
          <w:iCs/>
          <w:sz w:val="24"/>
          <w:szCs w:val="24"/>
        </w:rPr>
        <w:t>Задолженность государства по кредитам перед Приднестровским республиканским банком осталась на прежнем уровне – 119,8 млн. руб. В связи с тем, что в отчётном периоде операции с государственными ценными бумагами не осуществлялись, сумма находящихся в портфеле центрального банка долгосрочных государственных облигаций не изменилась и сохранилась на отметке 296,6 млн. руб.</w:t>
      </w:r>
    </w:p>
    <w:p w:rsidR="00BE59CB" w:rsidRDefault="00BE59CB" w:rsidP="00BE59CB">
      <w:pPr>
        <w:spacing w:after="0" w:line="240" w:lineRule="auto"/>
        <w:ind w:firstLine="709"/>
        <w:contextualSpacing/>
        <w:jc w:val="both"/>
        <w:rPr>
          <w:rFonts w:ascii="Times New Roman" w:hAnsi="Times New Roman"/>
          <w:sz w:val="24"/>
          <w:szCs w:val="24"/>
        </w:rPr>
      </w:pPr>
    </w:p>
    <w:p w:rsidR="00BE59CB" w:rsidRPr="007D2E0A" w:rsidRDefault="00BE59CB" w:rsidP="00BE59CB">
      <w:pPr>
        <w:widowControl w:val="0"/>
        <w:spacing w:after="0" w:line="240" w:lineRule="auto"/>
        <w:ind w:firstLine="709"/>
        <w:jc w:val="both"/>
        <w:rPr>
          <w:rFonts w:ascii="Times New Roman" w:hAnsi="Times New Roman"/>
          <w:b/>
          <w:bCs/>
          <w:i/>
          <w:iCs/>
          <w:sz w:val="24"/>
          <w:szCs w:val="24"/>
        </w:rPr>
      </w:pPr>
      <w:bookmarkStart w:id="2" w:name="OLE_LINK11"/>
      <w:bookmarkStart w:id="3" w:name="OLE_LINK12"/>
      <w:r w:rsidRPr="007D2E0A">
        <w:rPr>
          <w:rFonts w:ascii="Times New Roman" w:hAnsi="Times New Roman"/>
          <w:b/>
          <w:bCs/>
          <w:i/>
          <w:iCs/>
          <w:sz w:val="24"/>
          <w:szCs w:val="24"/>
        </w:rPr>
        <w:t>Кредитование экономики коммерческими банками</w:t>
      </w:r>
    </w:p>
    <w:p w:rsidR="00BE59CB" w:rsidRPr="007D2E0A" w:rsidRDefault="00BE59CB" w:rsidP="00BE59CB">
      <w:pPr>
        <w:spacing w:after="0" w:line="240" w:lineRule="auto"/>
        <w:ind w:firstLine="709"/>
        <w:jc w:val="both"/>
        <w:rPr>
          <w:rFonts w:ascii="Times New Roman" w:hAnsi="Times New Roman"/>
          <w:color w:val="000000"/>
          <w:sz w:val="24"/>
          <w:szCs w:val="24"/>
        </w:rPr>
      </w:pPr>
      <w:r w:rsidRPr="007D2E0A">
        <w:rPr>
          <w:rFonts w:ascii="Times New Roman" w:hAnsi="Times New Roman"/>
          <w:color w:val="000000"/>
          <w:sz w:val="24"/>
          <w:szCs w:val="24"/>
        </w:rPr>
        <w:t xml:space="preserve">В 2016 году задолженность по кредитам корпоративных клиентов и населения выросла на 8,5% или на 316,0 млн. руб., составив в абсолютном выражении 4 044,9 млн. руб. </w:t>
      </w:r>
    </w:p>
    <w:p w:rsidR="00BE59CB" w:rsidRPr="007D2E0A" w:rsidRDefault="00BE59CB" w:rsidP="00BE59CB">
      <w:pPr>
        <w:spacing w:after="0" w:line="240" w:lineRule="auto"/>
        <w:ind w:firstLine="709"/>
        <w:jc w:val="both"/>
        <w:rPr>
          <w:rFonts w:ascii="Times New Roman" w:hAnsi="Times New Roman"/>
          <w:color w:val="000000"/>
          <w:sz w:val="24"/>
          <w:szCs w:val="24"/>
        </w:rPr>
      </w:pPr>
      <w:r w:rsidRPr="007D2E0A">
        <w:rPr>
          <w:rFonts w:ascii="Times New Roman" w:hAnsi="Times New Roman"/>
          <w:color w:val="000000"/>
          <w:sz w:val="24"/>
          <w:szCs w:val="24"/>
        </w:rPr>
        <w:t xml:space="preserve">Динамика кредитов нефинансовому сектору определялась расширением кредитования юридических лиц. По отношению к началу года их задолженность возросла на 18,3% до 3 292,2 млн. руб., что соответствует 81,4% совокупного показателя. На 1 рубль ссуд, номинированных в приднестровских рублях, приходилось 0,97 рубля кредитов, выданных в иностранной валюте, тогда как на начало 2016 года данное соотношение составляло 1:0,76. </w:t>
      </w:r>
    </w:p>
    <w:p w:rsidR="00BE59CB" w:rsidRPr="007D2E0A" w:rsidRDefault="00BE59CB" w:rsidP="00BE59CB">
      <w:pPr>
        <w:spacing w:after="0" w:line="240" w:lineRule="auto"/>
        <w:ind w:firstLine="709"/>
        <w:jc w:val="both"/>
        <w:rPr>
          <w:rFonts w:ascii="Times New Roman" w:hAnsi="Times New Roman"/>
          <w:color w:val="000000"/>
          <w:sz w:val="24"/>
          <w:szCs w:val="24"/>
        </w:rPr>
      </w:pPr>
      <w:r w:rsidRPr="007D2E0A">
        <w:rPr>
          <w:rFonts w:ascii="Times New Roman" w:hAnsi="Times New Roman"/>
          <w:color w:val="000000"/>
          <w:sz w:val="24"/>
          <w:szCs w:val="24"/>
        </w:rPr>
        <w:t>В структуре совокупной задолженности основной удельный вес принадлежал индустриальному комплексу – 41,7% совокупного показателя или 1 371,7 млн. руб., что на 23,5% больше уровня начала отчетного года. Задолженность по кредитам предприятий торговли увеличилась в 1,5 раза до 631,4 млн. руб., или 19,2% совокупного объема. На                 1 января 2017 года долг агрофирм составил 580,2 млн. руб. («-»5,2%), что соответствует 17,6% общей задолженности реального сектора. Исполнение текущих обязательств бюджетной сферы в условиях критической ситуации с наполнением государственной казны обусловило наращивание задолженности органов государственной власти перед банками с 16,1 млн. руб. на начало года до 490,6 млн. руб. (в 30,5 раза) по его итогам. Долги строительных предприятий перед коммерческими банками увеличились в 1,6 раза до 34,2</w:t>
      </w:r>
      <w:r w:rsidR="00A04AF4">
        <w:rPr>
          <w:rFonts w:ascii="Times New Roman" w:hAnsi="Times New Roman"/>
          <w:color w:val="000000"/>
          <w:sz w:val="24"/>
          <w:szCs w:val="24"/>
        </w:rPr>
        <w:t> </w:t>
      </w:r>
      <w:r w:rsidRPr="007D2E0A">
        <w:rPr>
          <w:rFonts w:ascii="Times New Roman" w:hAnsi="Times New Roman"/>
          <w:color w:val="000000"/>
          <w:sz w:val="24"/>
          <w:szCs w:val="24"/>
        </w:rPr>
        <w:t>млн. руб.</w:t>
      </w:r>
    </w:p>
    <w:p w:rsidR="00BE59CB" w:rsidRPr="007D2E0A" w:rsidRDefault="00BE59CB" w:rsidP="00BE59CB">
      <w:pPr>
        <w:spacing w:after="0" w:line="240" w:lineRule="auto"/>
        <w:ind w:firstLine="709"/>
        <w:jc w:val="both"/>
        <w:rPr>
          <w:rFonts w:ascii="Times New Roman" w:hAnsi="Times New Roman"/>
          <w:color w:val="000000"/>
          <w:sz w:val="24"/>
          <w:szCs w:val="24"/>
        </w:rPr>
      </w:pPr>
      <w:r w:rsidRPr="007D2E0A">
        <w:rPr>
          <w:rFonts w:ascii="Times New Roman" w:hAnsi="Times New Roman"/>
          <w:color w:val="000000"/>
          <w:sz w:val="24"/>
          <w:szCs w:val="24"/>
        </w:rPr>
        <w:t xml:space="preserve">В потребительском сегменте продолжился спад объемов кредитования. По итогам 2016 года задолженность физических лиц сократилась на 20,5% до 752,7 млн. руб., что </w:t>
      </w:r>
      <w:r w:rsidRPr="007D2E0A">
        <w:rPr>
          <w:rFonts w:ascii="Times New Roman" w:hAnsi="Times New Roman"/>
          <w:color w:val="000000"/>
          <w:sz w:val="24"/>
          <w:szCs w:val="24"/>
        </w:rPr>
        <w:lastRenderedPageBreak/>
        <w:t>соответствует 11,8% совокупных активов-нетто (16,2% на 1 января 2016 года) и 18,6% – в структуре кредитов нефинансовому сектору (25,4% соответственно).</w:t>
      </w:r>
      <w:r w:rsidRPr="007D2E0A">
        <w:rPr>
          <w:rFonts w:ascii="Times New Roman" w:hAnsi="Times New Roman"/>
          <w:bCs/>
          <w:color w:val="000000"/>
          <w:sz w:val="24"/>
          <w:szCs w:val="24"/>
        </w:rPr>
        <w:t xml:space="preserve"> </w:t>
      </w:r>
    </w:p>
    <w:p w:rsidR="00BE59CB" w:rsidRPr="007D2E0A" w:rsidRDefault="00BE59CB" w:rsidP="00BE59CB">
      <w:pPr>
        <w:spacing w:after="0" w:line="240" w:lineRule="auto"/>
        <w:ind w:firstLine="709"/>
        <w:jc w:val="both"/>
        <w:rPr>
          <w:rFonts w:ascii="Times New Roman" w:hAnsi="Times New Roman"/>
          <w:color w:val="000000"/>
          <w:sz w:val="24"/>
          <w:szCs w:val="24"/>
        </w:rPr>
      </w:pPr>
      <w:r w:rsidRPr="007D2E0A">
        <w:rPr>
          <w:rFonts w:ascii="Times New Roman" w:hAnsi="Times New Roman"/>
          <w:color w:val="000000"/>
          <w:sz w:val="24"/>
          <w:szCs w:val="24"/>
        </w:rPr>
        <w:t>Напряженная экономическая ситуация негативно влияла на платежеспособность клиентов банков. На 1</w:t>
      </w:r>
      <w:r w:rsidR="00E01495">
        <w:rPr>
          <w:rFonts w:ascii="Times New Roman" w:hAnsi="Times New Roman"/>
          <w:color w:val="000000"/>
          <w:sz w:val="24"/>
          <w:szCs w:val="24"/>
        </w:rPr>
        <w:t> </w:t>
      </w:r>
      <w:r w:rsidRPr="007D2E0A">
        <w:rPr>
          <w:rFonts w:ascii="Times New Roman" w:hAnsi="Times New Roman"/>
          <w:color w:val="000000"/>
          <w:sz w:val="24"/>
          <w:szCs w:val="24"/>
        </w:rPr>
        <w:t>января 2017 года из совокупных займов нефинансового сектора с нарушениями сроков обслуживалась пятая часть на общую сумму 810,5</w:t>
      </w:r>
      <w:r w:rsidR="00E01495">
        <w:rPr>
          <w:rFonts w:ascii="Times New Roman" w:hAnsi="Times New Roman"/>
          <w:color w:val="000000"/>
          <w:sz w:val="24"/>
          <w:szCs w:val="24"/>
        </w:rPr>
        <w:t> </w:t>
      </w:r>
      <w:r w:rsidRPr="007D2E0A">
        <w:rPr>
          <w:rFonts w:ascii="Times New Roman" w:hAnsi="Times New Roman"/>
          <w:color w:val="000000"/>
          <w:sz w:val="24"/>
          <w:szCs w:val="24"/>
        </w:rPr>
        <w:t>млн.</w:t>
      </w:r>
      <w:r w:rsidR="00E01495">
        <w:rPr>
          <w:rFonts w:ascii="Times New Roman" w:hAnsi="Times New Roman"/>
          <w:color w:val="000000"/>
          <w:sz w:val="24"/>
          <w:szCs w:val="24"/>
        </w:rPr>
        <w:t> </w:t>
      </w:r>
      <w:r w:rsidRPr="007D2E0A">
        <w:rPr>
          <w:rFonts w:ascii="Times New Roman" w:hAnsi="Times New Roman"/>
          <w:color w:val="000000"/>
          <w:sz w:val="24"/>
          <w:szCs w:val="24"/>
        </w:rPr>
        <w:t>руб., что в 3,6 раза больше, чем на начало анализируемого года. В условиях критического состояния государственных финансов, неисполнение обязательств по кредиту, предоставленному Правительству ПМР на покрытие дефицита по социальным статьям, выразилось в увеличении практически в 4,6 раза объема не погашенных в срок кредитов юридических лиц (с 151,0</w:t>
      </w:r>
      <w:r w:rsidR="00E01495">
        <w:rPr>
          <w:rFonts w:ascii="Times New Roman" w:hAnsi="Times New Roman"/>
          <w:color w:val="000000"/>
          <w:sz w:val="24"/>
          <w:szCs w:val="24"/>
        </w:rPr>
        <w:t> </w:t>
      </w:r>
      <w:r w:rsidRPr="007D2E0A">
        <w:rPr>
          <w:rFonts w:ascii="Times New Roman" w:hAnsi="Times New Roman"/>
          <w:color w:val="000000"/>
          <w:sz w:val="24"/>
          <w:szCs w:val="24"/>
        </w:rPr>
        <w:t>млн. руб. до 695,1</w:t>
      </w:r>
      <w:r w:rsidR="00E01495">
        <w:rPr>
          <w:rFonts w:ascii="Times New Roman" w:hAnsi="Times New Roman"/>
          <w:color w:val="000000"/>
          <w:sz w:val="24"/>
          <w:szCs w:val="24"/>
        </w:rPr>
        <w:t> </w:t>
      </w:r>
      <w:r w:rsidRPr="007D2E0A">
        <w:rPr>
          <w:rFonts w:ascii="Times New Roman" w:hAnsi="Times New Roman"/>
          <w:color w:val="000000"/>
          <w:sz w:val="24"/>
          <w:szCs w:val="24"/>
        </w:rPr>
        <w:t xml:space="preserve">млн. руб.). На фоне уменьшения реальных располагаемых доходов граждан, просроченная задолженность физических лиц возросла в 1,5 раза до 115,4 млн. руб. </w:t>
      </w:r>
    </w:p>
    <w:bookmarkEnd w:id="2"/>
    <w:bookmarkEnd w:id="3"/>
    <w:p w:rsidR="00BE59CB" w:rsidRPr="007D2E0A" w:rsidRDefault="00BE59CB" w:rsidP="00BE59CB">
      <w:pPr>
        <w:widowControl w:val="0"/>
        <w:spacing w:after="0" w:line="240" w:lineRule="auto"/>
        <w:ind w:firstLine="709"/>
        <w:jc w:val="both"/>
        <w:rPr>
          <w:rFonts w:ascii="Times New Roman" w:hAnsi="Times New Roman"/>
          <w:b/>
          <w:bCs/>
          <w:i/>
          <w:iCs/>
          <w:sz w:val="24"/>
          <w:szCs w:val="24"/>
        </w:rPr>
      </w:pPr>
    </w:p>
    <w:p w:rsidR="00BE59CB" w:rsidRPr="007D2E0A" w:rsidRDefault="00BE59CB" w:rsidP="00BE59CB">
      <w:pPr>
        <w:widowControl w:val="0"/>
        <w:spacing w:after="0" w:line="240" w:lineRule="auto"/>
        <w:ind w:firstLine="709"/>
        <w:jc w:val="both"/>
        <w:rPr>
          <w:rFonts w:ascii="Times New Roman" w:hAnsi="Times New Roman"/>
          <w:b/>
          <w:bCs/>
          <w:i/>
          <w:iCs/>
          <w:sz w:val="24"/>
          <w:szCs w:val="24"/>
        </w:rPr>
      </w:pPr>
      <w:r w:rsidRPr="007D2E0A">
        <w:rPr>
          <w:rFonts w:ascii="Times New Roman" w:hAnsi="Times New Roman"/>
          <w:b/>
          <w:bCs/>
          <w:i/>
          <w:iCs/>
          <w:sz w:val="24"/>
          <w:szCs w:val="24"/>
        </w:rPr>
        <w:t xml:space="preserve">Инструменты денежно-кредитного регулирования </w:t>
      </w:r>
    </w:p>
    <w:p w:rsidR="00BE59CB" w:rsidRPr="007D2E0A" w:rsidRDefault="00BE59CB" w:rsidP="00BE59CB">
      <w:pPr>
        <w:spacing w:after="0" w:line="240" w:lineRule="auto"/>
        <w:ind w:firstLine="709"/>
        <w:jc w:val="both"/>
        <w:rPr>
          <w:rFonts w:ascii="Times New Roman" w:hAnsi="Times New Roman"/>
          <w:sz w:val="24"/>
          <w:szCs w:val="24"/>
        </w:rPr>
      </w:pPr>
      <w:r w:rsidRPr="007D2E0A">
        <w:rPr>
          <w:rFonts w:ascii="Times New Roman" w:hAnsi="Times New Roman"/>
          <w:sz w:val="24"/>
          <w:szCs w:val="24"/>
        </w:rPr>
        <w:t>В складывающихся макроэкономических условиях применяемые инструменты денежно-кредитного регулирования корректировались исходя из приоритета снижения давления на внутреннем валютном рынке и сдерживания развития инфляционных тенденций. В этих целях принимались решения о повышении нормативов обязательных резервов и ставки страховых взносов, как по рублёвым, так и по валютным обязательствам кредитных организаций. При этом ставка рефинансирования Приднестровского республиканского банка, установленная с 11 августа 2014 года в размере 3,5% годовых, в отчётном периоде не изменилась.</w:t>
      </w:r>
    </w:p>
    <w:p w:rsidR="00BE59CB" w:rsidRPr="007D2E0A" w:rsidRDefault="00BE59CB" w:rsidP="00BE59CB">
      <w:pPr>
        <w:spacing w:after="0" w:line="240" w:lineRule="auto"/>
        <w:ind w:firstLine="709"/>
        <w:jc w:val="both"/>
        <w:rPr>
          <w:rFonts w:ascii="Times New Roman" w:hAnsi="Times New Roman"/>
          <w:sz w:val="24"/>
          <w:szCs w:val="24"/>
        </w:rPr>
      </w:pPr>
      <w:r w:rsidRPr="007D2E0A">
        <w:rPr>
          <w:rFonts w:ascii="Times New Roman" w:hAnsi="Times New Roman"/>
          <w:sz w:val="24"/>
          <w:szCs w:val="24"/>
        </w:rPr>
        <w:t xml:space="preserve">В течение января-апреля 2016 года норматив обязательных резервов сохранялся на уровне 10% от обязательств кредитных организаций перед юридическими лицами, как в рублях, так и в иностранной валюте. С целью недопущения давления на валютный рынок, в условиях избыточной рублёвой ликвидности, к обязательствам кредитных организаций перед юридическими лицами в рублёвом эквиваленте применялся следующий норматив резервирования: с 1 мая 2016 года в размере 12%, с 1 июля - 14% от рублёвых обязательств банков и 12% – от обязательств в валюте. </w:t>
      </w:r>
    </w:p>
    <w:p w:rsidR="00BE59CB" w:rsidRPr="007D2E0A" w:rsidRDefault="00BE59CB" w:rsidP="00BE59CB">
      <w:pPr>
        <w:spacing w:after="0" w:line="240" w:lineRule="auto"/>
        <w:ind w:firstLine="709"/>
        <w:jc w:val="both"/>
        <w:rPr>
          <w:rFonts w:ascii="Times New Roman" w:hAnsi="Times New Roman"/>
          <w:sz w:val="24"/>
          <w:szCs w:val="24"/>
        </w:rPr>
      </w:pPr>
      <w:r w:rsidRPr="007D2E0A">
        <w:rPr>
          <w:rFonts w:ascii="Times New Roman" w:hAnsi="Times New Roman"/>
          <w:sz w:val="24"/>
          <w:szCs w:val="24"/>
        </w:rPr>
        <w:t>Общий объём средств, аккумулированных в центральном банке в качестве обязательных резервов, за 2016 год увеличился на 44,4%, составив по состоянию на</w:t>
      </w:r>
      <w:r w:rsidR="00431434">
        <w:rPr>
          <w:rFonts w:ascii="Times New Roman" w:hAnsi="Times New Roman"/>
          <w:sz w:val="24"/>
          <w:szCs w:val="24"/>
        </w:rPr>
        <w:t xml:space="preserve"> </w:t>
      </w:r>
      <w:r w:rsidR="00431434">
        <w:rPr>
          <w:rFonts w:ascii="Times New Roman" w:hAnsi="Times New Roman"/>
          <w:sz w:val="24"/>
          <w:szCs w:val="24"/>
        </w:rPr>
        <w:br/>
      </w:r>
      <w:r w:rsidRPr="007D2E0A">
        <w:rPr>
          <w:rFonts w:ascii="Times New Roman" w:hAnsi="Times New Roman"/>
          <w:sz w:val="24"/>
          <w:szCs w:val="24"/>
        </w:rPr>
        <w:t>1 января 2017 года по действующим кредитным организациям 205,7 млн. руб. При этом депонирование осуществлялось исключительно в национальной валюте.</w:t>
      </w:r>
    </w:p>
    <w:p w:rsidR="00BE59CB" w:rsidRPr="007D2E0A" w:rsidRDefault="00BE59CB" w:rsidP="00BE59CB">
      <w:pPr>
        <w:widowControl w:val="0"/>
        <w:spacing w:after="0" w:line="240" w:lineRule="auto"/>
        <w:ind w:firstLine="709"/>
        <w:jc w:val="both"/>
        <w:rPr>
          <w:rFonts w:ascii="Times New Roman" w:hAnsi="Times New Roman"/>
          <w:b/>
          <w:bCs/>
          <w:i/>
          <w:iCs/>
          <w:sz w:val="24"/>
          <w:szCs w:val="24"/>
        </w:rPr>
      </w:pPr>
    </w:p>
    <w:p w:rsidR="001C294C" w:rsidRPr="0080737A" w:rsidRDefault="001C294C" w:rsidP="001C294C">
      <w:pPr>
        <w:widowControl w:val="0"/>
        <w:tabs>
          <w:tab w:val="left" w:pos="630"/>
        </w:tabs>
        <w:autoSpaceDE w:val="0"/>
        <w:autoSpaceDN w:val="0"/>
        <w:adjustRightInd w:val="0"/>
        <w:spacing w:after="0" w:line="240" w:lineRule="auto"/>
        <w:ind w:firstLine="720"/>
        <w:jc w:val="both"/>
        <w:rPr>
          <w:rFonts w:ascii="Times New Roman" w:eastAsia="Calibri" w:hAnsi="Times New Roman"/>
          <w:b/>
          <w:sz w:val="24"/>
          <w:szCs w:val="24"/>
        </w:rPr>
      </w:pPr>
      <w:r w:rsidRPr="0080737A">
        <w:rPr>
          <w:rFonts w:ascii="Times New Roman" w:eastAsia="Calibri" w:hAnsi="Times New Roman"/>
          <w:b/>
          <w:sz w:val="24"/>
          <w:szCs w:val="24"/>
        </w:rPr>
        <w:t>Исполнение Консолидированного бюджета</w:t>
      </w:r>
    </w:p>
    <w:p w:rsidR="00363E61" w:rsidRDefault="00363E61" w:rsidP="00363E61">
      <w:pPr>
        <w:pStyle w:val="a6"/>
        <w:shd w:val="clear" w:color="auto" w:fill="FFFFFF"/>
        <w:spacing w:before="0" w:beforeAutospacing="0" w:after="0" w:afterAutospacing="0"/>
        <w:ind w:firstLine="709"/>
        <w:contextualSpacing/>
        <w:jc w:val="both"/>
        <w:rPr>
          <w:shd w:val="clear" w:color="auto" w:fill="FFFFFF"/>
        </w:rPr>
      </w:pPr>
    </w:p>
    <w:p w:rsidR="00363E61" w:rsidRPr="00A921F1" w:rsidRDefault="00363E61" w:rsidP="00363E61">
      <w:pPr>
        <w:pStyle w:val="a6"/>
        <w:shd w:val="clear" w:color="auto" w:fill="FFFFFF"/>
        <w:spacing w:before="0" w:beforeAutospacing="0" w:after="0" w:afterAutospacing="0"/>
        <w:ind w:firstLine="709"/>
        <w:contextualSpacing/>
        <w:jc w:val="both"/>
        <w:rPr>
          <w:shd w:val="clear" w:color="auto" w:fill="FFFFFF"/>
        </w:rPr>
      </w:pPr>
      <w:r w:rsidRPr="001A1526">
        <w:rPr>
          <w:shd w:val="clear" w:color="auto" w:fill="FFFFFF"/>
        </w:rPr>
        <w:t xml:space="preserve">Накопленный пласт макроэкономических проблем в 2016 году, определяющий преобладание отрицательных тенденций по базовым экономическим индикаторам, нашел отражение в формировании бюджетной политики в отчетном году. </w:t>
      </w:r>
    </w:p>
    <w:p w:rsidR="00363E61" w:rsidRPr="0080737A" w:rsidRDefault="000F4840" w:rsidP="00363E61">
      <w:pPr>
        <w:spacing w:after="0" w:line="240" w:lineRule="auto"/>
        <w:ind w:firstLine="709"/>
        <w:contextualSpacing/>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1312" behindDoc="0" locked="0" layoutInCell="1" allowOverlap="1">
            <wp:simplePos x="0" y="0"/>
            <wp:positionH relativeFrom="margin">
              <wp:posOffset>-3810</wp:posOffset>
            </wp:positionH>
            <wp:positionV relativeFrom="margin">
              <wp:posOffset>6697980</wp:posOffset>
            </wp:positionV>
            <wp:extent cx="2447925" cy="2609850"/>
            <wp:effectExtent l="19050" t="0" r="0" b="0"/>
            <wp:wrapSquare wrapText="bothSides"/>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363E61" w:rsidRPr="005360F2">
        <w:rPr>
          <w:rFonts w:ascii="Times New Roman" w:hAnsi="Times New Roman"/>
          <w:sz w:val="24"/>
          <w:szCs w:val="24"/>
        </w:rPr>
        <w:t xml:space="preserve">В доходную часть консолидированного бюджета в 2016 году поступило средств на сумму 2 337 735 723 руб. (с учетом поступлений в Социальный стабилизационный фонд Приднестровской Молдавской Республики и гуманитарной помощи Российской Федерации), что составляет </w:t>
      </w:r>
      <w:r w:rsidR="00363E61" w:rsidRPr="005360F2">
        <w:rPr>
          <w:rFonts w:ascii="Times New Roman" w:hAnsi="Times New Roman"/>
          <w:bCs/>
          <w:sz w:val="24"/>
          <w:szCs w:val="24"/>
        </w:rPr>
        <w:t>68,0</w:t>
      </w:r>
      <w:r w:rsidR="00363E61" w:rsidRPr="005360F2">
        <w:rPr>
          <w:rFonts w:ascii="Times New Roman" w:hAnsi="Times New Roman"/>
          <w:sz w:val="24"/>
          <w:szCs w:val="24"/>
        </w:rPr>
        <w:t xml:space="preserve">% от запланированного объема </w:t>
      </w:r>
      <w:r>
        <w:rPr>
          <w:rFonts w:ascii="Times New Roman" w:hAnsi="Times New Roman"/>
          <w:sz w:val="24"/>
          <w:szCs w:val="24"/>
        </w:rPr>
        <w:t xml:space="preserve">                   </w:t>
      </w:r>
      <w:r w:rsidR="00363E61" w:rsidRPr="005360F2">
        <w:rPr>
          <w:rFonts w:ascii="Times New Roman" w:hAnsi="Times New Roman"/>
          <w:sz w:val="24"/>
          <w:szCs w:val="24"/>
        </w:rPr>
        <w:t xml:space="preserve">(3 439 998 254 руб. </w:t>
      </w:r>
      <w:r w:rsidR="006158EC">
        <w:rPr>
          <w:rFonts w:ascii="Times New Roman" w:hAnsi="Times New Roman"/>
          <w:sz w:val="24"/>
          <w:szCs w:val="24"/>
        </w:rPr>
        <w:t>ПМР)</w:t>
      </w:r>
      <w:r w:rsidR="00363E61" w:rsidRPr="0042676F">
        <w:rPr>
          <w:rFonts w:ascii="Times New Roman" w:hAnsi="Times New Roman"/>
          <w:sz w:val="24"/>
          <w:szCs w:val="24"/>
        </w:rPr>
        <w:t xml:space="preserve"> или 100,7% по отношению к уровню базового года. В целом, в 2016 году обеспечена отрицательная динамика доходов консолидированного бюджета к плановым показателям, однако в сравнении с базовым показателем минувшего года – динамика положительная, за исключением поступлений в местный бюджет.</w:t>
      </w:r>
    </w:p>
    <w:p w:rsidR="00174F9C" w:rsidRDefault="00174F9C" w:rsidP="00363E61">
      <w:pPr>
        <w:spacing w:after="0" w:line="240" w:lineRule="auto"/>
        <w:ind w:firstLine="709"/>
        <w:jc w:val="right"/>
        <w:rPr>
          <w:rFonts w:ascii="Times New Roman" w:hAnsi="Times New Roman"/>
          <w:sz w:val="24"/>
          <w:szCs w:val="24"/>
        </w:rPr>
      </w:pPr>
    </w:p>
    <w:p w:rsidR="00363E61" w:rsidRPr="0080737A" w:rsidRDefault="00363E61" w:rsidP="00363E61">
      <w:pPr>
        <w:spacing w:after="0" w:line="240" w:lineRule="auto"/>
        <w:ind w:firstLine="709"/>
        <w:jc w:val="right"/>
        <w:rPr>
          <w:rFonts w:ascii="Times New Roman" w:hAnsi="Times New Roman"/>
          <w:sz w:val="24"/>
          <w:szCs w:val="24"/>
        </w:rPr>
      </w:pPr>
      <w:r w:rsidRPr="0080737A">
        <w:rPr>
          <w:rFonts w:ascii="Times New Roman" w:hAnsi="Times New Roman"/>
          <w:sz w:val="24"/>
          <w:szCs w:val="24"/>
        </w:rPr>
        <w:lastRenderedPageBreak/>
        <w:t>Таблица №</w:t>
      </w:r>
      <w:r w:rsidR="0059595E">
        <w:rPr>
          <w:rFonts w:ascii="Times New Roman" w:hAnsi="Times New Roman"/>
          <w:sz w:val="24"/>
          <w:szCs w:val="24"/>
        </w:rPr>
        <w:t>4</w:t>
      </w:r>
    </w:p>
    <w:p w:rsidR="00363E61" w:rsidRPr="00AB70D4" w:rsidRDefault="00363E61" w:rsidP="00363E61">
      <w:pPr>
        <w:pStyle w:val="ac"/>
        <w:keepNext/>
        <w:spacing w:after="0"/>
        <w:contextualSpacing/>
        <w:jc w:val="center"/>
        <w:rPr>
          <w:rFonts w:ascii="Times New Roman" w:hAnsi="Times New Roman"/>
          <w:color w:val="auto"/>
          <w:sz w:val="24"/>
          <w:szCs w:val="24"/>
        </w:rPr>
      </w:pPr>
      <w:r w:rsidRPr="00AB70D4">
        <w:rPr>
          <w:rFonts w:ascii="Times New Roman" w:hAnsi="Times New Roman"/>
          <w:color w:val="auto"/>
          <w:sz w:val="24"/>
          <w:szCs w:val="24"/>
        </w:rPr>
        <w:t>Структура исполнения доходной части консолидированного</w:t>
      </w:r>
    </w:p>
    <w:p w:rsidR="00363E61" w:rsidRPr="00AB70D4" w:rsidRDefault="00363E61" w:rsidP="00363E61">
      <w:pPr>
        <w:pStyle w:val="ac"/>
        <w:keepNext/>
        <w:spacing w:after="0"/>
        <w:contextualSpacing/>
        <w:jc w:val="center"/>
        <w:rPr>
          <w:rFonts w:ascii="Times New Roman" w:hAnsi="Times New Roman"/>
          <w:color w:val="auto"/>
          <w:sz w:val="24"/>
          <w:szCs w:val="24"/>
        </w:rPr>
      </w:pPr>
      <w:r w:rsidRPr="00AB70D4">
        <w:rPr>
          <w:rFonts w:ascii="Times New Roman" w:hAnsi="Times New Roman"/>
          <w:color w:val="auto"/>
          <w:sz w:val="24"/>
          <w:szCs w:val="24"/>
        </w:rPr>
        <w:t>бюджета за 2016 год</w:t>
      </w:r>
    </w:p>
    <w:tbl>
      <w:tblPr>
        <w:tblW w:w="9775" w:type="dxa"/>
        <w:jc w:val="center"/>
        <w:tblInd w:w="-344" w:type="dxa"/>
        <w:tblLook w:val="0000"/>
      </w:tblPr>
      <w:tblGrid>
        <w:gridCol w:w="3518"/>
        <w:gridCol w:w="1592"/>
        <w:gridCol w:w="1559"/>
        <w:gridCol w:w="914"/>
        <w:gridCol w:w="2192"/>
      </w:tblGrid>
      <w:tr w:rsidR="00363E61" w:rsidRPr="00FD24F4" w:rsidTr="00493655">
        <w:trPr>
          <w:trHeight w:val="70"/>
          <w:jc w:val="center"/>
        </w:trPr>
        <w:tc>
          <w:tcPr>
            <w:tcW w:w="3518" w:type="dxa"/>
            <w:tcBorders>
              <w:top w:val="single" w:sz="4" w:space="0" w:color="auto"/>
              <w:left w:val="single" w:sz="8" w:space="0" w:color="auto"/>
              <w:bottom w:val="nil"/>
              <w:right w:val="nil"/>
            </w:tcBorders>
            <w:noWrap/>
            <w:vAlign w:val="center"/>
          </w:tcPr>
          <w:p w:rsidR="00363E61" w:rsidRPr="00AB70D4" w:rsidRDefault="00363E61" w:rsidP="003B2047">
            <w:pPr>
              <w:spacing w:after="0" w:line="240" w:lineRule="auto"/>
              <w:jc w:val="center"/>
              <w:rPr>
                <w:rFonts w:ascii="Times New Roman" w:hAnsi="Times New Roman"/>
                <w:b/>
                <w:bCs/>
              </w:rPr>
            </w:pPr>
          </w:p>
        </w:tc>
        <w:tc>
          <w:tcPr>
            <w:tcW w:w="1592" w:type="dxa"/>
            <w:vMerge w:val="restart"/>
            <w:tcBorders>
              <w:top w:val="single" w:sz="4" w:space="0" w:color="auto"/>
              <w:left w:val="single" w:sz="8" w:space="0" w:color="auto"/>
              <w:bottom w:val="single" w:sz="8" w:space="0" w:color="000000"/>
              <w:right w:val="single" w:sz="8" w:space="0" w:color="auto"/>
            </w:tcBorders>
            <w:noWrap/>
            <w:vAlign w:val="center"/>
          </w:tcPr>
          <w:p w:rsidR="00363E61" w:rsidRPr="00AB70D4" w:rsidRDefault="00363E61" w:rsidP="003B2047">
            <w:pPr>
              <w:spacing w:after="0" w:line="240" w:lineRule="auto"/>
              <w:jc w:val="center"/>
              <w:rPr>
                <w:rFonts w:ascii="Times New Roman" w:hAnsi="Times New Roman"/>
                <w:b/>
                <w:bCs/>
              </w:rPr>
            </w:pPr>
            <w:r w:rsidRPr="00AB70D4">
              <w:rPr>
                <w:rFonts w:ascii="Times New Roman" w:hAnsi="Times New Roman"/>
                <w:b/>
                <w:bCs/>
              </w:rPr>
              <w:t>План</w:t>
            </w:r>
          </w:p>
        </w:tc>
        <w:tc>
          <w:tcPr>
            <w:tcW w:w="1559" w:type="dxa"/>
            <w:vMerge w:val="restart"/>
            <w:tcBorders>
              <w:top w:val="single" w:sz="4" w:space="0" w:color="auto"/>
              <w:left w:val="single" w:sz="8" w:space="0" w:color="auto"/>
              <w:bottom w:val="single" w:sz="8" w:space="0" w:color="000000"/>
              <w:right w:val="single" w:sz="8" w:space="0" w:color="auto"/>
            </w:tcBorders>
            <w:noWrap/>
            <w:vAlign w:val="center"/>
          </w:tcPr>
          <w:p w:rsidR="00363E61" w:rsidRPr="00AB70D4" w:rsidRDefault="00363E61" w:rsidP="003B2047">
            <w:pPr>
              <w:spacing w:after="0" w:line="240" w:lineRule="auto"/>
              <w:jc w:val="center"/>
              <w:rPr>
                <w:rFonts w:ascii="Times New Roman" w:hAnsi="Times New Roman"/>
                <w:b/>
                <w:bCs/>
              </w:rPr>
            </w:pPr>
            <w:r w:rsidRPr="00AB70D4">
              <w:rPr>
                <w:rFonts w:ascii="Times New Roman" w:hAnsi="Times New Roman"/>
                <w:b/>
                <w:bCs/>
              </w:rPr>
              <w:t>Факт</w:t>
            </w:r>
          </w:p>
        </w:tc>
        <w:tc>
          <w:tcPr>
            <w:tcW w:w="914" w:type="dxa"/>
            <w:vMerge w:val="restart"/>
            <w:tcBorders>
              <w:top w:val="single" w:sz="4" w:space="0" w:color="auto"/>
              <w:left w:val="nil"/>
              <w:right w:val="single" w:sz="8" w:space="0" w:color="auto"/>
            </w:tcBorders>
            <w:noWrap/>
            <w:vAlign w:val="center"/>
          </w:tcPr>
          <w:p w:rsidR="00363E61" w:rsidRPr="00AB70D4" w:rsidRDefault="00363E61" w:rsidP="00493655">
            <w:pPr>
              <w:spacing w:after="0" w:line="240" w:lineRule="auto"/>
              <w:ind w:left="-93" w:right="-59"/>
              <w:jc w:val="center"/>
              <w:rPr>
                <w:rFonts w:ascii="Times New Roman" w:hAnsi="Times New Roman"/>
                <w:b/>
                <w:bCs/>
              </w:rPr>
            </w:pPr>
            <w:r w:rsidRPr="00AB70D4">
              <w:rPr>
                <w:rFonts w:ascii="Times New Roman" w:hAnsi="Times New Roman"/>
                <w:b/>
                <w:bCs/>
              </w:rPr>
              <w:t>%</w:t>
            </w:r>
          </w:p>
          <w:p w:rsidR="00363E61" w:rsidRPr="00AB70D4" w:rsidRDefault="00363E61" w:rsidP="00493655">
            <w:pPr>
              <w:spacing w:after="0" w:line="240" w:lineRule="auto"/>
              <w:ind w:left="-93" w:right="-59"/>
              <w:jc w:val="center"/>
              <w:rPr>
                <w:rFonts w:ascii="Times New Roman" w:hAnsi="Times New Roman"/>
                <w:b/>
                <w:bCs/>
              </w:rPr>
            </w:pPr>
            <w:r w:rsidRPr="00AB70D4">
              <w:rPr>
                <w:rFonts w:ascii="Times New Roman" w:hAnsi="Times New Roman"/>
                <w:b/>
                <w:bCs/>
              </w:rPr>
              <w:t>исполн.</w:t>
            </w:r>
          </w:p>
        </w:tc>
        <w:tc>
          <w:tcPr>
            <w:tcW w:w="2192" w:type="dxa"/>
            <w:vMerge w:val="restart"/>
            <w:tcBorders>
              <w:top w:val="single" w:sz="4" w:space="0" w:color="auto"/>
              <w:left w:val="nil"/>
              <w:right w:val="single" w:sz="8" w:space="0" w:color="auto"/>
            </w:tcBorders>
            <w:vAlign w:val="center"/>
          </w:tcPr>
          <w:p w:rsidR="00363E61" w:rsidRPr="00AB70D4" w:rsidRDefault="00363E61" w:rsidP="003B2047">
            <w:pPr>
              <w:spacing w:after="0" w:line="240" w:lineRule="auto"/>
              <w:jc w:val="center"/>
              <w:rPr>
                <w:rFonts w:ascii="Times New Roman" w:hAnsi="Times New Roman"/>
                <w:b/>
                <w:bCs/>
              </w:rPr>
            </w:pPr>
            <w:r w:rsidRPr="00AB70D4">
              <w:rPr>
                <w:rFonts w:ascii="Times New Roman" w:hAnsi="Times New Roman"/>
                <w:b/>
                <w:bCs/>
              </w:rPr>
              <w:t>Темп роста 2016 года к 2015 году, %</w:t>
            </w:r>
          </w:p>
        </w:tc>
      </w:tr>
      <w:tr w:rsidR="00363E61" w:rsidRPr="00FD24F4" w:rsidTr="00493655">
        <w:trPr>
          <w:trHeight w:val="166"/>
          <w:jc w:val="center"/>
        </w:trPr>
        <w:tc>
          <w:tcPr>
            <w:tcW w:w="3518" w:type="dxa"/>
            <w:tcBorders>
              <w:top w:val="nil"/>
              <w:left w:val="single" w:sz="8" w:space="0" w:color="auto"/>
              <w:bottom w:val="single" w:sz="8" w:space="0" w:color="auto"/>
              <w:right w:val="nil"/>
            </w:tcBorders>
            <w:noWrap/>
            <w:vAlign w:val="center"/>
          </w:tcPr>
          <w:p w:rsidR="00363E61" w:rsidRPr="00B676CA" w:rsidRDefault="00363E61" w:rsidP="003B2047">
            <w:pPr>
              <w:spacing w:after="0" w:line="240" w:lineRule="auto"/>
              <w:jc w:val="center"/>
              <w:rPr>
                <w:rFonts w:ascii="Times New Roman" w:hAnsi="Times New Roman"/>
                <w:b/>
                <w:bCs/>
              </w:rPr>
            </w:pPr>
          </w:p>
        </w:tc>
        <w:tc>
          <w:tcPr>
            <w:tcW w:w="1592" w:type="dxa"/>
            <w:vMerge/>
            <w:tcBorders>
              <w:top w:val="single" w:sz="4" w:space="0" w:color="auto"/>
              <w:left w:val="single" w:sz="8" w:space="0" w:color="auto"/>
              <w:bottom w:val="single" w:sz="8" w:space="0" w:color="000000"/>
              <w:right w:val="single" w:sz="8" w:space="0" w:color="auto"/>
            </w:tcBorders>
            <w:vAlign w:val="center"/>
          </w:tcPr>
          <w:p w:rsidR="00363E61" w:rsidRPr="00B676CA" w:rsidRDefault="00363E61" w:rsidP="003B2047">
            <w:pPr>
              <w:spacing w:after="0" w:line="240" w:lineRule="auto"/>
              <w:jc w:val="center"/>
              <w:rPr>
                <w:rFonts w:ascii="Times New Roman" w:hAnsi="Times New Roman"/>
                <w:b/>
                <w:bCs/>
              </w:rPr>
            </w:pPr>
          </w:p>
        </w:tc>
        <w:tc>
          <w:tcPr>
            <w:tcW w:w="1559" w:type="dxa"/>
            <w:vMerge/>
            <w:tcBorders>
              <w:top w:val="single" w:sz="4" w:space="0" w:color="auto"/>
              <w:left w:val="single" w:sz="8" w:space="0" w:color="auto"/>
              <w:bottom w:val="single" w:sz="8" w:space="0" w:color="000000"/>
              <w:right w:val="single" w:sz="8" w:space="0" w:color="auto"/>
            </w:tcBorders>
            <w:vAlign w:val="center"/>
          </w:tcPr>
          <w:p w:rsidR="00363E61" w:rsidRPr="00B676CA" w:rsidRDefault="00363E61" w:rsidP="003B2047">
            <w:pPr>
              <w:spacing w:after="0" w:line="240" w:lineRule="auto"/>
              <w:jc w:val="center"/>
              <w:rPr>
                <w:rFonts w:ascii="Times New Roman" w:hAnsi="Times New Roman"/>
                <w:b/>
                <w:bCs/>
              </w:rPr>
            </w:pPr>
          </w:p>
        </w:tc>
        <w:tc>
          <w:tcPr>
            <w:tcW w:w="914" w:type="dxa"/>
            <w:vMerge/>
            <w:tcBorders>
              <w:left w:val="nil"/>
              <w:bottom w:val="single" w:sz="8" w:space="0" w:color="auto"/>
              <w:right w:val="single" w:sz="8" w:space="0" w:color="auto"/>
            </w:tcBorders>
            <w:noWrap/>
            <w:vAlign w:val="center"/>
          </w:tcPr>
          <w:p w:rsidR="00363E61" w:rsidRPr="00B676CA" w:rsidRDefault="00363E61" w:rsidP="003B2047">
            <w:pPr>
              <w:spacing w:after="0" w:line="240" w:lineRule="auto"/>
              <w:jc w:val="center"/>
              <w:rPr>
                <w:rFonts w:ascii="Times New Roman" w:hAnsi="Times New Roman"/>
                <w:b/>
                <w:bCs/>
              </w:rPr>
            </w:pPr>
          </w:p>
        </w:tc>
        <w:tc>
          <w:tcPr>
            <w:tcW w:w="2192" w:type="dxa"/>
            <w:vMerge/>
            <w:tcBorders>
              <w:left w:val="nil"/>
              <w:bottom w:val="single" w:sz="8" w:space="0" w:color="auto"/>
              <w:right w:val="single" w:sz="8" w:space="0" w:color="auto"/>
            </w:tcBorders>
            <w:vAlign w:val="center"/>
          </w:tcPr>
          <w:p w:rsidR="00363E61" w:rsidRPr="00AB70D4" w:rsidRDefault="00363E61" w:rsidP="003B2047">
            <w:pPr>
              <w:spacing w:after="0" w:line="240" w:lineRule="auto"/>
              <w:jc w:val="center"/>
              <w:rPr>
                <w:rFonts w:ascii="Times New Roman" w:hAnsi="Times New Roman"/>
                <w:b/>
                <w:bCs/>
              </w:rPr>
            </w:pPr>
          </w:p>
        </w:tc>
      </w:tr>
      <w:tr w:rsidR="00363E61" w:rsidRPr="00FD24F4" w:rsidTr="00B70F90">
        <w:trPr>
          <w:trHeight w:val="459"/>
          <w:jc w:val="center"/>
        </w:trPr>
        <w:tc>
          <w:tcPr>
            <w:tcW w:w="3518" w:type="dxa"/>
            <w:tcBorders>
              <w:top w:val="nil"/>
              <w:left w:val="single" w:sz="8" w:space="0" w:color="auto"/>
              <w:bottom w:val="nil"/>
              <w:right w:val="nil"/>
            </w:tcBorders>
            <w:noWrap/>
            <w:vAlign w:val="center"/>
          </w:tcPr>
          <w:p w:rsidR="00493655" w:rsidRDefault="00363E61" w:rsidP="003B2047">
            <w:pPr>
              <w:spacing w:after="0" w:line="240" w:lineRule="auto"/>
              <w:ind w:left="-56"/>
              <w:rPr>
                <w:rFonts w:ascii="Times New Roman" w:hAnsi="Times New Roman"/>
                <w:b/>
                <w:bCs/>
              </w:rPr>
            </w:pPr>
            <w:r w:rsidRPr="00B676CA">
              <w:rPr>
                <w:rFonts w:ascii="Times New Roman" w:hAnsi="Times New Roman"/>
                <w:b/>
                <w:bCs/>
              </w:rPr>
              <w:t xml:space="preserve">Консолидированный бюджет, </w:t>
            </w:r>
          </w:p>
          <w:p w:rsidR="00363E61" w:rsidRPr="00B676CA" w:rsidRDefault="00363E61" w:rsidP="003B2047">
            <w:pPr>
              <w:spacing w:after="0" w:line="240" w:lineRule="auto"/>
              <w:ind w:left="-56"/>
              <w:rPr>
                <w:rFonts w:ascii="Times New Roman" w:hAnsi="Times New Roman"/>
                <w:b/>
                <w:bCs/>
              </w:rPr>
            </w:pPr>
            <w:r w:rsidRPr="00B676CA">
              <w:rPr>
                <w:rFonts w:ascii="Times New Roman" w:hAnsi="Times New Roman"/>
                <w:b/>
                <w:bCs/>
              </w:rPr>
              <w:t>в т.ч.:</w:t>
            </w:r>
          </w:p>
        </w:tc>
        <w:tc>
          <w:tcPr>
            <w:tcW w:w="1592" w:type="dxa"/>
            <w:tcBorders>
              <w:top w:val="nil"/>
              <w:left w:val="single" w:sz="8" w:space="0" w:color="auto"/>
              <w:bottom w:val="single" w:sz="4" w:space="0" w:color="000000"/>
              <w:right w:val="single" w:sz="8" w:space="0" w:color="auto"/>
            </w:tcBorders>
            <w:noWrap/>
            <w:vAlign w:val="center"/>
          </w:tcPr>
          <w:p w:rsidR="00363E61" w:rsidRPr="00B676CA" w:rsidRDefault="00363E61" w:rsidP="003B2047">
            <w:pPr>
              <w:spacing w:after="0" w:line="240" w:lineRule="auto"/>
              <w:ind w:left="-123" w:right="-61"/>
              <w:jc w:val="center"/>
              <w:rPr>
                <w:rFonts w:ascii="Times New Roman" w:hAnsi="Times New Roman"/>
                <w:b/>
                <w:bCs/>
              </w:rPr>
            </w:pPr>
            <w:r w:rsidRPr="00B676CA">
              <w:rPr>
                <w:rFonts w:ascii="Times New Roman" w:hAnsi="Times New Roman"/>
                <w:b/>
                <w:bCs/>
              </w:rPr>
              <w:t xml:space="preserve">3 439 998 254 </w:t>
            </w:r>
          </w:p>
        </w:tc>
        <w:tc>
          <w:tcPr>
            <w:tcW w:w="1559" w:type="dxa"/>
            <w:tcBorders>
              <w:top w:val="nil"/>
              <w:left w:val="single" w:sz="8" w:space="0" w:color="auto"/>
              <w:bottom w:val="nil"/>
              <w:right w:val="single" w:sz="8" w:space="0" w:color="auto"/>
            </w:tcBorders>
            <w:noWrap/>
            <w:vAlign w:val="center"/>
          </w:tcPr>
          <w:p w:rsidR="00363E61" w:rsidRPr="00B676CA" w:rsidRDefault="00363E61" w:rsidP="003B2047">
            <w:pPr>
              <w:spacing w:after="0" w:line="240" w:lineRule="auto"/>
              <w:ind w:left="-155" w:right="-190"/>
              <w:jc w:val="center"/>
              <w:rPr>
                <w:rFonts w:ascii="Times New Roman" w:hAnsi="Times New Roman"/>
                <w:b/>
                <w:bCs/>
              </w:rPr>
            </w:pPr>
            <w:r w:rsidRPr="00B676CA">
              <w:rPr>
                <w:rFonts w:ascii="Times New Roman" w:hAnsi="Times New Roman"/>
                <w:b/>
                <w:bCs/>
              </w:rPr>
              <w:t xml:space="preserve">2 337 735 723 </w:t>
            </w:r>
          </w:p>
        </w:tc>
        <w:tc>
          <w:tcPr>
            <w:tcW w:w="914" w:type="dxa"/>
            <w:tcBorders>
              <w:top w:val="nil"/>
              <w:left w:val="single" w:sz="8" w:space="0" w:color="auto"/>
              <w:bottom w:val="single" w:sz="4" w:space="0" w:color="000000"/>
              <w:right w:val="single" w:sz="8" w:space="0" w:color="auto"/>
            </w:tcBorders>
            <w:noWrap/>
            <w:vAlign w:val="center"/>
          </w:tcPr>
          <w:p w:rsidR="00363E61" w:rsidRPr="00B676CA" w:rsidRDefault="00363E61" w:rsidP="003B2047">
            <w:pPr>
              <w:spacing w:after="0" w:line="240" w:lineRule="auto"/>
              <w:jc w:val="center"/>
              <w:rPr>
                <w:rFonts w:ascii="Times New Roman" w:hAnsi="Times New Roman"/>
                <w:b/>
                <w:bCs/>
              </w:rPr>
            </w:pPr>
            <w:r w:rsidRPr="00B676CA">
              <w:rPr>
                <w:rFonts w:ascii="Times New Roman" w:hAnsi="Times New Roman"/>
                <w:b/>
                <w:bCs/>
              </w:rPr>
              <w:t>68,0</w:t>
            </w:r>
          </w:p>
        </w:tc>
        <w:tc>
          <w:tcPr>
            <w:tcW w:w="2192" w:type="dxa"/>
            <w:tcBorders>
              <w:top w:val="nil"/>
              <w:left w:val="single" w:sz="8" w:space="0" w:color="auto"/>
              <w:bottom w:val="single" w:sz="4" w:space="0" w:color="000000"/>
              <w:right w:val="single" w:sz="8" w:space="0" w:color="auto"/>
            </w:tcBorders>
            <w:vAlign w:val="center"/>
          </w:tcPr>
          <w:p w:rsidR="00363E61" w:rsidRPr="00AB70D4" w:rsidRDefault="00363E61" w:rsidP="003B2047">
            <w:pPr>
              <w:spacing w:after="0" w:line="240" w:lineRule="auto"/>
              <w:jc w:val="center"/>
              <w:rPr>
                <w:rFonts w:ascii="Times New Roman" w:hAnsi="Times New Roman"/>
                <w:b/>
                <w:bCs/>
              </w:rPr>
            </w:pPr>
            <w:r w:rsidRPr="00AB70D4">
              <w:rPr>
                <w:rFonts w:ascii="Times New Roman" w:hAnsi="Times New Roman"/>
                <w:b/>
                <w:bCs/>
              </w:rPr>
              <w:t>100,7</w:t>
            </w:r>
          </w:p>
        </w:tc>
      </w:tr>
      <w:tr w:rsidR="00363E61" w:rsidRPr="00FD24F4" w:rsidTr="00493655">
        <w:trPr>
          <w:trHeight w:val="329"/>
          <w:jc w:val="center"/>
        </w:trPr>
        <w:tc>
          <w:tcPr>
            <w:tcW w:w="3518" w:type="dxa"/>
            <w:tcBorders>
              <w:top w:val="single" w:sz="4" w:space="0" w:color="auto"/>
              <w:left w:val="single" w:sz="8" w:space="0" w:color="auto"/>
              <w:bottom w:val="single" w:sz="4" w:space="0" w:color="auto"/>
              <w:right w:val="nil"/>
            </w:tcBorders>
            <w:noWrap/>
            <w:vAlign w:val="center"/>
          </w:tcPr>
          <w:p w:rsidR="00363E61" w:rsidRPr="00B676CA" w:rsidRDefault="00363E61" w:rsidP="003B2047">
            <w:pPr>
              <w:spacing w:after="0" w:line="240" w:lineRule="auto"/>
              <w:ind w:left="-56"/>
              <w:rPr>
                <w:rFonts w:ascii="Times New Roman" w:hAnsi="Times New Roman"/>
                <w:bCs/>
              </w:rPr>
            </w:pPr>
            <w:r w:rsidRPr="00B676CA">
              <w:rPr>
                <w:rFonts w:ascii="Times New Roman" w:hAnsi="Times New Roman"/>
                <w:bCs/>
              </w:rPr>
              <w:t>Республиканский бюджет</w:t>
            </w:r>
          </w:p>
        </w:tc>
        <w:tc>
          <w:tcPr>
            <w:tcW w:w="1592" w:type="dxa"/>
            <w:tcBorders>
              <w:top w:val="nil"/>
              <w:left w:val="single" w:sz="8" w:space="0" w:color="auto"/>
              <w:bottom w:val="single" w:sz="4" w:space="0" w:color="auto"/>
              <w:right w:val="single" w:sz="8" w:space="0" w:color="auto"/>
            </w:tcBorders>
            <w:noWrap/>
            <w:vAlign w:val="center"/>
          </w:tcPr>
          <w:p w:rsidR="00363E61" w:rsidRPr="00B676CA" w:rsidRDefault="00363E61" w:rsidP="003B2047">
            <w:pPr>
              <w:spacing w:after="0" w:line="240" w:lineRule="auto"/>
              <w:jc w:val="center"/>
              <w:rPr>
                <w:rFonts w:ascii="Times New Roman" w:hAnsi="Times New Roman"/>
                <w:bCs/>
              </w:rPr>
            </w:pPr>
            <w:r w:rsidRPr="00B676CA">
              <w:rPr>
                <w:rFonts w:ascii="Times New Roman" w:hAnsi="Times New Roman"/>
                <w:bCs/>
              </w:rPr>
              <w:t xml:space="preserve">2 589 245 013 </w:t>
            </w:r>
          </w:p>
        </w:tc>
        <w:tc>
          <w:tcPr>
            <w:tcW w:w="1559" w:type="dxa"/>
            <w:tcBorders>
              <w:top w:val="single" w:sz="4" w:space="0" w:color="auto"/>
              <w:left w:val="nil"/>
              <w:bottom w:val="single" w:sz="4" w:space="0" w:color="auto"/>
              <w:right w:val="single" w:sz="8" w:space="0" w:color="auto"/>
            </w:tcBorders>
            <w:noWrap/>
            <w:vAlign w:val="center"/>
          </w:tcPr>
          <w:p w:rsidR="00363E61" w:rsidRPr="00B676CA" w:rsidRDefault="00363E61" w:rsidP="003B2047">
            <w:pPr>
              <w:spacing w:after="0" w:line="240" w:lineRule="auto"/>
              <w:jc w:val="center"/>
              <w:rPr>
                <w:rFonts w:ascii="Times New Roman" w:hAnsi="Times New Roman"/>
                <w:bCs/>
              </w:rPr>
            </w:pPr>
            <w:r w:rsidRPr="00B676CA">
              <w:rPr>
                <w:rFonts w:ascii="Times New Roman" w:hAnsi="Times New Roman"/>
                <w:bCs/>
              </w:rPr>
              <w:t xml:space="preserve">1 512 277 052 </w:t>
            </w:r>
          </w:p>
        </w:tc>
        <w:tc>
          <w:tcPr>
            <w:tcW w:w="914" w:type="dxa"/>
            <w:tcBorders>
              <w:top w:val="nil"/>
              <w:left w:val="nil"/>
              <w:bottom w:val="single" w:sz="4" w:space="0" w:color="auto"/>
              <w:right w:val="single" w:sz="8" w:space="0" w:color="auto"/>
            </w:tcBorders>
            <w:noWrap/>
            <w:vAlign w:val="center"/>
          </w:tcPr>
          <w:p w:rsidR="00363E61" w:rsidRPr="00B676CA" w:rsidRDefault="00363E61" w:rsidP="003B2047">
            <w:pPr>
              <w:spacing w:after="0" w:line="240" w:lineRule="auto"/>
              <w:jc w:val="center"/>
              <w:rPr>
                <w:rFonts w:ascii="Times New Roman" w:hAnsi="Times New Roman"/>
                <w:bCs/>
              </w:rPr>
            </w:pPr>
            <w:r w:rsidRPr="00B676CA">
              <w:rPr>
                <w:rFonts w:ascii="Times New Roman" w:hAnsi="Times New Roman"/>
                <w:bCs/>
              </w:rPr>
              <w:t>58,4</w:t>
            </w:r>
          </w:p>
        </w:tc>
        <w:tc>
          <w:tcPr>
            <w:tcW w:w="2192" w:type="dxa"/>
            <w:tcBorders>
              <w:top w:val="nil"/>
              <w:left w:val="nil"/>
              <w:bottom w:val="single" w:sz="4" w:space="0" w:color="auto"/>
              <w:right w:val="single" w:sz="8" w:space="0" w:color="auto"/>
            </w:tcBorders>
            <w:vAlign w:val="center"/>
          </w:tcPr>
          <w:p w:rsidR="00363E61" w:rsidRPr="00AB70D4" w:rsidRDefault="00363E61" w:rsidP="003B2047">
            <w:pPr>
              <w:spacing w:after="0" w:line="240" w:lineRule="auto"/>
              <w:jc w:val="center"/>
              <w:rPr>
                <w:rFonts w:ascii="Times New Roman" w:hAnsi="Times New Roman"/>
                <w:bCs/>
              </w:rPr>
            </w:pPr>
            <w:r w:rsidRPr="00AB70D4">
              <w:rPr>
                <w:rFonts w:ascii="Times New Roman" w:hAnsi="Times New Roman"/>
                <w:bCs/>
              </w:rPr>
              <w:t>103,0</w:t>
            </w:r>
          </w:p>
        </w:tc>
      </w:tr>
      <w:tr w:rsidR="00363E61" w:rsidRPr="0080737A" w:rsidTr="00493655">
        <w:trPr>
          <w:trHeight w:val="405"/>
          <w:jc w:val="center"/>
        </w:trPr>
        <w:tc>
          <w:tcPr>
            <w:tcW w:w="3518" w:type="dxa"/>
            <w:tcBorders>
              <w:top w:val="nil"/>
              <w:left w:val="single" w:sz="8" w:space="0" w:color="auto"/>
              <w:bottom w:val="single" w:sz="4" w:space="0" w:color="auto"/>
              <w:right w:val="nil"/>
            </w:tcBorders>
            <w:shd w:val="clear" w:color="auto" w:fill="auto"/>
            <w:noWrap/>
            <w:vAlign w:val="center"/>
          </w:tcPr>
          <w:p w:rsidR="00363E61" w:rsidRPr="00B676CA" w:rsidRDefault="00363E61" w:rsidP="003B2047">
            <w:pPr>
              <w:spacing w:after="0" w:line="240" w:lineRule="auto"/>
              <w:ind w:left="-56"/>
              <w:rPr>
                <w:rFonts w:ascii="Times New Roman" w:hAnsi="Times New Roman"/>
                <w:bCs/>
              </w:rPr>
            </w:pPr>
            <w:r w:rsidRPr="00B676CA">
              <w:rPr>
                <w:rFonts w:ascii="Times New Roman" w:hAnsi="Times New Roman"/>
                <w:bCs/>
              </w:rPr>
              <w:t>Местные бюджеты</w:t>
            </w:r>
          </w:p>
        </w:tc>
        <w:tc>
          <w:tcPr>
            <w:tcW w:w="1592" w:type="dxa"/>
            <w:tcBorders>
              <w:top w:val="nil"/>
              <w:left w:val="single" w:sz="8" w:space="0" w:color="auto"/>
              <w:bottom w:val="single" w:sz="4" w:space="0" w:color="auto"/>
              <w:right w:val="single" w:sz="8" w:space="0" w:color="auto"/>
            </w:tcBorders>
            <w:shd w:val="clear" w:color="auto" w:fill="auto"/>
            <w:noWrap/>
            <w:vAlign w:val="center"/>
          </w:tcPr>
          <w:p w:rsidR="00363E61" w:rsidRPr="00B676CA" w:rsidRDefault="00363E61" w:rsidP="003B2047">
            <w:pPr>
              <w:spacing w:after="0" w:line="240" w:lineRule="auto"/>
              <w:jc w:val="center"/>
              <w:rPr>
                <w:rFonts w:ascii="Times New Roman" w:hAnsi="Times New Roman"/>
                <w:bCs/>
              </w:rPr>
            </w:pPr>
            <w:r w:rsidRPr="00B676CA">
              <w:rPr>
                <w:rFonts w:ascii="Times New Roman" w:hAnsi="Times New Roman"/>
                <w:bCs/>
              </w:rPr>
              <w:t xml:space="preserve">850 753 241 </w:t>
            </w:r>
          </w:p>
        </w:tc>
        <w:tc>
          <w:tcPr>
            <w:tcW w:w="1559" w:type="dxa"/>
            <w:tcBorders>
              <w:top w:val="nil"/>
              <w:left w:val="nil"/>
              <w:bottom w:val="single" w:sz="4" w:space="0" w:color="auto"/>
              <w:right w:val="single" w:sz="8" w:space="0" w:color="auto"/>
            </w:tcBorders>
            <w:shd w:val="clear" w:color="auto" w:fill="auto"/>
            <w:noWrap/>
            <w:vAlign w:val="center"/>
          </w:tcPr>
          <w:p w:rsidR="00363E61" w:rsidRPr="00B676CA" w:rsidRDefault="00363E61" w:rsidP="003B2047">
            <w:pPr>
              <w:spacing w:after="0" w:line="240" w:lineRule="auto"/>
              <w:jc w:val="center"/>
              <w:rPr>
                <w:rFonts w:ascii="Times New Roman" w:hAnsi="Times New Roman"/>
                <w:bCs/>
              </w:rPr>
            </w:pPr>
            <w:r w:rsidRPr="00B676CA">
              <w:rPr>
                <w:rFonts w:ascii="Times New Roman" w:hAnsi="Times New Roman"/>
                <w:bCs/>
              </w:rPr>
              <w:t xml:space="preserve">825 458 671 </w:t>
            </w:r>
          </w:p>
        </w:tc>
        <w:tc>
          <w:tcPr>
            <w:tcW w:w="914" w:type="dxa"/>
            <w:tcBorders>
              <w:top w:val="nil"/>
              <w:left w:val="nil"/>
              <w:bottom w:val="single" w:sz="4" w:space="0" w:color="auto"/>
              <w:right w:val="single" w:sz="8" w:space="0" w:color="auto"/>
            </w:tcBorders>
            <w:shd w:val="clear" w:color="auto" w:fill="auto"/>
            <w:noWrap/>
            <w:vAlign w:val="center"/>
          </w:tcPr>
          <w:p w:rsidR="00363E61" w:rsidRPr="00B676CA" w:rsidRDefault="00363E61" w:rsidP="003B2047">
            <w:pPr>
              <w:spacing w:after="0" w:line="240" w:lineRule="auto"/>
              <w:jc w:val="center"/>
              <w:rPr>
                <w:rFonts w:ascii="Times New Roman" w:hAnsi="Times New Roman"/>
                <w:bCs/>
              </w:rPr>
            </w:pPr>
            <w:r w:rsidRPr="00B676CA">
              <w:rPr>
                <w:rFonts w:ascii="Times New Roman" w:hAnsi="Times New Roman"/>
                <w:bCs/>
              </w:rPr>
              <w:t>97,0</w:t>
            </w:r>
          </w:p>
        </w:tc>
        <w:tc>
          <w:tcPr>
            <w:tcW w:w="2192" w:type="dxa"/>
            <w:tcBorders>
              <w:top w:val="nil"/>
              <w:left w:val="nil"/>
              <w:bottom w:val="single" w:sz="4" w:space="0" w:color="auto"/>
              <w:right w:val="single" w:sz="8" w:space="0" w:color="auto"/>
            </w:tcBorders>
            <w:shd w:val="clear" w:color="auto" w:fill="auto"/>
            <w:vAlign w:val="center"/>
          </w:tcPr>
          <w:p w:rsidR="00363E61" w:rsidRPr="00AB70D4" w:rsidRDefault="00363E61" w:rsidP="003B2047">
            <w:pPr>
              <w:spacing w:after="0" w:line="240" w:lineRule="auto"/>
              <w:jc w:val="center"/>
              <w:rPr>
                <w:rFonts w:ascii="Times New Roman" w:hAnsi="Times New Roman"/>
                <w:bCs/>
              </w:rPr>
            </w:pPr>
            <w:r w:rsidRPr="00AB70D4">
              <w:rPr>
                <w:rFonts w:ascii="Times New Roman" w:hAnsi="Times New Roman"/>
                <w:bCs/>
              </w:rPr>
              <w:t>96,8</w:t>
            </w:r>
          </w:p>
        </w:tc>
      </w:tr>
    </w:tbl>
    <w:p w:rsidR="00363E61" w:rsidRPr="00A04AF4" w:rsidRDefault="00363E61" w:rsidP="00363E61">
      <w:pPr>
        <w:spacing w:after="0"/>
        <w:rPr>
          <w:rFonts w:ascii="Times New Roman" w:hAnsi="Times New Roman" w:cs="Times New Roman"/>
          <w:sz w:val="10"/>
          <w:szCs w:val="10"/>
        </w:rPr>
      </w:pPr>
    </w:p>
    <w:p w:rsidR="00363E61" w:rsidRPr="00AF2BF6" w:rsidRDefault="00363E61" w:rsidP="00363E61">
      <w:pPr>
        <w:spacing w:after="0" w:line="240" w:lineRule="auto"/>
        <w:ind w:firstLine="709"/>
        <w:jc w:val="both"/>
        <w:rPr>
          <w:rFonts w:ascii="Times New Roman" w:hAnsi="Times New Roman"/>
          <w:sz w:val="24"/>
          <w:szCs w:val="24"/>
        </w:rPr>
      </w:pPr>
      <w:r w:rsidRPr="008506FB">
        <w:rPr>
          <w:rFonts w:ascii="Times New Roman" w:hAnsi="Times New Roman"/>
          <w:sz w:val="24"/>
          <w:szCs w:val="24"/>
        </w:rPr>
        <w:t>В 2016 году отмечены незначительные изменения в формировании консолидированного бюджета. Так, доходы республиканского бюджета составили 1 512 277 052 руб. (64,7 % в сумме доходов консолидированного бюджета), что выше на 1,4 процентных пункта базового показателя 2015 года, при соответствующем сокращении долевого участия поступлений местных бюджетов, доля которых составила 35,3% (</w:t>
      </w:r>
      <w:r w:rsidRPr="00AF2BF6">
        <w:rPr>
          <w:rFonts w:ascii="Times New Roman" w:hAnsi="Times New Roman"/>
          <w:bCs/>
          <w:sz w:val="24"/>
          <w:szCs w:val="24"/>
        </w:rPr>
        <w:t>825 458 671 руб</w:t>
      </w:r>
      <w:r w:rsidRPr="00AF2BF6">
        <w:rPr>
          <w:rFonts w:ascii="Times New Roman" w:hAnsi="Times New Roman"/>
          <w:sz w:val="24"/>
          <w:szCs w:val="24"/>
        </w:rPr>
        <w:t>.), в 2015 году – 36,7%.</w:t>
      </w:r>
    </w:p>
    <w:p w:rsidR="00BE59CB" w:rsidRDefault="00363E61" w:rsidP="00363E61">
      <w:pPr>
        <w:spacing w:after="0" w:line="240" w:lineRule="auto"/>
        <w:ind w:firstLine="709"/>
        <w:jc w:val="both"/>
        <w:rPr>
          <w:rFonts w:ascii="Times New Roman" w:hAnsi="Times New Roman"/>
          <w:sz w:val="24"/>
          <w:szCs w:val="24"/>
        </w:rPr>
      </w:pPr>
      <w:r w:rsidRPr="00AF2BF6">
        <w:rPr>
          <w:rFonts w:ascii="Times New Roman" w:hAnsi="Times New Roman"/>
          <w:sz w:val="24"/>
          <w:szCs w:val="24"/>
        </w:rPr>
        <w:t>Удельный вес доходной части консолидированного бюджета в ВВП за 2016 год сократился на 3,7% по отношению к базовому периоду прошлого года и составил 20,4%</w:t>
      </w:r>
      <w:r>
        <w:rPr>
          <w:rFonts w:ascii="Times New Roman" w:hAnsi="Times New Roman"/>
          <w:sz w:val="24"/>
          <w:szCs w:val="24"/>
        </w:rPr>
        <w:t>.</w:t>
      </w:r>
    </w:p>
    <w:p w:rsidR="00E01495" w:rsidRPr="00E01495" w:rsidRDefault="00E01495" w:rsidP="00363E61">
      <w:pPr>
        <w:spacing w:after="0" w:line="240" w:lineRule="auto"/>
        <w:ind w:firstLine="709"/>
        <w:jc w:val="both"/>
        <w:rPr>
          <w:rFonts w:ascii="Times New Roman" w:hAnsi="Times New Roman"/>
          <w:sz w:val="10"/>
          <w:szCs w:val="10"/>
        </w:rPr>
      </w:pPr>
    </w:p>
    <w:p w:rsidR="00A00123" w:rsidRDefault="00A00123" w:rsidP="00A00123">
      <w:pPr>
        <w:spacing w:after="0" w:line="240" w:lineRule="auto"/>
        <w:jc w:val="both"/>
        <w:rPr>
          <w:rFonts w:ascii="Times New Roman" w:hAnsi="Times New Roman"/>
          <w:sz w:val="24"/>
          <w:szCs w:val="24"/>
        </w:rPr>
      </w:pPr>
      <w:r w:rsidRPr="00A00123">
        <w:rPr>
          <w:rFonts w:ascii="Times New Roman" w:hAnsi="Times New Roman"/>
          <w:noProof/>
          <w:sz w:val="24"/>
          <w:szCs w:val="24"/>
        </w:rPr>
        <w:drawing>
          <wp:inline distT="0" distB="0" distL="0" distR="0">
            <wp:extent cx="6153150" cy="3095625"/>
            <wp:effectExtent l="0" t="0" r="0" b="0"/>
            <wp:docPr id="5"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00123" w:rsidRPr="006E11B6" w:rsidRDefault="00A00123" w:rsidP="00A00123">
      <w:pPr>
        <w:spacing w:after="0" w:line="240" w:lineRule="auto"/>
        <w:ind w:firstLine="709"/>
        <w:jc w:val="both"/>
        <w:rPr>
          <w:rFonts w:ascii="Times New Roman" w:hAnsi="Times New Roman"/>
          <w:sz w:val="24"/>
          <w:szCs w:val="24"/>
        </w:rPr>
      </w:pPr>
      <w:r w:rsidRPr="006E11B6">
        <w:rPr>
          <w:rFonts w:ascii="Times New Roman" w:hAnsi="Times New Roman"/>
          <w:sz w:val="24"/>
          <w:szCs w:val="24"/>
        </w:rPr>
        <w:t xml:space="preserve">Наибольшая доля (70,8%) поступлений в доходную часть консолидированного бюджета принадлежит </w:t>
      </w:r>
      <w:r w:rsidRPr="006E11B6">
        <w:rPr>
          <w:rFonts w:ascii="Times New Roman" w:hAnsi="Times New Roman"/>
          <w:b/>
          <w:sz w:val="24"/>
          <w:szCs w:val="24"/>
        </w:rPr>
        <w:t>налоговым платежам</w:t>
      </w:r>
      <w:r w:rsidRPr="006E11B6">
        <w:rPr>
          <w:rFonts w:ascii="Times New Roman" w:hAnsi="Times New Roman"/>
          <w:sz w:val="24"/>
          <w:szCs w:val="24"/>
        </w:rPr>
        <w:t>, величина которых в 2016 году сократилась на 7,8% к уровню прошлого года до 1 655 984 222</w:t>
      </w:r>
      <w:r w:rsidRPr="006E11B6">
        <w:rPr>
          <w:rFonts w:ascii="Times New Roman" w:hAnsi="Times New Roman"/>
        </w:rPr>
        <w:t xml:space="preserve"> </w:t>
      </w:r>
      <w:r w:rsidRPr="006E11B6">
        <w:rPr>
          <w:rFonts w:ascii="Times New Roman" w:hAnsi="Times New Roman"/>
          <w:sz w:val="24"/>
          <w:szCs w:val="24"/>
        </w:rPr>
        <w:t>руб., что связано со спадом производства промышленной продукции, а также уменьшением внешнеэкономической активности хозяйствующих субъектов республики.</w:t>
      </w:r>
    </w:p>
    <w:p w:rsidR="00A00123" w:rsidRPr="0080737A" w:rsidRDefault="00A00123" w:rsidP="00A00123">
      <w:pPr>
        <w:spacing w:after="0" w:line="240" w:lineRule="auto"/>
        <w:ind w:firstLine="709"/>
        <w:jc w:val="both"/>
        <w:rPr>
          <w:rFonts w:ascii="Times New Roman" w:hAnsi="Times New Roman"/>
          <w:sz w:val="24"/>
          <w:szCs w:val="24"/>
        </w:rPr>
      </w:pPr>
      <w:r w:rsidRPr="00B32F87">
        <w:rPr>
          <w:rFonts w:ascii="Times New Roman" w:hAnsi="Times New Roman"/>
          <w:sz w:val="24"/>
          <w:szCs w:val="24"/>
        </w:rPr>
        <w:t xml:space="preserve">В 2016 году неналоговые поступления выросли на 11,4% по сравнению с базовым годом </w:t>
      </w:r>
      <w:r w:rsidRPr="001543FE">
        <w:rPr>
          <w:rFonts w:ascii="Times New Roman" w:hAnsi="Times New Roman"/>
          <w:sz w:val="24"/>
          <w:szCs w:val="24"/>
        </w:rPr>
        <w:t>и сформировали порядка 2,8% всех поступлений консолидированного бюджета. Доля доходов целевых бюджетных фондов сократилась на 0,9 процентных пункта до 9,3%. Доходы от предпринимательской и иной приносящей доход деятельности остались на уровне минувшего года, оставив за собой 9,4% долевого участия в доходной части консолидированного бюджета. При этом доходы Социального стабилизационного фонда Приднестровской Молдавской Республики выросли в 5,8 раз по сравнению с уровнем 2015</w:t>
      </w:r>
      <w:r w:rsidR="00A04AF4">
        <w:rPr>
          <w:rFonts w:ascii="Times New Roman" w:hAnsi="Times New Roman"/>
          <w:sz w:val="24"/>
          <w:szCs w:val="24"/>
        </w:rPr>
        <w:t> </w:t>
      </w:r>
      <w:r w:rsidRPr="001543FE">
        <w:rPr>
          <w:rFonts w:ascii="Times New Roman" w:hAnsi="Times New Roman"/>
          <w:sz w:val="24"/>
          <w:szCs w:val="24"/>
        </w:rPr>
        <w:t>года и составили 176 081 470 руб., сформировав 7,5% общих доходов консолидированного бюджета.</w:t>
      </w:r>
    </w:p>
    <w:p w:rsidR="00A00123" w:rsidRDefault="008176B9" w:rsidP="00A00123">
      <w:pPr>
        <w:spacing w:after="0" w:line="240" w:lineRule="auto"/>
        <w:ind w:firstLine="709"/>
        <w:jc w:val="both"/>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63360" behindDoc="1" locked="0" layoutInCell="1" allowOverlap="1">
            <wp:simplePos x="0" y="0"/>
            <wp:positionH relativeFrom="column">
              <wp:posOffset>-184785</wp:posOffset>
            </wp:positionH>
            <wp:positionV relativeFrom="paragraph">
              <wp:posOffset>540385</wp:posOffset>
            </wp:positionV>
            <wp:extent cx="6257925" cy="3457575"/>
            <wp:effectExtent l="0" t="0" r="0" b="0"/>
            <wp:wrapTight wrapText="bothSides">
              <wp:wrapPolygon edited="0">
                <wp:start x="14729" y="357"/>
                <wp:lineTo x="0" y="476"/>
                <wp:lineTo x="0" y="9164"/>
                <wp:lineTo x="789" y="9878"/>
                <wp:lineTo x="66" y="9878"/>
                <wp:lineTo x="0" y="11782"/>
                <wp:lineTo x="789" y="11782"/>
                <wp:lineTo x="132" y="12258"/>
                <wp:lineTo x="0" y="16185"/>
                <wp:lineTo x="395" y="17494"/>
                <wp:lineTo x="263" y="17851"/>
                <wp:lineTo x="723" y="18922"/>
                <wp:lineTo x="3879" y="19398"/>
                <wp:lineTo x="1249" y="20350"/>
                <wp:lineTo x="1249" y="20945"/>
                <wp:lineTo x="2564" y="20945"/>
                <wp:lineTo x="6904" y="20945"/>
                <wp:lineTo x="12756" y="20945"/>
                <wp:lineTo x="18477" y="20231"/>
                <wp:lineTo x="18411" y="19398"/>
                <wp:lineTo x="20647" y="19398"/>
                <wp:lineTo x="20449" y="18803"/>
                <wp:lineTo x="14400" y="17494"/>
                <wp:lineTo x="21501" y="17494"/>
                <wp:lineTo x="21501" y="15709"/>
                <wp:lineTo x="15058" y="15590"/>
                <wp:lineTo x="19923" y="14162"/>
                <wp:lineTo x="20121" y="12734"/>
                <wp:lineTo x="19134" y="12496"/>
                <wp:lineTo x="13611" y="11782"/>
                <wp:lineTo x="14400" y="11782"/>
                <wp:lineTo x="21436" y="10116"/>
                <wp:lineTo x="21501" y="9878"/>
                <wp:lineTo x="19989" y="7974"/>
                <wp:lineTo x="20121" y="6783"/>
                <wp:lineTo x="18740" y="6545"/>
                <wp:lineTo x="9732" y="6069"/>
                <wp:lineTo x="10718" y="6069"/>
                <wp:lineTo x="19595" y="4403"/>
                <wp:lineTo x="19595" y="4165"/>
                <wp:lineTo x="21567" y="4046"/>
                <wp:lineTo x="21567" y="3451"/>
                <wp:lineTo x="18016" y="2261"/>
                <wp:lineTo x="21501" y="2023"/>
                <wp:lineTo x="21567" y="357"/>
                <wp:lineTo x="21041" y="357"/>
                <wp:lineTo x="14729" y="357"/>
              </wp:wrapPolygon>
            </wp:wrapTight>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A00123" w:rsidRPr="00FF2D41">
        <w:rPr>
          <w:rFonts w:ascii="Times New Roman" w:hAnsi="Times New Roman"/>
          <w:b/>
          <w:sz w:val="24"/>
          <w:szCs w:val="24"/>
        </w:rPr>
        <w:t>Налоговая нагрузка</w:t>
      </w:r>
      <w:r w:rsidR="00A00123" w:rsidRPr="00FF2D41">
        <w:rPr>
          <w:rFonts w:ascii="Times New Roman" w:hAnsi="Times New Roman"/>
          <w:sz w:val="24"/>
          <w:szCs w:val="24"/>
        </w:rPr>
        <w:t xml:space="preserve"> консолидированного бюджета в целом на экономику республики составила </w:t>
      </w:r>
      <w:r w:rsidR="00A00123" w:rsidRPr="00FF2D41">
        <w:rPr>
          <w:rFonts w:ascii="Times New Roman" w:hAnsi="Times New Roman"/>
          <w:b/>
          <w:sz w:val="24"/>
          <w:szCs w:val="24"/>
        </w:rPr>
        <w:t xml:space="preserve">15,9%, </w:t>
      </w:r>
      <w:r w:rsidR="00A00123" w:rsidRPr="00FF2D41">
        <w:rPr>
          <w:rFonts w:ascii="Times New Roman" w:hAnsi="Times New Roman"/>
          <w:sz w:val="24"/>
          <w:szCs w:val="24"/>
        </w:rPr>
        <w:t>сократившись на 0,3 процентных пункта</w:t>
      </w:r>
      <w:r w:rsidR="00A00123" w:rsidRPr="00FF2D41">
        <w:rPr>
          <w:rFonts w:ascii="Times New Roman" w:hAnsi="Times New Roman"/>
          <w:b/>
          <w:sz w:val="24"/>
          <w:szCs w:val="24"/>
        </w:rPr>
        <w:t xml:space="preserve"> </w:t>
      </w:r>
      <w:r w:rsidR="00A00123" w:rsidRPr="00FF2D41">
        <w:rPr>
          <w:rFonts w:ascii="Times New Roman" w:hAnsi="Times New Roman"/>
          <w:sz w:val="24"/>
          <w:szCs w:val="24"/>
        </w:rPr>
        <w:t>по сравнению с уровнем 2015 года (</w:t>
      </w:r>
      <w:r w:rsidR="00A00123" w:rsidRPr="00FF2D41">
        <w:rPr>
          <w:rFonts w:ascii="Times New Roman" w:hAnsi="Times New Roman"/>
          <w:b/>
          <w:sz w:val="24"/>
          <w:szCs w:val="24"/>
        </w:rPr>
        <w:t>16,2%).</w:t>
      </w:r>
    </w:p>
    <w:p w:rsidR="00A00123" w:rsidRDefault="00A00123" w:rsidP="00A00123">
      <w:pPr>
        <w:spacing w:after="0" w:line="240" w:lineRule="auto"/>
        <w:ind w:firstLine="709"/>
        <w:jc w:val="both"/>
        <w:rPr>
          <w:rFonts w:ascii="Times New Roman" w:hAnsi="Times New Roman"/>
          <w:b/>
          <w:sz w:val="24"/>
          <w:szCs w:val="24"/>
        </w:rPr>
      </w:pPr>
    </w:p>
    <w:p w:rsidR="00A00123" w:rsidRDefault="00A00123" w:rsidP="00A00123">
      <w:pPr>
        <w:spacing w:after="0" w:line="240" w:lineRule="auto"/>
        <w:ind w:firstLine="709"/>
        <w:jc w:val="both"/>
        <w:rPr>
          <w:rFonts w:ascii="Times New Roman" w:hAnsi="Times New Roman"/>
          <w:b/>
          <w:sz w:val="24"/>
          <w:szCs w:val="24"/>
        </w:rPr>
      </w:pPr>
    </w:p>
    <w:p w:rsidR="008176B9" w:rsidRDefault="008176B9" w:rsidP="00A00123">
      <w:pPr>
        <w:spacing w:after="0" w:line="240" w:lineRule="auto"/>
        <w:ind w:firstLine="709"/>
        <w:jc w:val="both"/>
        <w:rPr>
          <w:rFonts w:ascii="Times New Roman" w:hAnsi="Times New Roman"/>
          <w:b/>
          <w:sz w:val="24"/>
          <w:szCs w:val="24"/>
        </w:rPr>
      </w:pPr>
    </w:p>
    <w:p w:rsidR="00A00123" w:rsidRPr="009654EB" w:rsidRDefault="00A00123" w:rsidP="00A00123">
      <w:pPr>
        <w:spacing w:after="0" w:line="240" w:lineRule="auto"/>
        <w:ind w:firstLine="709"/>
        <w:jc w:val="both"/>
        <w:rPr>
          <w:rFonts w:ascii="Times New Roman" w:hAnsi="Times New Roman"/>
          <w:b/>
          <w:sz w:val="24"/>
          <w:szCs w:val="24"/>
        </w:rPr>
      </w:pPr>
    </w:p>
    <w:p w:rsidR="00A00123" w:rsidRDefault="00A00123" w:rsidP="00A00123">
      <w:pPr>
        <w:spacing w:after="0" w:line="240" w:lineRule="auto"/>
        <w:jc w:val="both"/>
        <w:rPr>
          <w:rFonts w:ascii="Times New Roman" w:hAnsi="Times New Roman"/>
          <w:sz w:val="24"/>
          <w:szCs w:val="24"/>
        </w:rPr>
      </w:pPr>
    </w:p>
    <w:p w:rsidR="00A00123" w:rsidRDefault="00A00123" w:rsidP="00A00123">
      <w:pPr>
        <w:spacing w:after="0" w:line="240" w:lineRule="auto"/>
        <w:jc w:val="both"/>
        <w:rPr>
          <w:rFonts w:ascii="Times New Roman" w:hAnsi="Times New Roman"/>
          <w:i/>
          <w:sz w:val="24"/>
          <w:szCs w:val="24"/>
        </w:rPr>
      </w:pPr>
    </w:p>
    <w:p w:rsidR="003F413E" w:rsidRDefault="003F413E" w:rsidP="00A00123">
      <w:pPr>
        <w:spacing w:after="0" w:line="240" w:lineRule="auto"/>
        <w:jc w:val="both"/>
        <w:rPr>
          <w:rFonts w:ascii="Times New Roman" w:hAnsi="Times New Roman"/>
          <w:i/>
          <w:sz w:val="24"/>
          <w:szCs w:val="24"/>
        </w:rPr>
      </w:pPr>
    </w:p>
    <w:p w:rsidR="003F413E" w:rsidRDefault="003F413E" w:rsidP="00A00123">
      <w:pPr>
        <w:spacing w:after="0" w:line="240" w:lineRule="auto"/>
        <w:jc w:val="both"/>
        <w:rPr>
          <w:rFonts w:ascii="Times New Roman" w:hAnsi="Times New Roman"/>
          <w:i/>
          <w:sz w:val="24"/>
          <w:szCs w:val="24"/>
        </w:rPr>
      </w:pPr>
    </w:p>
    <w:p w:rsidR="00AC357C" w:rsidRPr="00AC357C" w:rsidRDefault="00AC357C" w:rsidP="003F413E">
      <w:pPr>
        <w:spacing w:after="0" w:line="240" w:lineRule="auto"/>
        <w:ind w:firstLine="709"/>
        <w:jc w:val="both"/>
        <w:rPr>
          <w:rFonts w:ascii="Times New Roman" w:hAnsi="Times New Roman"/>
          <w:sz w:val="10"/>
          <w:szCs w:val="10"/>
        </w:rPr>
      </w:pPr>
    </w:p>
    <w:p w:rsidR="00AC357C" w:rsidRDefault="00AC357C" w:rsidP="003F413E">
      <w:pPr>
        <w:spacing w:after="0" w:line="240" w:lineRule="auto"/>
        <w:ind w:firstLine="709"/>
        <w:jc w:val="both"/>
        <w:rPr>
          <w:rFonts w:ascii="Times New Roman" w:hAnsi="Times New Roman"/>
          <w:sz w:val="24"/>
          <w:szCs w:val="24"/>
        </w:rPr>
      </w:pPr>
    </w:p>
    <w:p w:rsidR="00AC357C" w:rsidRDefault="00AC357C" w:rsidP="003F413E">
      <w:pPr>
        <w:spacing w:after="0" w:line="240" w:lineRule="auto"/>
        <w:ind w:firstLine="709"/>
        <w:jc w:val="both"/>
        <w:rPr>
          <w:rFonts w:ascii="Times New Roman" w:hAnsi="Times New Roman"/>
          <w:sz w:val="24"/>
          <w:szCs w:val="24"/>
        </w:rPr>
      </w:pPr>
    </w:p>
    <w:p w:rsidR="00AC357C" w:rsidRDefault="00AC357C" w:rsidP="003F413E">
      <w:pPr>
        <w:spacing w:after="0" w:line="240" w:lineRule="auto"/>
        <w:ind w:firstLine="709"/>
        <w:jc w:val="both"/>
        <w:rPr>
          <w:rFonts w:ascii="Times New Roman" w:hAnsi="Times New Roman"/>
          <w:sz w:val="24"/>
          <w:szCs w:val="24"/>
        </w:rPr>
      </w:pPr>
    </w:p>
    <w:p w:rsidR="00AC357C" w:rsidRDefault="00AC357C" w:rsidP="003F413E">
      <w:pPr>
        <w:spacing w:after="0" w:line="240" w:lineRule="auto"/>
        <w:ind w:firstLine="709"/>
        <w:jc w:val="both"/>
        <w:rPr>
          <w:rFonts w:ascii="Times New Roman" w:hAnsi="Times New Roman"/>
          <w:sz w:val="24"/>
          <w:szCs w:val="24"/>
        </w:rPr>
      </w:pPr>
    </w:p>
    <w:p w:rsidR="00AC357C" w:rsidRDefault="00AC357C" w:rsidP="003F413E">
      <w:pPr>
        <w:spacing w:after="0" w:line="240" w:lineRule="auto"/>
        <w:ind w:firstLine="709"/>
        <w:jc w:val="both"/>
        <w:rPr>
          <w:rFonts w:ascii="Times New Roman" w:hAnsi="Times New Roman"/>
          <w:sz w:val="24"/>
          <w:szCs w:val="24"/>
        </w:rPr>
      </w:pPr>
    </w:p>
    <w:p w:rsidR="003F413E" w:rsidRPr="00417E1B" w:rsidRDefault="003F413E" w:rsidP="003F413E">
      <w:pPr>
        <w:spacing w:after="0" w:line="240" w:lineRule="auto"/>
        <w:ind w:firstLine="709"/>
        <w:jc w:val="both"/>
        <w:rPr>
          <w:rFonts w:ascii="Times New Roman" w:hAnsi="Times New Roman"/>
          <w:sz w:val="24"/>
          <w:szCs w:val="24"/>
          <w:highlight w:val="yellow"/>
        </w:rPr>
      </w:pPr>
      <w:r w:rsidRPr="00901BE4">
        <w:rPr>
          <w:rFonts w:ascii="Times New Roman" w:hAnsi="Times New Roman"/>
          <w:sz w:val="24"/>
          <w:szCs w:val="24"/>
        </w:rPr>
        <w:t>Наибольшая доля (40,8%) в налоговых поступлениях приходится на платежи</w:t>
      </w:r>
      <w:r w:rsidRPr="00901BE4">
        <w:rPr>
          <w:rFonts w:ascii="Times New Roman" w:hAnsi="Times New Roman"/>
          <w:b/>
          <w:sz w:val="24"/>
          <w:szCs w:val="24"/>
        </w:rPr>
        <w:t xml:space="preserve"> по налогу на доходы организаций</w:t>
      </w:r>
      <w:r w:rsidRPr="00901BE4">
        <w:rPr>
          <w:rFonts w:ascii="Times New Roman" w:hAnsi="Times New Roman"/>
          <w:sz w:val="24"/>
          <w:szCs w:val="24"/>
        </w:rPr>
        <w:t xml:space="preserve">, которые сократились на 7,9% по сравнению с базовым показателем минувшего года. Главной причиной сокращения поступлений стало падение производства продукции на 36 предприятиях, что составляет 40,5% от их общего числа, а также </w:t>
      </w:r>
      <w:r w:rsidRPr="00901BE4">
        <w:rPr>
          <w:rFonts w:ascii="Times New Roman" w:eastAsia="Calibri" w:hAnsi="Times New Roman"/>
          <w:sz w:val="24"/>
          <w:szCs w:val="24"/>
        </w:rPr>
        <w:t>предоставление некоторым предприятиям государственной поддержки в виде уменьшения текущих обязательств на 50%</w:t>
      </w:r>
      <w:r w:rsidRPr="00901BE4">
        <w:rPr>
          <w:rFonts w:ascii="Times New Roman" w:hAnsi="Times New Roman"/>
          <w:sz w:val="24"/>
          <w:szCs w:val="24"/>
        </w:rPr>
        <w:t xml:space="preserve"> </w:t>
      </w:r>
      <w:r w:rsidRPr="00901BE4">
        <w:rPr>
          <w:rFonts w:ascii="Times New Roman" w:eastAsia="Calibri" w:hAnsi="Times New Roman"/>
          <w:sz w:val="24"/>
          <w:szCs w:val="24"/>
        </w:rPr>
        <w:t xml:space="preserve">по уплате налога на доходы, начисленному по основному виду деятельности. </w:t>
      </w:r>
      <w:r w:rsidRPr="00901BE4">
        <w:rPr>
          <w:rFonts w:ascii="Times New Roman" w:hAnsi="Times New Roman"/>
          <w:sz w:val="24"/>
          <w:szCs w:val="24"/>
        </w:rPr>
        <w:t xml:space="preserve">При этом их удельный вес по сравнению с 2015 годом сократился незначительно на 0,1 процентных пункта до 40,8%. </w:t>
      </w:r>
    </w:p>
    <w:p w:rsidR="003F413E" w:rsidRPr="00322BAA" w:rsidRDefault="003F413E" w:rsidP="003F413E">
      <w:pPr>
        <w:spacing w:after="0" w:line="240" w:lineRule="auto"/>
        <w:ind w:firstLine="709"/>
        <w:jc w:val="both"/>
        <w:rPr>
          <w:rFonts w:ascii="Times New Roman" w:hAnsi="Times New Roman"/>
          <w:sz w:val="24"/>
          <w:szCs w:val="24"/>
        </w:rPr>
      </w:pPr>
      <w:r w:rsidRPr="007678B0">
        <w:rPr>
          <w:rFonts w:ascii="Times New Roman" w:hAnsi="Times New Roman"/>
          <w:sz w:val="24"/>
          <w:szCs w:val="24"/>
        </w:rPr>
        <w:t xml:space="preserve">Поступления </w:t>
      </w:r>
      <w:r w:rsidRPr="007678B0">
        <w:rPr>
          <w:rFonts w:ascii="Times New Roman" w:hAnsi="Times New Roman"/>
          <w:b/>
          <w:sz w:val="24"/>
          <w:szCs w:val="24"/>
        </w:rPr>
        <w:t>по подоходному налогу с физических лиц</w:t>
      </w:r>
      <w:r w:rsidRPr="007678B0">
        <w:rPr>
          <w:rFonts w:ascii="Times New Roman" w:hAnsi="Times New Roman"/>
          <w:sz w:val="24"/>
          <w:szCs w:val="24"/>
        </w:rPr>
        <w:t xml:space="preserve"> увеличились по сравнению с прошлым годом на 0,2%, что обусловлено перечислением авансовых платежей ЗАО</w:t>
      </w:r>
      <w:r w:rsidR="00A04AF4">
        <w:rPr>
          <w:rFonts w:ascii="Times New Roman" w:hAnsi="Times New Roman"/>
          <w:sz w:val="24"/>
          <w:szCs w:val="24"/>
        </w:rPr>
        <w:t> </w:t>
      </w:r>
      <w:r w:rsidRPr="007678B0">
        <w:rPr>
          <w:rFonts w:ascii="Times New Roman" w:hAnsi="Times New Roman"/>
          <w:sz w:val="24"/>
          <w:szCs w:val="24"/>
        </w:rPr>
        <w:t xml:space="preserve">«Молдавская ГРЭС», при этом их удельный вес в налоговых платежах вырос </w:t>
      </w:r>
      <w:r w:rsidRPr="00322BAA">
        <w:rPr>
          <w:rFonts w:ascii="Times New Roman" w:hAnsi="Times New Roman"/>
          <w:sz w:val="24"/>
          <w:szCs w:val="24"/>
        </w:rPr>
        <w:t>на 1,7 процентных пункта и составил 21,1%.</w:t>
      </w:r>
    </w:p>
    <w:p w:rsidR="003F413E" w:rsidRPr="004B4ECF" w:rsidRDefault="003F413E" w:rsidP="003F413E">
      <w:pPr>
        <w:spacing w:after="0" w:line="240" w:lineRule="auto"/>
        <w:ind w:firstLine="709"/>
        <w:jc w:val="both"/>
        <w:rPr>
          <w:rFonts w:ascii="Times New Roman" w:hAnsi="Times New Roman"/>
          <w:sz w:val="24"/>
          <w:szCs w:val="24"/>
          <w:highlight w:val="yellow"/>
        </w:rPr>
      </w:pPr>
      <w:r w:rsidRPr="00322BAA">
        <w:rPr>
          <w:rFonts w:ascii="Times New Roman" w:hAnsi="Times New Roman"/>
          <w:sz w:val="24"/>
          <w:szCs w:val="24"/>
        </w:rPr>
        <w:t>Платежи</w:t>
      </w:r>
      <w:r w:rsidRPr="00322BAA">
        <w:rPr>
          <w:rFonts w:ascii="Times New Roman" w:hAnsi="Times New Roman"/>
          <w:b/>
          <w:sz w:val="24"/>
          <w:szCs w:val="24"/>
        </w:rPr>
        <w:t xml:space="preserve"> по налогам на внешнюю торговлю и внешнеэкономические операции</w:t>
      </w:r>
      <w:r w:rsidRPr="00322BAA">
        <w:rPr>
          <w:rFonts w:ascii="Times New Roman" w:hAnsi="Times New Roman"/>
          <w:sz w:val="24"/>
          <w:szCs w:val="24"/>
        </w:rPr>
        <w:t xml:space="preserve"> </w:t>
      </w:r>
      <w:r w:rsidRPr="00600437">
        <w:rPr>
          <w:rFonts w:ascii="Times New Roman" w:hAnsi="Times New Roman"/>
          <w:sz w:val="24"/>
          <w:szCs w:val="24"/>
        </w:rPr>
        <w:t>сократились на 11,0% по сравнению с 2015 годом, сократив также долевое участие в налоговых платежах консолидированного бюджета на 0,6 процентных пункта до 17,6%.</w:t>
      </w:r>
      <w:r w:rsidRPr="00600437">
        <w:rPr>
          <w:rFonts w:ascii="Times New Roman" w:eastAsia="Calibri" w:hAnsi="Times New Roman"/>
          <w:sz w:val="24"/>
          <w:szCs w:val="24"/>
        </w:rPr>
        <w:t xml:space="preserve"> Спад поступлений по данному виду платежей обусловлен снижением степени интенсивности осуществления импортных и экспортных операций по ввозимым (вывозимым) товарам, подлежащим обложению таможенными пошлинами, а также величиной их таможенной стоимости, что обусловлено обострением негативных факторов</w:t>
      </w:r>
      <w:r w:rsidRPr="00600437">
        <w:rPr>
          <w:rFonts w:ascii="Times New Roman" w:hAnsi="Times New Roman"/>
          <w:sz w:val="24"/>
          <w:szCs w:val="24"/>
        </w:rPr>
        <w:t xml:space="preserve"> со стороны сопредельных государств.</w:t>
      </w:r>
    </w:p>
    <w:p w:rsidR="003F413E" w:rsidRPr="00F457AC" w:rsidRDefault="003F413E" w:rsidP="003F413E">
      <w:pPr>
        <w:spacing w:after="0" w:line="240" w:lineRule="auto"/>
        <w:ind w:firstLine="709"/>
        <w:jc w:val="both"/>
        <w:rPr>
          <w:rFonts w:ascii="Times New Roman" w:hAnsi="Times New Roman"/>
          <w:sz w:val="24"/>
          <w:szCs w:val="24"/>
          <w:highlight w:val="yellow"/>
        </w:rPr>
      </w:pPr>
      <w:r w:rsidRPr="00F6102E">
        <w:rPr>
          <w:rFonts w:ascii="Times New Roman" w:hAnsi="Times New Roman"/>
          <w:sz w:val="24"/>
          <w:szCs w:val="24"/>
        </w:rPr>
        <w:t>Поступления по</w:t>
      </w:r>
      <w:r w:rsidRPr="00F6102E">
        <w:rPr>
          <w:rFonts w:ascii="Times New Roman" w:hAnsi="Times New Roman"/>
          <w:b/>
          <w:sz w:val="24"/>
          <w:szCs w:val="24"/>
        </w:rPr>
        <w:t xml:space="preserve"> налогам на товары и услуги, лицензионные регистрационные сборы</w:t>
      </w:r>
      <w:r w:rsidRPr="00F6102E">
        <w:rPr>
          <w:rFonts w:ascii="Times New Roman" w:hAnsi="Times New Roman"/>
          <w:sz w:val="24"/>
          <w:szCs w:val="24"/>
        </w:rPr>
        <w:t xml:space="preserve"> в отчетном году уменьшились на 28,8% по сравнению с прошлым годом, сузив при этом свой удельный вес в налоговых платежах на 1,8 процентных пункта до 6,0%, что связано с отсутствием в 2016 году поступлений в консолидированный бюджет средств по ценным бумагам (Государственным казначейским обязательствам, Государственным облигациям, векселям).</w:t>
      </w:r>
    </w:p>
    <w:p w:rsidR="003F413E" w:rsidRDefault="003F413E" w:rsidP="003F413E">
      <w:pPr>
        <w:autoSpaceDE w:val="0"/>
        <w:autoSpaceDN w:val="0"/>
        <w:adjustRightInd w:val="0"/>
        <w:spacing w:after="0" w:line="240" w:lineRule="auto"/>
        <w:ind w:firstLine="709"/>
        <w:jc w:val="both"/>
        <w:rPr>
          <w:rFonts w:ascii="Times New Roman" w:hAnsi="Times New Roman"/>
          <w:sz w:val="24"/>
          <w:szCs w:val="24"/>
        </w:rPr>
      </w:pPr>
      <w:r w:rsidRPr="00834EED">
        <w:rPr>
          <w:rFonts w:ascii="Times New Roman" w:hAnsi="Times New Roman"/>
          <w:sz w:val="24"/>
          <w:szCs w:val="24"/>
        </w:rPr>
        <w:t xml:space="preserve">Поступления </w:t>
      </w:r>
      <w:r w:rsidRPr="00834EED">
        <w:rPr>
          <w:rFonts w:ascii="Times New Roman" w:hAnsi="Times New Roman"/>
          <w:b/>
          <w:sz w:val="24"/>
          <w:szCs w:val="24"/>
        </w:rPr>
        <w:t>платежей за пользование природными ресурсами</w:t>
      </w:r>
      <w:r w:rsidRPr="00834EED">
        <w:rPr>
          <w:rFonts w:ascii="Times New Roman" w:hAnsi="Times New Roman"/>
          <w:sz w:val="24"/>
          <w:szCs w:val="24"/>
        </w:rPr>
        <w:t xml:space="preserve"> в 2016 году выросли на 1,6% по сравнению с 2015 годом, что обусловлено погашением задолженности, сложившейся в предыдущий налоговый период, а также увеличением объемов добытых природных материалов. При этом их удельный вес в налоговых </w:t>
      </w:r>
      <w:r w:rsidRPr="00C1146C">
        <w:rPr>
          <w:rFonts w:ascii="Times New Roman" w:hAnsi="Times New Roman"/>
          <w:sz w:val="24"/>
          <w:szCs w:val="24"/>
        </w:rPr>
        <w:t>платежах вырос на</w:t>
      </w:r>
      <w:r w:rsidR="000F4840">
        <w:rPr>
          <w:rFonts w:ascii="Times New Roman" w:hAnsi="Times New Roman"/>
          <w:sz w:val="24"/>
          <w:szCs w:val="24"/>
        </w:rPr>
        <w:t xml:space="preserve"> 0,6 процентных пункта до 6,9%.</w:t>
      </w:r>
    </w:p>
    <w:p w:rsidR="003F413E" w:rsidRPr="0080737A" w:rsidRDefault="003F413E" w:rsidP="003F413E">
      <w:pPr>
        <w:spacing w:after="0" w:line="240" w:lineRule="auto"/>
        <w:ind w:firstLine="709"/>
        <w:jc w:val="both"/>
        <w:rPr>
          <w:rFonts w:ascii="Times New Roman" w:hAnsi="Times New Roman"/>
          <w:sz w:val="24"/>
          <w:szCs w:val="24"/>
        </w:rPr>
      </w:pPr>
      <w:r w:rsidRPr="00C1146C">
        <w:rPr>
          <w:rFonts w:ascii="Times New Roman" w:hAnsi="Times New Roman"/>
          <w:sz w:val="24"/>
          <w:szCs w:val="24"/>
        </w:rPr>
        <w:lastRenderedPageBreak/>
        <w:t>В 2016 году</w:t>
      </w:r>
      <w:r w:rsidRPr="00C1146C">
        <w:rPr>
          <w:rFonts w:ascii="Times New Roman" w:hAnsi="Times New Roman"/>
          <w:b/>
          <w:sz w:val="24"/>
          <w:szCs w:val="24"/>
        </w:rPr>
        <w:t xml:space="preserve"> неналоговые поступления</w:t>
      </w:r>
      <w:r w:rsidRPr="00C1146C">
        <w:rPr>
          <w:rFonts w:ascii="Times New Roman" w:hAnsi="Times New Roman"/>
          <w:sz w:val="24"/>
          <w:szCs w:val="24"/>
        </w:rPr>
        <w:t xml:space="preserve"> сложились в сумме </w:t>
      </w:r>
      <w:r w:rsidRPr="00C1146C">
        <w:rPr>
          <w:rFonts w:ascii="Times New Roman" w:hAnsi="Times New Roman"/>
        </w:rPr>
        <w:t>66 059 752 руб</w:t>
      </w:r>
      <w:r w:rsidRPr="00C1146C">
        <w:rPr>
          <w:rFonts w:ascii="Times New Roman" w:hAnsi="Times New Roman"/>
          <w:sz w:val="24"/>
          <w:szCs w:val="24"/>
        </w:rPr>
        <w:t>., что составило 2,8% общих доходов консолидированного бюджета, увеличившись на 11,4% по сравнению с уровнем прошлого года.</w:t>
      </w:r>
    </w:p>
    <w:p w:rsidR="003F413E" w:rsidRPr="00CB6EBC" w:rsidRDefault="003F413E" w:rsidP="003F413E">
      <w:pPr>
        <w:spacing w:after="0" w:line="240" w:lineRule="auto"/>
        <w:ind w:firstLine="709"/>
        <w:jc w:val="both"/>
        <w:rPr>
          <w:rFonts w:ascii="Times New Roman" w:hAnsi="Times New Roman"/>
          <w:sz w:val="24"/>
          <w:szCs w:val="24"/>
        </w:rPr>
      </w:pPr>
      <w:r w:rsidRPr="003855C1">
        <w:rPr>
          <w:rFonts w:ascii="Times New Roman" w:hAnsi="Times New Roman"/>
          <w:b/>
          <w:sz w:val="24"/>
          <w:szCs w:val="24"/>
        </w:rPr>
        <w:t>Доходы от имущества, находящегося в государственной и муниципальной собственности</w:t>
      </w:r>
      <w:r w:rsidRPr="003855C1">
        <w:rPr>
          <w:rFonts w:ascii="Times New Roman" w:hAnsi="Times New Roman"/>
          <w:sz w:val="24"/>
          <w:szCs w:val="24"/>
        </w:rPr>
        <w:t xml:space="preserve"> за 2016 год увеличились на 44,8% по сравнению с прошлым годом до 36 532 216 руб., при этом их долевое участие в неналоговых поступлениях в консолидированный бюджет расширилось до 55,3% (в 2015 году – 42,5%).</w:t>
      </w:r>
    </w:p>
    <w:p w:rsidR="003F413E" w:rsidRPr="007860F2" w:rsidRDefault="003F413E" w:rsidP="003F413E">
      <w:pPr>
        <w:spacing w:after="0" w:line="240" w:lineRule="auto"/>
        <w:ind w:firstLine="709"/>
        <w:jc w:val="both"/>
        <w:rPr>
          <w:rFonts w:ascii="Times New Roman" w:hAnsi="Times New Roman"/>
          <w:sz w:val="24"/>
          <w:szCs w:val="24"/>
        </w:rPr>
      </w:pPr>
      <w:r w:rsidRPr="00A56E7C">
        <w:rPr>
          <w:rFonts w:ascii="Times New Roman" w:hAnsi="Times New Roman"/>
          <w:sz w:val="24"/>
          <w:szCs w:val="24"/>
        </w:rPr>
        <w:t xml:space="preserve">Фактические суммы поступлений доходов </w:t>
      </w:r>
      <w:r w:rsidRPr="00A56E7C">
        <w:rPr>
          <w:rFonts w:ascii="Times New Roman" w:hAnsi="Times New Roman"/>
          <w:b/>
          <w:sz w:val="24"/>
          <w:szCs w:val="24"/>
        </w:rPr>
        <w:t xml:space="preserve">от продажи имущества, находящегося в </w:t>
      </w:r>
      <w:r w:rsidRPr="007860F2">
        <w:rPr>
          <w:rFonts w:ascii="Times New Roman" w:hAnsi="Times New Roman"/>
          <w:b/>
          <w:sz w:val="24"/>
          <w:szCs w:val="24"/>
        </w:rPr>
        <w:t xml:space="preserve">государственной и муниципальной собственности </w:t>
      </w:r>
      <w:r w:rsidRPr="007860F2">
        <w:rPr>
          <w:rFonts w:ascii="Times New Roman" w:hAnsi="Times New Roman"/>
          <w:sz w:val="24"/>
          <w:szCs w:val="24"/>
        </w:rPr>
        <w:t>за 2016 год выросли на 4,3% по сравнению с базовым годом и составили 4 814 752 руб., однако их удельный вес сократился на 0,5 процентных пункта до 7,3%.</w:t>
      </w:r>
    </w:p>
    <w:p w:rsidR="003F413E" w:rsidRPr="00BA7805" w:rsidRDefault="003F413E" w:rsidP="003F413E">
      <w:pPr>
        <w:spacing w:after="0" w:line="240" w:lineRule="auto"/>
        <w:ind w:firstLine="709"/>
        <w:jc w:val="both"/>
        <w:rPr>
          <w:rFonts w:ascii="Times New Roman" w:hAnsi="Times New Roman"/>
          <w:sz w:val="24"/>
          <w:szCs w:val="24"/>
        </w:rPr>
      </w:pPr>
      <w:r w:rsidRPr="007860F2">
        <w:rPr>
          <w:rFonts w:ascii="Times New Roman" w:hAnsi="Times New Roman"/>
          <w:sz w:val="24"/>
          <w:szCs w:val="24"/>
        </w:rPr>
        <w:t xml:space="preserve">Поступления </w:t>
      </w:r>
      <w:r w:rsidRPr="007860F2">
        <w:rPr>
          <w:rFonts w:ascii="Times New Roman" w:hAnsi="Times New Roman"/>
          <w:b/>
          <w:sz w:val="24"/>
          <w:szCs w:val="24"/>
        </w:rPr>
        <w:t>от административных платежей и сборов</w:t>
      </w:r>
      <w:r w:rsidRPr="007860F2">
        <w:rPr>
          <w:rFonts w:ascii="Times New Roman" w:hAnsi="Times New Roman"/>
          <w:sz w:val="24"/>
          <w:szCs w:val="24"/>
        </w:rPr>
        <w:t xml:space="preserve"> в 2016 году остались на </w:t>
      </w:r>
      <w:r w:rsidRPr="00BA7805">
        <w:rPr>
          <w:rFonts w:ascii="Times New Roman" w:hAnsi="Times New Roman"/>
          <w:sz w:val="24"/>
          <w:szCs w:val="24"/>
        </w:rPr>
        <w:t>уровне прошлого года и составили 7 552 347 руб., однако их удельный вес в неналоговых платежах снизился на 1,3 процентных пункта до 11,4%.</w:t>
      </w:r>
    </w:p>
    <w:p w:rsidR="003F413E" w:rsidRPr="0080737A" w:rsidRDefault="003F413E" w:rsidP="003F413E">
      <w:pPr>
        <w:spacing w:after="0" w:line="240" w:lineRule="auto"/>
        <w:ind w:firstLine="709"/>
        <w:jc w:val="both"/>
        <w:rPr>
          <w:rFonts w:ascii="Times New Roman" w:hAnsi="Times New Roman"/>
          <w:sz w:val="24"/>
          <w:szCs w:val="24"/>
        </w:rPr>
      </w:pPr>
      <w:r w:rsidRPr="00BA7805">
        <w:rPr>
          <w:rFonts w:ascii="Times New Roman" w:hAnsi="Times New Roman"/>
          <w:sz w:val="24"/>
          <w:szCs w:val="24"/>
        </w:rPr>
        <w:t xml:space="preserve">Поступления </w:t>
      </w:r>
      <w:r w:rsidRPr="00BA7805">
        <w:rPr>
          <w:rFonts w:ascii="Times New Roman" w:hAnsi="Times New Roman"/>
          <w:b/>
          <w:sz w:val="24"/>
          <w:szCs w:val="24"/>
        </w:rPr>
        <w:t>от штрафных санкций и возмещения ущерба</w:t>
      </w:r>
      <w:r w:rsidRPr="00BA7805">
        <w:rPr>
          <w:rFonts w:ascii="Times New Roman" w:hAnsi="Times New Roman"/>
          <w:sz w:val="24"/>
          <w:szCs w:val="24"/>
        </w:rPr>
        <w:t xml:space="preserve"> в отчетном году сократились на 21,9% по сравнению с 2015 годом, их удельный вес в неналоговых платежах также сузился до 25,9% (или на 11,0 процентных пункта).</w:t>
      </w:r>
    </w:p>
    <w:p w:rsidR="003F413E" w:rsidRDefault="003F413E" w:rsidP="00A00123">
      <w:pPr>
        <w:spacing w:after="0" w:line="240" w:lineRule="auto"/>
        <w:jc w:val="both"/>
        <w:rPr>
          <w:rFonts w:ascii="Times New Roman" w:hAnsi="Times New Roman"/>
          <w:sz w:val="24"/>
          <w:szCs w:val="24"/>
        </w:rPr>
      </w:pPr>
      <w:r w:rsidRPr="003F413E">
        <w:rPr>
          <w:rFonts w:ascii="Times New Roman" w:hAnsi="Times New Roman"/>
          <w:noProof/>
          <w:sz w:val="24"/>
          <w:szCs w:val="24"/>
        </w:rPr>
        <w:drawing>
          <wp:inline distT="0" distB="0" distL="0" distR="0">
            <wp:extent cx="2981325" cy="3114675"/>
            <wp:effectExtent l="1905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3F413E">
        <w:rPr>
          <w:rFonts w:ascii="Times New Roman" w:hAnsi="Times New Roman"/>
          <w:noProof/>
          <w:sz w:val="24"/>
          <w:szCs w:val="24"/>
        </w:rPr>
        <w:drawing>
          <wp:inline distT="0" distB="0" distL="0" distR="0">
            <wp:extent cx="2809875" cy="3219450"/>
            <wp:effectExtent l="19050" t="0" r="0" b="0"/>
            <wp:docPr id="2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C357C" w:rsidRPr="00AC357C" w:rsidRDefault="00AC357C" w:rsidP="00A00123">
      <w:pPr>
        <w:spacing w:after="0" w:line="240" w:lineRule="auto"/>
        <w:jc w:val="both"/>
        <w:rPr>
          <w:rFonts w:ascii="Times New Roman" w:hAnsi="Times New Roman"/>
          <w:sz w:val="10"/>
          <w:szCs w:val="10"/>
        </w:rPr>
      </w:pPr>
    </w:p>
    <w:p w:rsidR="00D251C3" w:rsidRPr="00F83525" w:rsidRDefault="00D251C3" w:rsidP="00D251C3">
      <w:pPr>
        <w:spacing w:after="0" w:line="240" w:lineRule="auto"/>
        <w:ind w:firstLine="709"/>
        <w:jc w:val="both"/>
        <w:rPr>
          <w:rFonts w:ascii="Times New Roman" w:hAnsi="Times New Roman"/>
          <w:spacing w:val="-4"/>
          <w:sz w:val="24"/>
          <w:szCs w:val="24"/>
        </w:rPr>
      </w:pPr>
      <w:r w:rsidRPr="00CC62E9">
        <w:rPr>
          <w:rFonts w:ascii="Times New Roman" w:hAnsi="Times New Roman"/>
          <w:sz w:val="24"/>
          <w:szCs w:val="24"/>
        </w:rPr>
        <w:t xml:space="preserve">В 2016 </w:t>
      </w:r>
      <w:r w:rsidRPr="001A7B24">
        <w:rPr>
          <w:rFonts w:ascii="Times New Roman" w:hAnsi="Times New Roman"/>
          <w:sz w:val="24"/>
          <w:szCs w:val="24"/>
        </w:rPr>
        <w:t xml:space="preserve">году доходы </w:t>
      </w:r>
      <w:r w:rsidRPr="001A7B24">
        <w:rPr>
          <w:rFonts w:ascii="Times New Roman" w:hAnsi="Times New Roman"/>
          <w:b/>
          <w:sz w:val="24"/>
          <w:szCs w:val="24"/>
        </w:rPr>
        <w:t xml:space="preserve">целевых бюджетных фондов </w:t>
      </w:r>
      <w:r w:rsidRPr="001A7B24">
        <w:rPr>
          <w:rFonts w:ascii="Times New Roman" w:hAnsi="Times New Roman"/>
          <w:sz w:val="24"/>
          <w:szCs w:val="24"/>
        </w:rPr>
        <w:t xml:space="preserve">уменьшились на 8,3% к уровню </w:t>
      </w:r>
      <w:r w:rsidRPr="009C3A76">
        <w:rPr>
          <w:rFonts w:ascii="Times New Roman" w:hAnsi="Times New Roman"/>
          <w:sz w:val="24"/>
          <w:szCs w:val="24"/>
        </w:rPr>
        <w:t xml:space="preserve">базового года. При этом произошло сокращение платежей в </w:t>
      </w:r>
      <w:r w:rsidRPr="009C3A76">
        <w:rPr>
          <w:rFonts w:ascii="Times New Roman" w:hAnsi="Times New Roman"/>
          <w:b/>
          <w:sz w:val="24"/>
          <w:szCs w:val="24"/>
        </w:rPr>
        <w:t>дорожные фонды</w:t>
      </w:r>
      <w:r w:rsidRPr="009C3A76">
        <w:rPr>
          <w:rFonts w:ascii="Times New Roman" w:hAnsi="Times New Roman"/>
          <w:sz w:val="24"/>
          <w:szCs w:val="24"/>
        </w:rPr>
        <w:t xml:space="preserve"> на 19,7%. В целевые </w:t>
      </w:r>
      <w:r w:rsidRPr="00D76C73">
        <w:rPr>
          <w:rFonts w:ascii="Times New Roman" w:hAnsi="Times New Roman"/>
          <w:sz w:val="24"/>
          <w:szCs w:val="24"/>
        </w:rPr>
        <w:t xml:space="preserve">бюджетные </w:t>
      </w:r>
      <w:r w:rsidRPr="00D76C73">
        <w:rPr>
          <w:rFonts w:ascii="Times New Roman" w:hAnsi="Times New Roman"/>
          <w:b/>
          <w:sz w:val="24"/>
          <w:szCs w:val="24"/>
        </w:rPr>
        <w:t xml:space="preserve">экологические фонды </w:t>
      </w:r>
      <w:r w:rsidRPr="00D76C73">
        <w:rPr>
          <w:rFonts w:ascii="Times New Roman" w:hAnsi="Times New Roman"/>
          <w:sz w:val="24"/>
          <w:szCs w:val="24"/>
        </w:rPr>
        <w:t>поступило средств на 1,6% меньше чем в 2015</w:t>
      </w:r>
      <w:r w:rsidR="00A04AF4">
        <w:rPr>
          <w:rFonts w:ascii="Times New Roman" w:hAnsi="Times New Roman"/>
          <w:sz w:val="24"/>
          <w:szCs w:val="24"/>
        </w:rPr>
        <w:t> </w:t>
      </w:r>
      <w:r w:rsidRPr="00D76C73">
        <w:rPr>
          <w:rFonts w:ascii="Times New Roman" w:hAnsi="Times New Roman"/>
          <w:sz w:val="24"/>
          <w:szCs w:val="24"/>
        </w:rPr>
        <w:t>году.</w:t>
      </w:r>
      <w:r w:rsidRPr="00D76C73">
        <w:rPr>
          <w:rFonts w:ascii="Times New Roman" w:hAnsi="Times New Roman"/>
          <w:spacing w:val="-4"/>
          <w:sz w:val="24"/>
          <w:szCs w:val="24"/>
        </w:rPr>
        <w:t xml:space="preserve"> Д</w:t>
      </w:r>
      <w:r w:rsidRPr="00D76C73">
        <w:rPr>
          <w:rFonts w:ascii="Times New Roman" w:hAnsi="Times New Roman"/>
          <w:b/>
          <w:spacing w:val="-4"/>
          <w:sz w:val="24"/>
          <w:szCs w:val="24"/>
        </w:rPr>
        <w:t>оходы от предпринимательской и иной приносящей доход деятельности</w:t>
      </w:r>
      <w:r w:rsidRPr="00D76C73">
        <w:rPr>
          <w:rFonts w:ascii="Times New Roman" w:hAnsi="Times New Roman"/>
          <w:spacing w:val="-4"/>
          <w:sz w:val="24"/>
          <w:szCs w:val="24"/>
        </w:rPr>
        <w:t xml:space="preserve"> за </w:t>
      </w:r>
      <w:r w:rsidRPr="00F83525">
        <w:rPr>
          <w:rFonts w:ascii="Times New Roman" w:hAnsi="Times New Roman"/>
          <w:spacing w:val="-4"/>
          <w:sz w:val="24"/>
          <w:szCs w:val="24"/>
        </w:rPr>
        <w:t>2016 год остались на уровне прошлого года и составили 218 718 702 руб.</w:t>
      </w:r>
    </w:p>
    <w:p w:rsidR="00D251C3" w:rsidRPr="0080737A" w:rsidRDefault="00D251C3" w:rsidP="00D251C3">
      <w:pPr>
        <w:spacing w:after="0" w:line="240" w:lineRule="auto"/>
        <w:ind w:firstLine="709"/>
        <w:jc w:val="both"/>
        <w:rPr>
          <w:rFonts w:ascii="Times New Roman" w:hAnsi="Times New Roman"/>
          <w:sz w:val="24"/>
          <w:szCs w:val="24"/>
        </w:rPr>
      </w:pPr>
      <w:r w:rsidRPr="00F83525">
        <w:rPr>
          <w:rFonts w:ascii="Times New Roman" w:hAnsi="Times New Roman"/>
          <w:sz w:val="24"/>
          <w:szCs w:val="24"/>
        </w:rPr>
        <w:t xml:space="preserve">Поступления средств в целевой </w:t>
      </w:r>
      <w:r w:rsidRPr="00F83525">
        <w:rPr>
          <w:rFonts w:ascii="Times New Roman" w:hAnsi="Times New Roman"/>
          <w:b/>
          <w:sz w:val="24"/>
          <w:szCs w:val="24"/>
        </w:rPr>
        <w:t>фонд Государственного таможенного комитета</w:t>
      </w:r>
      <w:r w:rsidRPr="00F83525">
        <w:rPr>
          <w:rFonts w:ascii="Times New Roman" w:hAnsi="Times New Roman"/>
          <w:sz w:val="24"/>
          <w:szCs w:val="24"/>
        </w:rPr>
        <w:t xml:space="preserve"> за отчетный год выросли на 6,7% по сравнению с базовым годом и составили                   40 100 343 руб.</w:t>
      </w:r>
    </w:p>
    <w:p w:rsidR="00D251C3" w:rsidRPr="0080737A" w:rsidRDefault="00D251C3" w:rsidP="00D251C3">
      <w:pPr>
        <w:spacing w:after="0" w:line="240" w:lineRule="auto"/>
        <w:ind w:firstLine="709"/>
        <w:jc w:val="both"/>
        <w:rPr>
          <w:rFonts w:ascii="Times New Roman" w:hAnsi="Times New Roman"/>
          <w:spacing w:val="-4"/>
          <w:sz w:val="24"/>
          <w:szCs w:val="24"/>
        </w:rPr>
      </w:pPr>
      <w:r w:rsidRPr="009264D2">
        <w:rPr>
          <w:rFonts w:ascii="Times New Roman" w:hAnsi="Times New Roman"/>
          <w:spacing w:val="-4"/>
          <w:sz w:val="24"/>
          <w:szCs w:val="24"/>
        </w:rPr>
        <w:t xml:space="preserve">Расходы консолидированного бюджета в 2016 году на фоне сложных </w:t>
      </w:r>
      <w:r w:rsidRPr="00536CC3">
        <w:rPr>
          <w:rFonts w:ascii="Times New Roman" w:hAnsi="Times New Roman"/>
          <w:spacing w:val="-4"/>
          <w:sz w:val="24"/>
          <w:szCs w:val="24"/>
        </w:rPr>
        <w:t xml:space="preserve">макроэкономических условий выросли по сравнению с базовым годом на 28,6% до </w:t>
      </w:r>
      <w:r w:rsidRPr="00572B70">
        <w:rPr>
          <w:rFonts w:ascii="Times New Roman" w:hAnsi="Times New Roman"/>
          <w:spacing w:val="-4"/>
          <w:sz w:val="24"/>
          <w:szCs w:val="24"/>
        </w:rPr>
        <w:t>3 992 998</w:t>
      </w:r>
      <w:r w:rsidR="00A04AF4">
        <w:rPr>
          <w:rFonts w:ascii="Times New Roman" w:hAnsi="Times New Roman"/>
          <w:spacing w:val="-4"/>
          <w:sz w:val="24"/>
          <w:szCs w:val="24"/>
        </w:rPr>
        <w:t> </w:t>
      </w:r>
      <w:r w:rsidRPr="00572B70">
        <w:rPr>
          <w:rFonts w:ascii="Times New Roman" w:hAnsi="Times New Roman"/>
          <w:spacing w:val="-4"/>
          <w:sz w:val="24"/>
          <w:szCs w:val="24"/>
        </w:rPr>
        <w:t>034</w:t>
      </w:r>
      <w:r w:rsidR="00A04AF4">
        <w:rPr>
          <w:rFonts w:ascii="Times New Roman" w:hAnsi="Times New Roman"/>
          <w:spacing w:val="-4"/>
          <w:sz w:val="24"/>
          <w:szCs w:val="24"/>
        </w:rPr>
        <w:t> </w:t>
      </w:r>
      <w:r w:rsidRPr="00572B70">
        <w:rPr>
          <w:rFonts w:ascii="Times New Roman" w:hAnsi="Times New Roman"/>
          <w:spacing w:val="-4"/>
          <w:sz w:val="24"/>
          <w:szCs w:val="24"/>
        </w:rPr>
        <w:t xml:space="preserve">руб. При этом по местным бюджетам расходы увеличились на 18,8% по сравнению с 2015 годом, а расходы республиканского бюджета - на 33,5%. Данный рост обусловлен в первую очередь выплатой в </w:t>
      </w:r>
      <w:r w:rsidRPr="00572B70">
        <w:rPr>
          <w:rFonts w:ascii="Times New Roman" w:hAnsi="Times New Roman"/>
          <w:spacing w:val="-4"/>
          <w:sz w:val="24"/>
          <w:szCs w:val="24"/>
          <w:lang w:val="en-US"/>
        </w:rPr>
        <w:t>I</w:t>
      </w:r>
      <w:r w:rsidRPr="00572B70">
        <w:rPr>
          <w:rFonts w:ascii="Times New Roman" w:hAnsi="Times New Roman"/>
          <w:spacing w:val="-4"/>
          <w:sz w:val="24"/>
          <w:szCs w:val="24"/>
        </w:rPr>
        <w:t xml:space="preserve"> полугодии 2016 года задолженности по заработной плате сотрудникам бюджетных учреждений, сформировавшейся по итогам 2015 года.</w:t>
      </w:r>
      <w:r>
        <w:rPr>
          <w:rFonts w:ascii="Times New Roman" w:hAnsi="Times New Roman"/>
          <w:spacing w:val="-4"/>
          <w:sz w:val="24"/>
          <w:szCs w:val="24"/>
        </w:rPr>
        <w:t xml:space="preserve"> Без учета расходов на выплату задолженности, общие расходы консолидированного бюджета выросли на 22,5%.</w:t>
      </w:r>
    </w:p>
    <w:p w:rsidR="00D251C3" w:rsidRPr="00EA52D1" w:rsidRDefault="00D251C3" w:rsidP="00D251C3">
      <w:pPr>
        <w:spacing w:after="0" w:line="240" w:lineRule="auto"/>
        <w:ind w:firstLine="709"/>
        <w:jc w:val="both"/>
        <w:rPr>
          <w:rFonts w:ascii="Times New Roman" w:hAnsi="Times New Roman"/>
          <w:spacing w:val="-1"/>
          <w:sz w:val="24"/>
          <w:szCs w:val="24"/>
        </w:rPr>
      </w:pPr>
      <w:r w:rsidRPr="0082171E">
        <w:rPr>
          <w:rFonts w:ascii="Times New Roman" w:hAnsi="Times New Roman"/>
          <w:spacing w:val="-4"/>
          <w:sz w:val="24"/>
          <w:szCs w:val="24"/>
        </w:rPr>
        <w:t>Стоит отметить, что в 2016 году п</w:t>
      </w:r>
      <w:r w:rsidRPr="0082171E">
        <w:rPr>
          <w:rFonts w:ascii="Times New Roman" w:hAnsi="Times New Roman"/>
          <w:spacing w:val="-1"/>
          <w:sz w:val="24"/>
          <w:szCs w:val="24"/>
        </w:rPr>
        <w:t xml:space="preserve">роизошло увеличение расчетного уровня минимальной заработной платы (РУ МЗП), применяемого в системе оплаты труда работников бюджетной сферы </w:t>
      </w:r>
      <w:r>
        <w:rPr>
          <w:rFonts w:ascii="Times New Roman" w:hAnsi="Times New Roman"/>
          <w:spacing w:val="-1"/>
          <w:sz w:val="24"/>
          <w:szCs w:val="24"/>
        </w:rPr>
        <w:t xml:space="preserve">с 7,1 руб. </w:t>
      </w:r>
      <w:r w:rsidRPr="0082171E">
        <w:rPr>
          <w:rFonts w:ascii="Times New Roman" w:hAnsi="Times New Roman"/>
          <w:spacing w:val="-1"/>
          <w:sz w:val="24"/>
          <w:szCs w:val="24"/>
        </w:rPr>
        <w:t>до 7,3 руб.</w:t>
      </w:r>
      <w:r w:rsidRPr="0082171E">
        <w:rPr>
          <w:rFonts w:ascii="Times New Roman" w:hAnsi="Times New Roman"/>
          <w:spacing w:val="-1"/>
          <w:sz w:val="28"/>
          <w:szCs w:val="28"/>
        </w:rPr>
        <w:t xml:space="preserve"> </w:t>
      </w:r>
      <w:r w:rsidRPr="0082171E">
        <w:rPr>
          <w:rFonts w:ascii="Times New Roman" w:hAnsi="Times New Roman"/>
          <w:spacing w:val="-1"/>
          <w:sz w:val="24"/>
          <w:szCs w:val="24"/>
        </w:rPr>
        <w:t xml:space="preserve">Так, фактические расходы на выплату заработной </w:t>
      </w:r>
      <w:r w:rsidRPr="0082171E">
        <w:rPr>
          <w:rFonts w:ascii="Times New Roman" w:hAnsi="Times New Roman"/>
          <w:spacing w:val="-1"/>
          <w:sz w:val="24"/>
          <w:szCs w:val="24"/>
        </w:rPr>
        <w:lastRenderedPageBreak/>
        <w:t>платы за 2016 год составили 2 428 966 701 руб., что превышает на 35,2% уровень прошлого года.</w:t>
      </w:r>
    </w:p>
    <w:p w:rsidR="00D251C3" w:rsidRPr="0080737A" w:rsidRDefault="00D251C3" w:rsidP="00D251C3">
      <w:pPr>
        <w:spacing w:after="0" w:line="240" w:lineRule="auto"/>
        <w:jc w:val="right"/>
        <w:rPr>
          <w:rFonts w:ascii="Times New Roman" w:hAnsi="Times New Roman"/>
          <w:sz w:val="24"/>
          <w:szCs w:val="24"/>
        </w:rPr>
      </w:pPr>
      <w:r>
        <w:rPr>
          <w:rFonts w:ascii="Times New Roman" w:hAnsi="Times New Roman"/>
          <w:sz w:val="24"/>
          <w:szCs w:val="24"/>
        </w:rPr>
        <w:t>Таблица №</w:t>
      </w:r>
      <w:r w:rsidR="0059595E">
        <w:rPr>
          <w:rFonts w:ascii="Times New Roman" w:hAnsi="Times New Roman"/>
          <w:sz w:val="24"/>
          <w:szCs w:val="24"/>
        </w:rPr>
        <w:t>5</w:t>
      </w:r>
    </w:p>
    <w:p w:rsidR="00D251C3" w:rsidRPr="001474BE" w:rsidRDefault="00D251C3" w:rsidP="00D251C3">
      <w:pPr>
        <w:spacing w:after="0" w:line="240" w:lineRule="auto"/>
        <w:contextualSpacing/>
        <w:jc w:val="center"/>
        <w:rPr>
          <w:rFonts w:ascii="Times New Roman" w:hAnsi="Times New Roman"/>
          <w:b/>
          <w:sz w:val="24"/>
          <w:szCs w:val="24"/>
        </w:rPr>
      </w:pPr>
      <w:r w:rsidRPr="001474BE">
        <w:rPr>
          <w:rFonts w:ascii="Times New Roman" w:hAnsi="Times New Roman"/>
          <w:b/>
          <w:sz w:val="24"/>
          <w:szCs w:val="24"/>
        </w:rPr>
        <w:t>Структура исполнения расходной части</w:t>
      </w:r>
    </w:p>
    <w:p w:rsidR="00D251C3" w:rsidRDefault="00D251C3" w:rsidP="00D251C3">
      <w:pPr>
        <w:spacing w:after="0" w:line="240" w:lineRule="auto"/>
        <w:contextualSpacing/>
        <w:jc w:val="center"/>
        <w:rPr>
          <w:rFonts w:ascii="Times New Roman" w:hAnsi="Times New Roman"/>
          <w:b/>
          <w:sz w:val="24"/>
          <w:szCs w:val="24"/>
        </w:rPr>
      </w:pPr>
      <w:r w:rsidRPr="001474BE">
        <w:rPr>
          <w:rFonts w:ascii="Times New Roman" w:hAnsi="Times New Roman"/>
          <w:b/>
          <w:sz w:val="24"/>
          <w:szCs w:val="24"/>
        </w:rPr>
        <w:t>консолидированного бюджета за 2016 года (руб.)</w:t>
      </w:r>
    </w:p>
    <w:p w:rsidR="000E17A2" w:rsidRPr="001474BE" w:rsidRDefault="000E17A2" w:rsidP="00D251C3">
      <w:pPr>
        <w:spacing w:after="0" w:line="240" w:lineRule="auto"/>
        <w:contextualSpacing/>
        <w:jc w:val="center"/>
        <w:rPr>
          <w:rFonts w:ascii="Times New Roman" w:hAnsi="Times New Roman"/>
          <w:b/>
          <w:sz w:val="24"/>
          <w:szCs w:val="24"/>
        </w:rPr>
      </w:pPr>
    </w:p>
    <w:tbl>
      <w:tblPr>
        <w:tblW w:w="9639" w:type="dxa"/>
        <w:tblInd w:w="108" w:type="dxa"/>
        <w:tblLayout w:type="fixed"/>
        <w:tblLook w:val="0000"/>
      </w:tblPr>
      <w:tblGrid>
        <w:gridCol w:w="3402"/>
        <w:gridCol w:w="1559"/>
        <w:gridCol w:w="1559"/>
        <w:gridCol w:w="1417"/>
        <w:gridCol w:w="1702"/>
      </w:tblGrid>
      <w:tr w:rsidR="00D251C3" w:rsidRPr="001474BE" w:rsidTr="00E048BD">
        <w:trPr>
          <w:trHeight w:val="356"/>
        </w:trPr>
        <w:tc>
          <w:tcPr>
            <w:tcW w:w="3402" w:type="dxa"/>
            <w:tcBorders>
              <w:top w:val="single" w:sz="4" w:space="0" w:color="auto"/>
              <w:left w:val="single" w:sz="4" w:space="0" w:color="auto"/>
              <w:bottom w:val="single" w:sz="4" w:space="0" w:color="auto"/>
              <w:right w:val="single" w:sz="4" w:space="0" w:color="auto"/>
            </w:tcBorders>
            <w:noWrap/>
            <w:vAlign w:val="center"/>
          </w:tcPr>
          <w:p w:rsidR="00D251C3" w:rsidRPr="001474BE" w:rsidRDefault="00D251C3" w:rsidP="00A04AF4">
            <w:pPr>
              <w:spacing w:after="0" w:line="240" w:lineRule="auto"/>
              <w:ind w:left="709" w:right="-250"/>
              <w:contextualSpacing/>
              <w:rPr>
                <w:rFonts w:ascii="Times New Roman" w:hAnsi="Times New Roman"/>
                <w:b/>
              </w:rPr>
            </w:pPr>
          </w:p>
        </w:tc>
        <w:tc>
          <w:tcPr>
            <w:tcW w:w="1559" w:type="dxa"/>
            <w:tcBorders>
              <w:top w:val="single" w:sz="4" w:space="0" w:color="auto"/>
              <w:left w:val="nil"/>
              <w:bottom w:val="single" w:sz="4" w:space="0" w:color="auto"/>
              <w:right w:val="single" w:sz="4" w:space="0" w:color="auto"/>
            </w:tcBorders>
            <w:vAlign w:val="center"/>
          </w:tcPr>
          <w:p w:rsidR="00D251C3" w:rsidRPr="001474BE" w:rsidRDefault="00D251C3" w:rsidP="003B2047">
            <w:pPr>
              <w:spacing w:after="0" w:line="240" w:lineRule="auto"/>
              <w:contextualSpacing/>
              <w:jc w:val="center"/>
              <w:rPr>
                <w:rFonts w:ascii="Times New Roman" w:hAnsi="Times New Roman"/>
                <w:b/>
              </w:rPr>
            </w:pPr>
            <w:r w:rsidRPr="001474BE">
              <w:rPr>
                <w:rFonts w:ascii="Times New Roman" w:hAnsi="Times New Roman"/>
                <w:b/>
              </w:rPr>
              <w:t>План</w:t>
            </w:r>
          </w:p>
        </w:tc>
        <w:tc>
          <w:tcPr>
            <w:tcW w:w="1559" w:type="dxa"/>
            <w:tcBorders>
              <w:top w:val="single" w:sz="4" w:space="0" w:color="auto"/>
              <w:left w:val="nil"/>
              <w:bottom w:val="single" w:sz="4" w:space="0" w:color="auto"/>
              <w:right w:val="single" w:sz="4" w:space="0" w:color="auto"/>
            </w:tcBorders>
            <w:vAlign w:val="center"/>
          </w:tcPr>
          <w:p w:rsidR="00D251C3" w:rsidRPr="001474BE" w:rsidRDefault="00D251C3" w:rsidP="003B2047">
            <w:pPr>
              <w:spacing w:after="0" w:line="240" w:lineRule="auto"/>
              <w:contextualSpacing/>
              <w:jc w:val="center"/>
              <w:rPr>
                <w:rFonts w:ascii="Times New Roman" w:hAnsi="Times New Roman"/>
                <w:b/>
              </w:rPr>
            </w:pPr>
            <w:r w:rsidRPr="001474BE">
              <w:rPr>
                <w:rFonts w:ascii="Times New Roman" w:hAnsi="Times New Roman"/>
                <w:b/>
              </w:rPr>
              <w:t>Факт</w:t>
            </w:r>
          </w:p>
        </w:tc>
        <w:tc>
          <w:tcPr>
            <w:tcW w:w="1417" w:type="dxa"/>
            <w:tcBorders>
              <w:top w:val="single" w:sz="4" w:space="0" w:color="auto"/>
              <w:left w:val="nil"/>
              <w:bottom w:val="single" w:sz="4" w:space="0" w:color="auto"/>
              <w:right w:val="single" w:sz="4" w:space="0" w:color="auto"/>
            </w:tcBorders>
            <w:vAlign w:val="center"/>
          </w:tcPr>
          <w:p w:rsidR="00D251C3" w:rsidRPr="001474BE" w:rsidRDefault="00D251C3" w:rsidP="003B2047">
            <w:pPr>
              <w:spacing w:after="0" w:line="240" w:lineRule="auto"/>
              <w:contextualSpacing/>
              <w:jc w:val="center"/>
              <w:rPr>
                <w:rFonts w:ascii="Times New Roman" w:hAnsi="Times New Roman"/>
                <w:b/>
              </w:rPr>
            </w:pPr>
            <w:r w:rsidRPr="001474BE">
              <w:rPr>
                <w:rFonts w:ascii="Times New Roman" w:hAnsi="Times New Roman"/>
                <w:b/>
              </w:rPr>
              <w:t>% исполнения</w:t>
            </w:r>
          </w:p>
        </w:tc>
        <w:tc>
          <w:tcPr>
            <w:tcW w:w="1702" w:type="dxa"/>
            <w:tcBorders>
              <w:top w:val="single" w:sz="4" w:space="0" w:color="auto"/>
              <w:left w:val="nil"/>
              <w:bottom w:val="single" w:sz="4" w:space="0" w:color="auto"/>
              <w:right w:val="single" w:sz="4" w:space="0" w:color="auto"/>
            </w:tcBorders>
          </w:tcPr>
          <w:p w:rsidR="00D251C3" w:rsidRPr="001474BE" w:rsidRDefault="00D251C3" w:rsidP="00E048BD">
            <w:pPr>
              <w:spacing w:after="0" w:line="240" w:lineRule="auto"/>
              <w:ind w:left="-107" w:right="-73"/>
              <w:contextualSpacing/>
              <w:jc w:val="center"/>
              <w:rPr>
                <w:rFonts w:ascii="Times New Roman" w:hAnsi="Times New Roman"/>
                <w:b/>
              </w:rPr>
            </w:pPr>
            <w:r w:rsidRPr="001474BE">
              <w:rPr>
                <w:rFonts w:ascii="Times New Roman" w:hAnsi="Times New Roman"/>
                <w:b/>
              </w:rPr>
              <w:t>Темп роста 2016г. к 2015г., %</w:t>
            </w:r>
          </w:p>
        </w:tc>
      </w:tr>
      <w:tr w:rsidR="00D251C3" w:rsidRPr="005A720E" w:rsidTr="00E048BD">
        <w:trPr>
          <w:trHeight w:val="427"/>
        </w:trPr>
        <w:tc>
          <w:tcPr>
            <w:tcW w:w="3402" w:type="dxa"/>
            <w:tcBorders>
              <w:top w:val="nil"/>
              <w:left w:val="single" w:sz="4" w:space="0" w:color="auto"/>
              <w:bottom w:val="single" w:sz="4" w:space="0" w:color="auto"/>
              <w:right w:val="single" w:sz="4" w:space="0" w:color="auto"/>
            </w:tcBorders>
            <w:noWrap/>
            <w:vAlign w:val="center"/>
          </w:tcPr>
          <w:p w:rsidR="00D251C3" w:rsidRPr="00DE63B3" w:rsidRDefault="00D251C3" w:rsidP="000E17A2">
            <w:pPr>
              <w:spacing w:after="0" w:line="240" w:lineRule="auto"/>
              <w:contextualSpacing/>
              <w:rPr>
                <w:rFonts w:ascii="Times New Roman" w:hAnsi="Times New Roman"/>
                <w:b/>
                <w:bCs/>
              </w:rPr>
            </w:pPr>
            <w:r w:rsidRPr="00DE63B3">
              <w:rPr>
                <w:rFonts w:ascii="Times New Roman" w:hAnsi="Times New Roman"/>
                <w:b/>
                <w:bCs/>
              </w:rPr>
              <w:t>Консолидированный бюджет</w:t>
            </w:r>
          </w:p>
        </w:tc>
        <w:tc>
          <w:tcPr>
            <w:tcW w:w="1559" w:type="dxa"/>
            <w:tcBorders>
              <w:top w:val="nil"/>
              <w:left w:val="nil"/>
              <w:bottom w:val="single" w:sz="4" w:space="0" w:color="auto"/>
              <w:right w:val="single" w:sz="4" w:space="0" w:color="auto"/>
            </w:tcBorders>
            <w:noWrap/>
            <w:vAlign w:val="center"/>
          </w:tcPr>
          <w:p w:rsidR="00D251C3" w:rsidRPr="00DE63B3" w:rsidRDefault="00D251C3" w:rsidP="000E17A2">
            <w:pPr>
              <w:spacing w:after="0" w:line="240" w:lineRule="auto"/>
              <w:contextualSpacing/>
              <w:jc w:val="center"/>
              <w:rPr>
                <w:rFonts w:ascii="Times New Roman" w:hAnsi="Times New Roman"/>
                <w:b/>
                <w:bCs/>
              </w:rPr>
            </w:pPr>
            <w:r w:rsidRPr="00DE63B3">
              <w:rPr>
                <w:rFonts w:ascii="Times New Roman" w:hAnsi="Times New Roman"/>
                <w:b/>
                <w:bCs/>
              </w:rPr>
              <w:t>4 729 715 463</w:t>
            </w:r>
          </w:p>
        </w:tc>
        <w:tc>
          <w:tcPr>
            <w:tcW w:w="1559" w:type="dxa"/>
            <w:tcBorders>
              <w:top w:val="nil"/>
              <w:left w:val="nil"/>
              <w:bottom w:val="single" w:sz="4" w:space="0" w:color="auto"/>
              <w:right w:val="single" w:sz="4" w:space="0" w:color="auto"/>
            </w:tcBorders>
            <w:noWrap/>
            <w:vAlign w:val="center"/>
          </w:tcPr>
          <w:p w:rsidR="00D251C3" w:rsidRPr="00DE63B3" w:rsidRDefault="00D251C3" w:rsidP="000E17A2">
            <w:pPr>
              <w:spacing w:after="0" w:line="240" w:lineRule="auto"/>
              <w:contextualSpacing/>
              <w:jc w:val="center"/>
              <w:rPr>
                <w:rFonts w:ascii="Times New Roman" w:hAnsi="Times New Roman"/>
                <w:b/>
                <w:bCs/>
              </w:rPr>
            </w:pPr>
            <w:r w:rsidRPr="00DE63B3">
              <w:rPr>
                <w:rFonts w:ascii="Times New Roman" w:hAnsi="Times New Roman"/>
                <w:b/>
                <w:bCs/>
              </w:rPr>
              <w:t>3 992 998 034</w:t>
            </w:r>
          </w:p>
        </w:tc>
        <w:tc>
          <w:tcPr>
            <w:tcW w:w="1417" w:type="dxa"/>
            <w:tcBorders>
              <w:top w:val="nil"/>
              <w:left w:val="nil"/>
              <w:bottom w:val="single" w:sz="4" w:space="0" w:color="auto"/>
              <w:right w:val="single" w:sz="4" w:space="0" w:color="auto"/>
            </w:tcBorders>
            <w:noWrap/>
            <w:vAlign w:val="center"/>
          </w:tcPr>
          <w:p w:rsidR="00D251C3" w:rsidRPr="00DE63B3" w:rsidRDefault="00D251C3" w:rsidP="000E17A2">
            <w:pPr>
              <w:spacing w:after="0" w:line="240" w:lineRule="auto"/>
              <w:contextualSpacing/>
              <w:jc w:val="center"/>
              <w:rPr>
                <w:rFonts w:ascii="Times New Roman" w:hAnsi="Times New Roman"/>
                <w:b/>
                <w:bCs/>
              </w:rPr>
            </w:pPr>
            <w:r w:rsidRPr="00DE63B3">
              <w:rPr>
                <w:rFonts w:ascii="Times New Roman" w:hAnsi="Times New Roman"/>
                <w:b/>
                <w:bCs/>
              </w:rPr>
              <w:t>84,4</w:t>
            </w:r>
          </w:p>
        </w:tc>
        <w:tc>
          <w:tcPr>
            <w:tcW w:w="1702" w:type="dxa"/>
            <w:tcBorders>
              <w:top w:val="nil"/>
              <w:left w:val="nil"/>
              <w:bottom w:val="single" w:sz="4" w:space="0" w:color="auto"/>
              <w:right w:val="single" w:sz="4" w:space="0" w:color="auto"/>
            </w:tcBorders>
            <w:vAlign w:val="center"/>
          </w:tcPr>
          <w:p w:rsidR="00D251C3" w:rsidRPr="00DE63B3" w:rsidRDefault="00D251C3" w:rsidP="000E17A2">
            <w:pPr>
              <w:spacing w:after="0" w:line="240" w:lineRule="auto"/>
              <w:contextualSpacing/>
              <w:jc w:val="center"/>
              <w:rPr>
                <w:rFonts w:ascii="Times New Roman" w:hAnsi="Times New Roman"/>
                <w:b/>
                <w:bCs/>
              </w:rPr>
            </w:pPr>
            <w:r w:rsidRPr="00DE63B3">
              <w:rPr>
                <w:rFonts w:ascii="Times New Roman" w:hAnsi="Times New Roman"/>
                <w:b/>
                <w:bCs/>
              </w:rPr>
              <w:t>128,6</w:t>
            </w:r>
          </w:p>
        </w:tc>
      </w:tr>
      <w:tr w:rsidR="00D251C3" w:rsidRPr="005A720E" w:rsidTr="00E048BD">
        <w:trPr>
          <w:trHeight w:val="253"/>
        </w:trPr>
        <w:tc>
          <w:tcPr>
            <w:tcW w:w="3402" w:type="dxa"/>
            <w:tcBorders>
              <w:top w:val="nil"/>
              <w:left w:val="single" w:sz="4" w:space="0" w:color="auto"/>
              <w:bottom w:val="single" w:sz="4" w:space="0" w:color="auto"/>
              <w:right w:val="single" w:sz="4" w:space="0" w:color="auto"/>
            </w:tcBorders>
            <w:noWrap/>
            <w:vAlign w:val="center"/>
          </w:tcPr>
          <w:p w:rsidR="00D251C3" w:rsidRPr="00DE63B3" w:rsidRDefault="00D251C3" w:rsidP="000E17A2">
            <w:pPr>
              <w:spacing w:after="0" w:line="240" w:lineRule="auto"/>
              <w:contextualSpacing/>
              <w:rPr>
                <w:rFonts w:ascii="Times New Roman" w:hAnsi="Times New Roman"/>
                <w:bCs/>
              </w:rPr>
            </w:pPr>
            <w:r w:rsidRPr="00DE63B3">
              <w:rPr>
                <w:rFonts w:ascii="Times New Roman" w:hAnsi="Times New Roman"/>
                <w:bCs/>
              </w:rPr>
              <w:t>Республиканский бюджет</w:t>
            </w:r>
          </w:p>
        </w:tc>
        <w:tc>
          <w:tcPr>
            <w:tcW w:w="1559" w:type="dxa"/>
            <w:tcBorders>
              <w:top w:val="nil"/>
              <w:left w:val="nil"/>
              <w:bottom w:val="single" w:sz="4" w:space="0" w:color="auto"/>
              <w:right w:val="single" w:sz="4" w:space="0" w:color="auto"/>
            </w:tcBorders>
            <w:noWrap/>
            <w:vAlign w:val="center"/>
          </w:tcPr>
          <w:p w:rsidR="00D251C3" w:rsidRPr="00DE63B3" w:rsidRDefault="00D251C3" w:rsidP="000E17A2">
            <w:pPr>
              <w:spacing w:after="0" w:line="240" w:lineRule="auto"/>
              <w:contextualSpacing/>
              <w:jc w:val="center"/>
              <w:rPr>
                <w:rFonts w:ascii="Times New Roman" w:hAnsi="Times New Roman"/>
                <w:bCs/>
              </w:rPr>
            </w:pPr>
            <w:r w:rsidRPr="00DE63B3">
              <w:rPr>
                <w:rFonts w:ascii="Times New Roman" w:hAnsi="Times New Roman"/>
                <w:bCs/>
              </w:rPr>
              <w:t>3 267 344 512</w:t>
            </w:r>
          </w:p>
        </w:tc>
        <w:tc>
          <w:tcPr>
            <w:tcW w:w="1559" w:type="dxa"/>
            <w:tcBorders>
              <w:top w:val="nil"/>
              <w:left w:val="nil"/>
              <w:bottom w:val="single" w:sz="4" w:space="0" w:color="auto"/>
              <w:right w:val="single" w:sz="4" w:space="0" w:color="auto"/>
            </w:tcBorders>
            <w:noWrap/>
            <w:vAlign w:val="center"/>
          </w:tcPr>
          <w:p w:rsidR="00D251C3" w:rsidRPr="00DE63B3" w:rsidRDefault="00D251C3" w:rsidP="000E17A2">
            <w:pPr>
              <w:spacing w:after="0" w:line="240" w:lineRule="auto"/>
              <w:contextualSpacing/>
              <w:jc w:val="center"/>
              <w:rPr>
                <w:rFonts w:ascii="Times New Roman" w:hAnsi="Times New Roman"/>
                <w:bCs/>
              </w:rPr>
            </w:pPr>
            <w:r w:rsidRPr="00DE63B3">
              <w:rPr>
                <w:rFonts w:ascii="Times New Roman" w:hAnsi="Times New Roman"/>
                <w:bCs/>
              </w:rPr>
              <w:t>2 777 892 050</w:t>
            </w:r>
          </w:p>
        </w:tc>
        <w:tc>
          <w:tcPr>
            <w:tcW w:w="1417" w:type="dxa"/>
            <w:tcBorders>
              <w:top w:val="nil"/>
              <w:left w:val="nil"/>
              <w:bottom w:val="single" w:sz="4" w:space="0" w:color="auto"/>
              <w:right w:val="single" w:sz="4" w:space="0" w:color="auto"/>
            </w:tcBorders>
            <w:noWrap/>
            <w:vAlign w:val="center"/>
          </w:tcPr>
          <w:p w:rsidR="00D251C3" w:rsidRPr="00DE63B3" w:rsidRDefault="00D251C3" w:rsidP="000E17A2">
            <w:pPr>
              <w:spacing w:after="0" w:line="240" w:lineRule="auto"/>
              <w:contextualSpacing/>
              <w:jc w:val="center"/>
              <w:rPr>
                <w:rFonts w:ascii="Times New Roman" w:hAnsi="Times New Roman"/>
                <w:bCs/>
              </w:rPr>
            </w:pPr>
            <w:r w:rsidRPr="00DE63B3">
              <w:rPr>
                <w:rFonts w:ascii="Times New Roman" w:hAnsi="Times New Roman"/>
                <w:bCs/>
              </w:rPr>
              <w:t>85,0</w:t>
            </w:r>
          </w:p>
        </w:tc>
        <w:tc>
          <w:tcPr>
            <w:tcW w:w="1702" w:type="dxa"/>
            <w:tcBorders>
              <w:top w:val="nil"/>
              <w:left w:val="nil"/>
              <w:bottom w:val="single" w:sz="4" w:space="0" w:color="auto"/>
              <w:right w:val="single" w:sz="4" w:space="0" w:color="auto"/>
            </w:tcBorders>
            <w:vAlign w:val="center"/>
          </w:tcPr>
          <w:p w:rsidR="00D251C3" w:rsidRPr="00DE63B3" w:rsidRDefault="00D251C3" w:rsidP="000E17A2">
            <w:pPr>
              <w:spacing w:after="0" w:line="240" w:lineRule="auto"/>
              <w:contextualSpacing/>
              <w:jc w:val="center"/>
              <w:rPr>
                <w:rFonts w:ascii="Times New Roman" w:hAnsi="Times New Roman"/>
                <w:bCs/>
              </w:rPr>
            </w:pPr>
            <w:r w:rsidRPr="00DE63B3">
              <w:rPr>
                <w:rFonts w:ascii="Times New Roman" w:hAnsi="Times New Roman"/>
                <w:bCs/>
              </w:rPr>
              <w:t>133,5</w:t>
            </w:r>
          </w:p>
        </w:tc>
      </w:tr>
      <w:tr w:rsidR="00D251C3" w:rsidRPr="0080737A" w:rsidTr="00E048BD">
        <w:trPr>
          <w:trHeight w:val="272"/>
        </w:trPr>
        <w:tc>
          <w:tcPr>
            <w:tcW w:w="3402" w:type="dxa"/>
            <w:tcBorders>
              <w:top w:val="nil"/>
              <w:left w:val="single" w:sz="4" w:space="0" w:color="auto"/>
              <w:bottom w:val="single" w:sz="4" w:space="0" w:color="auto"/>
              <w:right w:val="single" w:sz="4" w:space="0" w:color="auto"/>
            </w:tcBorders>
            <w:noWrap/>
            <w:vAlign w:val="center"/>
          </w:tcPr>
          <w:p w:rsidR="00D251C3" w:rsidRPr="00DE63B3" w:rsidRDefault="00D251C3" w:rsidP="000E17A2">
            <w:pPr>
              <w:spacing w:after="0" w:line="240" w:lineRule="auto"/>
              <w:contextualSpacing/>
              <w:rPr>
                <w:rFonts w:ascii="Times New Roman" w:hAnsi="Times New Roman"/>
                <w:bCs/>
              </w:rPr>
            </w:pPr>
            <w:r w:rsidRPr="00DE63B3">
              <w:rPr>
                <w:rFonts w:ascii="Times New Roman" w:hAnsi="Times New Roman"/>
                <w:bCs/>
              </w:rPr>
              <w:t>Местные бюджеты, в т.ч.</w:t>
            </w:r>
          </w:p>
        </w:tc>
        <w:tc>
          <w:tcPr>
            <w:tcW w:w="1559" w:type="dxa"/>
            <w:tcBorders>
              <w:top w:val="nil"/>
              <w:left w:val="nil"/>
              <w:bottom w:val="single" w:sz="4" w:space="0" w:color="auto"/>
              <w:right w:val="single" w:sz="4" w:space="0" w:color="auto"/>
            </w:tcBorders>
            <w:noWrap/>
            <w:vAlign w:val="center"/>
          </w:tcPr>
          <w:p w:rsidR="00D251C3" w:rsidRPr="00DE63B3" w:rsidRDefault="00D251C3" w:rsidP="000E17A2">
            <w:pPr>
              <w:spacing w:after="0" w:line="240" w:lineRule="auto"/>
              <w:contextualSpacing/>
              <w:jc w:val="center"/>
              <w:rPr>
                <w:rFonts w:ascii="Times New Roman" w:hAnsi="Times New Roman"/>
                <w:bCs/>
              </w:rPr>
            </w:pPr>
            <w:r w:rsidRPr="00DE63B3">
              <w:rPr>
                <w:rFonts w:ascii="Times New Roman" w:hAnsi="Times New Roman"/>
                <w:bCs/>
              </w:rPr>
              <w:t>1 462 370 951</w:t>
            </w:r>
          </w:p>
        </w:tc>
        <w:tc>
          <w:tcPr>
            <w:tcW w:w="1559" w:type="dxa"/>
            <w:tcBorders>
              <w:top w:val="nil"/>
              <w:left w:val="nil"/>
              <w:bottom w:val="single" w:sz="4" w:space="0" w:color="auto"/>
              <w:right w:val="single" w:sz="4" w:space="0" w:color="auto"/>
            </w:tcBorders>
            <w:noWrap/>
            <w:vAlign w:val="center"/>
          </w:tcPr>
          <w:p w:rsidR="00D251C3" w:rsidRPr="00DE63B3" w:rsidRDefault="00D251C3" w:rsidP="000E17A2">
            <w:pPr>
              <w:spacing w:after="0" w:line="240" w:lineRule="auto"/>
              <w:contextualSpacing/>
              <w:jc w:val="center"/>
              <w:rPr>
                <w:rFonts w:ascii="Times New Roman" w:hAnsi="Times New Roman"/>
                <w:bCs/>
              </w:rPr>
            </w:pPr>
            <w:r w:rsidRPr="00DE63B3">
              <w:rPr>
                <w:rFonts w:ascii="Times New Roman" w:hAnsi="Times New Roman"/>
                <w:bCs/>
              </w:rPr>
              <w:t>1 215 105 984</w:t>
            </w:r>
          </w:p>
        </w:tc>
        <w:tc>
          <w:tcPr>
            <w:tcW w:w="1417" w:type="dxa"/>
            <w:tcBorders>
              <w:top w:val="nil"/>
              <w:left w:val="nil"/>
              <w:bottom w:val="single" w:sz="4" w:space="0" w:color="auto"/>
              <w:right w:val="single" w:sz="4" w:space="0" w:color="auto"/>
            </w:tcBorders>
            <w:noWrap/>
            <w:vAlign w:val="center"/>
          </w:tcPr>
          <w:p w:rsidR="00D251C3" w:rsidRPr="00DE63B3" w:rsidRDefault="00D251C3" w:rsidP="000E17A2">
            <w:pPr>
              <w:spacing w:after="0" w:line="240" w:lineRule="auto"/>
              <w:contextualSpacing/>
              <w:jc w:val="center"/>
              <w:rPr>
                <w:rFonts w:ascii="Times New Roman" w:hAnsi="Times New Roman"/>
                <w:bCs/>
              </w:rPr>
            </w:pPr>
            <w:r w:rsidRPr="00DE63B3">
              <w:rPr>
                <w:rFonts w:ascii="Times New Roman" w:hAnsi="Times New Roman"/>
                <w:bCs/>
              </w:rPr>
              <w:t>83,1</w:t>
            </w:r>
          </w:p>
        </w:tc>
        <w:tc>
          <w:tcPr>
            <w:tcW w:w="1702" w:type="dxa"/>
            <w:tcBorders>
              <w:top w:val="nil"/>
              <w:left w:val="nil"/>
              <w:bottom w:val="single" w:sz="4" w:space="0" w:color="auto"/>
              <w:right w:val="single" w:sz="4" w:space="0" w:color="auto"/>
            </w:tcBorders>
            <w:vAlign w:val="center"/>
          </w:tcPr>
          <w:p w:rsidR="00D251C3" w:rsidRPr="00DE63B3" w:rsidRDefault="00D251C3" w:rsidP="000E17A2">
            <w:pPr>
              <w:spacing w:after="0" w:line="240" w:lineRule="auto"/>
              <w:contextualSpacing/>
              <w:jc w:val="center"/>
              <w:rPr>
                <w:rFonts w:ascii="Times New Roman" w:hAnsi="Times New Roman"/>
                <w:bCs/>
              </w:rPr>
            </w:pPr>
            <w:r w:rsidRPr="00DE63B3">
              <w:rPr>
                <w:rFonts w:ascii="Times New Roman" w:hAnsi="Times New Roman"/>
                <w:bCs/>
              </w:rPr>
              <w:t>118,8</w:t>
            </w:r>
          </w:p>
        </w:tc>
      </w:tr>
    </w:tbl>
    <w:p w:rsidR="00E048BD" w:rsidRDefault="00E048BD" w:rsidP="002156EF">
      <w:pPr>
        <w:spacing w:after="0" w:line="240" w:lineRule="auto"/>
        <w:jc w:val="both"/>
        <w:rPr>
          <w:rFonts w:ascii="Times New Roman" w:hAnsi="Times New Roman"/>
          <w:sz w:val="24"/>
          <w:szCs w:val="24"/>
        </w:rPr>
      </w:pPr>
    </w:p>
    <w:p w:rsidR="00D251C3" w:rsidRPr="00997501" w:rsidRDefault="002156EF" w:rsidP="002156EF">
      <w:pPr>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7696" behindDoc="0" locked="0" layoutInCell="1" allowOverlap="1">
            <wp:simplePos x="0" y="0"/>
            <wp:positionH relativeFrom="column">
              <wp:posOffset>34290</wp:posOffset>
            </wp:positionH>
            <wp:positionV relativeFrom="paragraph">
              <wp:posOffset>19050</wp:posOffset>
            </wp:positionV>
            <wp:extent cx="2733675" cy="3133725"/>
            <wp:effectExtent l="0" t="0" r="0" b="0"/>
            <wp:wrapSquare wrapText="bothSides"/>
            <wp:docPr id="7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D251C3" w:rsidRPr="00BF3DC8">
        <w:rPr>
          <w:rFonts w:ascii="Times New Roman" w:hAnsi="Times New Roman"/>
          <w:sz w:val="24"/>
          <w:szCs w:val="24"/>
        </w:rPr>
        <w:t xml:space="preserve">Фактическое финансирование по основным разделам функциональной классификации расходов в 2016 году осуществлялось достаточно равномерно. Приоритетными направлениями продолжают оставаться здравоохранение (18,5%) и социальная политика (13,7%), в 2015 году </w:t>
      </w:r>
      <w:r w:rsidR="00D251C3">
        <w:rPr>
          <w:rFonts w:ascii="Times New Roman" w:hAnsi="Times New Roman"/>
          <w:sz w:val="24"/>
          <w:szCs w:val="24"/>
        </w:rPr>
        <w:t>на данные отрасли приходилось по</w:t>
      </w:r>
      <w:r w:rsidR="00D251C3" w:rsidRPr="00BF3DC8">
        <w:rPr>
          <w:rFonts w:ascii="Times New Roman" w:hAnsi="Times New Roman"/>
          <w:sz w:val="24"/>
          <w:szCs w:val="24"/>
        </w:rPr>
        <w:t xml:space="preserve"> 17,2</w:t>
      </w:r>
      <w:r w:rsidR="00D251C3">
        <w:rPr>
          <w:rFonts w:ascii="Times New Roman" w:hAnsi="Times New Roman"/>
          <w:sz w:val="24"/>
          <w:szCs w:val="24"/>
        </w:rPr>
        <w:t>%</w:t>
      </w:r>
      <w:r w:rsidR="00D251C3" w:rsidRPr="00BF3DC8">
        <w:rPr>
          <w:rFonts w:ascii="Times New Roman" w:hAnsi="Times New Roman"/>
          <w:sz w:val="24"/>
          <w:szCs w:val="24"/>
        </w:rPr>
        <w:t xml:space="preserve">. При этом доля фактических расходов государства по социальным отраслям сократилась на 1,9 процентных </w:t>
      </w:r>
      <w:r w:rsidR="00D251C3" w:rsidRPr="00997501">
        <w:rPr>
          <w:rFonts w:ascii="Times New Roman" w:hAnsi="Times New Roman"/>
          <w:sz w:val="24"/>
          <w:szCs w:val="24"/>
        </w:rPr>
        <w:t>пункта и составила 43,8% общих фактических расходов, доля прочих расходов (в том числе расходов, профинансированных из средств учреждений, оказывающих платные услуги, а также расходов, направленных на реализацию государственных целевых (и нецелевых) программ) сократились с 13,2% до 12,3% общих фактических расходов бюджета за 2015-2016 годы.</w:t>
      </w:r>
    </w:p>
    <w:p w:rsidR="000E17A2" w:rsidRDefault="000E17A2" w:rsidP="00D251C3">
      <w:pPr>
        <w:spacing w:after="0" w:line="240" w:lineRule="auto"/>
        <w:ind w:firstLine="709"/>
        <w:contextualSpacing/>
        <w:jc w:val="both"/>
        <w:rPr>
          <w:rFonts w:ascii="Times New Roman" w:hAnsi="Times New Roman"/>
          <w:sz w:val="24"/>
          <w:szCs w:val="24"/>
        </w:rPr>
      </w:pPr>
    </w:p>
    <w:p w:rsidR="00D251C3" w:rsidRDefault="00D251C3" w:rsidP="00D251C3">
      <w:pPr>
        <w:spacing w:after="0" w:line="240" w:lineRule="auto"/>
        <w:ind w:firstLine="709"/>
        <w:contextualSpacing/>
        <w:jc w:val="both"/>
        <w:rPr>
          <w:rFonts w:ascii="Times New Roman" w:hAnsi="Times New Roman"/>
          <w:sz w:val="24"/>
          <w:szCs w:val="24"/>
        </w:rPr>
      </w:pPr>
      <w:r w:rsidRPr="00997501">
        <w:rPr>
          <w:rFonts w:ascii="Times New Roman" w:hAnsi="Times New Roman"/>
          <w:sz w:val="24"/>
          <w:szCs w:val="24"/>
        </w:rPr>
        <w:t>При этом, доля расходов на финансовую помощь бюджетам других уровней увеличилась с 3,7% в 2015 году до 10,4% в 2016 году.</w:t>
      </w:r>
    </w:p>
    <w:p w:rsidR="00FD2259" w:rsidRPr="00FD2259" w:rsidRDefault="00FD2259" w:rsidP="00D251C3">
      <w:pPr>
        <w:spacing w:after="0" w:line="240" w:lineRule="auto"/>
        <w:ind w:firstLine="709"/>
        <w:contextualSpacing/>
        <w:jc w:val="both"/>
        <w:rPr>
          <w:rFonts w:ascii="Times New Roman" w:hAnsi="Times New Roman"/>
          <w:sz w:val="10"/>
          <w:szCs w:val="10"/>
        </w:rPr>
      </w:pPr>
    </w:p>
    <w:p w:rsidR="00D251C3" w:rsidRDefault="00D251C3" w:rsidP="00A00123">
      <w:pPr>
        <w:spacing w:after="0" w:line="240" w:lineRule="auto"/>
        <w:jc w:val="both"/>
        <w:rPr>
          <w:rFonts w:ascii="Times New Roman" w:hAnsi="Times New Roman"/>
          <w:sz w:val="24"/>
          <w:szCs w:val="24"/>
        </w:rPr>
      </w:pPr>
      <w:r w:rsidRPr="00D251C3">
        <w:rPr>
          <w:rFonts w:ascii="Times New Roman" w:hAnsi="Times New Roman"/>
          <w:noProof/>
          <w:sz w:val="24"/>
          <w:szCs w:val="24"/>
        </w:rPr>
        <w:drawing>
          <wp:inline distT="0" distB="0" distL="0" distR="0">
            <wp:extent cx="2609850" cy="2257425"/>
            <wp:effectExtent l="19050" t="0" r="0" b="0"/>
            <wp:docPr id="1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D251C3">
        <w:rPr>
          <w:rFonts w:ascii="Times New Roman" w:hAnsi="Times New Roman"/>
          <w:noProof/>
          <w:sz w:val="24"/>
          <w:szCs w:val="24"/>
        </w:rPr>
        <w:drawing>
          <wp:inline distT="0" distB="0" distL="0" distR="0">
            <wp:extent cx="3295650" cy="2124075"/>
            <wp:effectExtent l="19050" t="0" r="0" b="0"/>
            <wp:docPr id="3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F4840" w:rsidRDefault="000F4840" w:rsidP="00A00123">
      <w:pPr>
        <w:spacing w:after="0" w:line="240" w:lineRule="auto"/>
        <w:jc w:val="both"/>
        <w:rPr>
          <w:rFonts w:ascii="Times New Roman" w:hAnsi="Times New Roman"/>
          <w:sz w:val="24"/>
          <w:szCs w:val="24"/>
        </w:rPr>
      </w:pPr>
    </w:p>
    <w:p w:rsidR="00D251C3" w:rsidRPr="00CB2CF6" w:rsidRDefault="00D251C3" w:rsidP="00D251C3">
      <w:pPr>
        <w:spacing w:after="0" w:line="24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Доля </w:t>
      </w:r>
      <w:r w:rsidRPr="00553DAA">
        <w:rPr>
          <w:rFonts w:ascii="Times New Roman" w:eastAsia="Calibri" w:hAnsi="Times New Roman"/>
          <w:sz w:val="24"/>
          <w:szCs w:val="24"/>
        </w:rPr>
        <w:t xml:space="preserve">бюджетных средств на содержание государственного аппарата </w:t>
      </w:r>
      <w:r>
        <w:rPr>
          <w:rFonts w:ascii="Times New Roman" w:eastAsia="Calibri" w:hAnsi="Times New Roman"/>
          <w:sz w:val="24"/>
          <w:szCs w:val="24"/>
        </w:rPr>
        <w:t>незначительно выросла</w:t>
      </w:r>
      <w:r w:rsidRPr="00553DAA">
        <w:rPr>
          <w:rFonts w:ascii="Times New Roman" w:eastAsia="Calibri" w:hAnsi="Times New Roman"/>
          <w:sz w:val="24"/>
          <w:szCs w:val="24"/>
        </w:rPr>
        <w:t xml:space="preserve"> с 6,7% в 2015 году до 6,8% в </w:t>
      </w:r>
      <w:r w:rsidRPr="00CB2CF6">
        <w:rPr>
          <w:rFonts w:ascii="Times New Roman" w:eastAsia="Calibri" w:hAnsi="Times New Roman"/>
          <w:sz w:val="24"/>
          <w:szCs w:val="24"/>
        </w:rPr>
        <w:t>2016 году.</w:t>
      </w:r>
    </w:p>
    <w:p w:rsidR="00D251C3" w:rsidRPr="00D91CA1" w:rsidRDefault="00D251C3" w:rsidP="00D251C3">
      <w:pPr>
        <w:spacing w:after="0" w:line="240" w:lineRule="auto"/>
        <w:ind w:firstLine="709"/>
        <w:jc w:val="both"/>
        <w:rPr>
          <w:rFonts w:ascii="Times New Roman" w:hAnsi="Times New Roman"/>
          <w:sz w:val="24"/>
          <w:szCs w:val="24"/>
        </w:rPr>
      </w:pPr>
      <w:r w:rsidRPr="00CB2CF6">
        <w:rPr>
          <w:rFonts w:ascii="Times New Roman" w:hAnsi="Times New Roman"/>
          <w:sz w:val="24"/>
          <w:szCs w:val="24"/>
        </w:rPr>
        <w:t xml:space="preserve">Расходы на содержание силовых структур и органов обеспечения правопорядка продолжают </w:t>
      </w:r>
      <w:r w:rsidRPr="00D91CA1">
        <w:rPr>
          <w:rFonts w:ascii="Times New Roman" w:hAnsi="Times New Roman"/>
          <w:sz w:val="24"/>
          <w:szCs w:val="24"/>
        </w:rPr>
        <w:t>оставаться весомой частью в бюджетных расходах, однако их удельный вес сократился с 16,9% в 2015 году до 15,5% в 2016 году.</w:t>
      </w:r>
    </w:p>
    <w:p w:rsidR="00D251C3" w:rsidRPr="00B2546C" w:rsidRDefault="00D251C3" w:rsidP="00D251C3">
      <w:pPr>
        <w:suppressAutoHyphens/>
        <w:spacing w:after="0" w:line="240" w:lineRule="auto"/>
        <w:ind w:firstLine="709"/>
        <w:jc w:val="both"/>
        <w:rPr>
          <w:rFonts w:ascii="Times New Roman" w:hAnsi="Times New Roman"/>
          <w:sz w:val="24"/>
          <w:szCs w:val="24"/>
        </w:rPr>
      </w:pPr>
      <w:r w:rsidRPr="00D91CA1">
        <w:rPr>
          <w:rFonts w:ascii="Times New Roman" w:hAnsi="Times New Roman"/>
          <w:sz w:val="24"/>
          <w:szCs w:val="24"/>
        </w:rPr>
        <w:lastRenderedPageBreak/>
        <w:t xml:space="preserve">Направленность консолидированного бюджета в 2016 году сохраняла социальный характер, что подтверждается долей расходов фактически профинансированных социально-защищенных статей в общих расходах бюджета, которая составила 81,7%, </w:t>
      </w:r>
      <w:r w:rsidRPr="00B2546C">
        <w:rPr>
          <w:rFonts w:ascii="Times New Roman" w:hAnsi="Times New Roman"/>
          <w:sz w:val="24"/>
          <w:szCs w:val="24"/>
        </w:rPr>
        <w:t>увеличившись к уровню базового года на 4,4 процентных пункта.</w:t>
      </w:r>
    </w:p>
    <w:p w:rsidR="00D251C3" w:rsidRPr="00B2546C" w:rsidRDefault="00D251C3" w:rsidP="00D251C3">
      <w:pPr>
        <w:shd w:val="clear" w:color="auto" w:fill="FFFFFF"/>
        <w:tabs>
          <w:tab w:val="left" w:pos="7368"/>
        </w:tabs>
        <w:spacing w:line="240" w:lineRule="auto"/>
        <w:ind w:firstLine="709"/>
        <w:contextualSpacing/>
        <w:jc w:val="both"/>
        <w:rPr>
          <w:rFonts w:ascii="Times New Roman" w:hAnsi="Times New Roman"/>
          <w:spacing w:val="-2"/>
          <w:sz w:val="24"/>
          <w:szCs w:val="24"/>
        </w:rPr>
      </w:pPr>
      <w:r w:rsidRPr="00B2546C">
        <w:rPr>
          <w:rFonts w:ascii="Times New Roman" w:hAnsi="Times New Roman"/>
          <w:sz w:val="24"/>
          <w:szCs w:val="24"/>
        </w:rPr>
        <w:t xml:space="preserve">Расходы по социально защищенным статьям республиканского бюджета за                   2016 год составили </w:t>
      </w:r>
      <w:r w:rsidRPr="00B2546C">
        <w:rPr>
          <w:rFonts w:ascii="Times New Roman" w:hAnsi="Times New Roman"/>
          <w:bCs/>
          <w:sz w:val="24"/>
          <w:szCs w:val="24"/>
        </w:rPr>
        <w:t xml:space="preserve">2 286 904 144 </w:t>
      </w:r>
      <w:r w:rsidRPr="00B2546C">
        <w:rPr>
          <w:rFonts w:ascii="Times New Roman" w:hAnsi="Times New Roman"/>
          <w:sz w:val="24"/>
          <w:szCs w:val="24"/>
        </w:rPr>
        <w:t>руб., или 92,6% от запланированной величины.</w:t>
      </w:r>
      <w:r w:rsidRPr="00B2546C">
        <w:rPr>
          <w:rFonts w:ascii="Times New Roman" w:hAnsi="Times New Roman"/>
          <w:spacing w:val="-2"/>
          <w:sz w:val="24"/>
          <w:szCs w:val="24"/>
        </w:rPr>
        <w:t xml:space="preserve"> Наибольший удельный вес в них занимали расходы на выплату заработной платы с учетом взносов на социальное страхование – 65,1%, а также: социальные пенсии – 7,3%; пенсии и пожизненное содержание – 4,5%.</w:t>
      </w:r>
    </w:p>
    <w:p w:rsidR="00D251C3" w:rsidRPr="0080737A" w:rsidRDefault="00D251C3" w:rsidP="00D251C3">
      <w:pPr>
        <w:shd w:val="clear" w:color="auto" w:fill="FFFFFF"/>
        <w:tabs>
          <w:tab w:val="left" w:pos="7368"/>
        </w:tabs>
        <w:spacing w:after="0" w:line="240" w:lineRule="auto"/>
        <w:ind w:firstLine="709"/>
        <w:contextualSpacing/>
        <w:jc w:val="both"/>
        <w:rPr>
          <w:rFonts w:ascii="Times New Roman" w:hAnsi="Times New Roman"/>
          <w:spacing w:val="-2"/>
          <w:sz w:val="24"/>
          <w:szCs w:val="24"/>
        </w:rPr>
      </w:pPr>
      <w:r w:rsidRPr="00B2546C">
        <w:rPr>
          <w:rFonts w:ascii="Times New Roman" w:hAnsi="Times New Roman"/>
          <w:sz w:val="24"/>
          <w:szCs w:val="24"/>
        </w:rPr>
        <w:t xml:space="preserve">Расходы по социально защищенным статьям местного бюджета за 2016 год исполнены на 94,4% и составили </w:t>
      </w:r>
      <w:r w:rsidRPr="00B2546C">
        <w:rPr>
          <w:rFonts w:ascii="Times New Roman" w:hAnsi="Times New Roman"/>
          <w:bCs/>
          <w:sz w:val="24"/>
          <w:szCs w:val="24"/>
        </w:rPr>
        <w:t xml:space="preserve">973 977 836 </w:t>
      </w:r>
      <w:r w:rsidRPr="00B2546C">
        <w:rPr>
          <w:rFonts w:ascii="Times New Roman" w:hAnsi="Times New Roman"/>
          <w:sz w:val="24"/>
          <w:szCs w:val="24"/>
        </w:rPr>
        <w:t>руб.</w:t>
      </w:r>
      <w:r w:rsidRPr="00B2546C">
        <w:rPr>
          <w:rFonts w:ascii="Times New Roman" w:hAnsi="Times New Roman"/>
          <w:spacing w:val="-2"/>
          <w:sz w:val="24"/>
          <w:szCs w:val="24"/>
        </w:rPr>
        <w:t xml:space="preserve"> Наибольший удельный вес в них занимали расходы на выплату заработной платы с учетом взносов на социальное страхование –96,4%.</w:t>
      </w:r>
    </w:p>
    <w:p w:rsidR="00D251C3" w:rsidRPr="0080737A" w:rsidRDefault="00D251C3" w:rsidP="00D251C3">
      <w:pPr>
        <w:pStyle w:val="a6"/>
        <w:spacing w:before="0" w:beforeAutospacing="0" w:after="0" w:afterAutospacing="0"/>
        <w:ind w:firstLine="709"/>
        <w:jc w:val="both"/>
      </w:pPr>
      <w:r w:rsidRPr="00C11EAC">
        <w:t>В 2016 году в результате превышения расходов консолидированного бюджета (на 70,8%) над доходами, отмечено увеличение сальдо расходов</w:t>
      </w:r>
      <w:r>
        <w:t xml:space="preserve"> и</w:t>
      </w:r>
      <w:r w:rsidRPr="00C11EAC">
        <w:t xml:space="preserve"> </w:t>
      </w:r>
      <w:r>
        <w:t xml:space="preserve">доходов </w:t>
      </w:r>
      <w:r w:rsidRPr="00C11EAC">
        <w:t>консолидированного бюджета к уровню 2015 года в 2,1 раза. Фактическое значение сальдо консолидированного бюджета сложилось в размере 1 655 262 311 руб. и составило 14,</w:t>
      </w:r>
      <w:r>
        <w:t>4</w:t>
      </w:r>
      <w:r w:rsidRPr="00C11EAC">
        <w:t>% к ВВП.</w:t>
      </w:r>
    </w:p>
    <w:p w:rsidR="00D251C3" w:rsidRPr="00C11EAC" w:rsidRDefault="00D251C3" w:rsidP="00D251C3">
      <w:pPr>
        <w:pStyle w:val="a6"/>
        <w:spacing w:before="0" w:beforeAutospacing="0" w:after="0" w:afterAutospacing="0"/>
        <w:ind w:firstLine="709"/>
        <w:jc w:val="right"/>
      </w:pPr>
      <w:r w:rsidRPr="00C11EAC">
        <w:t>Таблица №</w:t>
      </w:r>
      <w:r w:rsidR="0059595E">
        <w:t>6</w:t>
      </w:r>
    </w:p>
    <w:p w:rsidR="00D251C3" w:rsidRPr="0080737A" w:rsidRDefault="00D251C3" w:rsidP="00AD263A">
      <w:pPr>
        <w:pStyle w:val="a6"/>
        <w:spacing w:beforeLines="40" w:beforeAutospacing="0" w:afterLines="40" w:afterAutospacing="0"/>
        <w:ind w:firstLine="709"/>
        <w:jc w:val="center"/>
        <w:rPr>
          <w:b/>
        </w:rPr>
      </w:pPr>
      <w:r w:rsidRPr="00C11EAC">
        <w:rPr>
          <w:b/>
        </w:rPr>
        <w:t>Сальдо доходов и расходов Консолидированного бюджета</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9"/>
        <w:gridCol w:w="1276"/>
        <w:gridCol w:w="850"/>
        <w:gridCol w:w="709"/>
        <w:gridCol w:w="1386"/>
        <w:gridCol w:w="888"/>
        <w:gridCol w:w="723"/>
        <w:gridCol w:w="1241"/>
      </w:tblGrid>
      <w:tr w:rsidR="00D251C3" w:rsidRPr="0080737A" w:rsidTr="00174F9C">
        <w:trPr>
          <w:trHeight w:val="292"/>
          <w:jc w:val="center"/>
        </w:trPr>
        <w:tc>
          <w:tcPr>
            <w:tcW w:w="2539" w:type="dxa"/>
            <w:vMerge w:val="restart"/>
            <w:vAlign w:val="center"/>
          </w:tcPr>
          <w:p w:rsidR="00D251C3" w:rsidRPr="00C11EAC" w:rsidRDefault="00D251C3" w:rsidP="00AD263A">
            <w:pPr>
              <w:spacing w:beforeLines="40" w:afterLines="40" w:line="240" w:lineRule="auto"/>
              <w:jc w:val="center"/>
              <w:rPr>
                <w:rFonts w:ascii="Times New Roman" w:hAnsi="Times New Roman"/>
                <w:b/>
              </w:rPr>
            </w:pPr>
          </w:p>
        </w:tc>
        <w:tc>
          <w:tcPr>
            <w:tcW w:w="2835" w:type="dxa"/>
            <w:gridSpan w:val="3"/>
            <w:vAlign w:val="center"/>
          </w:tcPr>
          <w:p w:rsidR="00D251C3" w:rsidRPr="00C11EAC" w:rsidRDefault="00D251C3" w:rsidP="00AD263A">
            <w:pPr>
              <w:spacing w:beforeLines="40" w:afterLines="40" w:line="240" w:lineRule="auto"/>
              <w:jc w:val="center"/>
              <w:rPr>
                <w:rFonts w:ascii="Times New Roman" w:hAnsi="Times New Roman"/>
                <w:b/>
                <w:sz w:val="24"/>
                <w:szCs w:val="24"/>
              </w:rPr>
            </w:pPr>
            <w:r w:rsidRPr="00C11EAC">
              <w:rPr>
                <w:rFonts w:ascii="Times New Roman" w:hAnsi="Times New Roman"/>
                <w:b/>
                <w:sz w:val="24"/>
                <w:szCs w:val="24"/>
              </w:rPr>
              <w:t>2015 год</w:t>
            </w:r>
          </w:p>
        </w:tc>
        <w:tc>
          <w:tcPr>
            <w:tcW w:w="2997" w:type="dxa"/>
            <w:gridSpan w:val="3"/>
            <w:vAlign w:val="center"/>
          </w:tcPr>
          <w:p w:rsidR="00D251C3" w:rsidRPr="00C11EAC" w:rsidRDefault="00D251C3" w:rsidP="00AD263A">
            <w:pPr>
              <w:spacing w:beforeLines="40" w:afterLines="40" w:line="240" w:lineRule="auto"/>
              <w:jc w:val="center"/>
              <w:rPr>
                <w:rFonts w:ascii="Times New Roman" w:hAnsi="Times New Roman"/>
                <w:b/>
                <w:sz w:val="24"/>
                <w:szCs w:val="24"/>
              </w:rPr>
            </w:pPr>
            <w:r w:rsidRPr="00C11EAC">
              <w:rPr>
                <w:rFonts w:ascii="Times New Roman" w:hAnsi="Times New Roman"/>
                <w:b/>
                <w:sz w:val="24"/>
                <w:szCs w:val="24"/>
              </w:rPr>
              <w:t>2016 год</w:t>
            </w:r>
          </w:p>
        </w:tc>
        <w:tc>
          <w:tcPr>
            <w:tcW w:w="1241" w:type="dxa"/>
            <w:vMerge w:val="restart"/>
            <w:vAlign w:val="center"/>
          </w:tcPr>
          <w:p w:rsidR="00D251C3" w:rsidRPr="00C11EAC" w:rsidRDefault="00D251C3" w:rsidP="00AD263A">
            <w:pPr>
              <w:spacing w:beforeLines="40" w:afterLines="40" w:line="240" w:lineRule="auto"/>
              <w:ind w:left="-70" w:right="-165"/>
              <w:jc w:val="center"/>
              <w:rPr>
                <w:rFonts w:ascii="Times New Roman" w:hAnsi="Times New Roman"/>
                <w:b/>
              </w:rPr>
            </w:pPr>
            <w:r w:rsidRPr="00C11EAC">
              <w:rPr>
                <w:rFonts w:ascii="Times New Roman" w:hAnsi="Times New Roman"/>
                <w:b/>
              </w:rPr>
              <w:t>Темп роста. 2016г. к</w:t>
            </w:r>
          </w:p>
          <w:p w:rsidR="00D251C3" w:rsidRPr="00C11EAC" w:rsidRDefault="00D251C3" w:rsidP="00AD263A">
            <w:pPr>
              <w:spacing w:beforeLines="40" w:afterLines="40" w:line="240" w:lineRule="auto"/>
              <w:ind w:left="-70" w:right="-165"/>
              <w:jc w:val="center"/>
              <w:rPr>
                <w:rFonts w:ascii="Times New Roman" w:hAnsi="Times New Roman"/>
                <w:b/>
              </w:rPr>
            </w:pPr>
            <w:r w:rsidRPr="00C11EAC">
              <w:rPr>
                <w:rFonts w:ascii="Times New Roman" w:hAnsi="Times New Roman"/>
                <w:b/>
              </w:rPr>
              <w:t xml:space="preserve"> 2015г., % </w:t>
            </w:r>
          </w:p>
        </w:tc>
      </w:tr>
      <w:tr w:rsidR="00D251C3" w:rsidRPr="0080737A" w:rsidTr="003B2047">
        <w:trPr>
          <w:trHeight w:val="121"/>
          <w:jc w:val="center"/>
        </w:trPr>
        <w:tc>
          <w:tcPr>
            <w:tcW w:w="2539" w:type="dxa"/>
            <w:vMerge/>
            <w:vAlign w:val="center"/>
          </w:tcPr>
          <w:p w:rsidR="00D251C3" w:rsidRPr="00C11EAC" w:rsidRDefault="00D251C3" w:rsidP="000F4840">
            <w:pPr>
              <w:spacing w:before="40" w:after="40" w:line="240" w:lineRule="auto"/>
              <w:jc w:val="center"/>
              <w:rPr>
                <w:rFonts w:ascii="Times New Roman" w:hAnsi="Times New Roman"/>
                <w:b/>
              </w:rPr>
            </w:pPr>
          </w:p>
        </w:tc>
        <w:tc>
          <w:tcPr>
            <w:tcW w:w="1276" w:type="dxa"/>
            <w:vAlign w:val="center"/>
          </w:tcPr>
          <w:p w:rsidR="00D251C3" w:rsidRPr="00C11EAC" w:rsidRDefault="00D251C3" w:rsidP="000F4840">
            <w:pPr>
              <w:spacing w:before="40" w:after="40" w:line="240" w:lineRule="auto"/>
              <w:jc w:val="center"/>
              <w:rPr>
                <w:rFonts w:ascii="Times New Roman" w:hAnsi="Times New Roman"/>
                <w:b/>
              </w:rPr>
            </w:pPr>
            <w:r w:rsidRPr="00C11EAC">
              <w:rPr>
                <w:rFonts w:ascii="Times New Roman" w:hAnsi="Times New Roman"/>
                <w:b/>
              </w:rPr>
              <w:t>факт</w:t>
            </w:r>
          </w:p>
        </w:tc>
        <w:tc>
          <w:tcPr>
            <w:tcW w:w="850" w:type="dxa"/>
            <w:vAlign w:val="center"/>
          </w:tcPr>
          <w:p w:rsidR="00D251C3" w:rsidRPr="00C11EAC" w:rsidRDefault="00D251C3" w:rsidP="000F4840">
            <w:pPr>
              <w:spacing w:before="40" w:after="40" w:line="240" w:lineRule="auto"/>
              <w:jc w:val="center"/>
              <w:rPr>
                <w:rFonts w:ascii="Times New Roman" w:hAnsi="Times New Roman"/>
                <w:b/>
              </w:rPr>
            </w:pPr>
            <w:r w:rsidRPr="00C11EAC">
              <w:rPr>
                <w:rFonts w:ascii="Times New Roman" w:hAnsi="Times New Roman"/>
                <w:b/>
              </w:rPr>
              <w:t xml:space="preserve">% к расх. </w:t>
            </w:r>
            <w:r w:rsidR="000F4840">
              <w:rPr>
                <w:rFonts w:ascii="Times New Roman" w:hAnsi="Times New Roman"/>
                <w:b/>
              </w:rPr>
              <w:t>ч</w:t>
            </w:r>
            <w:r w:rsidRPr="00C11EAC">
              <w:rPr>
                <w:rFonts w:ascii="Times New Roman" w:hAnsi="Times New Roman"/>
                <w:b/>
              </w:rPr>
              <w:t>асти</w:t>
            </w:r>
          </w:p>
        </w:tc>
        <w:tc>
          <w:tcPr>
            <w:tcW w:w="709" w:type="dxa"/>
            <w:vAlign w:val="center"/>
          </w:tcPr>
          <w:p w:rsidR="00D251C3" w:rsidRPr="00C11EAC" w:rsidRDefault="00D251C3" w:rsidP="000F4840">
            <w:pPr>
              <w:spacing w:before="40" w:after="40" w:line="240" w:lineRule="auto"/>
              <w:jc w:val="center"/>
              <w:rPr>
                <w:rFonts w:ascii="Times New Roman" w:hAnsi="Times New Roman"/>
                <w:b/>
              </w:rPr>
            </w:pPr>
            <w:r w:rsidRPr="00C11EAC">
              <w:rPr>
                <w:rFonts w:ascii="Times New Roman" w:hAnsi="Times New Roman"/>
                <w:b/>
              </w:rPr>
              <w:t>% к ВВП</w:t>
            </w:r>
          </w:p>
        </w:tc>
        <w:tc>
          <w:tcPr>
            <w:tcW w:w="1386" w:type="dxa"/>
            <w:vAlign w:val="center"/>
          </w:tcPr>
          <w:p w:rsidR="00D251C3" w:rsidRPr="00C11EAC" w:rsidRDefault="00D251C3" w:rsidP="000F4840">
            <w:pPr>
              <w:spacing w:before="40" w:after="40" w:line="240" w:lineRule="auto"/>
              <w:jc w:val="center"/>
              <w:rPr>
                <w:rFonts w:ascii="Times New Roman" w:hAnsi="Times New Roman"/>
                <w:b/>
              </w:rPr>
            </w:pPr>
            <w:r w:rsidRPr="00C11EAC">
              <w:rPr>
                <w:rFonts w:ascii="Times New Roman" w:hAnsi="Times New Roman"/>
                <w:b/>
              </w:rPr>
              <w:t>факт</w:t>
            </w:r>
          </w:p>
        </w:tc>
        <w:tc>
          <w:tcPr>
            <w:tcW w:w="888" w:type="dxa"/>
            <w:vAlign w:val="center"/>
          </w:tcPr>
          <w:p w:rsidR="00D251C3" w:rsidRPr="00C11EAC" w:rsidRDefault="00D251C3" w:rsidP="000F4840">
            <w:pPr>
              <w:spacing w:before="40" w:after="40" w:line="240" w:lineRule="auto"/>
              <w:ind w:left="-77"/>
              <w:jc w:val="center"/>
              <w:rPr>
                <w:rFonts w:ascii="Times New Roman" w:hAnsi="Times New Roman"/>
                <w:b/>
              </w:rPr>
            </w:pPr>
            <w:r w:rsidRPr="00C11EAC">
              <w:rPr>
                <w:rFonts w:ascii="Times New Roman" w:hAnsi="Times New Roman"/>
                <w:b/>
              </w:rPr>
              <w:t xml:space="preserve">% к расх. </w:t>
            </w:r>
            <w:r w:rsidR="000F4840">
              <w:rPr>
                <w:rFonts w:ascii="Times New Roman" w:hAnsi="Times New Roman"/>
                <w:b/>
                <w:sz w:val="20"/>
              </w:rPr>
              <w:t>ч</w:t>
            </w:r>
            <w:r w:rsidRPr="00C11EAC">
              <w:rPr>
                <w:rFonts w:ascii="Times New Roman" w:hAnsi="Times New Roman"/>
                <w:b/>
              </w:rPr>
              <w:t>асти</w:t>
            </w:r>
          </w:p>
        </w:tc>
        <w:tc>
          <w:tcPr>
            <w:tcW w:w="723" w:type="dxa"/>
            <w:vAlign w:val="center"/>
          </w:tcPr>
          <w:p w:rsidR="00D251C3" w:rsidRPr="00C11EAC" w:rsidRDefault="00D251C3" w:rsidP="000F4840">
            <w:pPr>
              <w:spacing w:before="40" w:after="40" w:line="240" w:lineRule="auto"/>
              <w:jc w:val="center"/>
              <w:rPr>
                <w:rFonts w:ascii="Times New Roman" w:hAnsi="Times New Roman"/>
                <w:b/>
              </w:rPr>
            </w:pPr>
            <w:r w:rsidRPr="00C11EAC">
              <w:rPr>
                <w:rFonts w:ascii="Times New Roman" w:hAnsi="Times New Roman"/>
                <w:b/>
              </w:rPr>
              <w:t>% к ВВП</w:t>
            </w:r>
          </w:p>
        </w:tc>
        <w:tc>
          <w:tcPr>
            <w:tcW w:w="1241" w:type="dxa"/>
            <w:vMerge/>
            <w:vAlign w:val="center"/>
          </w:tcPr>
          <w:p w:rsidR="00D251C3" w:rsidRPr="00C11EAC" w:rsidRDefault="00D251C3" w:rsidP="000F4840">
            <w:pPr>
              <w:spacing w:before="40" w:after="40" w:line="240" w:lineRule="auto"/>
              <w:jc w:val="center"/>
              <w:rPr>
                <w:rFonts w:ascii="Times New Roman" w:hAnsi="Times New Roman"/>
                <w:b/>
              </w:rPr>
            </w:pPr>
          </w:p>
        </w:tc>
      </w:tr>
      <w:tr w:rsidR="00D251C3" w:rsidRPr="0080737A" w:rsidTr="000F4840">
        <w:trPr>
          <w:trHeight w:val="882"/>
          <w:jc w:val="center"/>
        </w:trPr>
        <w:tc>
          <w:tcPr>
            <w:tcW w:w="2539" w:type="dxa"/>
          </w:tcPr>
          <w:p w:rsidR="00D251C3" w:rsidRPr="00C11EAC" w:rsidRDefault="00D251C3" w:rsidP="000F4840">
            <w:pPr>
              <w:spacing w:before="40" w:after="40" w:line="240" w:lineRule="auto"/>
              <w:ind w:left="-101" w:right="-161"/>
              <w:rPr>
                <w:rFonts w:ascii="Times New Roman" w:hAnsi="Times New Roman"/>
                <w:b/>
              </w:rPr>
            </w:pPr>
            <w:r w:rsidRPr="00C11EAC">
              <w:rPr>
                <w:rFonts w:ascii="Times New Roman" w:hAnsi="Times New Roman"/>
                <w:b/>
              </w:rPr>
              <w:t>Сальдо консолидированного бюджета, в том числе:</w:t>
            </w:r>
          </w:p>
        </w:tc>
        <w:tc>
          <w:tcPr>
            <w:tcW w:w="1276" w:type="dxa"/>
            <w:vAlign w:val="center"/>
          </w:tcPr>
          <w:p w:rsidR="00D251C3" w:rsidRPr="00C11EAC" w:rsidRDefault="00D251C3" w:rsidP="000F4840">
            <w:pPr>
              <w:spacing w:before="40" w:after="40" w:line="240" w:lineRule="auto"/>
              <w:ind w:left="-124"/>
              <w:jc w:val="center"/>
              <w:rPr>
                <w:rFonts w:ascii="Times New Roman" w:eastAsia="Calibri" w:hAnsi="Times New Roman"/>
                <w:b/>
              </w:rPr>
            </w:pPr>
            <w:r w:rsidRPr="00C11EAC">
              <w:rPr>
                <w:rFonts w:ascii="Times New Roman" w:eastAsia="Calibri" w:hAnsi="Times New Roman"/>
                <w:b/>
              </w:rPr>
              <w:t xml:space="preserve">782 175 048 </w:t>
            </w:r>
          </w:p>
        </w:tc>
        <w:tc>
          <w:tcPr>
            <w:tcW w:w="850" w:type="dxa"/>
            <w:vAlign w:val="center"/>
          </w:tcPr>
          <w:p w:rsidR="00D251C3" w:rsidRPr="00C11EAC" w:rsidRDefault="00D251C3" w:rsidP="000F4840">
            <w:pPr>
              <w:spacing w:before="40" w:after="40" w:line="240" w:lineRule="auto"/>
              <w:jc w:val="center"/>
              <w:rPr>
                <w:rFonts w:ascii="Times New Roman" w:eastAsia="Calibri" w:hAnsi="Times New Roman"/>
                <w:b/>
              </w:rPr>
            </w:pPr>
            <w:r w:rsidRPr="00C11EAC">
              <w:rPr>
                <w:rFonts w:ascii="Times New Roman" w:eastAsia="Calibri" w:hAnsi="Times New Roman"/>
                <w:b/>
              </w:rPr>
              <w:t>25,2</w:t>
            </w:r>
          </w:p>
        </w:tc>
        <w:tc>
          <w:tcPr>
            <w:tcW w:w="709" w:type="dxa"/>
            <w:vAlign w:val="center"/>
          </w:tcPr>
          <w:p w:rsidR="00D251C3" w:rsidRPr="00C11EAC" w:rsidRDefault="00D251C3" w:rsidP="000F4840">
            <w:pPr>
              <w:spacing w:before="40" w:after="40" w:line="240" w:lineRule="auto"/>
              <w:jc w:val="center"/>
              <w:rPr>
                <w:rFonts w:ascii="Times New Roman" w:eastAsia="Calibri" w:hAnsi="Times New Roman"/>
                <w:b/>
              </w:rPr>
            </w:pPr>
            <w:r w:rsidRPr="00C11EAC">
              <w:rPr>
                <w:rFonts w:ascii="Times New Roman" w:eastAsia="Calibri" w:hAnsi="Times New Roman"/>
                <w:b/>
              </w:rPr>
              <w:t>8,1</w:t>
            </w:r>
          </w:p>
        </w:tc>
        <w:tc>
          <w:tcPr>
            <w:tcW w:w="1386" w:type="dxa"/>
            <w:vAlign w:val="center"/>
          </w:tcPr>
          <w:p w:rsidR="00D251C3" w:rsidRPr="00C11EAC" w:rsidRDefault="00D251C3" w:rsidP="000F4840">
            <w:pPr>
              <w:spacing w:before="40" w:after="40" w:line="240" w:lineRule="auto"/>
              <w:ind w:left="-124" w:right="-104" w:firstLine="37"/>
              <w:jc w:val="center"/>
              <w:rPr>
                <w:rFonts w:ascii="Times New Roman" w:hAnsi="Times New Roman"/>
                <w:b/>
              </w:rPr>
            </w:pPr>
            <w:r w:rsidRPr="00C11EAC">
              <w:rPr>
                <w:rFonts w:ascii="Times New Roman" w:hAnsi="Times New Roman"/>
                <w:b/>
              </w:rPr>
              <w:t>1 655 262 311</w:t>
            </w:r>
          </w:p>
        </w:tc>
        <w:tc>
          <w:tcPr>
            <w:tcW w:w="888" w:type="dxa"/>
            <w:vAlign w:val="center"/>
          </w:tcPr>
          <w:p w:rsidR="00D251C3" w:rsidRPr="00C11EAC" w:rsidRDefault="00D251C3" w:rsidP="000F4840">
            <w:pPr>
              <w:spacing w:before="40" w:after="40" w:line="240" w:lineRule="auto"/>
              <w:jc w:val="right"/>
              <w:rPr>
                <w:rFonts w:ascii="Times New Roman" w:hAnsi="Times New Roman"/>
                <w:b/>
              </w:rPr>
            </w:pPr>
            <w:r w:rsidRPr="00C11EAC">
              <w:rPr>
                <w:rFonts w:ascii="Times New Roman" w:hAnsi="Times New Roman"/>
                <w:b/>
              </w:rPr>
              <w:t>41,5</w:t>
            </w:r>
          </w:p>
        </w:tc>
        <w:tc>
          <w:tcPr>
            <w:tcW w:w="723" w:type="dxa"/>
            <w:vAlign w:val="center"/>
          </w:tcPr>
          <w:p w:rsidR="00D251C3" w:rsidRPr="00C11EAC" w:rsidRDefault="00D251C3" w:rsidP="000F4840">
            <w:pPr>
              <w:spacing w:before="40" w:after="40" w:line="240" w:lineRule="auto"/>
              <w:jc w:val="right"/>
              <w:rPr>
                <w:rFonts w:ascii="Times New Roman" w:hAnsi="Times New Roman"/>
                <w:b/>
              </w:rPr>
            </w:pPr>
            <w:r w:rsidRPr="00C11EAC">
              <w:rPr>
                <w:rFonts w:ascii="Times New Roman" w:hAnsi="Times New Roman"/>
                <w:b/>
              </w:rPr>
              <w:t>14,</w:t>
            </w:r>
            <w:r>
              <w:rPr>
                <w:rFonts w:ascii="Times New Roman" w:hAnsi="Times New Roman"/>
                <w:b/>
              </w:rPr>
              <w:t>4</w:t>
            </w:r>
          </w:p>
        </w:tc>
        <w:tc>
          <w:tcPr>
            <w:tcW w:w="1241" w:type="dxa"/>
            <w:vAlign w:val="center"/>
          </w:tcPr>
          <w:p w:rsidR="00D251C3" w:rsidRPr="00C11EAC" w:rsidRDefault="00D251C3" w:rsidP="000F4840">
            <w:pPr>
              <w:spacing w:before="40" w:after="40" w:line="240" w:lineRule="auto"/>
              <w:jc w:val="right"/>
              <w:rPr>
                <w:rFonts w:ascii="Times New Roman" w:hAnsi="Times New Roman"/>
                <w:b/>
              </w:rPr>
            </w:pPr>
            <w:r w:rsidRPr="00C11EAC">
              <w:rPr>
                <w:rFonts w:ascii="Times New Roman" w:hAnsi="Times New Roman"/>
                <w:b/>
              </w:rPr>
              <w:t>в 2,1 р.</w:t>
            </w:r>
          </w:p>
        </w:tc>
      </w:tr>
      <w:tr w:rsidR="00D251C3" w:rsidRPr="0080737A" w:rsidTr="000F4840">
        <w:trPr>
          <w:trHeight w:val="555"/>
          <w:jc w:val="center"/>
        </w:trPr>
        <w:tc>
          <w:tcPr>
            <w:tcW w:w="2539" w:type="dxa"/>
          </w:tcPr>
          <w:p w:rsidR="00D251C3" w:rsidRPr="00C11EAC" w:rsidRDefault="00D251C3" w:rsidP="000F4840">
            <w:pPr>
              <w:spacing w:before="40" w:after="40" w:line="240" w:lineRule="auto"/>
              <w:ind w:left="-91" w:right="-132"/>
              <w:rPr>
                <w:rFonts w:ascii="Times New Roman" w:hAnsi="Times New Roman"/>
              </w:rPr>
            </w:pPr>
            <w:r w:rsidRPr="00C11EAC">
              <w:rPr>
                <w:rFonts w:ascii="Times New Roman" w:hAnsi="Times New Roman"/>
              </w:rPr>
              <w:t>Сальдо республиканского бюджета</w:t>
            </w:r>
          </w:p>
        </w:tc>
        <w:tc>
          <w:tcPr>
            <w:tcW w:w="1276" w:type="dxa"/>
            <w:vAlign w:val="center"/>
          </w:tcPr>
          <w:p w:rsidR="00D251C3" w:rsidRPr="00C11EAC" w:rsidRDefault="00D251C3" w:rsidP="000F4840">
            <w:pPr>
              <w:spacing w:before="40" w:after="40" w:line="240" w:lineRule="auto"/>
              <w:ind w:left="-124"/>
              <w:jc w:val="center"/>
              <w:rPr>
                <w:rFonts w:ascii="Times New Roman" w:eastAsia="Calibri" w:hAnsi="Times New Roman"/>
                <w:bCs/>
              </w:rPr>
            </w:pPr>
            <w:r w:rsidRPr="00C11EAC">
              <w:rPr>
                <w:rFonts w:ascii="Times New Roman" w:eastAsia="Calibri" w:hAnsi="Times New Roman"/>
                <w:bCs/>
              </w:rPr>
              <w:t xml:space="preserve">612 196 108 </w:t>
            </w:r>
          </w:p>
        </w:tc>
        <w:tc>
          <w:tcPr>
            <w:tcW w:w="850" w:type="dxa"/>
            <w:vAlign w:val="center"/>
          </w:tcPr>
          <w:p w:rsidR="00D251C3" w:rsidRPr="00C11EAC" w:rsidRDefault="00D251C3" w:rsidP="000F4840">
            <w:pPr>
              <w:spacing w:before="40" w:after="40" w:line="240" w:lineRule="auto"/>
              <w:jc w:val="center"/>
              <w:rPr>
                <w:rFonts w:ascii="Times New Roman" w:eastAsia="Calibri" w:hAnsi="Times New Roman"/>
                <w:bCs/>
              </w:rPr>
            </w:pPr>
            <w:r w:rsidRPr="00C11EAC">
              <w:rPr>
                <w:rFonts w:ascii="Times New Roman" w:eastAsia="Calibri" w:hAnsi="Times New Roman"/>
                <w:bCs/>
              </w:rPr>
              <w:t>29,4</w:t>
            </w:r>
          </w:p>
        </w:tc>
        <w:tc>
          <w:tcPr>
            <w:tcW w:w="709" w:type="dxa"/>
            <w:vAlign w:val="center"/>
          </w:tcPr>
          <w:p w:rsidR="00D251C3" w:rsidRPr="00C11EAC" w:rsidRDefault="00D251C3" w:rsidP="000F4840">
            <w:pPr>
              <w:spacing w:before="40" w:after="40" w:line="240" w:lineRule="auto"/>
              <w:jc w:val="center"/>
              <w:rPr>
                <w:rFonts w:ascii="Times New Roman" w:eastAsia="Calibri" w:hAnsi="Times New Roman"/>
                <w:bCs/>
              </w:rPr>
            </w:pPr>
            <w:r w:rsidRPr="00C11EAC">
              <w:rPr>
                <w:rFonts w:ascii="Times New Roman" w:eastAsia="Calibri" w:hAnsi="Times New Roman"/>
                <w:bCs/>
              </w:rPr>
              <w:t>6,3</w:t>
            </w:r>
          </w:p>
        </w:tc>
        <w:tc>
          <w:tcPr>
            <w:tcW w:w="1386" w:type="dxa"/>
            <w:vAlign w:val="center"/>
          </w:tcPr>
          <w:p w:rsidR="00D251C3" w:rsidRPr="00C11EAC" w:rsidRDefault="00D251C3" w:rsidP="000F4840">
            <w:pPr>
              <w:spacing w:before="40" w:after="40" w:line="240" w:lineRule="auto"/>
              <w:ind w:left="-124"/>
              <w:jc w:val="right"/>
              <w:rPr>
                <w:rFonts w:ascii="Times New Roman" w:hAnsi="Times New Roman"/>
                <w:bCs/>
              </w:rPr>
            </w:pPr>
            <w:r w:rsidRPr="00C11EAC">
              <w:rPr>
                <w:rFonts w:ascii="Times New Roman" w:hAnsi="Times New Roman"/>
                <w:bCs/>
              </w:rPr>
              <w:t xml:space="preserve">1 265 614 998 </w:t>
            </w:r>
          </w:p>
        </w:tc>
        <w:tc>
          <w:tcPr>
            <w:tcW w:w="888" w:type="dxa"/>
            <w:vAlign w:val="center"/>
          </w:tcPr>
          <w:p w:rsidR="00D251C3" w:rsidRPr="00C11EAC" w:rsidRDefault="00D251C3" w:rsidP="000F4840">
            <w:pPr>
              <w:spacing w:before="40" w:after="40" w:line="240" w:lineRule="auto"/>
              <w:jc w:val="right"/>
              <w:rPr>
                <w:rFonts w:ascii="Times New Roman" w:hAnsi="Times New Roman"/>
                <w:bCs/>
              </w:rPr>
            </w:pPr>
            <w:r w:rsidRPr="00C11EAC">
              <w:rPr>
                <w:rFonts w:ascii="Times New Roman" w:hAnsi="Times New Roman"/>
                <w:bCs/>
              </w:rPr>
              <w:t>45,6</w:t>
            </w:r>
          </w:p>
        </w:tc>
        <w:tc>
          <w:tcPr>
            <w:tcW w:w="723" w:type="dxa"/>
            <w:vAlign w:val="center"/>
          </w:tcPr>
          <w:p w:rsidR="00D251C3" w:rsidRPr="00C11EAC" w:rsidRDefault="00D251C3" w:rsidP="000F4840">
            <w:pPr>
              <w:spacing w:before="40" w:after="40" w:line="240" w:lineRule="auto"/>
              <w:jc w:val="right"/>
              <w:rPr>
                <w:rFonts w:ascii="Times New Roman" w:hAnsi="Times New Roman"/>
                <w:bCs/>
              </w:rPr>
            </w:pPr>
            <w:r w:rsidRPr="00C11EAC">
              <w:rPr>
                <w:rFonts w:ascii="Times New Roman" w:hAnsi="Times New Roman"/>
                <w:bCs/>
              </w:rPr>
              <w:t>11,</w:t>
            </w:r>
            <w:r>
              <w:rPr>
                <w:rFonts w:ascii="Times New Roman" w:hAnsi="Times New Roman"/>
                <w:bCs/>
              </w:rPr>
              <w:t>0</w:t>
            </w:r>
          </w:p>
        </w:tc>
        <w:tc>
          <w:tcPr>
            <w:tcW w:w="1241" w:type="dxa"/>
            <w:vAlign w:val="center"/>
          </w:tcPr>
          <w:p w:rsidR="00D251C3" w:rsidRPr="00C11EAC" w:rsidRDefault="00D251C3" w:rsidP="000F4840">
            <w:pPr>
              <w:spacing w:before="40" w:after="40" w:line="240" w:lineRule="auto"/>
              <w:jc w:val="right"/>
              <w:rPr>
                <w:rFonts w:ascii="Times New Roman" w:hAnsi="Times New Roman"/>
              </w:rPr>
            </w:pPr>
            <w:r w:rsidRPr="00C11EAC">
              <w:rPr>
                <w:rFonts w:ascii="Times New Roman" w:hAnsi="Times New Roman"/>
              </w:rPr>
              <w:t>в 2,1 р.</w:t>
            </w:r>
          </w:p>
        </w:tc>
      </w:tr>
      <w:tr w:rsidR="00D251C3" w:rsidRPr="0080737A" w:rsidTr="000F4840">
        <w:trPr>
          <w:trHeight w:val="266"/>
          <w:jc w:val="center"/>
        </w:trPr>
        <w:tc>
          <w:tcPr>
            <w:tcW w:w="2539" w:type="dxa"/>
          </w:tcPr>
          <w:p w:rsidR="00D251C3" w:rsidRPr="00C11EAC" w:rsidRDefault="00D251C3" w:rsidP="000F4840">
            <w:pPr>
              <w:spacing w:before="40" w:after="40" w:line="240" w:lineRule="auto"/>
              <w:ind w:left="-91" w:right="-132"/>
              <w:rPr>
                <w:rFonts w:ascii="Times New Roman" w:hAnsi="Times New Roman"/>
              </w:rPr>
            </w:pPr>
            <w:r w:rsidRPr="00C11EAC">
              <w:rPr>
                <w:rFonts w:ascii="Times New Roman" w:hAnsi="Times New Roman"/>
              </w:rPr>
              <w:t>Сальдо местного бюджета</w:t>
            </w:r>
          </w:p>
        </w:tc>
        <w:tc>
          <w:tcPr>
            <w:tcW w:w="1276" w:type="dxa"/>
            <w:vAlign w:val="center"/>
          </w:tcPr>
          <w:p w:rsidR="00D251C3" w:rsidRPr="00C11EAC" w:rsidRDefault="00D251C3" w:rsidP="000F4840">
            <w:pPr>
              <w:spacing w:before="40" w:after="40" w:line="240" w:lineRule="auto"/>
              <w:ind w:left="-124"/>
              <w:jc w:val="center"/>
              <w:rPr>
                <w:rFonts w:ascii="Times New Roman" w:eastAsia="Calibri" w:hAnsi="Times New Roman"/>
              </w:rPr>
            </w:pPr>
            <w:r w:rsidRPr="00C11EAC">
              <w:rPr>
                <w:rFonts w:ascii="Times New Roman" w:eastAsia="Calibri" w:hAnsi="Times New Roman"/>
              </w:rPr>
              <w:t>169 978 940</w:t>
            </w:r>
          </w:p>
        </w:tc>
        <w:tc>
          <w:tcPr>
            <w:tcW w:w="850" w:type="dxa"/>
            <w:vAlign w:val="center"/>
          </w:tcPr>
          <w:p w:rsidR="00D251C3" w:rsidRPr="00C11EAC" w:rsidRDefault="00D251C3" w:rsidP="000F4840">
            <w:pPr>
              <w:spacing w:before="40" w:after="40" w:line="240" w:lineRule="auto"/>
              <w:jc w:val="center"/>
              <w:rPr>
                <w:rFonts w:ascii="Times New Roman" w:eastAsia="Calibri" w:hAnsi="Times New Roman"/>
              </w:rPr>
            </w:pPr>
            <w:r w:rsidRPr="00C11EAC">
              <w:rPr>
                <w:rFonts w:ascii="Times New Roman" w:eastAsia="Calibri" w:hAnsi="Times New Roman"/>
              </w:rPr>
              <w:t>16,6</w:t>
            </w:r>
          </w:p>
        </w:tc>
        <w:tc>
          <w:tcPr>
            <w:tcW w:w="709" w:type="dxa"/>
            <w:vAlign w:val="center"/>
          </w:tcPr>
          <w:p w:rsidR="00D251C3" w:rsidRPr="00C11EAC" w:rsidRDefault="00D251C3" w:rsidP="000F4840">
            <w:pPr>
              <w:spacing w:before="40" w:after="40" w:line="240" w:lineRule="auto"/>
              <w:jc w:val="center"/>
              <w:rPr>
                <w:rFonts w:ascii="Times New Roman" w:eastAsia="Calibri" w:hAnsi="Times New Roman"/>
              </w:rPr>
            </w:pPr>
            <w:r w:rsidRPr="00C11EAC">
              <w:rPr>
                <w:rFonts w:ascii="Times New Roman" w:eastAsia="Calibri" w:hAnsi="Times New Roman"/>
              </w:rPr>
              <w:t>1,8</w:t>
            </w:r>
          </w:p>
        </w:tc>
        <w:tc>
          <w:tcPr>
            <w:tcW w:w="1386" w:type="dxa"/>
            <w:vAlign w:val="center"/>
          </w:tcPr>
          <w:p w:rsidR="00D251C3" w:rsidRPr="00C11EAC" w:rsidRDefault="00D251C3" w:rsidP="000F4840">
            <w:pPr>
              <w:spacing w:before="40" w:after="40" w:line="240" w:lineRule="auto"/>
              <w:ind w:left="-124"/>
              <w:jc w:val="right"/>
              <w:rPr>
                <w:rFonts w:ascii="Times New Roman" w:hAnsi="Times New Roman"/>
              </w:rPr>
            </w:pPr>
            <w:r w:rsidRPr="00C11EAC">
              <w:rPr>
                <w:rFonts w:ascii="Times New Roman" w:hAnsi="Times New Roman"/>
              </w:rPr>
              <w:t xml:space="preserve">389 647 313 </w:t>
            </w:r>
          </w:p>
        </w:tc>
        <w:tc>
          <w:tcPr>
            <w:tcW w:w="888" w:type="dxa"/>
            <w:vAlign w:val="center"/>
          </w:tcPr>
          <w:p w:rsidR="00D251C3" w:rsidRPr="00C11EAC" w:rsidRDefault="00D251C3" w:rsidP="000F4840">
            <w:pPr>
              <w:spacing w:before="40" w:after="40" w:line="240" w:lineRule="auto"/>
              <w:jc w:val="right"/>
              <w:rPr>
                <w:rFonts w:ascii="Times New Roman" w:hAnsi="Times New Roman"/>
              </w:rPr>
            </w:pPr>
            <w:r w:rsidRPr="00C11EAC">
              <w:rPr>
                <w:rFonts w:ascii="Times New Roman" w:hAnsi="Times New Roman"/>
              </w:rPr>
              <w:t>32,1</w:t>
            </w:r>
          </w:p>
        </w:tc>
        <w:tc>
          <w:tcPr>
            <w:tcW w:w="723" w:type="dxa"/>
            <w:vAlign w:val="center"/>
          </w:tcPr>
          <w:p w:rsidR="00D251C3" w:rsidRPr="00C11EAC" w:rsidRDefault="00D251C3" w:rsidP="000F4840">
            <w:pPr>
              <w:spacing w:before="40" w:after="40" w:line="240" w:lineRule="auto"/>
              <w:jc w:val="right"/>
              <w:rPr>
                <w:rFonts w:ascii="Times New Roman" w:hAnsi="Times New Roman"/>
              </w:rPr>
            </w:pPr>
            <w:r w:rsidRPr="00C11EAC">
              <w:rPr>
                <w:rFonts w:ascii="Times New Roman" w:hAnsi="Times New Roman"/>
              </w:rPr>
              <w:t>3,</w:t>
            </w:r>
            <w:r>
              <w:rPr>
                <w:rFonts w:ascii="Times New Roman" w:hAnsi="Times New Roman"/>
              </w:rPr>
              <w:t>4</w:t>
            </w:r>
          </w:p>
        </w:tc>
        <w:tc>
          <w:tcPr>
            <w:tcW w:w="1241" w:type="dxa"/>
            <w:vAlign w:val="center"/>
          </w:tcPr>
          <w:p w:rsidR="00D251C3" w:rsidRPr="00C11EAC" w:rsidRDefault="00D251C3" w:rsidP="000F4840">
            <w:pPr>
              <w:spacing w:before="40" w:after="40" w:line="240" w:lineRule="auto"/>
              <w:jc w:val="right"/>
              <w:rPr>
                <w:rFonts w:ascii="Times New Roman" w:hAnsi="Times New Roman"/>
              </w:rPr>
            </w:pPr>
            <w:r w:rsidRPr="00C11EAC">
              <w:rPr>
                <w:rFonts w:ascii="Times New Roman" w:hAnsi="Times New Roman"/>
              </w:rPr>
              <w:t>в 2,3 р.</w:t>
            </w:r>
          </w:p>
        </w:tc>
      </w:tr>
    </w:tbl>
    <w:p w:rsidR="00D251C3" w:rsidRDefault="00D251C3" w:rsidP="00D251C3">
      <w:pPr>
        <w:pStyle w:val="a6"/>
        <w:spacing w:before="0" w:beforeAutospacing="0" w:after="0" w:afterAutospacing="0"/>
        <w:ind w:firstLine="720"/>
        <w:jc w:val="both"/>
      </w:pPr>
    </w:p>
    <w:p w:rsidR="00D251C3" w:rsidRPr="00095D4F" w:rsidRDefault="00D251C3" w:rsidP="00D251C3">
      <w:pPr>
        <w:pStyle w:val="a6"/>
        <w:spacing w:before="0" w:beforeAutospacing="0" w:after="0" w:afterAutospacing="0"/>
        <w:ind w:firstLine="720"/>
        <w:jc w:val="both"/>
      </w:pPr>
      <w:r w:rsidRPr="00E018FD">
        <w:t>В 2016 году сохраняется устойчивая напряженность исполнения бюджетных параметров, что приводит к ограничению возможностей маневра в распределении поступающих ресурсов, в виду необходимости поддержания социальной сферы. Кроме того, из-за постоянного недостатка бюджетных средств государство не в состоянии поддерживать инвестиционную активность и стимулировать экономический рост.</w:t>
      </w:r>
      <w:r w:rsidRPr="00095D4F">
        <w:t xml:space="preserve"> </w:t>
      </w:r>
    </w:p>
    <w:p w:rsidR="002D049B" w:rsidRDefault="002D049B" w:rsidP="003B2047">
      <w:pPr>
        <w:shd w:val="clear" w:color="auto" w:fill="FFFFFF"/>
        <w:spacing w:after="0" w:line="240" w:lineRule="auto"/>
        <w:ind w:firstLine="709"/>
        <w:jc w:val="both"/>
        <w:rPr>
          <w:rFonts w:ascii="Times New Roman" w:hAnsi="Times New Roman"/>
          <w:b/>
          <w:color w:val="000000"/>
          <w:sz w:val="24"/>
          <w:szCs w:val="24"/>
        </w:rPr>
      </w:pPr>
    </w:p>
    <w:p w:rsidR="003B2047" w:rsidRPr="0080737A" w:rsidRDefault="003B2047" w:rsidP="003B2047">
      <w:pPr>
        <w:shd w:val="clear" w:color="auto" w:fill="FFFFFF"/>
        <w:spacing w:after="0" w:line="240" w:lineRule="auto"/>
        <w:ind w:firstLine="709"/>
        <w:jc w:val="both"/>
        <w:rPr>
          <w:rFonts w:ascii="Times New Roman" w:hAnsi="Times New Roman"/>
          <w:b/>
          <w:color w:val="000000"/>
          <w:sz w:val="24"/>
          <w:szCs w:val="24"/>
        </w:rPr>
      </w:pPr>
      <w:r w:rsidRPr="0080737A">
        <w:rPr>
          <w:rFonts w:ascii="Times New Roman" w:hAnsi="Times New Roman"/>
          <w:b/>
          <w:color w:val="000000"/>
          <w:sz w:val="24"/>
          <w:szCs w:val="24"/>
        </w:rPr>
        <w:t>Внешнеэкономическая деятельность</w:t>
      </w:r>
    </w:p>
    <w:p w:rsidR="003B2047" w:rsidRDefault="003B2047" w:rsidP="003B2047">
      <w:pPr>
        <w:tabs>
          <w:tab w:val="left" w:pos="851"/>
        </w:tabs>
        <w:spacing w:after="0" w:line="240" w:lineRule="auto"/>
        <w:ind w:firstLine="709"/>
        <w:jc w:val="both"/>
        <w:rPr>
          <w:rFonts w:ascii="Times New Roman" w:eastAsia="Times New Roman" w:hAnsi="Times New Roman" w:cs="Times New Roman"/>
          <w:sz w:val="24"/>
          <w:szCs w:val="24"/>
        </w:rPr>
      </w:pPr>
    </w:p>
    <w:p w:rsidR="003B2047" w:rsidRDefault="003B2047" w:rsidP="003B2047">
      <w:pPr>
        <w:tabs>
          <w:tab w:val="left" w:pos="851"/>
        </w:tabs>
        <w:spacing w:after="0" w:line="240" w:lineRule="auto"/>
        <w:ind w:firstLine="709"/>
        <w:jc w:val="both"/>
        <w:rPr>
          <w:rFonts w:ascii="Times New Roman" w:hAnsi="Times New Roman"/>
          <w:sz w:val="24"/>
          <w:szCs w:val="24"/>
        </w:rPr>
      </w:pPr>
      <w:r>
        <w:rPr>
          <w:rFonts w:ascii="Times New Roman" w:eastAsia="Times New Roman" w:hAnsi="Times New Roman" w:cs="Times New Roman"/>
          <w:sz w:val="24"/>
          <w:szCs w:val="24"/>
        </w:rPr>
        <w:t xml:space="preserve">На протяжении января-декабря 2016 года, помимо воздействия неблагоприятного тренда </w:t>
      </w:r>
      <w:r w:rsidRPr="00C96CD9">
        <w:rPr>
          <w:rFonts w:ascii="Times New Roman" w:hAnsi="Times New Roman"/>
          <w:sz w:val="24"/>
          <w:szCs w:val="24"/>
        </w:rPr>
        <w:t>ценов</w:t>
      </w:r>
      <w:r>
        <w:rPr>
          <w:rFonts w:ascii="Times New Roman" w:hAnsi="Times New Roman"/>
          <w:sz w:val="24"/>
          <w:szCs w:val="24"/>
        </w:rPr>
        <w:t xml:space="preserve">ой </w:t>
      </w:r>
      <w:r w:rsidRPr="00C96CD9">
        <w:rPr>
          <w:rFonts w:ascii="Times New Roman" w:hAnsi="Times New Roman"/>
          <w:sz w:val="24"/>
          <w:szCs w:val="24"/>
        </w:rPr>
        <w:t>конъюнктур</w:t>
      </w:r>
      <w:r>
        <w:rPr>
          <w:rFonts w:ascii="Times New Roman" w:hAnsi="Times New Roman"/>
          <w:sz w:val="24"/>
          <w:szCs w:val="24"/>
        </w:rPr>
        <w:t>ы</w:t>
      </w:r>
      <w:r w:rsidRPr="00C96CD9">
        <w:rPr>
          <w:rFonts w:ascii="Times New Roman" w:hAnsi="Times New Roman"/>
          <w:sz w:val="24"/>
          <w:szCs w:val="24"/>
        </w:rPr>
        <w:t xml:space="preserve"> мировых рынк</w:t>
      </w:r>
      <w:r>
        <w:rPr>
          <w:rFonts w:ascii="Times New Roman" w:hAnsi="Times New Roman"/>
          <w:sz w:val="24"/>
          <w:szCs w:val="24"/>
        </w:rPr>
        <w:t>ов</w:t>
      </w:r>
      <w:r w:rsidRPr="00C96CD9">
        <w:rPr>
          <w:rFonts w:ascii="Times New Roman" w:hAnsi="Times New Roman"/>
          <w:sz w:val="24"/>
          <w:szCs w:val="24"/>
        </w:rPr>
        <w:t>, внешнеполитически</w:t>
      </w:r>
      <w:r>
        <w:rPr>
          <w:rFonts w:ascii="Times New Roman" w:hAnsi="Times New Roman"/>
          <w:sz w:val="24"/>
          <w:szCs w:val="24"/>
        </w:rPr>
        <w:t>х</w:t>
      </w:r>
      <w:r w:rsidRPr="00C96CD9">
        <w:rPr>
          <w:rFonts w:ascii="Times New Roman" w:hAnsi="Times New Roman"/>
          <w:sz w:val="24"/>
          <w:szCs w:val="24"/>
        </w:rPr>
        <w:t xml:space="preserve"> вызов</w:t>
      </w:r>
      <w:r>
        <w:rPr>
          <w:rFonts w:ascii="Times New Roman" w:hAnsi="Times New Roman"/>
          <w:sz w:val="24"/>
          <w:szCs w:val="24"/>
        </w:rPr>
        <w:t>ов</w:t>
      </w:r>
      <w:r w:rsidRPr="00C96CD9">
        <w:rPr>
          <w:rFonts w:ascii="Times New Roman" w:hAnsi="Times New Roman"/>
          <w:sz w:val="24"/>
          <w:szCs w:val="24"/>
        </w:rPr>
        <w:t xml:space="preserve"> и негативны</w:t>
      </w:r>
      <w:r>
        <w:rPr>
          <w:rFonts w:ascii="Times New Roman" w:hAnsi="Times New Roman"/>
          <w:sz w:val="24"/>
          <w:szCs w:val="24"/>
        </w:rPr>
        <w:t>х</w:t>
      </w:r>
      <w:r w:rsidRPr="00C96CD9">
        <w:rPr>
          <w:rFonts w:ascii="Times New Roman" w:hAnsi="Times New Roman"/>
          <w:sz w:val="24"/>
          <w:szCs w:val="24"/>
        </w:rPr>
        <w:t xml:space="preserve"> внешнеэкономически</w:t>
      </w:r>
      <w:r>
        <w:rPr>
          <w:rFonts w:ascii="Times New Roman" w:hAnsi="Times New Roman"/>
          <w:sz w:val="24"/>
          <w:szCs w:val="24"/>
        </w:rPr>
        <w:t>х</w:t>
      </w:r>
      <w:r w:rsidRPr="00C96CD9">
        <w:rPr>
          <w:rFonts w:ascii="Times New Roman" w:hAnsi="Times New Roman"/>
          <w:sz w:val="24"/>
          <w:szCs w:val="24"/>
        </w:rPr>
        <w:t xml:space="preserve"> изменени</w:t>
      </w:r>
      <w:r>
        <w:rPr>
          <w:rFonts w:ascii="Times New Roman" w:hAnsi="Times New Roman"/>
          <w:sz w:val="24"/>
          <w:szCs w:val="24"/>
        </w:rPr>
        <w:t>й</w:t>
      </w:r>
      <w:r w:rsidRPr="00C96CD9">
        <w:rPr>
          <w:rFonts w:ascii="Times New Roman" w:hAnsi="Times New Roman"/>
          <w:sz w:val="24"/>
          <w:szCs w:val="24"/>
        </w:rPr>
        <w:t xml:space="preserve">, </w:t>
      </w:r>
      <w:r>
        <w:rPr>
          <w:rFonts w:ascii="Times New Roman" w:hAnsi="Times New Roman"/>
          <w:sz w:val="24"/>
          <w:szCs w:val="24"/>
        </w:rPr>
        <w:t xml:space="preserve">экономические агенты </w:t>
      </w:r>
      <w:r w:rsidRPr="008D1638">
        <w:rPr>
          <w:rFonts w:ascii="Times New Roman" w:hAnsi="Times New Roman"/>
          <w:sz w:val="24"/>
          <w:szCs w:val="24"/>
        </w:rPr>
        <w:t>Приднестровской Молдавской Республики</w:t>
      </w:r>
      <w:r>
        <w:rPr>
          <w:rFonts w:ascii="Times New Roman" w:hAnsi="Times New Roman"/>
          <w:sz w:val="24"/>
          <w:szCs w:val="24"/>
        </w:rPr>
        <w:t xml:space="preserve"> столкнулись с рядом трудностей, введенных Республикой Молдова, в сфере таможенного оформления грузов и транспортной логистики. Данные ограничения </w:t>
      </w:r>
      <w:r w:rsidRPr="00A04665">
        <w:rPr>
          <w:rFonts w:ascii="Times New Roman" w:hAnsi="Times New Roman" w:cs="Times New Roman"/>
          <w:sz w:val="24"/>
          <w:szCs w:val="24"/>
        </w:rPr>
        <w:t>предопредели</w:t>
      </w:r>
      <w:r>
        <w:rPr>
          <w:rFonts w:ascii="Times New Roman" w:hAnsi="Times New Roman" w:cs="Times New Roman"/>
          <w:sz w:val="24"/>
          <w:szCs w:val="24"/>
        </w:rPr>
        <w:t>ли</w:t>
      </w:r>
      <w:r w:rsidRPr="00A04665">
        <w:rPr>
          <w:rFonts w:ascii="Times New Roman" w:hAnsi="Times New Roman" w:cs="Times New Roman"/>
          <w:sz w:val="24"/>
          <w:szCs w:val="24"/>
        </w:rPr>
        <w:t xml:space="preserve"> </w:t>
      </w:r>
      <w:r w:rsidRPr="00A04665">
        <w:rPr>
          <w:rFonts w:ascii="Times New Roman" w:eastAsia="Times New Roman" w:hAnsi="Times New Roman" w:cs="Times New Roman"/>
          <w:sz w:val="24"/>
          <w:szCs w:val="24"/>
        </w:rPr>
        <w:t>снижение экспортных поставок из республики относительно уровня д</w:t>
      </w:r>
      <w:r>
        <w:rPr>
          <w:rFonts w:ascii="Times New Roman" w:eastAsia="Times New Roman" w:hAnsi="Times New Roman" w:cs="Times New Roman"/>
          <w:sz w:val="24"/>
          <w:szCs w:val="24"/>
        </w:rPr>
        <w:t>венадцати</w:t>
      </w:r>
      <w:r w:rsidRPr="00A04665">
        <w:rPr>
          <w:rFonts w:ascii="Times New Roman" w:eastAsia="Times New Roman" w:hAnsi="Times New Roman" w:cs="Times New Roman"/>
          <w:sz w:val="24"/>
          <w:szCs w:val="24"/>
        </w:rPr>
        <w:t xml:space="preserve"> месяцев минувшего года на </w:t>
      </w:r>
      <w:r>
        <w:rPr>
          <w:rFonts w:ascii="Times New Roman" w:eastAsia="Times New Roman" w:hAnsi="Times New Roman" w:cs="Times New Roman"/>
          <w:sz w:val="24"/>
          <w:szCs w:val="24"/>
        </w:rPr>
        <w:t>13,2</w:t>
      </w:r>
      <w:r w:rsidRPr="00A04665">
        <w:rPr>
          <w:rFonts w:ascii="Times New Roman" w:eastAsia="Times New Roman" w:hAnsi="Times New Roman" w:cs="Times New Roman"/>
          <w:sz w:val="24"/>
          <w:szCs w:val="24"/>
        </w:rPr>
        <w:t xml:space="preserve">% до </w:t>
      </w:r>
      <w:r>
        <w:rPr>
          <w:rFonts w:ascii="Times New Roman" w:eastAsia="Times New Roman" w:hAnsi="Times New Roman" w:cs="Times New Roman"/>
          <w:sz w:val="24"/>
          <w:szCs w:val="24"/>
        </w:rPr>
        <w:t>530,4</w:t>
      </w:r>
      <w:r w:rsidRPr="00A04665">
        <w:rPr>
          <w:rFonts w:ascii="Times New Roman" w:eastAsia="Times New Roman" w:hAnsi="Times New Roman" w:cs="Times New Roman"/>
          <w:sz w:val="24"/>
          <w:szCs w:val="24"/>
        </w:rPr>
        <w:t xml:space="preserve"> </w:t>
      </w:r>
      <w:r w:rsidRPr="00A04665">
        <w:rPr>
          <w:rFonts w:ascii="Times New Roman" w:hAnsi="Times New Roman"/>
          <w:sz w:val="24"/>
          <w:szCs w:val="24"/>
        </w:rPr>
        <w:t>млн.</w:t>
      </w:r>
      <w:r>
        <w:rPr>
          <w:sz w:val="24"/>
          <w:szCs w:val="24"/>
        </w:rPr>
        <w:t xml:space="preserve"> </w:t>
      </w:r>
      <w:r w:rsidRPr="00A04665">
        <w:rPr>
          <w:rFonts w:ascii="Times New Roman" w:hAnsi="Times New Roman"/>
          <w:sz w:val="24"/>
          <w:szCs w:val="24"/>
        </w:rPr>
        <w:t>долл. США</w:t>
      </w:r>
      <w:r w:rsidRPr="00A046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 этом н</w:t>
      </w:r>
      <w:r w:rsidRPr="00A04665">
        <w:rPr>
          <w:rFonts w:ascii="Times New Roman" w:eastAsia="Times New Roman" w:hAnsi="Times New Roman" w:cs="Times New Roman"/>
          <w:sz w:val="24"/>
          <w:szCs w:val="24"/>
        </w:rPr>
        <w:t>еполная загруженность производственных мощностей, сужение внутреннего потребления и инвестиционного спроса</w:t>
      </w:r>
      <w:r>
        <w:rPr>
          <w:rFonts w:ascii="Times New Roman" w:eastAsia="Times New Roman" w:hAnsi="Times New Roman" w:cs="Times New Roman"/>
          <w:sz w:val="24"/>
          <w:szCs w:val="24"/>
        </w:rPr>
        <w:t>,</w:t>
      </w:r>
      <w:r w:rsidRPr="00A046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способствовали</w:t>
      </w:r>
      <w:r w:rsidRPr="00A046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сокращению</w:t>
      </w:r>
      <w:r w:rsidRPr="00A04665">
        <w:rPr>
          <w:rFonts w:ascii="Times New Roman" w:eastAsia="Times New Roman" w:hAnsi="Times New Roman" w:cs="Times New Roman"/>
          <w:sz w:val="24"/>
          <w:szCs w:val="24"/>
        </w:rPr>
        <w:t xml:space="preserve"> потребности в импортируемых сырьевых материалах и продукции на </w:t>
      </w:r>
      <w:r>
        <w:rPr>
          <w:rFonts w:ascii="Times New Roman" w:eastAsia="Times New Roman" w:hAnsi="Times New Roman" w:cs="Times New Roman"/>
          <w:sz w:val="24"/>
          <w:szCs w:val="24"/>
        </w:rPr>
        <w:t>24,6</w:t>
      </w:r>
      <w:r w:rsidRPr="00A04665">
        <w:rPr>
          <w:rFonts w:ascii="Times New Roman" w:eastAsia="Times New Roman" w:hAnsi="Times New Roman" w:cs="Times New Roman"/>
          <w:sz w:val="24"/>
          <w:szCs w:val="24"/>
        </w:rPr>
        <w:t xml:space="preserve">% до </w:t>
      </w:r>
      <w:r>
        <w:rPr>
          <w:rFonts w:ascii="Times New Roman" w:eastAsia="Times New Roman" w:hAnsi="Times New Roman" w:cs="Times New Roman"/>
          <w:sz w:val="24"/>
          <w:szCs w:val="24"/>
        </w:rPr>
        <w:t>857,8</w:t>
      </w:r>
      <w:r w:rsidRPr="00A04665">
        <w:rPr>
          <w:rFonts w:ascii="Times New Roman" w:eastAsia="Times New Roman" w:hAnsi="Times New Roman" w:cs="Times New Roman"/>
          <w:sz w:val="24"/>
          <w:szCs w:val="24"/>
        </w:rPr>
        <w:t xml:space="preserve"> </w:t>
      </w:r>
      <w:r w:rsidRPr="00A04665">
        <w:rPr>
          <w:rFonts w:ascii="Times New Roman" w:hAnsi="Times New Roman"/>
          <w:sz w:val="24"/>
          <w:szCs w:val="24"/>
        </w:rPr>
        <w:t>млн.</w:t>
      </w:r>
      <w:r>
        <w:rPr>
          <w:sz w:val="24"/>
          <w:szCs w:val="24"/>
        </w:rPr>
        <w:t xml:space="preserve"> </w:t>
      </w:r>
      <w:r w:rsidRPr="00A04665">
        <w:rPr>
          <w:rFonts w:ascii="Times New Roman" w:hAnsi="Times New Roman"/>
          <w:sz w:val="24"/>
          <w:szCs w:val="24"/>
        </w:rPr>
        <w:t>долл. США</w:t>
      </w:r>
      <w:r w:rsidRPr="00A04665">
        <w:rPr>
          <w:rFonts w:ascii="Times New Roman" w:eastAsia="Times New Roman" w:hAnsi="Times New Roman" w:cs="Times New Roman"/>
          <w:sz w:val="24"/>
          <w:szCs w:val="24"/>
        </w:rPr>
        <w:t>. В результате</w:t>
      </w:r>
      <w:r>
        <w:rPr>
          <w:rFonts w:ascii="Times New Roman" w:eastAsia="Times New Roman" w:hAnsi="Times New Roman" w:cs="Times New Roman"/>
          <w:sz w:val="24"/>
          <w:szCs w:val="24"/>
        </w:rPr>
        <w:t xml:space="preserve"> чего</w:t>
      </w:r>
      <w:r w:rsidRPr="00A04665">
        <w:rPr>
          <w:rFonts w:ascii="Times New Roman" w:eastAsia="Times New Roman" w:hAnsi="Times New Roman" w:cs="Times New Roman"/>
          <w:sz w:val="24"/>
          <w:szCs w:val="24"/>
        </w:rPr>
        <w:t xml:space="preserve"> </w:t>
      </w:r>
      <w:r w:rsidRPr="00A04665">
        <w:rPr>
          <w:rFonts w:ascii="Times New Roman" w:hAnsi="Times New Roman"/>
          <w:sz w:val="24"/>
          <w:szCs w:val="24"/>
        </w:rPr>
        <w:t xml:space="preserve">совокупный объем внешнеторгового оборота </w:t>
      </w:r>
      <w:r>
        <w:rPr>
          <w:rFonts w:ascii="Times New Roman" w:hAnsi="Times New Roman"/>
          <w:sz w:val="24"/>
          <w:szCs w:val="24"/>
        </w:rPr>
        <w:t xml:space="preserve">в </w:t>
      </w:r>
      <w:r w:rsidRPr="00A04665">
        <w:rPr>
          <w:rFonts w:ascii="Times New Roman" w:hAnsi="Times New Roman"/>
          <w:sz w:val="24"/>
          <w:szCs w:val="24"/>
        </w:rPr>
        <w:t>2016 год</w:t>
      </w:r>
      <w:r>
        <w:rPr>
          <w:rFonts w:ascii="Times New Roman" w:hAnsi="Times New Roman"/>
          <w:sz w:val="24"/>
          <w:szCs w:val="24"/>
        </w:rPr>
        <w:t xml:space="preserve">у составил </w:t>
      </w:r>
      <w:r w:rsidRPr="00A04665">
        <w:rPr>
          <w:rFonts w:ascii="Times New Roman" w:hAnsi="Times New Roman"/>
          <w:sz w:val="24"/>
          <w:szCs w:val="24"/>
        </w:rPr>
        <w:t>1</w:t>
      </w:r>
      <w:r>
        <w:rPr>
          <w:rFonts w:ascii="Times New Roman" w:hAnsi="Times New Roman"/>
          <w:sz w:val="24"/>
          <w:szCs w:val="24"/>
        </w:rPr>
        <w:t> 388,2</w:t>
      </w:r>
      <w:r w:rsidRPr="00A04665">
        <w:rPr>
          <w:rFonts w:ascii="Times New Roman" w:hAnsi="Times New Roman"/>
          <w:sz w:val="24"/>
          <w:szCs w:val="24"/>
        </w:rPr>
        <w:t xml:space="preserve"> млн.</w:t>
      </w:r>
      <w:r>
        <w:rPr>
          <w:sz w:val="24"/>
          <w:szCs w:val="24"/>
        </w:rPr>
        <w:t xml:space="preserve"> </w:t>
      </w:r>
      <w:r w:rsidRPr="00A04665">
        <w:rPr>
          <w:rFonts w:ascii="Times New Roman" w:hAnsi="Times New Roman"/>
          <w:sz w:val="24"/>
          <w:szCs w:val="24"/>
        </w:rPr>
        <w:t>долл. США</w:t>
      </w:r>
      <w:r>
        <w:rPr>
          <w:rFonts w:ascii="Times New Roman" w:hAnsi="Times New Roman"/>
          <w:sz w:val="24"/>
          <w:szCs w:val="24"/>
        </w:rPr>
        <w:t>, что на 20,6% ниже базового показателя 2015 года.</w:t>
      </w:r>
      <w:r w:rsidRPr="00A04665">
        <w:rPr>
          <w:rFonts w:ascii="Times New Roman" w:hAnsi="Times New Roman"/>
          <w:sz w:val="24"/>
          <w:szCs w:val="24"/>
        </w:rPr>
        <w:t xml:space="preserve"> Сальдо внешнеторгового оборота составило «-»</w:t>
      </w:r>
      <w:r>
        <w:rPr>
          <w:rFonts w:ascii="Times New Roman" w:hAnsi="Times New Roman"/>
          <w:sz w:val="24"/>
          <w:szCs w:val="24"/>
        </w:rPr>
        <w:t>327,4</w:t>
      </w:r>
      <w:r w:rsidRPr="00A04665">
        <w:rPr>
          <w:rFonts w:ascii="Times New Roman" w:hAnsi="Times New Roman"/>
          <w:sz w:val="24"/>
          <w:szCs w:val="24"/>
        </w:rPr>
        <w:t xml:space="preserve"> млн. долл. США, против «-»</w:t>
      </w:r>
      <w:r>
        <w:rPr>
          <w:rFonts w:ascii="Times New Roman" w:hAnsi="Times New Roman"/>
          <w:sz w:val="24"/>
          <w:szCs w:val="24"/>
        </w:rPr>
        <w:t>527,2</w:t>
      </w:r>
      <w:r w:rsidRPr="00A04665">
        <w:rPr>
          <w:rFonts w:ascii="Times New Roman" w:hAnsi="Times New Roman"/>
          <w:sz w:val="24"/>
          <w:szCs w:val="24"/>
        </w:rPr>
        <w:t xml:space="preserve"> млн. долл. США в январе-</w:t>
      </w:r>
      <w:r>
        <w:rPr>
          <w:rFonts w:ascii="Times New Roman" w:hAnsi="Times New Roman"/>
          <w:sz w:val="24"/>
          <w:szCs w:val="24"/>
        </w:rPr>
        <w:t>декабре</w:t>
      </w:r>
      <w:r w:rsidRPr="00A04665">
        <w:rPr>
          <w:rFonts w:ascii="Times New Roman" w:hAnsi="Times New Roman"/>
          <w:sz w:val="24"/>
          <w:szCs w:val="24"/>
        </w:rPr>
        <w:t xml:space="preserve"> 2015</w:t>
      </w:r>
      <w:r w:rsidR="00FD2259">
        <w:rPr>
          <w:rFonts w:ascii="Times New Roman" w:hAnsi="Times New Roman"/>
          <w:sz w:val="24"/>
          <w:szCs w:val="24"/>
        </w:rPr>
        <w:t> </w:t>
      </w:r>
      <w:r w:rsidRPr="00A04665">
        <w:rPr>
          <w:rFonts w:ascii="Times New Roman" w:hAnsi="Times New Roman"/>
          <w:sz w:val="24"/>
          <w:szCs w:val="24"/>
        </w:rPr>
        <w:t>года.</w:t>
      </w:r>
    </w:p>
    <w:p w:rsidR="000F4840" w:rsidRDefault="000F4840" w:rsidP="003B2047">
      <w:pPr>
        <w:tabs>
          <w:tab w:val="left" w:pos="851"/>
        </w:tabs>
        <w:spacing w:after="0" w:line="240" w:lineRule="auto"/>
        <w:ind w:firstLine="709"/>
        <w:jc w:val="both"/>
        <w:rPr>
          <w:rFonts w:ascii="Times New Roman" w:hAnsi="Times New Roman"/>
          <w:sz w:val="24"/>
          <w:szCs w:val="24"/>
        </w:rPr>
      </w:pPr>
    </w:p>
    <w:p w:rsidR="003B2047" w:rsidRDefault="003B2047" w:rsidP="003B2047">
      <w:pPr>
        <w:pStyle w:val="a3"/>
        <w:tabs>
          <w:tab w:val="left" w:pos="7920"/>
        </w:tabs>
        <w:jc w:val="center"/>
        <w:rPr>
          <w:b/>
          <w:szCs w:val="24"/>
        </w:rPr>
      </w:pPr>
      <w:r w:rsidRPr="0071462E">
        <w:rPr>
          <w:b/>
          <w:szCs w:val="24"/>
        </w:rPr>
        <w:lastRenderedPageBreak/>
        <w:t xml:space="preserve">Динамика внешнеторгового оборота </w:t>
      </w:r>
    </w:p>
    <w:p w:rsidR="003B2047" w:rsidRDefault="003B2047" w:rsidP="003B2047">
      <w:pPr>
        <w:pStyle w:val="a3"/>
        <w:tabs>
          <w:tab w:val="left" w:pos="7920"/>
        </w:tabs>
        <w:jc w:val="center"/>
        <w:rPr>
          <w:b/>
          <w:szCs w:val="24"/>
        </w:rPr>
      </w:pPr>
      <w:r w:rsidRPr="0071462E">
        <w:rPr>
          <w:b/>
          <w:szCs w:val="24"/>
        </w:rPr>
        <w:t>в январе-</w:t>
      </w:r>
      <w:r>
        <w:rPr>
          <w:b/>
          <w:szCs w:val="24"/>
        </w:rPr>
        <w:t xml:space="preserve">декабре </w:t>
      </w:r>
      <w:r w:rsidRPr="0071462E">
        <w:rPr>
          <w:b/>
          <w:szCs w:val="24"/>
        </w:rPr>
        <w:t>201</w:t>
      </w:r>
      <w:r>
        <w:rPr>
          <w:b/>
          <w:szCs w:val="24"/>
        </w:rPr>
        <w:t>5</w:t>
      </w:r>
      <w:r w:rsidRPr="0071462E">
        <w:rPr>
          <w:b/>
          <w:szCs w:val="24"/>
        </w:rPr>
        <w:t xml:space="preserve"> </w:t>
      </w:r>
      <w:r w:rsidR="003E0203">
        <w:rPr>
          <w:b/>
          <w:szCs w:val="24"/>
        </w:rPr>
        <w:t>–</w:t>
      </w:r>
      <w:r w:rsidRPr="0071462E">
        <w:rPr>
          <w:b/>
          <w:szCs w:val="24"/>
        </w:rPr>
        <w:t xml:space="preserve"> 201</w:t>
      </w:r>
      <w:r>
        <w:rPr>
          <w:b/>
          <w:szCs w:val="24"/>
        </w:rPr>
        <w:t>6</w:t>
      </w:r>
      <w:r w:rsidRPr="0071462E">
        <w:rPr>
          <w:b/>
          <w:szCs w:val="24"/>
        </w:rPr>
        <w:t xml:space="preserve"> г.г.</w:t>
      </w:r>
      <w:r>
        <w:rPr>
          <w:b/>
          <w:szCs w:val="24"/>
        </w:rPr>
        <w:t>, млн. долл. США</w:t>
      </w:r>
    </w:p>
    <w:p w:rsidR="00D251C3" w:rsidRDefault="003B2047" w:rsidP="002D049B">
      <w:pPr>
        <w:ind w:left="-567"/>
      </w:pPr>
      <w:r w:rsidRPr="003B2047">
        <w:rPr>
          <w:noProof/>
        </w:rPr>
        <w:drawing>
          <wp:inline distT="0" distB="0" distL="0" distR="0">
            <wp:extent cx="6496050" cy="1743075"/>
            <wp:effectExtent l="0" t="0" r="0" b="0"/>
            <wp:docPr id="1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D5A67" w:rsidRDefault="00AD5A67" w:rsidP="00AD5A67">
      <w:pPr>
        <w:pStyle w:val="a3"/>
      </w:pPr>
      <w:r>
        <w:t>В</w:t>
      </w:r>
      <w:r w:rsidRPr="000A384B">
        <w:t xml:space="preserve"> товарной структуре экспорта</w:t>
      </w:r>
      <w:r>
        <w:t xml:space="preserve"> в 2016 году ведущую позицию неизменно</w:t>
      </w:r>
      <w:r w:rsidRPr="000A384B">
        <w:t xml:space="preserve"> сохраня</w:t>
      </w:r>
      <w:r>
        <w:t>ли</w:t>
      </w:r>
      <w:r w:rsidRPr="000A384B">
        <w:t xml:space="preserve"> топливно-энергетические товары</w:t>
      </w:r>
      <w:r>
        <w:t xml:space="preserve"> (35,3%)</w:t>
      </w:r>
      <w:r w:rsidRPr="000A384B">
        <w:t>, при</w:t>
      </w:r>
      <w:r>
        <w:t xml:space="preserve"> этом в денежном эквиваленте</w:t>
      </w:r>
      <w:r w:rsidRPr="000A384B">
        <w:t xml:space="preserve"> </w:t>
      </w:r>
      <w:r>
        <w:t>их</w:t>
      </w:r>
      <w:r w:rsidRPr="000A384B">
        <w:t xml:space="preserve"> объем </w:t>
      </w:r>
      <w:r>
        <w:t xml:space="preserve">сократился к базовому уровню 2015 года </w:t>
      </w:r>
      <w:r w:rsidRPr="000A384B">
        <w:t xml:space="preserve">на </w:t>
      </w:r>
      <w:r>
        <w:t>17,6</w:t>
      </w:r>
      <w:r w:rsidRPr="000A384B">
        <w:t xml:space="preserve">%, </w:t>
      </w:r>
      <w:r>
        <w:t>а долевое участие</w:t>
      </w:r>
      <w:r w:rsidRPr="000A384B">
        <w:t xml:space="preserve"> </w:t>
      </w:r>
      <w:r>
        <w:t xml:space="preserve">в товарной структуре сузилось </w:t>
      </w:r>
      <w:r w:rsidRPr="000A384B">
        <w:t xml:space="preserve">на </w:t>
      </w:r>
      <w:r>
        <w:t>1,9</w:t>
      </w:r>
      <w:r w:rsidRPr="000A384B">
        <w:t xml:space="preserve"> процентны</w:t>
      </w:r>
      <w:r>
        <w:t xml:space="preserve">х </w:t>
      </w:r>
      <w:r w:rsidRPr="000A384B">
        <w:t>пункт</w:t>
      </w:r>
      <w:r>
        <w:t>а</w:t>
      </w:r>
      <w:r w:rsidRPr="000A384B">
        <w:t>.</w:t>
      </w:r>
    </w:p>
    <w:p w:rsidR="00AD5A67" w:rsidRDefault="00AD5A67" w:rsidP="00AD5A67">
      <w:pPr>
        <w:pStyle w:val="a6"/>
        <w:spacing w:before="0" w:beforeAutospacing="0" w:after="0" w:afterAutospacing="0"/>
        <w:jc w:val="center"/>
        <w:rPr>
          <w:b/>
        </w:rPr>
      </w:pPr>
      <w:r w:rsidRPr="0071462E">
        <w:rPr>
          <w:b/>
        </w:rPr>
        <w:t>Товарная структура экспорта, млн. долл. США</w:t>
      </w:r>
    </w:p>
    <w:p w:rsidR="00D251C3" w:rsidRDefault="00AD5A67" w:rsidP="00A00123">
      <w:pPr>
        <w:spacing w:after="0" w:line="240" w:lineRule="auto"/>
        <w:jc w:val="both"/>
        <w:rPr>
          <w:rFonts w:ascii="Times New Roman" w:hAnsi="Times New Roman"/>
          <w:sz w:val="24"/>
          <w:szCs w:val="24"/>
        </w:rPr>
      </w:pPr>
      <w:r w:rsidRPr="00AD5A67">
        <w:rPr>
          <w:rFonts w:ascii="Times New Roman" w:hAnsi="Times New Roman"/>
          <w:noProof/>
          <w:sz w:val="24"/>
          <w:szCs w:val="24"/>
        </w:rPr>
        <w:drawing>
          <wp:inline distT="0" distB="0" distL="0" distR="0">
            <wp:extent cx="6000750" cy="2286000"/>
            <wp:effectExtent l="0" t="0" r="0" b="0"/>
            <wp:docPr id="1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D049B" w:rsidRDefault="002D049B" w:rsidP="002D049B">
      <w:pPr>
        <w:pStyle w:val="a3"/>
      </w:pPr>
      <w:r>
        <w:t xml:space="preserve">Также одну из лидирующих позиций приднестровского экспорта занимали </w:t>
      </w:r>
      <w:r w:rsidRPr="000A384B">
        <w:t>товар</w:t>
      </w:r>
      <w:r>
        <w:t>ы</w:t>
      </w:r>
      <w:r w:rsidRPr="000A384B">
        <w:t xml:space="preserve"> легкой промышленности (текстильные материалы, одежда, текстильные изделия, обувь)</w:t>
      </w:r>
      <w:r>
        <w:t>. Объем</w:t>
      </w:r>
      <w:r w:rsidRPr="000A384B">
        <w:t xml:space="preserve"> реализации за рубеж </w:t>
      </w:r>
      <w:r>
        <w:t>данной товарной категории увеличился</w:t>
      </w:r>
      <w:r w:rsidRPr="000A384B">
        <w:t xml:space="preserve"> на </w:t>
      </w:r>
      <w:r>
        <w:t>4,8</w:t>
      </w:r>
      <w:r w:rsidRPr="000A384B">
        <w:t>%</w:t>
      </w:r>
      <w:r>
        <w:t xml:space="preserve">, а долевое представительство в товарной структуре экспорта расширилось </w:t>
      </w:r>
      <w:r w:rsidRPr="000A384B">
        <w:t xml:space="preserve">на </w:t>
      </w:r>
      <w:r>
        <w:t xml:space="preserve">3,6 </w:t>
      </w:r>
      <w:r w:rsidRPr="000A384B">
        <w:t xml:space="preserve">процентных пункта до </w:t>
      </w:r>
      <w:r>
        <w:t>20,5%, преимущественно это произошло в результате увеличения продаж текстильных материалов и одежды на 14,3% и 34,6% соответственно.</w:t>
      </w:r>
    </w:p>
    <w:p w:rsidR="00AD5A67" w:rsidRDefault="00AD5A67" w:rsidP="00AD5A67">
      <w:pPr>
        <w:pStyle w:val="a3"/>
      </w:pPr>
      <w:r>
        <w:t>В рассматриваемом периоде м</w:t>
      </w:r>
      <w:r w:rsidRPr="00950176">
        <w:t>еталлы и изделия из них</w:t>
      </w:r>
      <w:r>
        <w:t xml:space="preserve"> сузили долевое представительство в товарной структуре экспорта на 5,1</w:t>
      </w:r>
      <w:r w:rsidRPr="006C71D2">
        <w:t xml:space="preserve"> </w:t>
      </w:r>
      <w:r>
        <w:t>процентных пункта до 16,2%, в денежном эквиваленте их величина уменьшилась к уровню 2015 года на 34,3%.</w:t>
      </w:r>
    </w:p>
    <w:p w:rsidR="00AD5A67" w:rsidRDefault="00AD5A67" w:rsidP="00AD5A67">
      <w:pPr>
        <w:pStyle w:val="a3"/>
      </w:pPr>
      <w:r>
        <w:t>Э</w:t>
      </w:r>
      <w:r w:rsidRPr="00A16128">
        <w:t>кспорт</w:t>
      </w:r>
      <w:r>
        <w:t xml:space="preserve"> продовольственных товаров и сырья остался практически на уровне 2015 года («-» 0,1%), при этом их вклад в структуру экспорта расширился </w:t>
      </w:r>
      <w:r w:rsidRPr="00A16128">
        <w:t xml:space="preserve">на </w:t>
      </w:r>
      <w:r>
        <w:t>2,1</w:t>
      </w:r>
      <w:r w:rsidRPr="00A16128">
        <w:t xml:space="preserve"> процентны</w:t>
      </w:r>
      <w:r>
        <w:t>х</w:t>
      </w:r>
      <w:r w:rsidRPr="00A16128">
        <w:t xml:space="preserve"> пункт</w:t>
      </w:r>
      <w:r>
        <w:t>а до 15,9%.</w:t>
      </w:r>
    </w:p>
    <w:p w:rsidR="00AD5A67" w:rsidRDefault="00AD5A67" w:rsidP="00AD5A67">
      <w:pPr>
        <w:pStyle w:val="a3"/>
      </w:pPr>
      <w:r>
        <w:t>В 2016 году объем поставляемых за рубеж минеральных продуктов возрос на 11,8%, а долевое участие в товарной структуре экспорта составило 5,3 процентных пунктов против 4,1 в январе-декабре 2015 года.</w:t>
      </w:r>
    </w:p>
    <w:p w:rsidR="00AD5A67" w:rsidRDefault="00AD5A67" w:rsidP="00AD5A67">
      <w:pPr>
        <w:pStyle w:val="a3"/>
      </w:pPr>
      <w:r w:rsidRPr="001F247C">
        <w:t>Экспорт</w:t>
      </w:r>
      <w:r w:rsidRPr="00FA66BF">
        <w:t xml:space="preserve"> машиностроительной продукции по отношению к уровню д</w:t>
      </w:r>
      <w:r>
        <w:t>венадцати</w:t>
      </w:r>
      <w:r w:rsidRPr="00FA66BF">
        <w:t xml:space="preserve"> месяцев </w:t>
      </w:r>
      <w:r>
        <w:t>2015</w:t>
      </w:r>
      <w:r w:rsidRPr="00FA66BF">
        <w:t xml:space="preserve"> года снизился на </w:t>
      </w:r>
      <w:r>
        <w:t>9,2</w:t>
      </w:r>
      <w:r w:rsidRPr="00FA66BF">
        <w:t xml:space="preserve">%, </w:t>
      </w:r>
      <w:r>
        <w:t>увеличив</w:t>
      </w:r>
      <w:r w:rsidRPr="00FA66BF">
        <w:t xml:space="preserve"> долевое представление в товарной структуре экспорта на 0,1 процентный пункт до 4,</w:t>
      </w:r>
      <w:r>
        <w:t>2</w:t>
      </w:r>
      <w:r w:rsidRPr="00FA66BF">
        <w:t>%.</w:t>
      </w:r>
    </w:p>
    <w:p w:rsidR="00AD5A67" w:rsidRDefault="00AD5A67" w:rsidP="00AD5A67">
      <w:pPr>
        <w:pStyle w:val="a3"/>
        <w:contextualSpacing/>
      </w:pPr>
      <w:r>
        <w:rPr>
          <w:szCs w:val="24"/>
        </w:rPr>
        <w:t xml:space="preserve">В 2016 году </w:t>
      </w:r>
      <w:r>
        <w:t xml:space="preserve">90,9% экспорта было ориентировано в такие страны как: </w:t>
      </w:r>
    </w:p>
    <w:p w:rsidR="00AD5A67" w:rsidRDefault="00AD5A67" w:rsidP="00AD5A67">
      <w:pPr>
        <w:pStyle w:val="a3"/>
        <w:tabs>
          <w:tab w:val="left" w:pos="851"/>
        </w:tabs>
        <w:contextualSpacing/>
      </w:pPr>
      <w:r>
        <w:t>-</w:t>
      </w:r>
      <w:r>
        <w:tab/>
      </w:r>
      <w:r w:rsidRPr="000A384B">
        <w:t>Республик</w:t>
      </w:r>
      <w:r>
        <w:t>и</w:t>
      </w:r>
      <w:r w:rsidRPr="000A384B">
        <w:t xml:space="preserve"> Молдова (</w:t>
      </w:r>
      <w:r>
        <w:t>46,2</w:t>
      </w:r>
      <w:r w:rsidRPr="000A384B">
        <w:t xml:space="preserve">% совокупного экспорта, </w:t>
      </w:r>
      <w:r>
        <w:t>«-»</w:t>
      </w:r>
      <w:r w:rsidRPr="000A384B">
        <w:t xml:space="preserve"> </w:t>
      </w:r>
      <w:r>
        <w:t>18,3</w:t>
      </w:r>
      <w:r w:rsidRPr="000A384B">
        <w:t xml:space="preserve">% </w:t>
      </w:r>
      <w:r>
        <w:t>к базовому значению</w:t>
      </w:r>
      <w:r w:rsidRPr="000A384B">
        <w:t xml:space="preserve"> 2015 года)</w:t>
      </w:r>
      <w:r>
        <w:t>;</w:t>
      </w:r>
    </w:p>
    <w:p w:rsidR="00AD5A67" w:rsidRDefault="00AD5A67" w:rsidP="00AD5A67">
      <w:pPr>
        <w:pStyle w:val="a3"/>
        <w:tabs>
          <w:tab w:val="left" w:pos="851"/>
        </w:tabs>
        <w:contextualSpacing/>
      </w:pPr>
      <w:r>
        <w:t>-</w:t>
      </w:r>
      <w:r>
        <w:tab/>
      </w:r>
      <w:r w:rsidRPr="000A384B">
        <w:t>Украин</w:t>
      </w:r>
      <w:r>
        <w:t>ы</w:t>
      </w:r>
      <w:r w:rsidRPr="000A384B">
        <w:t xml:space="preserve"> (</w:t>
      </w:r>
      <w:r>
        <w:t>11,5</w:t>
      </w:r>
      <w:r w:rsidRPr="000A384B">
        <w:t>%</w:t>
      </w:r>
      <w:r w:rsidRPr="00AC7BA3">
        <w:t xml:space="preserve"> </w:t>
      </w:r>
      <w:r w:rsidRPr="000A384B">
        <w:t xml:space="preserve">совокупного экспорта, </w:t>
      </w:r>
      <w:r>
        <w:t>«+»19,6% к базовому</w:t>
      </w:r>
      <w:r w:rsidRPr="000A384B">
        <w:t xml:space="preserve"> </w:t>
      </w:r>
      <w:r>
        <w:t>значению</w:t>
      </w:r>
      <w:r w:rsidRPr="000A384B">
        <w:t xml:space="preserve"> 2015 года)</w:t>
      </w:r>
      <w:r>
        <w:t>;</w:t>
      </w:r>
    </w:p>
    <w:p w:rsidR="00AD5A67" w:rsidRDefault="00AD5A67" w:rsidP="00AD5A67">
      <w:pPr>
        <w:pStyle w:val="a3"/>
        <w:tabs>
          <w:tab w:val="left" w:pos="851"/>
        </w:tabs>
        <w:contextualSpacing/>
      </w:pPr>
      <w:r>
        <w:t>-</w:t>
      </w:r>
      <w:r>
        <w:tab/>
      </w:r>
      <w:r w:rsidRPr="000A384B">
        <w:t>Румыни</w:t>
      </w:r>
      <w:r>
        <w:t>и</w:t>
      </w:r>
      <w:r w:rsidRPr="000A384B">
        <w:t xml:space="preserve"> (</w:t>
      </w:r>
      <w:r>
        <w:t>11,4</w:t>
      </w:r>
      <w:r w:rsidRPr="000A384B">
        <w:t>%</w:t>
      </w:r>
      <w:r w:rsidRPr="00AC7BA3">
        <w:t xml:space="preserve"> </w:t>
      </w:r>
      <w:r w:rsidRPr="000A384B">
        <w:t xml:space="preserve">совокупного экспорта, </w:t>
      </w:r>
      <w:r>
        <w:t>«-»36,2%</w:t>
      </w:r>
      <w:r w:rsidRPr="000A384B">
        <w:t xml:space="preserve"> </w:t>
      </w:r>
      <w:r>
        <w:t>к базовому</w:t>
      </w:r>
      <w:r w:rsidRPr="000A384B">
        <w:t xml:space="preserve"> </w:t>
      </w:r>
      <w:r>
        <w:t>значению</w:t>
      </w:r>
      <w:r w:rsidRPr="000A384B">
        <w:t xml:space="preserve"> 2015 года)</w:t>
      </w:r>
      <w:r>
        <w:t>;</w:t>
      </w:r>
    </w:p>
    <w:p w:rsidR="00AD5A67" w:rsidRDefault="00AD5A67" w:rsidP="00AD5A67">
      <w:pPr>
        <w:pStyle w:val="a3"/>
        <w:tabs>
          <w:tab w:val="left" w:pos="851"/>
        </w:tabs>
        <w:contextualSpacing/>
      </w:pPr>
      <w:r>
        <w:lastRenderedPageBreak/>
        <w:t>-</w:t>
      </w:r>
      <w:r>
        <w:tab/>
      </w:r>
      <w:r w:rsidRPr="000A384B">
        <w:t>Российск</w:t>
      </w:r>
      <w:r>
        <w:t>ой</w:t>
      </w:r>
      <w:r w:rsidRPr="000A384B">
        <w:t xml:space="preserve"> Федераци</w:t>
      </w:r>
      <w:r>
        <w:t>и</w:t>
      </w:r>
      <w:r w:rsidRPr="000A384B">
        <w:t xml:space="preserve"> (</w:t>
      </w:r>
      <w:r>
        <w:t>8,7</w:t>
      </w:r>
      <w:r w:rsidRPr="000A384B">
        <w:t>%</w:t>
      </w:r>
      <w:r w:rsidRPr="00AC7BA3">
        <w:t xml:space="preserve"> </w:t>
      </w:r>
      <w:r w:rsidRPr="000A384B">
        <w:t xml:space="preserve">совокупного экспорта, </w:t>
      </w:r>
      <w:r>
        <w:t>«-»3,0</w:t>
      </w:r>
      <w:r w:rsidRPr="000A384B">
        <w:t xml:space="preserve">% </w:t>
      </w:r>
      <w:r>
        <w:t>к базовому</w:t>
      </w:r>
      <w:r w:rsidRPr="000A384B">
        <w:t xml:space="preserve"> </w:t>
      </w:r>
      <w:r>
        <w:t>значению</w:t>
      </w:r>
      <w:r w:rsidRPr="000A384B">
        <w:t xml:space="preserve"> 2015 года)</w:t>
      </w:r>
      <w:r>
        <w:t>;</w:t>
      </w:r>
    </w:p>
    <w:p w:rsidR="00AD5A67" w:rsidRDefault="00AD5A67" w:rsidP="00AD5A67">
      <w:pPr>
        <w:pStyle w:val="a3"/>
        <w:tabs>
          <w:tab w:val="left" w:pos="851"/>
        </w:tabs>
        <w:contextualSpacing/>
      </w:pPr>
      <w:r>
        <w:t>-</w:t>
      </w:r>
      <w:r>
        <w:tab/>
      </w:r>
      <w:r w:rsidRPr="000A384B">
        <w:t>Итали</w:t>
      </w:r>
      <w:r>
        <w:t>и</w:t>
      </w:r>
      <w:r w:rsidRPr="000A384B">
        <w:t xml:space="preserve"> (</w:t>
      </w:r>
      <w:r>
        <w:t>7,6%</w:t>
      </w:r>
      <w:r w:rsidRPr="00AC7BA3">
        <w:t xml:space="preserve"> </w:t>
      </w:r>
      <w:r w:rsidRPr="000A384B">
        <w:t>совокупного экспорта</w:t>
      </w:r>
      <w:r>
        <w:t>, «+»1,9</w:t>
      </w:r>
      <w:r w:rsidRPr="000A384B">
        <w:t xml:space="preserve">% </w:t>
      </w:r>
      <w:r>
        <w:t>к базовому</w:t>
      </w:r>
      <w:r w:rsidRPr="000A384B">
        <w:t xml:space="preserve"> </w:t>
      </w:r>
      <w:r>
        <w:t>значению</w:t>
      </w:r>
      <w:r w:rsidRPr="000A384B">
        <w:t xml:space="preserve"> 2015</w:t>
      </w:r>
      <w:r>
        <w:t> </w:t>
      </w:r>
      <w:r w:rsidRPr="000A384B">
        <w:t>года)</w:t>
      </w:r>
      <w:r>
        <w:t>;</w:t>
      </w:r>
    </w:p>
    <w:p w:rsidR="00AD5A67" w:rsidRDefault="00AD5A67" w:rsidP="00AD5A67">
      <w:pPr>
        <w:pStyle w:val="a3"/>
        <w:tabs>
          <w:tab w:val="left" w:pos="851"/>
        </w:tabs>
        <w:contextualSpacing/>
      </w:pPr>
      <w:r>
        <w:t>-</w:t>
      </w:r>
      <w:r>
        <w:tab/>
      </w:r>
      <w:r w:rsidRPr="000A384B">
        <w:t>Германи</w:t>
      </w:r>
      <w:r>
        <w:t>и</w:t>
      </w:r>
      <w:r w:rsidRPr="000A384B">
        <w:t xml:space="preserve"> (</w:t>
      </w:r>
      <w:r>
        <w:t>5,5</w:t>
      </w:r>
      <w:r w:rsidRPr="000A384B">
        <w:t>%</w:t>
      </w:r>
      <w:r w:rsidRPr="00AC7BA3">
        <w:t xml:space="preserve"> </w:t>
      </w:r>
      <w:r w:rsidRPr="000A384B">
        <w:t xml:space="preserve">совокупного экспорта, </w:t>
      </w:r>
      <w:r>
        <w:t>«-»4,3</w:t>
      </w:r>
      <w:r w:rsidRPr="000A384B">
        <w:t xml:space="preserve">% </w:t>
      </w:r>
      <w:r>
        <w:t>к базовому значению</w:t>
      </w:r>
      <w:r w:rsidRPr="000A384B">
        <w:t xml:space="preserve"> 2015 года)</w:t>
      </w:r>
      <w:r>
        <w:t xml:space="preserve">. </w:t>
      </w:r>
    </w:p>
    <w:p w:rsidR="00AD5A67" w:rsidRDefault="00AD5A67" w:rsidP="00AD5A67">
      <w:pPr>
        <w:pStyle w:val="a3"/>
        <w:rPr>
          <w:szCs w:val="24"/>
        </w:rPr>
      </w:pPr>
      <w:r>
        <w:t>Экспортные поставки в разрезе стран ближнего и дальнего зарубежья преимущественно направлялись в страны Содружества Независимых Государств (67,2%), при этом в</w:t>
      </w:r>
      <w:r w:rsidRPr="000A5A2B">
        <w:rPr>
          <w:szCs w:val="24"/>
        </w:rPr>
        <w:t xml:space="preserve"> </w:t>
      </w:r>
      <w:r w:rsidRPr="008D1638">
        <w:rPr>
          <w:szCs w:val="24"/>
        </w:rPr>
        <w:t>стоимостн</w:t>
      </w:r>
      <w:r>
        <w:rPr>
          <w:szCs w:val="24"/>
        </w:rPr>
        <w:t>ом выражении их объем сократился к уровню 2015 года на 11,5%, составив 356,4 млн.</w:t>
      </w:r>
      <w:r w:rsidRPr="000A5A2B">
        <w:rPr>
          <w:szCs w:val="24"/>
        </w:rPr>
        <w:t xml:space="preserve"> </w:t>
      </w:r>
      <w:r w:rsidRPr="00A04665">
        <w:rPr>
          <w:szCs w:val="24"/>
        </w:rPr>
        <w:t>долл. США</w:t>
      </w:r>
      <w:r>
        <w:rPr>
          <w:szCs w:val="24"/>
        </w:rPr>
        <w:t>. Объем экспорта в страны дальнего зарубежья (32,8%) составил 174,0 млн.</w:t>
      </w:r>
      <w:r w:rsidRPr="000A5A2B">
        <w:rPr>
          <w:szCs w:val="24"/>
        </w:rPr>
        <w:t xml:space="preserve"> </w:t>
      </w:r>
      <w:r w:rsidRPr="00A04665">
        <w:rPr>
          <w:szCs w:val="24"/>
        </w:rPr>
        <w:t>долл. США</w:t>
      </w:r>
      <w:r>
        <w:rPr>
          <w:szCs w:val="24"/>
        </w:rPr>
        <w:t>, что на 16,5% ниже уровня минувшего года.</w:t>
      </w:r>
    </w:p>
    <w:p w:rsidR="00174F9C" w:rsidRPr="00174F9C" w:rsidRDefault="00174F9C" w:rsidP="00AD5A67">
      <w:pPr>
        <w:pStyle w:val="a3"/>
        <w:rPr>
          <w:sz w:val="10"/>
          <w:szCs w:val="10"/>
        </w:rPr>
      </w:pPr>
    </w:p>
    <w:p w:rsidR="00AD5A67" w:rsidRDefault="00AD5A67" w:rsidP="002D049B">
      <w:pPr>
        <w:spacing w:after="0" w:line="240" w:lineRule="auto"/>
        <w:ind w:hanging="284"/>
        <w:jc w:val="both"/>
        <w:rPr>
          <w:rFonts w:ascii="Times New Roman" w:hAnsi="Times New Roman"/>
          <w:sz w:val="24"/>
          <w:szCs w:val="24"/>
        </w:rPr>
      </w:pPr>
      <w:r w:rsidRPr="00AD5A67">
        <w:rPr>
          <w:rFonts w:ascii="Times New Roman" w:hAnsi="Times New Roman"/>
          <w:noProof/>
          <w:sz w:val="24"/>
          <w:szCs w:val="24"/>
        </w:rPr>
        <w:drawing>
          <wp:inline distT="0" distB="0" distL="0" distR="0">
            <wp:extent cx="6353175" cy="1971675"/>
            <wp:effectExtent l="0" t="0" r="0" b="0"/>
            <wp:docPr id="1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D5C50" w:rsidRPr="006D5C50" w:rsidRDefault="006D5C50" w:rsidP="002D049B">
      <w:pPr>
        <w:spacing w:after="0" w:line="240" w:lineRule="auto"/>
        <w:ind w:hanging="284"/>
        <w:jc w:val="both"/>
        <w:rPr>
          <w:rFonts w:ascii="Times New Roman" w:hAnsi="Times New Roman"/>
          <w:sz w:val="10"/>
          <w:szCs w:val="10"/>
        </w:rPr>
      </w:pPr>
    </w:p>
    <w:p w:rsidR="00AD5A67" w:rsidRDefault="00AD5A67" w:rsidP="00AD5A67">
      <w:pPr>
        <w:spacing w:after="0" w:line="240" w:lineRule="auto"/>
        <w:ind w:firstLine="709"/>
        <w:jc w:val="both"/>
        <w:rPr>
          <w:rFonts w:ascii="Times New Roman" w:hAnsi="Times New Roman"/>
          <w:sz w:val="24"/>
          <w:szCs w:val="24"/>
        </w:rPr>
      </w:pPr>
      <w:r>
        <w:rPr>
          <w:rFonts w:ascii="Times New Roman" w:hAnsi="Times New Roman"/>
          <w:sz w:val="24"/>
          <w:szCs w:val="24"/>
        </w:rPr>
        <w:t>В январе-декабре</w:t>
      </w:r>
      <w:r w:rsidRPr="00A16128">
        <w:rPr>
          <w:rFonts w:ascii="Times New Roman" w:hAnsi="Times New Roman"/>
          <w:sz w:val="24"/>
          <w:szCs w:val="24"/>
        </w:rPr>
        <w:t xml:space="preserve"> 2016</w:t>
      </w:r>
      <w:r>
        <w:rPr>
          <w:rFonts w:ascii="Times New Roman" w:hAnsi="Times New Roman"/>
          <w:sz w:val="24"/>
          <w:szCs w:val="24"/>
        </w:rPr>
        <w:t xml:space="preserve"> года отрицательная динамика импортных операций существенно превышала темпы снижения экспорта, оказывая негативное воздействие на снижение совокупного объема внешнеторгового оборота республики. Понижение зафиксировано практически по всем категориям товарной структуры импорта. </w:t>
      </w:r>
    </w:p>
    <w:p w:rsidR="00AD5A67" w:rsidRDefault="00AD5A67" w:rsidP="00AD5A6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 ввоз </w:t>
      </w:r>
      <w:r w:rsidRPr="00986934">
        <w:rPr>
          <w:rFonts w:ascii="Times New Roman" w:hAnsi="Times New Roman" w:cs="Times New Roman"/>
          <w:sz w:val="24"/>
          <w:szCs w:val="24"/>
        </w:rPr>
        <w:t>топливно-энергетически</w:t>
      </w:r>
      <w:r>
        <w:rPr>
          <w:rFonts w:ascii="Times New Roman" w:hAnsi="Times New Roman" w:cs="Times New Roman"/>
          <w:sz w:val="24"/>
          <w:szCs w:val="24"/>
        </w:rPr>
        <w:t>х</w:t>
      </w:r>
      <w:r w:rsidRPr="00986934">
        <w:rPr>
          <w:rFonts w:ascii="Times New Roman" w:hAnsi="Times New Roman" w:cs="Times New Roman"/>
          <w:sz w:val="24"/>
          <w:szCs w:val="24"/>
        </w:rPr>
        <w:t xml:space="preserve"> </w:t>
      </w:r>
      <w:r>
        <w:rPr>
          <w:rFonts w:ascii="Times New Roman" w:hAnsi="Times New Roman" w:cs="Times New Roman"/>
          <w:sz w:val="24"/>
          <w:szCs w:val="24"/>
        </w:rPr>
        <w:t>товаров, являющихся к</w:t>
      </w:r>
      <w:r w:rsidRPr="00986934">
        <w:rPr>
          <w:rFonts w:ascii="Times New Roman" w:hAnsi="Times New Roman" w:cs="Times New Roman"/>
          <w:sz w:val="24"/>
          <w:szCs w:val="24"/>
        </w:rPr>
        <w:t>рупнейш</w:t>
      </w:r>
      <w:r>
        <w:rPr>
          <w:rFonts w:ascii="Times New Roman" w:hAnsi="Times New Roman" w:cs="Times New Roman"/>
          <w:sz w:val="24"/>
          <w:szCs w:val="24"/>
        </w:rPr>
        <w:t>ей</w:t>
      </w:r>
      <w:r w:rsidRPr="00986934">
        <w:rPr>
          <w:rFonts w:ascii="Times New Roman" w:hAnsi="Times New Roman" w:cs="Times New Roman"/>
          <w:sz w:val="24"/>
          <w:szCs w:val="24"/>
        </w:rPr>
        <w:t xml:space="preserve"> стать</w:t>
      </w:r>
      <w:r>
        <w:rPr>
          <w:rFonts w:ascii="Times New Roman" w:hAnsi="Times New Roman" w:cs="Times New Roman"/>
          <w:sz w:val="24"/>
          <w:szCs w:val="24"/>
        </w:rPr>
        <w:t xml:space="preserve">ей приднестровского </w:t>
      </w:r>
      <w:r w:rsidRPr="00986934">
        <w:rPr>
          <w:rFonts w:ascii="Times New Roman" w:hAnsi="Times New Roman" w:cs="Times New Roman"/>
          <w:sz w:val="24"/>
          <w:szCs w:val="24"/>
        </w:rPr>
        <w:t xml:space="preserve">импорта </w:t>
      </w:r>
      <w:r>
        <w:rPr>
          <w:rFonts w:ascii="Times New Roman" w:hAnsi="Times New Roman" w:cs="Times New Roman"/>
          <w:sz w:val="24"/>
          <w:szCs w:val="24"/>
        </w:rPr>
        <w:t>(47,7%), сократился на 28,9% к уровню двенадцати месяцев 2015 года, а долевое представительство в товарной структуре сузилось на 2,8 процентных пункта.</w:t>
      </w:r>
    </w:p>
    <w:p w:rsidR="00AD5A67" w:rsidRDefault="00AD5A67" w:rsidP="00AD5A67">
      <w:pPr>
        <w:pStyle w:val="a3"/>
      </w:pPr>
      <w:r>
        <w:t>П</w:t>
      </w:r>
      <w:r w:rsidRPr="000A384B">
        <w:t xml:space="preserve">оставки </w:t>
      </w:r>
      <w:r>
        <w:t>из-за рубежа м</w:t>
      </w:r>
      <w:r w:rsidRPr="000A384B">
        <w:rPr>
          <w:szCs w:val="24"/>
        </w:rPr>
        <w:t>ашиностроительн</w:t>
      </w:r>
      <w:r>
        <w:rPr>
          <w:szCs w:val="24"/>
        </w:rPr>
        <w:t>ой</w:t>
      </w:r>
      <w:r w:rsidRPr="000A384B">
        <w:rPr>
          <w:szCs w:val="24"/>
        </w:rPr>
        <w:t xml:space="preserve"> продукци</w:t>
      </w:r>
      <w:r>
        <w:rPr>
          <w:szCs w:val="24"/>
        </w:rPr>
        <w:t>и</w:t>
      </w:r>
      <w:r w:rsidRPr="00A16128">
        <w:t xml:space="preserve"> в </w:t>
      </w:r>
      <w:r>
        <w:t>денежном эквиваленте</w:t>
      </w:r>
      <w:r w:rsidRPr="00A16128">
        <w:t xml:space="preserve"> сократил</w:t>
      </w:r>
      <w:r>
        <w:t>и</w:t>
      </w:r>
      <w:r w:rsidRPr="00A16128">
        <w:t>с</w:t>
      </w:r>
      <w:r>
        <w:t>ь</w:t>
      </w:r>
      <w:r w:rsidRPr="00A16128">
        <w:t xml:space="preserve"> на </w:t>
      </w:r>
      <w:r>
        <w:t>25,0%</w:t>
      </w:r>
      <w:r w:rsidRPr="000A384B">
        <w:rPr>
          <w:szCs w:val="24"/>
        </w:rPr>
        <w:t xml:space="preserve">, </w:t>
      </w:r>
      <w:r>
        <w:rPr>
          <w:szCs w:val="24"/>
        </w:rPr>
        <w:t xml:space="preserve">при этом </w:t>
      </w:r>
      <w:r>
        <w:t>долевое представительство в товарной структуре импорта осталось на уровне 2015 года, составив 10,4%.</w:t>
      </w:r>
    </w:p>
    <w:p w:rsidR="00AD5A67" w:rsidRDefault="00AD5A67" w:rsidP="00AD5A67">
      <w:pPr>
        <w:pStyle w:val="a3"/>
      </w:pPr>
      <w:r w:rsidRPr="001150A7">
        <w:rPr>
          <w:szCs w:val="24"/>
        </w:rPr>
        <w:t>Снижение производственной активности ОАО «Молдавский металлургический завод» привело к сокращению потребности предприятия в сырьевых материалах</w:t>
      </w:r>
      <w:r w:rsidRPr="001150A7">
        <w:t xml:space="preserve">, в результате чего импорт металлов и изделий из них сократился </w:t>
      </w:r>
      <w:r>
        <w:t xml:space="preserve">на 55,8% </w:t>
      </w:r>
      <w:r w:rsidRPr="001150A7">
        <w:t xml:space="preserve">к уровню </w:t>
      </w:r>
      <w:r>
        <w:br/>
      </w:r>
      <w:r w:rsidRPr="001150A7">
        <w:t>января–</w:t>
      </w:r>
      <w:r>
        <w:t xml:space="preserve">декабря </w:t>
      </w:r>
      <w:r w:rsidRPr="001150A7">
        <w:t xml:space="preserve">2015 года, сузив долевое представительство в товарной структуре на </w:t>
      </w:r>
      <w:r>
        <w:t>4,9 процентных пункта</w:t>
      </w:r>
      <w:r w:rsidRPr="001150A7">
        <w:t xml:space="preserve"> до </w:t>
      </w:r>
      <w:r>
        <w:t>7,0</w:t>
      </w:r>
      <w:r w:rsidRPr="001150A7">
        <w:t>%.</w:t>
      </w:r>
    </w:p>
    <w:p w:rsidR="00174F9C" w:rsidRPr="00174F9C" w:rsidRDefault="00174F9C" w:rsidP="00AD5A67">
      <w:pPr>
        <w:pStyle w:val="a3"/>
        <w:rPr>
          <w:sz w:val="10"/>
          <w:szCs w:val="10"/>
        </w:rPr>
      </w:pPr>
    </w:p>
    <w:p w:rsidR="00AD5A67" w:rsidRDefault="00AD5A67" w:rsidP="00AD5A67">
      <w:pPr>
        <w:pStyle w:val="a3"/>
        <w:ind w:firstLine="0"/>
      </w:pPr>
      <w:r w:rsidRPr="00AD5A67">
        <w:rPr>
          <w:noProof/>
        </w:rPr>
        <w:drawing>
          <wp:inline distT="0" distB="0" distL="0" distR="0">
            <wp:extent cx="6172200" cy="2819400"/>
            <wp:effectExtent l="0" t="0" r="0" b="0"/>
            <wp:docPr id="1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D5A67" w:rsidRDefault="00AD5A67" w:rsidP="00AD5A67">
      <w:pPr>
        <w:pStyle w:val="a3"/>
      </w:pPr>
      <w:r>
        <w:lastRenderedPageBreak/>
        <w:t>В январе</w:t>
      </w:r>
      <w:r w:rsidRPr="00F91103">
        <w:t>–</w:t>
      </w:r>
      <w:r>
        <w:t>декабре</w:t>
      </w:r>
      <w:r w:rsidRPr="00F91103">
        <w:t xml:space="preserve"> 2016 года импорт товаров легкой промышленности </w:t>
      </w:r>
      <w:r>
        <w:t xml:space="preserve">сократился к сопоставимому значению минувшего года на 2,0%, а долевое участие в товарной структуре импорта достигло 5,2% против 4,0% в аналогичном периоде 2015 года. </w:t>
      </w:r>
    </w:p>
    <w:p w:rsidR="00AD5A67" w:rsidRDefault="00AD5A67" w:rsidP="00AD5A67">
      <w:pPr>
        <w:pStyle w:val="a3"/>
      </w:pPr>
      <w:r>
        <w:t>Импорт п</w:t>
      </w:r>
      <w:r w:rsidRPr="000A384B">
        <w:t>родовольственны</w:t>
      </w:r>
      <w:r>
        <w:t>х</w:t>
      </w:r>
      <w:r w:rsidRPr="000A384B">
        <w:t xml:space="preserve"> товар</w:t>
      </w:r>
      <w:r>
        <w:t>ов</w:t>
      </w:r>
      <w:r w:rsidRPr="000A384B">
        <w:t xml:space="preserve"> (сырь</w:t>
      </w:r>
      <w:r>
        <w:t>я</w:t>
      </w:r>
      <w:r w:rsidRPr="000A384B">
        <w:t xml:space="preserve">) </w:t>
      </w:r>
      <w:r>
        <w:t>в рассматриваемом периоде возрос на 2,8% к базовому уровню 2015 года</w:t>
      </w:r>
      <w:r w:rsidRPr="000A384B">
        <w:t xml:space="preserve">, при этом </w:t>
      </w:r>
      <w:r>
        <w:t xml:space="preserve">в товарной структуре импорта на их долю </w:t>
      </w:r>
      <w:r w:rsidRPr="000A384B">
        <w:t>при</w:t>
      </w:r>
      <w:r>
        <w:t>шлось</w:t>
      </w:r>
      <w:r w:rsidRPr="000A384B">
        <w:t xml:space="preserve"> </w:t>
      </w:r>
      <w:r>
        <w:t>12,0</w:t>
      </w:r>
      <w:r w:rsidRPr="000A384B">
        <w:t xml:space="preserve">% против </w:t>
      </w:r>
      <w:r>
        <w:t>8,8</w:t>
      </w:r>
      <w:r w:rsidRPr="000A384B">
        <w:t xml:space="preserve">% в </w:t>
      </w:r>
      <w:r>
        <w:t xml:space="preserve">январе-декабре 2015 </w:t>
      </w:r>
      <w:r w:rsidRPr="000A384B">
        <w:t>года</w:t>
      </w:r>
      <w:r>
        <w:t>.</w:t>
      </w:r>
      <w:r w:rsidRPr="000A384B">
        <w:t xml:space="preserve"> </w:t>
      </w:r>
    </w:p>
    <w:p w:rsidR="000F4840" w:rsidRDefault="00AD5A67" w:rsidP="000F4840">
      <w:pPr>
        <w:pStyle w:val="a3"/>
      </w:pPr>
      <w:r>
        <w:t>Ввоз на территорию республики фармацевтической продукции увеличился на 8,4% к уровню двенадцати месяцев 2015 года, расширив долевое участие на 0,9 процентных пунктов до 3,0%.</w:t>
      </w:r>
    </w:p>
    <w:p w:rsidR="00AD5A67" w:rsidRDefault="00163821" w:rsidP="006D5C50">
      <w:pPr>
        <w:spacing w:after="0" w:line="240" w:lineRule="auto"/>
        <w:ind w:left="-284"/>
        <w:jc w:val="both"/>
        <w:rPr>
          <w:rFonts w:ascii="Times New Roman" w:hAnsi="Times New Roman"/>
          <w:sz w:val="24"/>
          <w:szCs w:val="24"/>
        </w:rPr>
      </w:pPr>
      <w:r w:rsidRPr="00163821">
        <w:rPr>
          <w:rFonts w:ascii="Times New Roman" w:hAnsi="Times New Roman"/>
          <w:noProof/>
          <w:sz w:val="24"/>
          <w:szCs w:val="24"/>
        </w:rPr>
        <w:drawing>
          <wp:inline distT="0" distB="0" distL="0" distR="0">
            <wp:extent cx="6381750" cy="2609850"/>
            <wp:effectExtent l="0" t="0" r="0" b="0"/>
            <wp:docPr id="1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74F9C" w:rsidRPr="000F4840" w:rsidRDefault="00174F9C" w:rsidP="002D049B">
      <w:pPr>
        <w:pStyle w:val="a3"/>
        <w:rPr>
          <w:szCs w:val="24"/>
        </w:rPr>
      </w:pPr>
    </w:p>
    <w:p w:rsidR="002D049B" w:rsidRDefault="002D049B" w:rsidP="002D049B">
      <w:pPr>
        <w:pStyle w:val="a3"/>
        <w:rPr>
          <w:color w:val="000000"/>
        </w:rPr>
      </w:pPr>
      <w:r w:rsidRPr="00950176">
        <w:t xml:space="preserve">Основными торговыми партнерами Приднестровья по </w:t>
      </w:r>
      <w:r>
        <w:t xml:space="preserve">импортным </w:t>
      </w:r>
      <w:r w:rsidRPr="00950176">
        <w:t xml:space="preserve">поставкам </w:t>
      </w:r>
      <w:r>
        <w:rPr>
          <w:color w:val="000000"/>
        </w:rPr>
        <w:t>в 2016 году</w:t>
      </w:r>
      <w:r w:rsidRPr="000A384B">
        <w:rPr>
          <w:color w:val="000000"/>
        </w:rPr>
        <w:t xml:space="preserve"> </w:t>
      </w:r>
      <w:r>
        <w:rPr>
          <w:color w:val="000000"/>
        </w:rPr>
        <w:t>являлись</w:t>
      </w:r>
      <w:r w:rsidRPr="000A384B">
        <w:rPr>
          <w:color w:val="000000"/>
        </w:rPr>
        <w:t xml:space="preserve"> контрагенты </w:t>
      </w:r>
      <w:r>
        <w:rPr>
          <w:color w:val="000000"/>
        </w:rPr>
        <w:t xml:space="preserve">из стран </w:t>
      </w:r>
      <w:r>
        <w:t xml:space="preserve">Содружества Независимых Государств (74,8%) суммарная величина которых составила 642,0 </w:t>
      </w:r>
      <w:r w:rsidRPr="00A04665">
        <w:rPr>
          <w:szCs w:val="24"/>
        </w:rPr>
        <w:t>млн.</w:t>
      </w:r>
      <w:r>
        <w:rPr>
          <w:szCs w:val="24"/>
        </w:rPr>
        <w:t xml:space="preserve"> </w:t>
      </w:r>
      <w:r w:rsidRPr="00A04665">
        <w:rPr>
          <w:szCs w:val="24"/>
        </w:rPr>
        <w:t>долл. США</w:t>
      </w:r>
      <w:r>
        <w:rPr>
          <w:szCs w:val="24"/>
        </w:rPr>
        <w:t xml:space="preserve">, что на 28,0% ниже базового уровня 2015 года. Импортные потоки из стран дальнего зарубежья (25,2%) в рассматриваемом периоде также характеризовались отрицательной динамикой, так их объем в абсолютном выражении сократился на 12,6% к сопоставимому уровню минувшего года, составив 215,8 </w:t>
      </w:r>
      <w:r w:rsidRPr="00A04665">
        <w:rPr>
          <w:szCs w:val="24"/>
        </w:rPr>
        <w:t>млн.</w:t>
      </w:r>
      <w:r>
        <w:rPr>
          <w:szCs w:val="24"/>
        </w:rPr>
        <w:t xml:space="preserve"> </w:t>
      </w:r>
      <w:r w:rsidRPr="00A04665">
        <w:rPr>
          <w:szCs w:val="24"/>
        </w:rPr>
        <w:t>долл.</w:t>
      </w:r>
      <w:r>
        <w:rPr>
          <w:szCs w:val="24"/>
        </w:rPr>
        <w:t xml:space="preserve"> </w:t>
      </w:r>
      <w:r w:rsidRPr="00A04665">
        <w:rPr>
          <w:szCs w:val="24"/>
        </w:rPr>
        <w:t>США</w:t>
      </w:r>
      <w:r>
        <w:rPr>
          <w:szCs w:val="24"/>
        </w:rPr>
        <w:t>.</w:t>
      </w:r>
    </w:p>
    <w:p w:rsidR="00163821" w:rsidRDefault="00163821" w:rsidP="00163821">
      <w:pPr>
        <w:pStyle w:val="a3"/>
        <w:rPr>
          <w:color w:val="000000"/>
        </w:rPr>
      </w:pPr>
      <w:r>
        <w:rPr>
          <w:color w:val="000000"/>
        </w:rPr>
        <w:t>Большая часть ввозимой на территорию Приднестровья продукции приходилась на такие страны как:</w:t>
      </w:r>
    </w:p>
    <w:p w:rsidR="00163821" w:rsidRDefault="00163821" w:rsidP="00163821">
      <w:pPr>
        <w:pStyle w:val="a3"/>
      </w:pPr>
      <w:r>
        <w:rPr>
          <w:color w:val="000000"/>
        </w:rPr>
        <w:t xml:space="preserve">- </w:t>
      </w:r>
      <w:r w:rsidRPr="000A384B">
        <w:t>Российск</w:t>
      </w:r>
      <w:r>
        <w:t>ая</w:t>
      </w:r>
      <w:r w:rsidRPr="000A384B">
        <w:t xml:space="preserve"> Федераци</w:t>
      </w:r>
      <w:r>
        <w:t>я</w:t>
      </w:r>
      <w:r w:rsidRPr="000A384B">
        <w:t xml:space="preserve"> (</w:t>
      </w:r>
      <w:r>
        <w:t>48,9% совокупного импорта, «-»28,6</w:t>
      </w:r>
      <w:r w:rsidRPr="000A384B">
        <w:t>% к базово</w:t>
      </w:r>
      <w:r>
        <w:t>му</w:t>
      </w:r>
      <w:r w:rsidRPr="000A384B">
        <w:t xml:space="preserve"> уровню 2015 года)</w:t>
      </w:r>
      <w:r>
        <w:t>;</w:t>
      </w:r>
    </w:p>
    <w:p w:rsidR="00163821" w:rsidRDefault="00163821" w:rsidP="00163821">
      <w:pPr>
        <w:pStyle w:val="a3"/>
      </w:pPr>
      <w:r>
        <w:t>-</w:t>
      </w:r>
      <w:r w:rsidRPr="000A384B">
        <w:t xml:space="preserve"> Украин</w:t>
      </w:r>
      <w:r>
        <w:t>а</w:t>
      </w:r>
      <w:r w:rsidRPr="000A384B">
        <w:t xml:space="preserve"> (</w:t>
      </w:r>
      <w:r>
        <w:t>10,9</w:t>
      </w:r>
      <w:r w:rsidRPr="000A384B">
        <w:t>%</w:t>
      </w:r>
      <w:r w:rsidRPr="00846ED3">
        <w:t xml:space="preserve"> </w:t>
      </w:r>
      <w:r>
        <w:t>совокупного импорта</w:t>
      </w:r>
      <w:r w:rsidRPr="000A384B">
        <w:t xml:space="preserve">, </w:t>
      </w:r>
      <w:r>
        <w:t>«-»42,2</w:t>
      </w:r>
      <w:r w:rsidRPr="000A384B">
        <w:t>%</w:t>
      </w:r>
      <w:r>
        <w:t xml:space="preserve"> </w:t>
      </w:r>
      <w:r w:rsidRPr="000A384B">
        <w:t>к базово</w:t>
      </w:r>
      <w:r>
        <w:t>му</w:t>
      </w:r>
      <w:r w:rsidRPr="000A384B">
        <w:t xml:space="preserve"> уровню 2015 года)</w:t>
      </w:r>
      <w:r>
        <w:t>;</w:t>
      </w:r>
    </w:p>
    <w:p w:rsidR="00163821" w:rsidRDefault="00163821" w:rsidP="00163821">
      <w:pPr>
        <w:pStyle w:val="a3"/>
      </w:pPr>
      <w:r>
        <w:t>-</w:t>
      </w:r>
      <w:r w:rsidRPr="000A384B">
        <w:t xml:space="preserve"> Республики Молдова (</w:t>
      </w:r>
      <w:r>
        <w:t>8,5</w:t>
      </w:r>
      <w:r w:rsidRPr="000A384B">
        <w:t>%</w:t>
      </w:r>
      <w:r w:rsidRPr="00846ED3">
        <w:t xml:space="preserve"> </w:t>
      </w:r>
      <w:r>
        <w:t>совокупного импорта</w:t>
      </w:r>
      <w:r w:rsidRPr="000A384B">
        <w:t xml:space="preserve">, </w:t>
      </w:r>
      <w:r>
        <w:t>«-»5,2</w:t>
      </w:r>
      <w:r w:rsidRPr="000A384B">
        <w:t>%</w:t>
      </w:r>
      <w:r>
        <w:t xml:space="preserve"> </w:t>
      </w:r>
      <w:r w:rsidRPr="000A384B">
        <w:t>к базово</w:t>
      </w:r>
      <w:r>
        <w:t>му</w:t>
      </w:r>
      <w:r w:rsidRPr="000A384B">
        <w:t xml:space="preserve"> уровню 2015</w:t>
      </w:r>
      <w:r>
        <w:t> </w:t>
      </w:r>
      <w:r w:rsidRPr="000A384B">
        <w:t>года)</w:t>
      </w:r>
      <w:r>
        <w:t>;</w:t>
      </w:r>
    </w:p>
    <w:p w:rsidR="00163821" w:rsidRDefault="00163821" w:rsidP="00163821">
      <w:pPr>
        <w:pStyle w:val="a3"/>
      </w:pPr>
      <w:r>
        <w:t>-</w:t>
      </w:r>
      <w:r w:rsidRPr="000A384B">
        <w:t xml:space="preserve"> Германи</w:t>
      </w:r>
      <w:r>
        <w:t>я</w:t>
      </w:r>
      <w:r w:rsidRPr="000A384B">
        <w:t xml:space="preserve"> (</w:t>
      </w:r>
      <w:r>
        <w:t>4,1</w:t>
      </w:r>
      <w:r w:rsidRPr="000A384B">
        <w:t>%</w:t>
      </w:r>
      <w:r w:rsidRPr="00846ED3">
        <w:t xml:space="preserve"> </w:t>
      </w:r>
      <w:r>
        <w:t>совокупного импорта</w:t>
      </w:r>
      <w:r w:rsidRPr="000A384B">
        <w:t xml:space="preserve">, </w:t>
      </w:r>
      <w:r>
        <w:t>«-»25,4</w:t>
      </w:r>
      <w:r w:rsidRPr="000A384B">
        <w:t>%</w:t>
      </w:r>
      <w:r>
        <w:t xml:space="preserve"> </w:t>
      </w:r>
      <w:r w:rsidRPr="000A384B">
        <w:t>к базово</w:t>
      </w:r>
      <w:r>
        <w:t>му</w:t>
      </w:r>
      <w:r w:rsidRPr="000A384B">
        <w:t xml:space="preserve"> уровню 2015 года)</w:t>
      </w:r>
      <w:r>
        <w:t>;</w:t>
      </w:r>
    </w:p>
    <w:p w:rsidR="00163821" w:rsidRDefault="00163821" w:rsidP="00163821">
      <w:pPr>
        <w:pStyle w:val="a3"/>
      </w:pPr>
      <w:r>
        <w:t>-</w:t>
      </w:r>
      <w:r w:rsidRPr="000A384B">
        <w:t xml:space="preserve"> Республики Беларусь (</w:t>
      </w:r>
      <w:r>
        <w:t>4,0</w:t>
      </w:r>
      <w:r w:rsidRPr="000A384B">
        <w:t>%</w:t>
      </w:r>
      <w:r w:rsidRPr="00846ED3">
        <w:t xml:space="preserve"> </w:t>
      </w:r>
      <w:r>
        <w:t>совокупного импорта</w:t>
      </w:r>
      <w:r w:rsidRPr="000A384B">
        <w:t xml:space="preserve">, </w:t>
      </w:r>
      <w:r>
        <w:t>«-»28,7</w:t>
      </w:r>
      <w:r w:rsidRPr="000A384B">
        <w:t>%</w:t>
      </w:r>
      <w:r>
        <w:t xml:space="preserve"> </w:t>
      </w:r>
      <w:r w:rsidRPr="000A384B">
        <w:t>к базово</w:t>
      </w:r>
      <w:r>
        <w:t>му</w:t>
      </w:r>
      <w:r w:rsidRPr="000A384B">
        <w:t xml:space="preserve"> уровню 2015</w:t>
      </w:r>
      <w:r>
        <w:t> </w:t>
      </w:r>
      <w:r w:rsidRPr="000A384B">
        <w:t xml:space="preserve">года). </w:t>
      </w:r>
    </w:p>
    <w:p w:rsidR="00163821" w:rsidRDefault="00163821" w:rsidP="00163821">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Влияние мировой общеэкономической конъюнктуры на фоне высокого уровня зависимости </w:t>
      </w:r>
      <w:r w:rsidRPr="000A384B">
        <w:rPr>
          <w:rFonts w:ascii="Times New Roman" w:hAnsi="Times New Roman"/>
          <w:sz w:val="24"/>
          <w:szCs w:val="24"/>
        </w:rPr>
        <w:t xml:space="preserve">экономики </w:t>
      </w:r>
      <w:r>
        <w:rPr>
          <w:rFonts w:ascii="Times New Roman" w:hAnsi="Times New Roman"/>
          <w:sz w:val="24"/>
          <w:szCs w:val="24"/>
        </w:rPr>
        <w:t>Приднестровья, как по товарам потребительского назначения, так и по сырьевым, в условиях существенного дефицита иностранной валюты обусловило сужение активности по внешнеторговым направлениям.</w:t>
      </w:r>
    </w:p>
    <w:p w:rsidR="00163821" w:rsidRDefault="00163821" w:rsidP="0016382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оказания содействия отечественным экспортоориентированым производителям, в 2016 году государством были предпринят ряд мер, направленных на обеспечение активизации и развития благоприятных условий ведения бизнеса, а также защиту внутреннего рынка и отечественных товаропроизводителей:</w:t>
      </w:r>
    </w:p>
    <w:p w:rsidR="00163821" w:rsidRDefault="00163821" w:rsidP="00163821">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w:t>
      </w:r>
      <w:r w:rsidRPr="004E0B93">
        <w:rPr>
          <w:rFonts w:ascii="Times New Roman" w:eastAsia="Times New Roman" w:hAnsi="Times New Roman" w:cs="Times New Roman"/>
          <w:sz w:val="24"/>
          <w:szCs w:val="24"/>
        </w:rPr>
        <w:t xml:space="preserve"> целях поддержки </w:t>
      </w:r>
      <w:r w:rsidRPr="004E0B93">
        <w:rPr>
          <w:rFonts w:ascii="Times New Roman" w:eastAsia="Times New Roman" w:hAnsi="Times New Roman" w:cs="Times New Roman"/>
          <w:sz w:val="24"/>
          <w:szCs w:val="24"/>
          <w:shd w:val="clear" w:color="auto" w:fill="FFFFFF"/>
        </w:rPr>
        <w:t>сельскохозяйственны</w:t>
      </w:r>
      <w:r>
        <w:rPr>
          <w:rFonts w:ascii="Times New Roman" w:eastAsia="Times New Roman" w:hAnsi="Times New Roman" w:cs="Times New Roman"/>
          <w:sz w:val="24"/>
          <w:szCs w:val="24"/>
          <w:shd w:val="clear" w:color="auto" w:fill="FFFFFF"/>
        </w:rPr>
        <w:t>х</w:t>
      </w:r>
      <w:r w:rsidRPr="004E0B93">
        <w:rPr>
          <w:rFonts w:ascii="Times New Roman" w:eastAsia="Times New Roman" w:hAnsi="Times New Roman" w:cs="Times New Roman"/>
          <w:sz w:val="24"/>
          <w:szCs w:val="24"/>
          <w:shd w:val="clear" w:color="auto" w:fill="FFFFFF"/>
        </w:rPr>
        <w:t xml:space="preserve"> товаропроизводител</w:t>
      </w:r>
      <w:r>
        <w:rPr>
          <w:rFonts w:ascii="Times New Roman" w:eastAsia="Times New Roman" w:hAnsi="Times New Roman" w:cs="Times New Roman"/>
          <w:sz w:val="24"/>
          <w:szCs w:val="24"/>
          <w:shd w:val="clear" w:color="auto" w:fill="FFFFFF"/>
        </w:rPr>
        <w:t>ей,</w:t>
      </w:r>
      <w:r w:rsidRPr="004E0B93">
        <w:rPr>
          <w:rFonts w:ascii="Times New Roman" w:eastAsia="Times New Roman" w:hAnsi="Times New Roman" w:cs="Times New Roman"/>
          <w:sz w:val="24"/>
          <w:szCs w:val="24"/>
          <w:shd w:val="clear" w:color="auto" w:fill="FFFFFF"/>
        </w:rPr>
        <w:t xml:space="preserve"> на время проведения полевых работ</w:t>
      </w:r>
      <w:r>
        <w:rPr>
          <w:rFonts w:ascii="Times New Roman" w:eastAsia="Times New Roman" w:hAnsi="Times New Roman" w:cs="Times New Roman"/>
          <w:sz w:val="24"/>
          <w:szCs w:val="24"/>
          <w:shd w:val="clear" w:color="auto" w:fill="FFFFFF"/>
        </w:rPr>
        <w:t>,</w:t>
      </w:r>
      <w:r w:rsidRPr="004E0B93">
        <w:rPr>
          <w:rFonts w:ascii="Times New Roman" w:eastAsia="Times New Roman" w:hAnsi="Times New Roman" w:cs="Times New Roman"/>
          <w:sz w:val="24"/>
          <w:szCs w:val="24"/>
          <w:shd w:val="clear" w:color="auto" w:fill="FFFFFF"/>
        </w:rPr>
        <w:t xml:space="preserve"> </w:t>
      </w:r>
      <w:r w:rsidRPr="004E0B93">
        <w:rPr>
          <w:rFonts w:ascii="Times New Roman" w:eastAsia="Times New Roman" w:hAnsi="Times New Roman" w:cs="Times New Roman"/>
          <w:bCs/>
          <w:sz w:val="24"/>
          <w:szCs w:val="24"/>
        </w:rPr>
        <w:t xml:space="preserve">были </w:t>
      </w:r>
      <w:r w:rsidRPr="004E0B93">
        <w:rPr>
          <w:rFonts w:ascii="Times New Roman" w:eastAsia="Times New Roman" w:hAnsi="Times New Roman" w:cs="Times New Roman"/>
          <w:sz w:val="24"/>
          <w:szCs w:val="24"/>
        </w:rPr>
        <w:t>снижены ставки акцизов на импортируемы</w:t>
      </w:r>
      <w:r>
        <w:rPr>
          <w:rFonts w:ascii="Times New Roman" w:eastAsia="Times New Roman" w:hAnsi="Times New Roman" w:cs="Times New Roman"/>
          <w:sz w:val="24"/>
          <w:szCs w:val="24"/>
        </w:rPr>
        <w:t>й бензин и дизельное топливо;</w:t>
      </w:r>
    </w:p>
    <w:p w:rsidR="00163821" w:rsidRDefault="00163821" w:rsidP="00163821">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в целях выравнивания ценовой конкуренции введены специальные таможенные пошлины на ввоз: свежих грибов, консервированных гороха и кукурузы,</w:t>
      </w:r>
      <w:r w:rsidRPr="001901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кабельно-проводниковой продукции;</w:t>
      </w:r>
    </w:p>
    <w:p w:rsidR="00163821" w:rsidRDefault="00163821" w:rsidP="00163821">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 целях минимизации последствий сложившейся ситуации на валютном рынке и недопущения увеличения цен на продовольственные товары, снижены ставки ввозных таможенных пошлин на мясо и рыбу, снижены на 50% ставки специальных таможенных пошлин на молоко и молочную продукцию, хлеб и мучные кондитерские изделия, воду минеральную и газированную, муку пшеничную и пшенично-ржаную;</w:t>
      </w:r>
    </w:p>
    <w:p w:rsidR="00163821" w:rsidRDefault="00163821" w:rsidP="00163821">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 целях активизации деятельности приднестровских экономических агентов в условиях сложной ситуации на валютном рынке увеличены нормы единовременной покупки с последующим снятием со счета наличной иностранной валюты, отменены требование на реализацию и хранение ГСМ, исключена норма запрета ввоза подакцизных товаров юридическими лицами.</w:t>
      </w:r>
    </w:p>
    <w:p w:rsidR="00163821" w:rsidRDefault="00163821" w:rsidP="0016382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Однако, несмотря на реализацию данных мероприятий, </w:t>
      </w:r>
      <w:r>
        <w:rPr>
          <w:rFonts w:ascii="Times New Roman" w:hAnsi="Times New Roman"/>
          <w:sz w:val="24"/>
          <w:szCs w:val="24"/>
        </w:rPr>
        <w:t xml:space="preserve">высокая степень влияния мировой общеэкономической конъюнктуры, а также </w:t>
      </w:r>
      <w:r w:rsidRPr="000A384B">
        <w:rPr>
          <w:rFonts w:ascii="Times New Roman" w:hAnsi="Times New Roman"/>
          <w:sz w:val="24"/>
          <w:szCs w:val="24"/>
        </w:rPr>
        <w:t>зависимост</w:t>
      </w:r>
      <w:r>
        <w:rPr>
          <w:rFonts w:ascii="Times New Roman" w:hAnsi="Times New Roman"/>
          <w:sz w:val="24"/>
          <w:szCs w:val="24"/>
        </w:rPr>
        <w:t xml:space="preserve">ь </w:t>
      </w:r>
      <w:r w:rsidRPr="000A384B">
        <w:rPr>
          <w:rFonts w:ascii="Times New Roman" w:hAnsi="Times New Roman"/>
          <w:sz w:val="24"/>
          <w:szCs w:val="24"/>
        </w:rPr>
        <w:t xml:space="preserve">экономики </w:t>
      </w:r>
      <w:r>
        <w:rPr>
          <w:rFonts w:ascii="Times New Roman" w:hAnsi="Times New Roman"/>
          <w:sz w:val="24"/>
          <w:szCs w:val="24"/>
        </w:rPr>
        <w:t xml:space="preserve">Приднестровья </w:t>
      </w:r>
      <w:r w:rsidRPr="000A384B">
        <w:rPr>
          <w:rFonts w:ascii="Times New Roman" w:hAnsi="Times New Roman"/>
          <w:sz w:val="24"/>
          <w:szCs w:val="24"/>
        </w:rPr>
        <w:t>от внешних ресурсов</w:t>
      </w:r>
      <w:r>
        <w:rPr>
          <w:rFonts w:ascii="Times New Roman" w:hAnsi="Times New Roman"/>
          <w:sz w:val="24"/>
          <w:szCs w:val="24"/>
        </w:rPr>
        <w:t xml:space="preserve"> </w:t>
      </w:r>
      <w:r w:rsidRPr="000A384B">
        <w:rPr>
          <w:rFonts w:ascii="Times New Roman" w:hAnsi="Times New Roman"/>
          <w:sz w:val="24"/>
          <w:szCs w:val="24"/>
        </w:rPr>
        <w:t xml:space="preserve">приводит к дополнительным </w:t>
      </w:r>
      <w:r>
        <w:rPr>
          <w:rFonts w:ascii="Times New Roman" w:hAnsi="Times New Roman"/>
          <w:sz w:val="24"/>
          <w:szCs w:val="24"/>
        </w:rPr>
        <w:t>издержкам</w:t>
      </w:r>
      <w:r w:rsidRPr="000A384B">
        <w:rPr>
          <w:rFonts w:ascii="Times New Roman" w:hAnsi="Times New Roman"/>
          <w:sz w:val="24"/>
          <w:szCs w:val="24"/>
        </w:rPr>
        <w:t xml:space="preserve"> и соответственно к снижению конкурентоспособности приднестровской продукции.</w:t>
      </w:r>
    </w:p>
    <w:p w:rsidR="00163821" w:rsidRDefault="00163821" w:rsidP="00163821">
      <w:pPr>
        <w:widowControl w:val="0"/>
        <w:autoSpaceDE w:val="0"/>
        <w:autoSpaceDN w:val="0"/>
        <w:adjustRightInd w:val="0"/>
        <w:spacing w:after="0" w:line="240" w:lineRule="auto"/>
        <w:ind w:firstLine="720"/>
        <w:jc w:val="both"/>
        <w:rPr>
          <w:rFonts w:ascii="Times New Roman" w:hAnsi="Times New Roman"/>
          <w:b/>
          <w:sz w:val="24"/>
          <w:szCs w:val="24"/>
        </w:rPr>
      </w:pPr>
    </w:p>
    <w:p w:rsidR="00163821" w:rsidRPr="0080737A" w:rsidRDefault="00163821" w:rsidP="00EE5DC6">
      <w:pPr>
        <w:widowControl w:val="0"/>
        <w:autoSpaceDE w:val="0"/>
        <w:autoSpaceDN w:val="0"/>
        <w:adjustRightInd w:val="0"/>
        <w:spacing w:after="0" w:line="240" w:lineRule="auto"/>
        <w:ind w:firstLine="720"/>
        <w:jc w:val="both"/>
        <w:rPr>
          <w:rFonts w:ascii="Times New Roman" w:hAnsi="Times New Roman"/>
          <w:b/>
          <w:sz w:val="24"/>
          <w:szCs w:val="24"/>
        </w:rPr>
      </w:pPr>
      <w:r w:rsidRPr="0080737A">
        <w:rPr>
          <w:rFonts w:ascii="Times New Roman" w:hAnsi="Times New Roman"/>
          <w:b/>
          <w:sz w:val="24"/>
          <w:szCs w:val="24"/>
        </w:rPr>
        <w:t>Состояние реального сектора экономики</w:t>
      </w:r>
    </w:p>
    <w:p w:rsidR="00163821" w:rsidRPr="0080737A" w:rsidRDefault="00163821" w:rsidP="00EE5DC6">
      <w:pPr>
        <w:widowControl w:val="0"/>
        <w:autoSpaceDE w:val="0"/>
        <w:autoSpaceDN w:val="0"/>
        <w:adjustRightInd w:val="0"/>
        <w:spacing w:after="0" w:line="240" w:lineRule="auto"/>
        <w:ind w:firstLine="720"/>
        <w:jc w:val="both"/>
        <w:rPr>
          <w:rFonts w:ascii="Times New Roman" w:hAnsi="Times New Roman"/>
          <w:b/>
          <w:sz w:val="24"/>
          <w:szCs w:val="24"/>
        </w:rPr>
      </w:pPr>
    </w:p>
    <w:p w:rsidR="00163821" w:rsidRPr="0080737A" w:rsidRDefault="00163821" w:rsidP="00EE5DC6">
      <w:pPr>
        <w:widowControl w:val="0"/>
        <w:autoSpaceDE w:val="0"/>
        <w:autoSpaceDN w:val="0"/>
        <w:adjustRightInd w:val="0"/>
        <w:spacing w:after="0" w:line="240" w:lineRule="auto"/>
        <w:ind w:firstLine="720"/>
        <w:jc w:val="both"/>
        <w:rPr>
          <w:rFonts w:ascii="Times New Roman" w:eastAsia="Calibri" w:hAnsi="Times New Roman"/>
          <w:b/>
          <w:sz w:val="24"/>
          <w:szCs w:val="24"/>
        </w:rPr>
      </w:pPr>
      <w:r w:rsidRPr="0080737A">
        <w:rPr>
          <w:rFonts w:ascii="Times New Roman" w:eastAsia="Calibri" w:hAnsi="Times New Roman"/>
          <w:b/>
          <w:sz w:val="24"/>
          <w:szCs w:val="24"/>
        </w:rPr>
        <w:t>Промышленность</w:t>
      </w:r>
    </w:p>
    <w:p w:rsidR="002D049B" w:rsidRDefault="002D049B" w:rsidP="00EE5DC6">
      <w:pPr>
        <w:spacing w:after="0" w:line="240" w:lineRule="auto"/>
        <w:ind w:firstLine="720"/>
        <w:jc w:val="both"/>
        <w:rPr>
          <w:rFonts w:ascii="Times New Roman" w:eastAsia="Times New Roman" w:hAnsi="Times New Roman"/>
          <w:sz w:val="24"/>
          <w:szCs w:val="24"/>
        </w:rPr>
      </w:pPr>
    </w:p>
    <w:p w:rsidR="00163821" w:rsidRPr="00C1194E" w:rsidRDefault="00163821" w:rsidP="00EE5DC6">
      <w:pPr>
        <w:spacing w:after="0" w:line="240" w:lineRule="auto"/>
        <w:ind w:firstLine="709"/>
        <w:jc w:val="both"/>
        <w:rPr>
          <w:rFonts w:ascii="Times New Roman" w:hAnsi="Times New Roman"/>
          <w:sz w:val="24"/>
          <w:szCs w:val="24"/>
        </w:rPr>
      </w:pPr>
      <w:r w:rsidRPr="00B52225">
        <w:rPr>
          <w:rFonts w:ascii="Times New Roman" w:eastAsia="Times New Roman" w:hAnsi="Times New Roman"/>
          <w:sz w:val="24"/>
          <w:szCs w:val="24"/>
        </w:rPr>
        <w:t>Ситуация в индустриальном секторе республики в рассматриваемом периоде складывалась в условиях п</w:t>
      </w:r>
      <w:r w:rsidRPr="00B52225">
        <w:rPr>
          <w:rFonts w:ascii="Times New Roman" w:hAnsi="Times New Roman"/>
          <w:sz w:val="24"/>
          <w:szCs w:val="24"/>
        </w:rPr>
        <w:t>онижательной динамики объёмов производства в ключевых сегментах электроэнергетики и чёрной металлургии,</w:t>
      </w:r>
      <w:r w:rsidRPr="00B52225">
        <w:rPr>
          <w:rFonts w:ascii="Times New Roman" w:eastAsia="Times New Roman" w:hAnsi="Times New Roman"/>
          <w:sz w:val="24"/>
          <w:szCs w:val="24"/>
        </w:rPr>
        <w:t xml:space="preserve"> снижения параметров внешнеэкономической деятельности, </w:t>
      </w:r>
      <w:r w:rsidRPr="00B52225">
        <w:rPr>
          <w:rFonts w:ascii="Times New Roman" w:hAnsi="Times New Roman"/>
          <w:sz w:val="24"/>
          <w:szCs w:val="24"/>
        </w:rPr>
        <w:t xml:space="preserve">в условиях волатильности сырьевых и отпускных цен, </w:t>
      </w:r>
      <w:r w:rsidRPr="00B52225">
        <w:rPr>
          <w:rFonts w:ascii="Times New Roman" w:eastAsia="Times New Roman" w:hAnsi="Times New Roman"/>
          <w:sz w:val="24"/>
          <w:szCs w:val="24"/>
        </w:rPr>
        <w:t xml:space="preserve">а также сужения спроса на внутреннем потребительском рынке, в совокупности с продолжающимся воздействием внешнеполитических и экономических </w:t>
      </w:r>
      <w:r w:rsidRPr="00B52225">
        <w:rPr>
          <w:rFonts w:ascii="Times New Roman" w:eastAsia="Times New Roman" w:hAnsi="Times New Roman"/>
          <w:sz w:val="24"/>
          <w:szCs w:val="24"/>
          <w:shd w:val="clear" w:color="auto" w:fill="FFFFFF"/>
        </w:rPr>
        <w:t xml:space="preserve">барьеров в отношении хозяйствующих субъектов Приднестровской Молдавской Республики со </w:t>
      </w:r>
      <w:r w:rsidRPr="00C1194E">
        <w:rPr>
          <w:rFonts w:ascii="Times New Roman" w:eastAsia="Times New Roman" w:hAnsi="Times New Roman"/>
          <w:sz w:val="24"/>
          <w:szCs w:val="24"/>
          <w:shd w:val="clear" w:color="auto" w:fill="FFFFFF"/>
        </w:rPr>
        <w:t>стороны соседних государств</w:t>
      </w:r>
      <w:r w:rsidRPr="00C1194E">
        <w:rPr>
          <w:rFonts w:ascii="Times New Roman" w:hAnsi="Times New Roman"/>
          <w:sz w:val="24"/>
          <w:szCs w:val="24"/>
        </w:rPr>
        <w:t>.</w:t>
      </w:r>
    </w:p>
    <w:p w:rsidR="00163821" w:rsidRPr="00340723" w:rsidRDefault="00163821" w:rsidP="00163821">
      <w:pPr>
        <w:autoSpaceDE w:val="0"/>
        <w:autoSpaceDN w:val="0"/>
        <w:adjustRightInd w:val="0"/>
        <w:spacing w:after="0" w:line="240" w:lineRule="auto"/>
        <w:ind w:firstLine="709"/>
        <w:jc w:val="both"/>
        <w:rPr>
          <w:rFonts w:ascii="Times New Roman" w:hAnsi="Times New Roman"/>
          <w:snapToGrid w:val="0"/>
          <w:sz w:val="24"/>
          <w:szCs w:val="24"/>
        </w:rPr>
      </w:pPr>
      <w:r w:rsidRPr="00C1194E">
        <w:rPr>
          <w:rFonts w:ascii="Times New Roman" w:hAnsi="Times New Roman"/>
          <w:snapToGrid w:val="0"/>
          <w:sz w:val="24"/>
          <w:szCs w:val="24"/>
        </w:rPr>
        <w:t>В целом промышленными предприятиями с учетом оценки объемов производства предприятий малого предпринимательства, а также объемов продукции подсобных промышленных производств при непромышленных предприятиях, в 2016 году произведено продукции на 8 573,3 млн. руб., что составляет 90,1% от уровня прошлого года.</w:t>
      </w:r>
    </w:p>
    <w:p w:rsidR="00163821" w:rsidRPr="00340723" w:rsidRDefault="00163821" w:rsidP="00163821">
      <w:pPr>
        <w:autoSpaceDE w:val="0"/>
        <w:autoSpaceDN w:val="0"/>
        <w:adjustRightInd w:val="0"/>
        <w:spacing w:after="0" w:line="240" w:lineRule="auto"/>
        <w:ind w:firstLine="709"/>
        <w:jc w:val="both"/>
        <w:rPr>
          <w:rFonts w:ascii="Times New Roman" w:hAnsi="Times New Roman"/>
          <w:snapToGrid w:val="0"/>
          <w:sz w:val="24"/>
          <w:szCs w:val="24"/>
        </w:rPr>
      </w:pPr>
      <w:r w:rsidRPr="00C1194E">
        <w:rPr>
          <w:rFonts w:ascii="Times New Roman" w:hAnsi="Times New Roman"/>
          <w:snapToGrid w:val="0"/>
          <w:sz w:val="24"/>
          <w:szCs w:val="24"/>
        </w:rPr>
        <w:t>Индекс физического объема важнейших видов промышленной продукции в рассматриваемом периоде, в результате снижения производства электроэнергии (на 3,1%), проката черных металлов (на 30,2%), крупных электромашин (на 31,2%) составил 94,2% к уровню 2015 года.</w:t>
      </w:r>
    </w:p>
    <w:p w:rsidR="00163821" w:rsidRPr="00B52225" w:rsidRDefault="00163821" w:rsidP="00163821">
      <w:pPr>
        <w:spacing w:after="0" w:line="240" w:lineRule="auto"/>
        <w:ind w:firstLine="709"/>
        <w:jc w:val="both"/>
        <w:rPr>
          <w:rFonts w:ascii="Times New Roman" w:hAnsi="Times New Roman"/>
          <w:sz w:val="24"/>
          <w:szCs w:val="24"/>
        </w:rPr>
      </w:pPr>
      <w:r w:rsidRPr="00B52225">
        <w:rPr>
          <w:rFonts w:ascii="Times New Roman" w:eastAsia="Times New Roman" w:hAnsi="Times New Roman"/>
          <w:sz w:val="24"/>
          <w:szCs w:val="24"/>
        </w:rPr>
        <w:t>Объем п</w:t>
      </w:r>
      <w:r w:rsidRPr="00B52225">
        <w:rPr>
          <w:rFonts w:ascii="Times New Roman" w:eastAsia="Times New Roman" w:hAnsi="Times New Roman"/>
          <w:snapToGrid w:val="0"/>
          <w:sz w:val="24"/>
          <w:szCs w:val="24"/>
        </w:rPr>
        <w:t>ромышленного производства</w:t>
      </w:r>
      <w:r w:rsidRPr="00B52225">
        <w:rPr>
          <w:rFonts w:ascii="Times New Roman" w:eastAsia="Times New Roman" w:hAnsi="Times New Roman"/>
          <w:sz w:val="24"/>
          <w:szCs w:val="24"/>
        </w:rPr>
        <w:t xml:space="preserve"> (без учета субъектов малого предпринимательства) в </w:t>
      </w:r>
      <w:r w:rsidRPr="00B52225">
        <w:rPr>
          <w:rFonts w:ascii="Times New Roman" w:eastAsia="Times New Roman" w:hAnsi="Times New Roman"/>
          <w:snapToGrid w:val="0"/>
          <w:sz w:val="24"/>
          <w:szCs w:val="24"/>
        </w:rPr>
        <w:t>2016 году в текущих ценах сократился на 10,</w:t>
      </w:r>
      <w:r>
        <w:rPr>
          <w:rFonts w:ascii="Times New Roman" w:eastAsia="Times New Roman" w:hAnsi="Times New Roman"/>
          <w:snapToGrid w:val="0"/>
          <w:sz w:val="24"/>
          <w:szCs w:val="24"/>
        </w:rPr>
        <w:t>5</w:t>
      </w:r>
      <w:r w:rsidRPr="00B52225">
        <w:rPr>
          <w:rFonts w:ascii="Times New Roman" w:eastAsia="Times New Roman" w:hAnsi="Times New Roman"/>
          <w:snapToGrid w:val="0"/>
          <w:sz w:val="24"/>
          <w:szCs w:val="24"/>
        </w:rPr>
        <w:t xml:space="preserve">% </w:t>
      </w:r>
      <w:r w:rsidRPr="00B52225">
        <w:rPr>
          <w:rFonts w:ascii="Times New Roman" w:hAnsi="Times New Roman"/>
          <w:sz w:val="24"/>
          <w:szCs w:val="24"/>
        </w:rPr>
        <w:t xml:space="preserve">составив </w:t>
      </w:r>
      <w:r>
        <w:rPr>
          <w:rFonts w:ascii="Times New Roman" w:hAnsi="Times New Roman"/>
          <w:sz w:val="24"/>
          <w:szCs w:val="24"/>
        </w:rPr>
        <w:t>8 047,6</w:t>
      </w:r>
      <w:r w:rsidR="00EE5DC6">
        <w:rPr>
          <w:rFonts w:ascii="Times New Roman" w:hAnsi="Times New Roman"/>
          <w:sz w:val="24"/>
          <w:szCs w:val="24"/>
        </w:rPr>
        <w:t> </w:t>
      </w:r>
      <w:r w:rsidRPr="00B52225">
        <w:rPr>
          <w:rFonts w:ascii="Times New Roman" w:hAnsi="Times New Roman"/>
          <w:sz w:val="24"/>
          <w:szCs w:val="24"/>
        </w:rPr>
        <w:t xml:space="preserve">млн. руб., </w:t>
      </w:r>
      <w:r w:rsidRPr="00B52225">
        <w:rPr>
          <w:rFonts w:ascii="Times New Roman" w:eastAsia="Times New Roman" w:hAnsi="Times New Roman"/>
          <w:sz w:val="24"/>
          <w:szCs w:val="24"/>
        </w:rPr>
        <w:t xml:space="preserve">в сопоставимых ценах данный показатель сложился на уровне </w:t>
      </w:r>
      <w:r w:rsidRPr="00B52225">
        <w:rPr>
          <w:rFonts w:ascii="Times New Roman" w:hAnsi="Times New Roman"/>
          <w:sz w:val="24"/>
          <w:szCs w:val="24"/>
        </w:rPr>
        <w:t xml:space="preserve">94,3% по отношению </w:t>
      </w:r>
      <w:r w:rsidR="006158EC">
        <w:rPr>
          <w:rFonts w:ascii="Times New Roman" w:hAnsi="Times New Roman"/>
          <w:sz w:val="24"/>
          <w:szCs w:val="24"/>
        </w:rPr>
        <w:t>к</w:t>
      </w:r>
      <w:r w:rsidRPr="00B52225">
        <w:rPr>
          <w:rFonts w:ascii="Times New Roman" w:hAnsi="Times New Roman"/>
          <w:sz w:val="24"/>
          <w:szCs w:val="24"/>
        </w:rPr>
        <w:t xml:space="preserve"> показателю 2015 года.</w:t>
      </w:r>
    </w:p>
    <w:p w:rsidR="000F4840" w:rsidRDefault="00163821" w:rsidP="000F4840">
      <w:pPr>
        <w:spacing w:after="0" w:line="240" w:lineRule="auto"/>
        <w:ind w:firstLine="709"/>
        <w:jc w:val="both"/>
        <w:rPr>
          <w:rFonts w:ascii="Times New Roman" w:eastAsia="Times New Roman" w:hAnsi="Times New Roman"/>
          <w:sz w:val="24"/>
          <w:szCs w:val="24"/>
        </w:rPr>
      </w:pPr>
      <w:r w:rsidRPr="00B52225">
        <w:rPr>
          <w:rFonts w:ascii="Times New Roman" w:eastAsia="Times New Roman" w:hAnsi="Times New Roman"/>
          <w:sz w:val="24"/>
          <w:szCs w:val="24"/>
        </w:rPr>
        <w:t xml:space="preserve">Помесячная динамика промышленного производства, учитывая неустойчивую рыночную конъюнктуру, в рассматриваемом периоде демонстрирует разновекторную динамику. На фоне отрицательной динамики относительно аналогичного периода 2015 года начиная с апреля месяца – снижение составило 0,1%, в мае – 6,0%, июне – 18,4%, в июле </w:t>
      </w:r>
      <w:r w:rsidR="003E0203">
        <w:rPr>
          <w:rFonts w:ascii="Times New Roman" w:eastAsia="Times New Roman" w:hAnsi="Times New Roman"/>
          <w:sz w:val="24"/>
          <w:szCs w:val="24"/>
        </w:rPr>
        <w:t>–</w:t>
      </w:r>
      <w:r w:rsidRPr="00B52225">
        <w:rPr>
          <w:rFonts w:ascii="Times New Roman" w:eastAsia="Times New Roman" w:hAnsi="Times New Roman"/>
          <w:sz w:val="24"/>
          <w:szCs w:val="24"/>
        </w:rPr>
        <w:t xml:space="preserve"> 29,4%, в августе отмечается рост на 3,6%, который учитывая сложную экономическую ситуацию внутри государства, а также нестабильность внешних рынков, сменился в последующие месяцы спадом, в сентябре </w:t>
      </w:r>
      <w:r w:rsidR="003E0203">
        <w:rPr>
          <w:rFonts w:ascii="Times New Roman" w:eastAsia="Times New Roman" w:hAnsi="Times New Roman"/>
          <w:sz w:val="24"/>
          <w:szCs w:val="24"/>
        </w:rPr>
        <w:t>–</w:t>
      </w:r>
      <w:r w:rsidRPr="00B52225">
        <w:rPr>
          <w:rFonts w:ascii="Times New Roman" w:eastAsia="Times New Roman" w:hAnsi="Times New Roman"/>
          <w:sz w:val="24"/>
          <w:szCs w:val="24"/>
        </w:rPr>
        <w:t xml:space="preserve"> на 12,5%, в октябре – на 17,3%, в ноябре – на 4,9%, а в декабре – на 14,0%.</w:t>
      </w:r>
    </w:p>
    <w:p w:rsidR="000F4840" w:rsidRDefault="000F4840" w:rsidP="000F4840">
      <w:pPr>
        <w:spacing w:after="0" w:line="240" w:lineRule="auto"/>
        <w:ind w:firstLine="709"/>
        <w:jc w:val="both"/>
        <w:rPr>
          <w:rFonts w:ascii="Times New Roman" w:eastAsia="Times New Roman" w:hAnsi="Times New Roman"/>
          <w:sz w:val="24"/>
          <w:szCs w:val="24"/>
        </w:rPr>
      </w:pPr>
    </w:p>
    <w:p w:rsidR="000F4840" w:rsidRDefault="000F4840" w:rsidP="000F4840">
      <w:pPr>
        <w:spacing w:after="0" w:line="240" w:lineRule="auto"/>
        <w:ind w:firstLine="709"/>
        <w:jc w:val="both"/>
        <w:rPr>
          <w:rFonts w:ascii="Times New Roman" w:eastAsia="Times New Roman" w:hAnsi="Times New Roman"/>
          <w:sz w:val="24"/>
          <w:szCs w:val="24"/>
        </w:rPr>
      </w:pPr>
    </w:p>
    <w:p w:rsidR="000F4840" w:rsidRDefault="000F4840" w:rsidP="000F4840">
      <w:pPr>
        <w:spacing w:after="0" w:line="240" w:lineRule="auto"/>
        <w:ind w:firstLine="709"/>
        <w:jc w:val="both"/>
        <w:rPr>
          <w:rFonts w:ascii="Times New Roman" w:eastAsia="Times New Roman" w:hAnsi="Times New Roman"/>
          <w:sz w:val="24"/>
          <w:szCs w:val="24"/>
        </w:rPr>
      </w:pPr>
    </w:p>
    <w:p w:rsidR="000F4840" w:rsidRDefault="000F4840" w:rsidP="000F4840">
      <w:pPr>
        <w:spacing w:after="0" w:line="240" w:lineRule="auto"/>
        <w:ind w:firstLine="709"/>
        <w:jc w:val="both"/>
        <w:rPr>
          <w:rFonts w:ascii="Times New Roman" w:eastAsia="Times New Roman" w:hAnsi="Times New Roman"/>
          <w:sz w:val="24"/>
          <w:szCs w:val="24"/>
        </w:rPr>
      </w:pPr>
    </w:p>
    <w:p w:rsidR="00163821" w:rsidRPr="000F4840" w:rsidRDefault="00163821" w:rsidP="000F4840">
      <w:pPr>
        <w:spacing w:after="0" w:line="240" w:lineRule="auto"/>
        <w:ind w:firstLine="709"/>
        <w:jc w:val="both"/>
        <w:rPr>
          <w:rFonts w:ascii="Times New Roman" w:eastAsia="Times New Roman" w:hAnsi="Times New Roman"/>
          <w:sz w:val="24"/>
          <w:szCs w:val="24"/>
        </w:rPr>
      </w:pPr>
      <w:r w:rsidRPr="00B52225">
        <w:rPr>
          <w:rFonts w:ascii="Times New Roman" w:eastAsia="Times New Roman" w:hAnsi="Times New Roman"/>
          <w:b/>
          <w:sz w:val="24"/>
          <w:szCs w:val="24"/>
        </w:rPr>
        <w:lastRenderedPageBreak/>
        <w:t>Динамика промышленного производства</w:t>
      </w:r>
      <w:r w:rsidRPr="00B52225">
        <w:rPr>
          <w:rFonts w:ascii="Times New Roman" w:eastAsia="Times New Roman" w:hAnsi="Times New Roman"/>
          <w:sz w:val="24"/>
          <w:szCs w:val="24"/>
        </w:rPr>
        <w:t xml:space="preserve"> (в сопоставимых ценах), </w:t>
      </w:r>
      <w:r w:rsidRPr="00B52225">
        <w:rPr>
          <w:rFonts w:ascii="Times New Roman" w:eastAsia="Times New Roman" w:hAnsi="Times New Roman"/>
          <w:b/>
          <w:sz w:val="24"/>
          <w:szCs w:val="24"/>
        </w:rPr>
        <w:t>млн. руб.</w:t>
      </w:r>
    </w:p>
    <w:p w:rsidR="00163821" w:rsidRDefault="00163821" w:rsidP="00A00123">
      <w:pPr>
        <w:spacing w:after="0" w:line="240" w:lineRule="auto"/>
        <w:jc w:val="both"/>
        <w:rPr>
          <w:rFonts w:ascii="Times New Roman" w:hAnsi="Times New Roman"/>
          <w:sz w:val="24"/>
          <w:szCs w:val="24"/>
        </w:rPr>
      </w:pPr>
      <w:r w:rsidRPr="00163821">
        <w:rPr>
          <w:rFonts w:ascii="Times New Roman" w:hAnsi="Times New Roman"/>
          <w:noProof/>
          <w:sz w:val="24"/>
          <w:szCs w:val="24"/>
        </w:rPr>
        <w:drawing>
          <wp:inline distT="0" distB="0" distL="0" distR="0">
            <wp:extent cx="6096000" cy="1752600"/>
            <wp:effectExtent l="0" t="0" r="0" b="0"/>
            <wp:docPr id="1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63821" w:rsidRPr="00B52225" w:rsidRDefault="00163821" w:rsidP="00163821">
      <w:pPr>
        <w:spacing w:after="0" w:line="240" w:lineRule="auto"/>
        <w:ind w:firstLine="720"/>
        <w:jc w:val="both"/>
        <w:rPr>
          <w:rFonts w:ascii="Times New Roman" w:hAnsi="Times New Roman"/>
          <w:sz w:val="24"/>
          <w:szCs w:val="24"/>
        </w:rPr>
      </w:pPr>
      <w:r w:rsidRPr="00B52225">
        <w:rPr>
          <w:rFonts w:ascii="Times New Roman" w:hAnsi="Times New Roman"/>
          <w:sz w:val="24"/>
          <w:szCs w:val="24"/>
        </w:rPr>
        <w:t>Доход от реализации промышленной продукции за рассматриваемый период сложился в сумме 7 771,6 млн. руб., сократившись на 12,1% к уровню 2015 года. При этом объем отгруженной продукции в 2016 года составил 7 </w:t>
      </w:r>
      <w:r>
        <w:rPr>
          <w:rFonts w:ascii="Times New Roman" w:hAnsi="Times New Roman"/>
          <w:sz w:val="24"/>
          <w:szCs w:val="24"/>
        </w:rPr>
        <w:t>892</w:t>
      </w:r>
      <w:r w:rsidRPr="00B52225">
        <w:rPr>
          <w:rFonts w:ascii="Times New Roman" w:hAnsi="Times New Roman"/>
          <w:sz w:val="24"/>
          <w:szCs w:val="24"/>
        </w:rPr>
        <w:t>,</w:t>
      </w:r>
      <w:r>
        <w:rPr>
          <w:rFonts w:ascii="Times New Roman" w:hAnsi="Times New Roman"/>
          <w:sz w:val="24"/>
          <w:szCs w:val="24"/>
        </w:rPr>
        <w:t>7</w:t>
      </w:r>
      <w:r w:rsidRPr="00B52225">
        <w:rPr>
          <w:rFonts w:ascii="Times New Roman" w:hAnsi="Times New Roman"/>
          <w:sz w:val="24"/>
          <w:szCs w:val="24"/>
        </w:rPr>
        <w:t xml:space="preserve"> млн. руб., что на 11,</w:t>
      </w:r>
      <w:r>
        <w:rPr>
          <w:rFonts w:ascii="Times New Roman" w:hAnsi="Times New Roman"/>
          <w:sz w:val="24"/>
          <w:szCs w:val="24"/>
        </w:rPr>
        <w:t>7</w:t>
      </w:r>
      <w:r w:rsidRPr="00B52225">
        <w:rPr>
          <w:rFonts w:ascii="Times New Roman" w:hAnsi="Times New Roman"/>
          <w:sz w:val="24"/>
          <w:szCs w:val="24"/>
        </w:rPr>
        <w:t>% ниже уровня 2015 года.</w:t>
      </w:r>
    </w:p>
    <w:p w:rsidR="00163821" w:rsidRPr="00B52225" w:rsidRDefault="00163821" w:rsidP="00163821">
      <w:pPr>
        <w:spacing w:after="0" w:line="240" w:lineRule="auto"/>
        <w:ind w:firstLine="709"/>
        <w:jc w:val="both"/>
        <w:rPr>
          <w:rFonts w:ascii="Times New Roman" w:hAnsi="Times New Roman"/>
          <w:color w:val="000000"/>
          <w:sz w:val="24"/>
          <w:szCs w:val="24"/>
        </w:rPr>
      </w:pPr>
      <w:r w:rsidRPr="00B52225">
        <w:rPr>
          <w:rFonts w:ascii="Times New Roman" w:hAnsi="Times New Roman"/>
          <w:color w:val="000000"/>
          <w:sz w:val="24"/>
          <w:szCs w:val="24"/>
        </w:rPr>
        <w:t>К концу 2016 года по республике отмечено сокращение остатков готовой продукции на складах по сравнению с началом года на 6,5%, их с</w:t>
      </w:r>
      <w:r w:rsidRPr="00B52225">
        <w:rPr>
          <w:rFonts w:ascii="Times New Roman" w:hAnsi="Times New Roman"/>
          <w:sz w:val="24"/>
          <w:szCs w:val="24"/>
        </w:rPr>
        <w:t>тоимостное значение</w:t>
      </w:r>
      <w:r w:rsidRPr="00B52225">
        <w:rPr>
          <w:rFonts w:ascii="Times New Roman" w:hAnsi="Times New Roman"/>
          <w:color w:val="000000"/>
          <w:sz w:val="24"/>
          <w:szCs w:val="24"/>
        </w:rPr>
        <w:t xml:space="preserve"> </w:t>
      </w:r>
      <w:r w:rsidRPr="00B52225">
        <w:rPr>
          <w:rFonts w:ascii="Times New Roman" w:hAnsi="Times New Roman"/>
          <w:sz w:val="24"/>
          <w:szCs w:val="24"/>
        </w:rPr>
        <w:t>по состоянию</w:t>
      </w:r>
      <w:r w:rsidRPr="00B52225">
        <w:rPr>
          <w:rFonts w:ascii="Times New Roman" w:hAnsi="Times New Roman"/>
          <w:sz w:val="28"/>
          <w:szCs w:val="28"/>
        </w:rPr>
        <w:t xml:space="preserve"> </w:t>
      </w:r>
      <w:r w:rsidRPr="00B52225">
        <w:rPr>
          <w:rFonts w:ascii="Times New Roman" w:hAnsi="Times New Roman"/>
          <w:color w:val="000000"/>
          <w:sz w:val="24"/>
          <w:szCs w:val="24"/>
        </w:rPr>
        <w:t>на 1 января 201</w:t>
      </w:r>
      <w:r>
        <w:rPr>
          <w:rFonts w:ascii="Times New Roman" w:hAnsi="Times New Roman"/>
          <w:color w:val="000000"/>
          <w:sz w:val="24"/>
          <w:szCs w:val="24"/>
        </w:rPr>
        <w:t>7</w:t>
      </w:r>
      <w:r w:rsidRPr="00B52225">
        <w:rPr>
          <w:rFonts w:ascii="Times New Roman" w:hAnsi="Times New Roman"/>
          <w:color w:val="000000"/>
          <w:sz w:val="24"/>
          <w:szCs w:val="24"/>
        </w:rPr>
        <w:t xml:space="preserve"> года составило</w:t>
      </w:r>
      <w:r w:rsidRPr="00B52225">
        <w:rPr>
          <w:rFonts w:ascii="Times New Roman" w:hAnsi="Times New Roman"/>
          <w:sz w:val="24"/>
          <w:szCs w:val="24"/>
        </w:rPr>
        <w:t xml:space="preserve"> 294,8 </w:t>
      </w:r>
      <w:r w:rsidRPr="00B52225">
        <w:rPr>
          <w:rFonts w:ascii="Times New Roman" w:hAnsi="Times New Roman"/>
          <w:color w:val="000000"/>
          <w:sz w:val="24"/>
          <w:szCs w:val="24"/>
        </w:rPr>
        <w:t>млн. руб.</w:t>
      </w:r>
    </w:p>
    <w:p w:rsidR="00163821" w:rsidRPr="00B52225" w:rsidRDefault="00163821" w:rsidP="00163821">
      <w:pPr>
        <w:spacing w:after="0" w:line="240" w:lineRule="auto"/>
        <w:ind w:firstLine="709"/>
        <w:contextualSpacing/>
        <w:jc w:val="both"/>
        <w:rPr>
          <w:rFonts w:ascii="Times New Roman" w:eastAsia="Times New Roman" w:hAnsi="Times New Roman"/>
          <w:sz w:val="24"/>
          <w:szCs w:val="24"/>
        </w:rPr>
      </w:pPr>
      <w:r w:rsidRPr="00B52225">
        <w:rPr>
          <w:rFonts w:ascii="Times New Roman" w:eastAsia="Times New Roman" w:hAnsi="Times New Roman"/>
          <w:noProof/>
          <w:sz w:val="24"/>
          <w:szCs w:val="24"/>
        </w:rPr>
        <w:drawing>
          <wp:anchor distT="0" distB="0" distL="114300" distR="114300" simplePos="0" relativeHeight="251666432" behindDoc="1" locked="0" layoutInCell="1" allowOverlap="1">
            <wp:simplePos x="0" y="0"/>
            <wp:positionH relativeFrom="column">
              <wp:posOffset>3615690</wp:posOffset>
            </wp:positionH>
            <wp:positionV relativeFrom="paragraph">
              <wp:posOffset>354965</wp:posOffset>
            </wp:positionV>
            <wp:extent cx="2390775" cy="2124075"/>
            <wp:effectExtent l="19050" t="0" r="0" b="0"/>
            <wp:wrapTight wrapText="bothSides">
              <wp:wrapPolygon edited="0">
                <wp:start x="-172" y="0"/>
                <wp:lineTo x="-172" y="21309"/>
                <wp:lineTo x="21514" y="21309"/>
                <wp:lineTo x="21514" y="0"/>
                <wp:lineTo x="-172" y="0"/>
              </wp:wrapPolygon>
            </wp:wrapTight>
            <wp:docPr id="1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B52225">
        <w:rPr>
          <w:rFonts w:ascii="Times New Roman" w:eastAsia="Times New Roman" w:hAnsi="Times New Roman"/>
          <w:noProof/>
          <w:sz w:val="24"/>
          <w:szCs w:val="24"/>
        </w:rPr>
        <w:drawing>
          <wp:anchor distT="0" distB="0" distL="114300" distR="114300" simplePos="0" relativeHeight="251665408" behindDoc="1" locked="0" layoutInCell="1" allowOverlap="1">
            <wp:simplePos x="0" y="0"/>
            <wp:positionH relativeFrom="column">
              <wp:posOffset>167640</wp:posOffset>
            </wp:positionH>
            <wp:positionV relativeFrom="paragraph">
              <wp:posOffset>354965</wp:posOffset>
            </wp:positionV>
            <wp:extent cx="3448050" cy="2028825"/>
            <wp:effectExtent l="19050" t="0" r="0" b="0"/>
            <wp:wrapTight wrapText="bothSides">
              <wp:wrapPolygon edited="0">
                <wp:start x="-119" y="0"/>
                <wp:lineTo x="-119" y="21296"/>
                <wp:lineTo x="21600" y="21296"/>
                <wp:lineTo x="21600" y="0"/>
                <wp:lineTo x="-119" y="0"/>
              </wp:wrapPolygon>
            </wp:wrapTight>
            <wp:docPr id="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B52225">
        <w:rPr>
          <w:rFonts w:ascii="Times New Roman" w:eastAsia="Times New Roman" w:hAnsi="Times New Roman"/>
          <w:sz w:val="24"/>
          <w:szCs w:val="24"/>
        </w:rPr>
        <w:t>Отраслевая структура промышленного производства в 2016 году выглядела следующим образом:</w:t>
      </w:r>
    </w:p>
    <w:p w:rsidR="00163821" w:rsidRPr="006B40AB" w:rsidRDefault="00163821" w:rsidP="00163821">
      <w:pPr>
        <w:spacing w:after="0" w:line="240" w:lineRule="auto"/>
        <w:ind w:firstLine="709"/>
        <w:contextualSpacing/>
        <w:jc w:val="both"/>
        <w:rPr>
          <w:rFonts w:ascii="Times New Roman" w:eastAsia="Times New Roman" w:hAnsi="Times New Roman"/>
          <w:sz w:val="24"/>
          <w:szCs w:val="24"/>
        </w:rPr>
      </w:pPr>
      <w:r w:rsidRPr="00B52225">
        <w:rPr>
          <w:rFonts w:ascii="Times New Roman" w:eastAsia="Times New Roman" w:hAnsi="Times New Roman"/>
          <w:sz w:val="24"/>
          <w:szCs w:val="24"/>
        </w:rPr>
        <w:t>В рассматриваемом периоде увеличение спроса на продукцию электроэнергетики в IV</w:t>
      </w:r>
      <w:r w:rsidR="00E01495">
        <w:rPr>
          <w:rFonts w:ascii="Times New Roman" w:eastAsia="Times New Roman" w:hAnsi="Times New Roman"/>
          <w:sz w:val="24"/>
          <w:szCs w:val="24"/>
        </w:rPr>
        <w:t> </w:t>
      </w:r>
      <w:r w:rsidRPr="00B52225">
        <w:rPr>
          <w:rFonts w:ascii="Times New Roman" w:eastAsia="Times New Roman" w:hAnsi="Times New Roman"/>
          <w:sz w:val="24"/>
          <w:szCs w:val="24"/>
        </w:rPr>
        <w:t xml:space="preserve">квартале 2016 года обусловило рост доли предприятий отрасли в совокупном товарном выпуске промышленных предприятий на 1,4%, обеспечив предприятиям электроэнергетического комплекса лидирующую позицию в структуре выпуска – 41,4%. На металлургию в результате снижения объема товарного выпуска в 2016 года по отношению к 2015 году, в рассматриваемом периоде приходилось 18,2% выпуска в промышленности против 24,3% в 2015 году. Увеличение объема промышленного производства предприятиями легкой промышленности на 10,4% обеспечило расширение их долевого участия в совокупном объеме производства до 14,1% («+»2,0 процентных пункта). Предприятия пищевой промышленности при увеличении товарного выпуска на 4,1% сформировали 12,2% объема производства в целом по индустрии, против 11,1% в </w:t>
      </w:r>
      <w:r w:rsidRPr="006B40AB">
        <w:rPr>
          <w:rFonts w:ascii="Times New Roman" w:eastAsia="Times New Roman" w:hAnsi="Times New Roman"/>
          <w:sz w:val="24"/>
          <w:szCs w:val="24"/>
        </w:rPr>
        <w:t>2015 году.</w:t>
      </w:r>
    </w:p>
    <w:p w:rsidR="00163821" w:rsidRPr="00340723" w:rsidRDefault="00163821" w:rsidP="00163821">
      <w:pPr>
        <w:spacing w:after="0" w:line="240" w:lineRule="auto"/>
        <w:ind w:firstLine="709"/>
        <w:jc w:val="both"/>
        <w:rPr>
          <w:rFonts w:ascii="Times New Roman" w:hAnsi="Times New Roman"/>
          <w:sz w:val="24"/>
          <w:szCs w:val="24"/>
        </w:rPr>
      </w:pPr>
      <w:r w:rsidRPr="006B40AB">
        <w:rPr>
          <w:rFonts w:ascii="Times New Roman" w:hAnsi="Times New Roman"/>
          <w:sz w:val="24"/>
          <w:szCs w:val="24"/>
        </w:rPr>
        <w:t xml:space="preserve">В целом за </w:t>
      </w:r>
      <w:r w:rsidRPr="006B40AB">
        <w:rPr>
          <w:rFonts w:ascii="Times New Roman" w:hAnsi="Times New Roman"/>
          <w:color w:val="000000"/>
          <w:sz w:val="24"/>
          <w:szCs w:val="24"/>
        </w:rPr>
        <w:t xml:space="preserve">рассматриваемый период </w:t>
      </w:r>
      <w:r w:rsidRPr="006B40AB">
        <w:rPr>
          <w:rFonts w:ascii="Times New Roman" w:hAnsi="Times New Roman"/>
          <w:sz w:val="24"/>
          <w:szCs w:val="24"/>
        </w:rPr>
        <w:t>увеличили выпуск промышленной продукции 47</w:t>
      </w:r>
      <w:r w:rsidR="00E01495">
        <w:rPr>
          <w:rFonts w:ascii="Times New Roman" w:hAnsi="Times New Roman"/>
          <w:color w:val="0000FF"/>
          <w:sz w:val="24"/>
          <w:szCs w:val="24"/>
        </w:rPr>
        <w:t> </w:t>
      </w:r>
      <w:r w:rsidRPr="006B40AB">
        <w:rPr>
          <w:rFonts w:ascii="Times New Roman" w:hAnsi="Times New Roman"/>
          <w:sz w:val="24"/>
          <w:szCs w:val="24"/>
        </w:rPr>
        <w:t xml:space="preserve">предприятий или 52,8% от их общего </w:t>
      </w:r>
      <w:r w:rsidRPr="00F65467">
        <w:rPr>
          <w:rFonts w:ascii="Times New Roman" w:hAnsi="Times New Roman"/>
          <w:sz w:val="24"/>
          <w:szCs w:val="24"/>
        </w:rPr>
        <w:t xml:space="preserve">числа (в </w:t>
      </w:r>
      <w:r w:rsidRPr="00F65467">
        <w:rPr>
          <w:rFonts w:ascii="Times New Roman" w:hAnsi="Times New Roman"/>
          <w:color w:val="000000"/>
          <w:sz w:val="24"/>
          <w:szCs w:val="24"/>
        </w:rPr>
        <w:t xml:space="preserve">2015 году </w:t>
      </w:r>
      <w:r w:rsidR="003E0203">
        <w:rPr>
          <w:rFonts w:ascii="Times New Roman" w:hAnsi="Times New Roman"/>
          <w:sz w:val="24"/>
          <w:szCs w:val="24"/>
        </w:rPr>
        <w:t>–</w:t>
      </w:r>
      <w:r w:rsidRPr="00F65467">
        <w:rPr>
          <w:rFonts w:ascii="Times New Roman" w:hAnsi="Times New Roman"/>
          <w:sz w:val="24"/>
          <w:szCs w:val="24"/>
        </w:rPr>
        <w:t xml:space="preserve"> 30 предприятий), спад допущен на 36 предприятиях, что составляет 40,5% соответственно (в </w:t>
      </w:r>
      <w:r w:rsidRPr="00F65467">
        <w:rPr>
          <w:rFonts w:ascii="Times New Roman" w:hAnsi="Times New Roman"/>
          <w:color w:val="000000"/>
          <w:sz w:val="24"/>
          <w:szCs w:val="24"/>
        </w:rPr>
        <w:t xml:space="preserve">2015 года </w:t>
      </w:r>
      <w:r w:rsidRPr="00F65467">
        <w:rPr>
          <w:rFonts w:ascii="Times New Roman" w:hAnsi="Times New Roman"/>
          <w:sz w:val="24"/>
          <w:szCs w:val="24"/>
        </w:rPr>
        <w:t>– 59 предприятий).</w:t>
      </w:r>
    </w:p>
    <w:p w:rsidR="00163821" w:rsidRPr="00B52225" w:rsidRDefault="00163821" w:rsidP="00163821">
      <w:pPr>
        <w:spacing w:after="0" w:line="240" w:lineRule="auto"/>
        <w:ind w:firstLine="709"/>
        <w:jc w:val="both"/>
        <w:rPr>
          <w:rFonts w:ascii="Times New Roman" w:hAnsi="Times New Roman"/>
          <w:sz w:val="24"/>
          <w:szCs w:val="24"/>
        </w:rPr>
      </w:pPr>
      <w:r w:rsidRPr="00B52225">
        <w:rPr>
          <w:rFonts w:ascii="Times New Roman" w:hAnsi="Times New Roman"/>
          <w:sz w:val="24"/>
          <w:szCs w:val="24"/>
        </w:rPr>
        <w:t>К выпуску промышленной продукции с начала года не приступило                                   6</w:t>
      </w:r>
      <w:r w:rsidRPr="00B52225">
        <w:rPr>
          <w:rFonts w:ascii="Times New Roman" w:hAnsi="Times New Roman"/>
          <w:color w:val="0000FF"/>
          <w:sz w:val="24"/>
          <w:szCs w:val="24"/>
        </w:rPr>
        <w:t xml:space="preserve"> </w:t>
      </w:r>
      <w:r w:rsidRPr="00B52225">
        <w:rPr>
          <w:rFonts w:ascii="Times New Roman" w:hAnsi="Times New Roman"/>
          <w:sz w:val="24"/>
          <w:szCs w:val="24"/>
        </w:rPr>
        <w:t xml:space="preserve">промышленных предприятий (в </w:t>
      </w:r>
      <w:r w:rsidRPr="00B52225">
        <w:rPr>
          <w:rFonts w:ascii="Times New Roman" w:hAnsi="Times New Roman"/>
          <w:color w:val="000000"/>
          <w:sz w:val="24"/>
          <w:szCs w:val="24"/>
        </w:rPr>
        <w:t xml:space="preserve">2015 году </w:t>
      </w:r>
      <w:r w:rsidR="003E0203">
        <w:rPr>
          <w:rFonts w:ascii="Times New Roman" w:hAnsi="Times New Roman"/>
          <w:sz w:val="24"/>
          <w:szCs w:val="24"/>
        </w:rPr>
        <w:t>–</w:t>
      </w:r>
      <w:r w:rsidRPr="00B52225">
        <w:rPr>
          <w:rFonts w:ascii="Times New Roman" w:hAnsi="Times New Roman"/>
          <w:sz w:val="24"/>
          <w:szCs w:val="24"/>
        </w:rPr>
        <w:t xml:space="preserve"> 5 предприятий):</w:t>
      </w:r>
    </w:p>
    <w:p w:rsidR="00163821" w:rsidRPr="00B52225" w:rsidRDefault="00163821" w:rsidP="00163821">
      <w:pPr>
        <w:tabs>
          <w:tab w:val="left" w:pos="1080"/>
        </w:tabs>
        <w:spacing w:after="0" w:line="240" w:lineRule="auto"/>
        <w:ind w:firstLine="709"/>
        <w:jc w:val="both"/>
        <w:rPr>
          <w:rFonts w:ascii="Times New Roman" w:hAnsi="Times New Roman"/>
          <w:sz w:val="24"/>
          <w:szCs w:val="24"/>
        </w:rPr>
      </w:pPr>
      <w:r w:rsidRPr="00B52225">
        <w:rPr>
          <w:rFonts w:ascii="Times New Roman" w:hAnsi="Times New Roman"/>
          <w:sz w:val="24"/>
          <w:szCs w:val="24"/>
        </w:rPr>
        <w:t>–</w:t>
      </w:r>
      <w:r w:rsidRPr="00B52225">
        <w:rPr>
          <w:rFonts w:ascii="Times New Roman" w:hAnsi="Times New Roman"/>
          <w:sz w:val="24"/>
          <w:szCs w:val="24"/>
        </w:rPr>
        <w:tab/>
        <w:t>ГУП «Дубоссарское хлебоприемное предприятие», МУП «Автосервис и торговля» г.Дубоссары, МУП «Ветбиофарм» - находятся в процессе ликвидации;</w:t>
      </w:r>
    </w:p>
    <w:p w:rsidR="00163821" w:rsidRPr="00B52225" w:rsidRDefault="00163821" w:rsidP="00163821">
      <w:pPr>
        <w:tabs>
          <w:tab w:val="left" w:pos="1080"/>
        </w:tabs>
        <w:spacing w:after="0" w:line="240" w:lineRule="auto"/>
        <w:ind w:firstLine="709"/>
        <w:jc w:val="both"/>
        <w:rPr>
          <w:rFonts w:ascii="Times New Roman" w:hAnsi="Times New Roman"/>
          <w:sz w:val="24"/>
          <w:szCs w:val="24"/>
        </w:rPr>
      </w:pPr>
      <w:r w:rsidRPr="00B52225">
        <w:rPr>
          <w:rFonts w:ascii="Times New Roman" w:hAnsi="Times New Roman"/>
          <w:sz w:val="24"/>
          <w:szCs w:val="24"/>
        </w:rPr>
        <w:t>-</w:t>
      </w:r>
      <w:r w:rsidRPr="00B52225">
        <w:rPr>
          <w:rFonts w:ascii="Times New Roman" w:hAnsi="Times New Roman"/>
          <w:sz w:val="24"/>
          <w:szCs w:val="24"/>
        </w:rPr>
        <w:tab/>
        <w:t>ООО «С/х фирма Рустас» - перешла полностью на производство сельскохозяйственной продукции;</w:t>
      </w:r>
    </w:p>
    <w:p w:rsidR="00163821" w:rsidRPr="00B52225" w:rsidRDefault="00163821" w:rsidP="00163821">
      <w:pPr>
        <w:tabs>
          <w:tab w:val="left" w:pos="1080"/>
        </w:tabs>
        <w:spacing w:after="0" w:line="240" w:lineRule="auto"/>
        <w:ind w:firstLine="709"/>
        <w:jc w:val="both"/>
        <w:rPr>
          <w:rFonts w:ascii="Times New Roman" w:hAnsi="Times New Roman"/>
          <w:sz w:val="24"/>
          <w:szCs w:val="24"/>
        </w:rPr>
      </w:pPr>
      <w:r w:rsidRPr="00B52225">
        <w:rPr>
          <w:rFonts w:ascii="Times New Roman" w:hAnsi="Times New Roman"/>
          <w:sz w:val="24"/>
          <w:szCs w:val="24"/>
        </w:rPr>
        <w:lastRenderedPageBreak/>
        <w:t>-</w:t>
      </w:r>
      <w:r w:rsidRPr="00B52225">
        <w:rPr>
          <w:rFonts w:ascii="Times New Roman" w:hAnsi="Times New Roman"/>
          <w:sz w:val="24"/>
          <w:szCs w:val="24"/>
        </w:rPr>
        <w:tab/>
      </w:r>
      <w:r w:rsidRPr="00B52225">
        <w:rPr>
          <w:rFonts w:ascii="Times New Roman" w:hAnsi="Times New Roman"/>
          <w:sz w:val="24"/>
          <w:szCs w:val="24"/>
          <w:lang w:val="en-US"/>
        </w:rPr>
        <w:t>OOO</w:t>
      </w:r>
      <w:r w:rsidRPr="00B52225">
        <w:rPr>
          <w:rFonts w:ascii="Times New Roman" w:hAnsi="Times New Roman"/>
          <w:sz w:val="24"/>
          <w:szCs w:val="24"/>
        </w:rPr>
        <w:t xml:space="preserve"> «Мебельная фабрика Евростиль» - в условиях конкуренции на отраслевом рынке, вызвавшей трудности с реализацией продукции, не приступала к производству продукции в целях незатоваривания складов;</w:t>
      </w:r>
    </w:p>
    <w:p w:rsidR="00163821" w:rsidRPr="00340723" w:rsidRDefault="00163821" w:rsidP="00163821">
      <w:pPr>
        <w:tabs>
          <w:tab w:val="left" w:pos="1080"/>
        </w:tabs>
        <w:spacing w:after="0" w:line="240" w:lineRule="auto"/>
        <w:ind w:firstLine="709"/>
        <w:jc w:val="both"/>
        <w:rPr>
          <w:rFonts w:ascii="Times New Roman" w:hAnsi="Times New Roman"/>
          <w:sz w:val="24"/>
          <w:szCs w:val="24"/>
        </w:rPr>
      </w:pPr>
      <w:r w:rsidRPr="00B52225">
        <w:rPr>
          <w:rFonts w:ascii="Times New Roman" w:hAnsi="Times New Roman"/>
          <w:sz w:val="24"/>
          <w:szCs w:val="24"/>
        </w:rPr>
        <w:t>-</w:t>
      </w:r>
      <w:r w:rsidRPr="00B52225">
        <w:rPr>
          <w:rFonts w:ascii="Times New Roman" w:hAnsi="Times New Roman"/>
          <w:sz w:val="24"/>
          <w:szCs w:val="24"/>
        </w:rPr>
        <w:tab/>
        <w:t>ОАО «Рыбницкий молочный комбинат» - не приступал</w:t>
      </w:r>
      <w:r w:rsidRPr="00340723">
        <w:rPr>
          <w:rFonts w:ascii="Times New Roman" w:hAnsi="Times New Roman"/>
          <w:sz w:val="24"/>
          <w:szCs w:val="24"/>
        </w:rPr>
        <w:t xml:space="preserve"> к производству промышленной продукции ввиду </w:t>
      </w:r>
      <w:r w:rsidRPr="0059595E">
        <w:rPr>
          <w:rFonts w:ascii="Times New Roman" w:hAnsi="Times New Roman"/>
          <w:sz w:val="24"/>
          <w:szCs w:val="24"/>
          <w:shd w:val="clear" w:color="auto" w:fill="FFFFFF"/>
        </w:rPr>
        <w:t>отсутствия сырья и рынков сбыта</w:t>
      </w:r>
      <w:r w:rsidRPr="0059595E">
        <w:rPr>
          <w:rFonts w:ascii="Times New Roman" w:hAnsi="Times New Roman"/>
          <w:sz w:val="24"/>
          <w:szCs w:val="24"/>
        </w:rPr>
        <w:t>.</w:t>
      </w:r>
    </w:p>
    <w:p w:rsidR="00163821" w:rsidRPr="00B52225" w:rsidRDefault="00163821" w:rsidP="00163821">
      <w:pPr>
        <w:pStyle w:val="ad"/>
        <w:ind w:firstLine="709"/>
        <w:jc w:val="both"/>
        <w:rPr>
          <w:rFonts w:ascii="Times New Roman" w:hAnsi="Times New Roman"/>
          <w:sz w:val="24"/>
          <w:szCs w:val="24"/>
        </w:rPr>
      </w:pPr>
      <w:r w:rsidRPr="00B52225">
        <w:rPr>
          <w:rFonts w:ascii="Times New Roman" w:hAnsi="Times New Roman"/>
          <w:sz w:val="24"/>
          <w:szCs w:val="24"/>
        </w:rPr>
        <w:t>В 2016 году в разрезе отраслей ситуация складывалась следующим образом:</w:t>
      </w:r>
    </w:p>
    <w:p w:rsidR="00163821" w:rsidRPr="00B52225" w:rsidRDefault="00163821" w:rsidP="00163821">
      <w:pPr>
        <w:spacing w:after="0" w:line="240" w:lineRule="auto"/>
        <w:ind w:firstLine="709"/>
        <w:contextualSpacing/>
        <w:jc w:val="both"/>
        <w:rPr>
          <w:rFonts w:ascii="Times New Roman" w:eastAsia="Times New Roman" w:hAnsi="Times New Roman"/>
          <w:sz w:val="24"/>
          <w:szCs w:val="24"/>
        </w:rPr>
      </w:pPr>
      <w:r w:rsidRPr="00B52225">
        <w:rPr>
          <w:rFonts w:ascii="Times New Roman" w:eastAsia="Times New Roman" w:hAnsi="Times New Roman"/>
          <w:sz w:val="24"/>
          <w:szCs w:val="24"/>
        </w:rPr>
        <w:t xml:space="preserve">В </w:t>
      </w:r>
      <w:r w:rsidRPr="00B52225">
        <w:rPr>
          <w:rFonts w:ascii="Times New Roman" w:eastAsia="Times New Roman" w:hAnsi="Times New Roman"/>
          <w:b/>
          <w:sz w:val="24"/>
          <w:szCs w:val="24"/>
        </w:rPr>
        <w:t>электроэнергетическом комплексе</w:t>
      </w:r>
      <w:r w:rsidRPr="00B52225">
        <w:rPr>
          <w:rFonts w:ascii="Times New Roman" w:eastAsia="Times New Roman" w:hAnsi="Times New Roman"/>
          <w:sz w:val="24"/>
          <w:szCs w:val="24"/>
        </w:rPr>
        <w:t xml:space="preserve"> республики в результате разновекторной динамики спроса на сгенерированную электроэнергию со стороны ключевых потребителей, как на внешнем, так и на внутреннем рынке, в 2016 году отмечается снижение выработки электроэнергии в натуральном выражении в целом по отрасли по сравнению с 2015 годом на 157 385 тыс. кВт/ч («-»3,1%), что обусловило снижение товарного выпуска в электроэнергетическом комплексе в стоимостном выражении на 13,</w:t>
      </w:r>
      <w:r>
        <w:rPr>
          <w:rFonts w:ascii="Times New Roman" w:eastAsia="Times New Roman" w:hAnsi="Times New Roman"/>
          <w:sz w:val="24"/>
          <w:szCs w:val="24"/>
        </w:rPr>
        <w:t>3</w:t>
      </w:r>
      <w:r w:rsidRPr="00B52225">
        <w:rPr>
          <w:rFonts w:ascii="Times New Roman" w:eastAsia="Times New Roman" w:hAnsi="Times New Roman"/>
          <w:sz w:val="24"/>
          <w:szCs w:val="24"/>
        </w:rPr>
        <w:t>%.</w:t>
      </w:r>
    </w:p>
    <w:p w:rsidR="00163821" w:rsidRPr="00B52225" w:rsidRDefault="00163821" w:rsidP="00163821">
      <w:pPr>
        <w:spacing w:after="0" w:line="240" w:lineRule="auto"/>
        <w:ind w:firstLine="709"/>
        <w:jc w:val="both"/>
        <w:rPr>
          <w:rFonts w:ascii="Times New Roman" w:hAnsi="Times New Roman"/>
          <w:sz w:val="24"/>
          <w:szCs w:val="24"/>
        </w:rPr>
      </w:pPr>
      <w:r w:rsidRPr="00B52225">
        <w:rPr>
          <w:rFonts w:ascii="Times New Roman" w:eastAsia="Times New Roman" w:hAnsi="Times New Roman"/>
          <w:sz w:val="24"/>
          <w:szCs w:val="24"/>
        </w:rPr>
        <w:t xml:space="preserve">В </w:t>
      </w:r>
      <w:r w:rsidRPr="00B52225">
        <w:rPr>
          <w:rFonts w:ascii="Times New Roman" w:eastAsia="Times New Roman" w:hAnsi="Times New Roman"/>
          <w:b/>
          <w:sz w:val="24"/>
          <w:szCs w:val="24"/>
        </w:rPr>
        <w:t xml:space="preserve">черной металлургии </w:t>
      </w:r>
      <w:r w:rsidRPr="00B52225">
        <w:rPr>
          <w:rFonts w:ascii="Times New Roman" w:eastAsia="Times New Roman" w:hAnsi="Times New Roman"/>
          <w:sz w:val="24"/>
          <w:szCs w:val="24"/>
        </w:rPr>
        <w:t xml:space="preserve">на фоне </w:t>
      </w:r>
      <w:r w:rsidRPr="00B52225">
        <w:rPr>
          <w:rFonts w:ascii="Times New Roman" w:hAnsi="Times New Roman"/>
          <w:sz w:val="24"/>
          <w:szCs w:val="24"/>
        </w:rPr>
        <w:t>снижения производства проката черных металлов на 30,2% и стали на 70,3%</w:t>
      </w:r>
      <w:r w:rsidRPr="00B52225">
        <w:rPr>
          <w:rFonts w:ascii="Times New Roman" w:eastAsia="Times New Roman" w:hAnsi="Times New Roman"/>
          <w:sz w:val="24"/>
          <w:szCs w:val="24"/>
        </w:rPr>
        <w:t xml:space="preserve">, а также влияния изменения стоимости сырья, </w:t>
      </w:r>
      <w:r w:rsidRPr="00B52225">
        <w:rPr>
          <w:rFonts w:ascii="Times New Roman" w:hAnsi="Times New Roman"/>
          <w:sz w:val="24"/>
          <w:szCs w:val="24"/>
        </w:rPr>
        <w:t>объем промышленного производства в стоимостном выражении в рассматриваемом периоде, учитывая отрицательную динамику отпускных цен, сократился по отношению к показателю 2015 года на 38,7% до 807,0 млн. руб.. Также следует отметить, что ввиду нестабильной работы ОАО</w:t>
      </w:r>
      <w:r w:rsidR="00EC11FC">
        <w:rPr>
          <w:rFonts w:ascii="Times New Roman" w:hAnsi="Times New Roman"/>
          <w:sz w:val="24"/>
          <w:szCs w:val="24"/>
        </w:rPr>
        <w:t> </w:t>
      </w:r>
      <w:r w:rsidRPr="00B52225">
        <w:rPr>
          <w:rFonts w:ascii="Times New Roman" w:hAnsi="Times New Roman"/>
          <w:sz w:val="24"/>
          <w:szCs w:val="24"/>
        </w:rPr>
        <w:t>«Молдавский металлургический завод» в декабре 2016 года по отношению к ноябрю текущего года товарный выпуск отрасли сократился на 13,2%.</w:t>
      </w:r>
    </w:p>
    <w:p w:rsidR="00163821" w:rsidRPr="00B52225" w:rsidRDefault="00163821" w:rsidP="00163821">
      <w:pPr>
        <w:spacing w:after="0" w:line="240" w:lineRule="auto"/>
        <w:ind w:firstLine="709"/>
        <w:jc w:val="both"/>
        <w:rPr>
          <w:rFonts w:ascii="Times New Roman" w:eastAsia="Times New Roman" w:hAnsi="Times New Roman"/>
          <w:sz w:val="24"/>
          <w:szCs w:val="24"/>
        </w:rPr>
      </w:pPr>
      <w:r w:rsidRPr="00B52225">
        <w:rPr>
          <w:rFonts w:ascii="Times New Roman" w:hAnsi="Times New Roman"/>
          <w:sz w:val="24"/>
          <w:szCs w:val="24"/>
        </w:rPr>
        <w:t>В</w:t>
      </w:r>
      <w:r w:rsidRPr="00B52225">
        <w:rPr>
          <w:rFonts w:ascii="Times New Roman" w:hAnsi="Times New Roman"/>
          <w:b/>
          <w:sz w:val="24"/>
          <w:szCs w:val="24"/>
        </w:rPr>
        <w:t xml:space="preserve"> химической промышленности </w:t>
      </w:r>
      <w:r w:rsidRPr="00B52225">
        <w:rPr>
          <w:rFonts w:ascii="Times New Roman" w:hAnsi="Times New Roman"/>
          <w:sz w:val="24"/>
          <w:szCs w:val="24"/>
        </w:rPr>
        <w:t xml:space="preserve">в рассматриваемом периоде увеличение выпуска стеклопластиков и изделий из них на 50,8%, синтетических смол и пластмасс на 56,4%, а также лаков в 25,6 раз обусловило расширение товарного выпуска отрасли на 36,1%. Расширение объема товарного выпуска отрасли обеспечило рост доходов предприятий отрасли на 27,1%. Также следует отметить, что </w:t>
      </w:r>
      <w:r w:rsidRPr="00B52225">
        <w:rPr>
          <w:rFonts w:ascii="Times New Roman" w:eastAsia="Times New Roman" w:hAnsi="Times New Roman"/>
          <w:sz w:val="24"/>
          <w:szCs w:val="24"/>
        </w:rPr>
        <w:t>оказание государственной поддержки в виде льготных тарифов на энергоносители и льгот по налогу на доходы организации</w:t>
      </w:r>
      <w:r w:rsidRPr="00B52225">
        <w:rPr>
          <w:rFonts w:ascii="Times New Roman" w:hAnsi="Times New Roman"/>
          <w:sz w:val="24"/>
          <w:szCs w:val="24"/>
        </w:rPr>
        <w:t xml:space="preserve"> ЗАО «Завод «Молдавизолит» обусловило</w:t>
      </w:r>
      <w:r w:rsidRPr="00B52225">
        <w:rPr>
          <w:rFonts w:ascii="Times New Roman" w:eastAsia="Times New Roman" w:hAnsi="Times New Roman"/>
          <w:sz w:val="24"/>
          <w:szCs w:val="24"/>
        </w:rPr>
        <w:t xml:space="preserve"> увеличение объема производства предприятия в рассматриваемом периоде на 38,2%.</w:t>
      </w:r>
    </w:p>
    <w:p w:rsidR="00163821" w:rsidRPr="00B52225" w:rsidRDefault="00163821" w:rsidP="00163821">
      <w:pPr>
        <w:spacing w:after="0" w:line="240" w:lineRule="auto"/>
        <w:ind w:firstLine="709"/>
        <w:jc w:val="both"/>
        <w:rPr>
          <w:rFonts w:ascii="Times New Roman" w:eastAsia="Times New Roman" w:hAnsi="Times New Roman"/>
          <w:sz w:val="24"/>
          <w:szCs w:val="24"/>
        </w:rPr>
      </w:pPr>
      <w:r w:rsidRPr="00B52225">
        <w:rPr>
          <w:rFonts w:ascii="Times New Roman" w:eastAsia="Times New Roman" w:hAnsi="Times New Roman"/>
          <w:sz w:val="24"/>
          <w:szCs w:val="24"/>
        </w:rPr>
        <w:t xml:space="preserve">Предприятия </w:t>
      </w:r>
      <w:r w:rsidRPr="00B52225">
        <w:rPr>
          <w:rFonts w:ascii="Times New Roman" w:eastAsia="Times New Roman" w:hAnsi="Times New Roman"/>
          <w:b/>
          <w:sz w:val="24"/>
          <w:szCs w:val="24"/>
        </w:rPr>
        <w:t>машиностроения и металлообработки</w:t>
      </w:r>
      <w:r w:rsidRPr="00B52225">
        <w:rPr>
          <w:rFonts w:ascii="Times New Roman" w:eastAsia="Times New Roman" w:hAnsi="Times New Roman"/>
          <w:sz w:val="24"/>
          <w:szCs w:val="24"/>
        </w:rPr>
        <w:t xml:space="preserve"> по итогам 2016 года демонстрируют увеличение объема производства на 10,2% по отношению к параметрам 2015</w:t>
      </w:r>
      <w:r w:rsidR="00EC11FC">
        <w:rPr>
          <w:rFonts w:ascii="Times New Roman" w:eastAsia="Times New Roman" w:hAnsi="Times New Roman"/>
          <w:sz w:val="24"/>
          <w:szCs w:val="24"/>
        </w:rPr>
        <w:t> </w:t>
      </w:r>
      <w:r w:rsidRPr="00B52225">
        <w:rPr>
          <w:rFonts w:ascii="Times New Roman" w:eastAsia="Times New Roman" w:hAnsi="Times New Roman"/>
          <w:sz w:val="24"/>
          <w:szCs w:val="24"/>
        </w:rPr>
        <w:t>года. Данная динамика показателя обусловлена ростом объема производства на ЗАО</w:t>
      </w:r>
      <w:r w:rsidR="00EC11FC">
        <w:rPr>
          <w:rFonts w:ascii="Times New Roman" w:eastAsia="Times New Roman" w:hAnsi="Times New Roman"/>
          <w:sz w:val="24"/>
          <w:szCs w:val="24"/>
        </w:rPr>
        <w:t> </w:t>
      </w:r>
      <w:r w:rsidRPr="00B52225">
        <w:rPr>
          <w:rFonts w:ascii="Times New Roman" w:eastAsia="Times New Roman" w:hAnsi="Times New Roman"/>
          <w:sz w:val="24"/>
          <w:szCs w:val="24"/>
        </w:rPr>
        <w:t>«Российское предприятие «Бендерский машиностроительный завод» на 30,4% и снижением производственных показателей на Филиал «Завод Прибор «АО «НПЦгтс «Салют» на 0,6%,</w:t>
      </w:r>
      <w:r w:rsidRPr="00B52225">
        <w:rPr>
          <w:rFonts w:ascii="Times New Roman" w:hAnsi="Times New Roman"/>
          <w:sz w:val="24"/>
          <w:szCs w:val="24"/>
        </w:rPr>
        <w:t xml:space="preserve"> в целом указанные предприятия обеспечили 91,7% общеотраслевого объема производства.</w:t>
      </w:r>
    </w:p>
    <w:p w:rsidR="00163821" w:rsidRPr="00B52225" w:rsidRDefault="00163821" w:rsidP="00163821">
      <w:pPr>
        <w:spacing w:after="0" w:line="240" w:lineRule="auto"/>
        <w:ind w:firstLine="709"/>
        <w:jc w:val="both"/>
        <w:rPr>
          <w:rFonts w:ascii="Times New Roman" w:eastAsia="Times New Roman" w:hAnsi="Times New Roman"/>
          <w:sz w:val="24"/>
          <w:szCs w:val="24"/>
        </w:rPr>
      </w:pPr>
      <w:r w:rsidRPr="00B52225">
        <w:rPr>
          <w:rFonts w:ascii="Times New Roman" w:eastAsia="Times New Roman" w:hAnsi="Times New Roman"/>
          <w:sz w:val="24"/>
          <w:szCs w:val="24"/>
        </w:rPr>
        <w:t>В</w:t>
      </w:r>
      <w:r w:rsidRPr="00B52225">
        <w:rPr>
          <w:rFonts w:ascii="Times New Roman" w:eastAsia="Times New Roman" w:hAnsi="Times New Roman"/>
          <w:b/>
          <w:sz w:val="24"/>
          <w:szCs w:val="24"/>
        </w:rPr>
        <w:t xml:space="preserve"> электротехнической промышленности</w:t>
      </w:r>
      <w:r w:rsidRPr="00B52225">
        <w:rPr>
          <w:rFonts w:ascii="Times New Roman" w:eastAsia="Times New Roman" w:hAnsi="Times New Roman"/>
          <w:sz w:val="24"/>
          <w:szCs w:val="24"/>
        </w:rPr>
        <w:t xml:space="preserve"> прирост товарного выпуска на 9,8% на НП</w:t>
      </w:r>
      <w:r w:rsidR="00EC11FC">
        <w:rPr>
          <w:rFonts w:ascii="Times New Roman" w:eastAsia="Times New Roman" w:hAnsi="Times New Roman"/>
          <w:sz w:val="24"/>
          <w:szCs w:val="24"/>
        </w:rPr>
        <w:t> </w:t>
      </w:r>
      <w:r w:rsidRPr="00B52225">
        <w:rPr>
          <w:rFonts w:ascii="Times New Roman" w:eastAsia="Times New Roman" w:hAnsi="Times New Roman"/>
          <w:sz w:val="24"/>
          <w:szCs w:val="24"/>
        </w:rPr>
        <w:t>ЗАО «Электромаш» (68,2% отраслевого выпуска) по отношению к 2015 году в совокупности со снижением объема производства на 51,2%, на втором ведущем предприятии отрасли ЗАО</w:t>
      </w:r>
      <w:r w:rsidR="00EC11FC">
        <w:rPr>
          <w:rFonts w:ascii="Times New Roman" w:eastAsia="Times New Roman" w:hAnsi="Times New Roman"/>
          <w:sz w:val="24"/>
          <w:szCs w:val="24"/>
        </w:rPr>
        <w:t> </w:t>
      </w:r>
      <w:r w:rsidRPr="00B52225">
        <w:rPr>
          <w:rFonts w:ascii="Times New Roman" w:eastAsia="Times New Roman" w:hAnsi="Times New Roman"/>
          <w:sz w:val="24"/>
          <w:szCs w:val="24"/>
        </w:rPr>
        <w:t>«Молдавкабель» (28,1% отраслевого выпуска) по итогам 2016 года обусловил снижение отраслевого выпуска на 19,0%.</w:t>
      </w:r>
    </w:p>
    <w:p w:rsidR="00163821" w:rsidRPr="00B52225" w:rsidRDefault="00163821" w:rsidP="00163821">
      <w:pPr>
        <w:spacing w:after="0" w:line="240" w:lineRule="auto"/>
        <w:ind w:firstLine="709"/>
        <w:jc w:val="both"/>
        <w:rPr>
          <w:rFonts w:ascii="Times New Roman" w:hAnsi="Times New Roman"/>
          <w:sz w:val="24"/>
          <w:szCs w:val="24"/>
        </w:rPr>
      </w:pPr>
      <w:r w:rsidRPr="00B52225">
        <w:rPr>
          <w:rFonts w:ascii="Times New Roman" w:hAnsi="Times New Roman"/>
          <w:sz w:val="24"/>
          <w:szCs w:val="24"/>
        </w:rPr>
        <w:t xml:space="preserve">Предприятия </w:t>
      </w:r>
      <w:r w:rsidRPr="00B52225">
        <w:rPr>
          <w:rFonts w:ascii="Times New Roman" w:hAnsi="Times New Roman"/>
          <w:b/>
          <w:sz w:val="24"/>
          <w:szCs w:val="24"/>
        </w:rPr>
        <w:t>лесной и</w:t>
      </w:r>
      <w:r w:rsidRPr="00B52225">
        <w:rPr>
          <w:rFonts w:ascii="Times New Roman" w:hAnsi="Times New Roman"/>
          <w:sz w:val="24"/>
          <w:szCs w:val="24"/>
        </w:rPr>
        <w:t xml:space="preserve"> </w:t>
      </w:r>
      <w:r w:rsidRPr="00B52225">
        <w:rPr>
          <w:rFonts w:ascii="Times New Roman" w:hAnsi="Times New Roman"/>
          <w:b/>
          <w:sz w:val="24"/>
          <w:szCs w:val="24"/>
        </w:rPr>
        <w:t>деревообрабатывающей промышленности</w:t>
      </w:r>
      <w:r w:rsidRPr="00B52225">
        <w:rPr>
          <w:rFonts w:ascii="Times New Roman" w:hAnsi="Times New Roman"/>
          <w:sz w:val="24"/>
          <w:szCs w:val="24"/>
        </w:rPr>
        <w:t xml:space="preserve"> по итогам               2016 года демонстрируют снижение производственных показателей, в результате чего, объем произведенной продукции отрасли снизился </w:t>
      </w:r>
      <w:r w:rsidRPr="00B52225">
        <w:rPr>
          <w:rFonts w:ascii="Times New Roman" w:hAnsi="Times New Roman"/>
          <w:color w:val="000000"/>
          <w:sz w:val="24"/>
          <w:szCs w:val="24"/>
        </w:rPr>
        <w:t>относительно соответствующего периода прошлого года</w:t>
      </w:r>
      <w:r w:rsidRPr="00B52225">
        <w:rPr>
          <w:rFonts w:ascii="Times New Roman" w:hAnsi="Times New Roman"/>
          <w:sz w:val="24"/>
          <w:szCs w:val="24"/>
        </w:rPr>
        <w:t xml:space="preserve"> на 55,2%, достигнув в стоимостном выражении по итогам 2016 года 6,5</w:t>
      </w:r>
      <w:r w:rsidR="00EC11FC">
        <w:rPr>
          <w:rFonts w:ascii="Times New Roman" w:hAnsi="Times New Roman"/>
          <w:sz w:val="24"/>
          <w:szCs w:val="24"/>
        </w:rPr>
        <w:t> </w:t>
      </w:r>
      <w:r w:rsidRPr="00B52225">
        <w:rPr>
          <w:rFonts w:ascii="Times New Roman" w:hAnsi="Times New Roman"/>
          <w:sz w:val="24"/>
          <w:szCs w:val="24"/>
        </w:rPr>
        <w:t>млн.</w:t>
      </w:r>
      <w:r w:rsidR="00EC11FC">
        <w:rPr>
          <w:rFonts w:ascii="Times New Roman" w:hAnsi="Times New Roman"/>
          <w:sz w:val="24"/>
          <w:szCs w:val="24"/>
        </w:rPr>
        <w:t> </w:t>
      </w:r>
      <w:r w:rsidRPr="00B52225">
        <w:rPr>
          <w:rFonts w:ascii="Times New Roman" w:hAnsi="Times New Roman"/>
          <w:sz w:val="24"/>
          <w:szCs w:val="24"/>
        </w:rPr>
        <w:t>руб. В натуральном выражении наблюдается сокращение производства мебели на 85,4%.</w:t>
      </w:r>
    </w:p>
    <w:p w:rsidR="00163821" w:rsidRPr="00B52225" w:rsidRDefault="00163821" w:rsidP="00163821">
      <w:pPr>
        <w:spacing w:after="0" w:line="240" w:lineRule="auto"/>
        <w:ind w:firstLine="709"/>
        <w:jc w:val="both"/>
        <w:rPr>
          <w:rFonts w:ascii="Times New Roman" w:eastAsia="Times New Roman" w:hAnsi="Times New Roman"/>
          <w:sz w:val="24"/>
          <w:szCs w:val="24"/>
        </w:rPr>
      </w:pPr>
      <w:r w:rsidRPr="00B52225">
        <w:rPr>
          <w:rFonts w:ascii="Times New Roman" w:eastAsia="Times New Roman" w:hAnsi="Times New Roman"/>
          <w:sz w:val="24"/>
          <w:szCs w:val="24"/>
        </w:rPr>
        <w:t xml:space="preserve">В </w:t>
      </w:r>
      <w:r w:rsidRPr="00B52225">
        <w:rPr>
          <w:rFonts w:ascii="Times New Roman" w:eastAsia="Times New Roman" w:hAnsi="Times New Roman"/>
          <w:b/>
          <w:sz w:val="24"/>
          <w:szCs w:val="24"/>
        </w:rPr>
        <w:t>промышленности строительных материалов</w:t>
      </w:r>
      <w:r w:rsidRPr="00B52225">
        <w:rPr>
          <w:rFonts w:ascii="Times New Roman" w:eastAsia="Times New Roman" w:hAnsi="Times New Roman"/>
          <w:sz w:val="24"/>
          <w:szCs w:val="24"/>
        </w:rPr>
        <w:t xml:space="preserve"> по итогам 2016 года осуществление мероприятий, направленных на </w:t>
      </w:r>
      <w:r w:rsidRPr="00B52225">
        <w:rPr>
          <w:rFonts w:ascii="Times New Roman" w:hAnsi="Times New Roman"/>
          <w:sz w:val="24"/>
          <w:szCs w:val="24"/>
          <w:shd w:val="clear" w:color="auto" w:fill="FFFFFF"/>
        </w:rPr>
        <w:t>снижение себестоимости продукции</w:t>
      </w:r>
      <w:r w:rsidRPr="00B52225">
        <w:rPr>
          <w:rFonts w:ascii="Times New Roman" w:eastAsia="Times New Roman" w:hAnsi="Times New Roman"/>
          <w:sz w:val="24"/>
          <w:szCs w:val="24"/>
        </w:rPr>
        <w:t xml:space="preserve"> на крупнейшем предприятии отрасли </w:t>
      </w:r>
      <w:r w:rsidR="003E0203">
        <w:rPr>
          <w:rFonts w:ascii="Times New Roman" w:eastAsia="Times New Roman" w:hAnsi="Times New Roman"/>
          <w:sz w:val="24"/>
          <w:szCs w:val="24"/>
        </w:rPr>
        <w:t>–</w:t>
      </w:r>
      <w:r w:rsidRPr="00B52225">
        <w:rPr>
          <w:rFonts w:ascii="Times New Roman" w:eastAsia="Times New Roman" w:hAnsi="Times New Roman"/>
          <w:sz w:val="24"/>
          <w:szCs w:val="24"/>
        </w:rPr>
        <w:t xml:space="preserve"> ЗАО «Рыбницкий цементный комбинат»</w:t>
      </w:r>
      <w:r w:rsidRPr="00B52225">
        <w:rPr>
          <w:rFonts w:ascii="Times New Roman" w:hAnsi="Times New Roman"/>
          <w:sz w:val="24"/>
          <w:szCs w:val="24"/>
          <w:shd w:val="clear" w:color="auto" w:fill="FFFFFF"/>
        </w:rPr>
        <w:t xml:space="preserve">, а также </w:t>
      </w:r>
      <w:r w:rsidRPr="00B52225">
        <w:rPr>
          <w:rFonts w:ascii="Times New Roman" w:hAnsi="Times New Roman"/>
          <w:sz w:val="24"/>
          <w:szCs w:val="24"/>
        </w:rPr>
        <w:t xml:space="preserve">введение Республикой Молдова специальных таможенных пошлин на украинский цемент позволило упрочить позиции комбината на молдавском рынке, что способствовало </w:t>
      </w:r>
      <w:r w:rsidRPr="00B52225">
        <w:rPr>
          <w:rFonts w:ascii="Times New Roman" w:hAnsi="Times New Roman"/>
          <w:sz w:val="24"/>
          <w:szCs w:val="24"/>
          <w:shd w:val="clear" w:color="auto" w:fill="FFFFFF"/>
        </w:rPr>
        <w:t>увеличению объема производства предприятия на 16,8%, в целом</w:t>
      </w:r>
      <w:r w:rsidRPr="00B52225">
        <w:rPr>
          <w:rFonts w:ascii="Times New Roman" w:eastAsia="Times New Roman" w:hAnsi="Times New Roman"/>
          <w:sz w:val="24"/>
          <w:szCs w:val="24"/>
        </w:rPr>
        <w:t xml:space="preserve"> по отрасли зафиксирован прирост производственных показателей на 8,4% до 371,0 млн. руб. При этом, учитывая неустойчивую конъюнктуру рынка, доходы предприятий отрасли приросли менее значительно («+»4,8%). При этом, если рассматривать производственные показатели отрасли в декабре 2016 года, то </w:t>
      </w:r>
      <w:r w:rsidRPr="00B52225">
        <w:rPr>
          <w:rFonts w:ascii="Times New Roman" w:eastAsia="Times New Roman" w:hAnsi="Times New Roman"/>
          <w:sz w:val="24"/>
          <w:szCs w:val="24"/>
        </w:rPr>
        <w:lastRenderedPageBreak/>
        <w:t>следует отметить, что учитывая сезонный характер производимой предприятиями продукции, по отношению к ноябрю 2016 года отмечено снижение объема производства на 55,6%.</w:t>
      </w:r>
    </w:p>
    <w:p w:rsidR="00163821" w:rsidRPr="00B52225" w:rsidRDefault="00163821" w:rsidP="00163821">
      <w:pPr>
        <w:spacing w:after="0" w:line="240" w:lineRule="auto"/>
        <w:ind w:firstLine="709"/>
        <w:jc w:val="both"/>
        <w:rPr>
          <w:rFonts w:ascii="Times New Roman" w:eastAsia="Times New Roman" w:hAnsi="Times New Roman"/>
          <w:sz w:val="24"/>
          <w:szCs w:val="24"/>
        </w:rPr>
      </w:pPr>
      <w:r w:rsidRPr="00B52225">
        <w:rPr>
          <w:rFonts w:ascii="Times New Roman" w:eastAsia="Times New Roman" w:hAnsi="Times New Roman"/>
          <w:sz w:val="24"/>
          <w:szCs w:val="24"/>
        </w:rPr>
        <w:t>В натуральном выражении по отрасли отмечено увеличение производства цемента на 35,0% и клинкера на 42,9%.</w:t>
      </w:r>
    </w:p>
    <w:p w:rsidR="00163821" w:rsidRDefault="00163821" w:rsidP="00163821">
      <w:pPr>
        <w:spacing w:after="0" w:line="240" w:lineRule="auto"/>
        <w:ind w:firstLine="709"/>
        <w:jc w:val="both"/>
        <w:rPr>
          <w:rFonts w:ascii="Times New Roman" w:eastAsia="Times New Roman" w:hAnsi="Times New Roman"/>
          <w:sz w:val="24"/>
          <w:szCs w:val="24"/>
        </w:rPr>
      </w:pPr>
      <w:r w:rsidRPr="00B52225">
        <w:rPr>
          <w:rFonts w:ascii="Times New Roman" w:eastAsia="Times New Roman" w:hAnsi="Times New Roman"/>
          <w:sz w:val="24"/>
          <w:szCs w:val="24"/>
        </w:rPr>
        <w:t xml:space="preserve">На предприятиях </w:t>
      </w:r>
      <w:r w:rsidRPr="00B52225">
        <w:rPr>
          <w:rFonts w:ascii="Times New Roman" w:eastAsia="Times New Roman" w:hAnsi="Times New Roman"/>
          <w:b/>
          <w:sz w:val="24"/>
          <w:szCs w:val="24"/>
        </w:rPr>
        <w:t xml:space="preserve">легкой промышленности </w:t>
      </w:r>
      <w:r w:rsidRPr="00B52225">
        <w:rPr>
          <w:rFonts w:ascii="Times New Roman" w:eastAsia="Times New Roman" w:hAnsi="Times New Roman"/>
          <w:sz w:val="24"/>
          <w:szCs w:val="24"/>
        </w:rPr>
        <w:t>в 2016 году увеличение производства платьев на 20,5%, комплектов постельного белья на 45,6%, костюмов на 74,9%, пальто и полупальто в 2,9 раза, трикотажных изделий в 22,5 раза обусловило расширение отраслевого выпуска на 16,5% относительно показателя 2015 года. При этом следует отметить, что определяющее влияние на отраслевой показатель оказывает работа крупнейшего предприятия отрасли ЗАО «Тиротекс» (73,5% отраслевого выпуска), увеличившего товарный выпуск за рассматриваемый период на 21,9%. Также увеличение товарного выпуска отмечено на ОАО «Флоаре» - на 8,5%, ЗАО «Швейная фирма «Вестра» - на 13,1%, ООО</w:t>
      </w:r>
      <w:r w:rsidR="00EC11FC">
        <w:rPr>
          <w:rFonts w:ascii="Times New Roman" w:eastAsia="Times New Roman" w:hAnsi="Times New Roman"/>
          <w:sz w:val="24"/>
          <w:szCs w:val="24"/>
        </w:rPr>
        <w:t> </w:t>
      </w:r>
      <w:r w:rsidRPr="00B52225">
        <w:rPr>
          <w:rFonts w:ascii="Times New Roman" w:eastAsia="Times New Roman" w:hAnsi="Times New Roman"/>
          <w:sz w:val="24"/>
          <w:szCs w:val="24"/>
        </w:rPr>
        <w:t>«TПФ Интерцентр Люкс» - на 33,2%. Положительные результаты в деятельности экономических агентов отрасли обусловлены как поиском новых рынков сбыта, так и оказанием государственной поддержки 4 предприятиям легкой промышленности (ЗАО</w:t>
      </w:r>
      <w:r w:rsidR="00EC11FC">
        <w:rPr>
          <w:rFonts w:ascii="Times New Roman" w:eastAsia="Times New Roman" w:hAnsi="Times New Roman"/>
          <w:sz w:val="24"/>
          <w:szCs w:val="24"/>
        </w:rPr>
        <w:t> </w:t>
      </w:r>
      <w:r w:rsidRPr="00B52225">
        <w:rPr>
          <w:rFonts w:ascii="Times New Roman" w:eastAsia="Times New Roman" w:hAnsi="Times New Roman"/>
          <w:sz w:val="24"/>
          <w:szCs w:val="24"/>
        </w:rPr>
        <w:t>«Тиротекс», ЗАО «Одема» им. В.Соловьевой, ЗАО «Швейная фирма «Вестра», ООО</w:t>
      </w:r>
      <w:r w:rsidR="00EC11FC">
        <w:rPr>
          <w:rFonts w:ascii="Times New Roman" w:eastAsia="Times New Roman" w:hAnsi="Times New Roman"/>
          <w:sz w:val="24"/>
          <w:szCs w:val="24"/>
        </w:rPr>
        <w:t> </w:t>
      </w:r>
      <w:r w:rsidRPr="00B52225">
        <w:rPr>
          <w:rFonts w:ascii="Times New Roman" w:eastAsia="Times New Roman" w:hAnsi="Times New Roman"/>
          <w:sz w:val="24"/>
          <w:szCs w:val="24"/>
        </w:rPr>
        <w:t>«Софтшуз») в виде льготных тарифов на энергоносители и льгот по налогу на доходы организаций, что способствовало повышению конкурентоспособности продукции.</w:t>
      </w:r>
    </w:p>
    <w:p w:rsidR="00E048BD" w:rsidRPr="00E048BD" w:rsidRDefault="00E048BD" w:rsidP="00163821">
      <w:pPr>
        <w:spacing w:after="0" w:line="240" w:lineRule="auto"/>
        <w:ind w:firstLine="709"/>
        <w:jc w:val="both"/>
        <w:rPr>
          <w:rFonts w:ascii="Times New Roman" w:eastAsia="Times New Roman" w:hAnsi="Times New Roman"/>
          <w:sz w:val="10"/>
          <w:szCs w:val="10"/>
        </w:rPr>
      </w:pPr>
    </w:p>
    <w:p w:rsidR="00163821" w:rsidRDefault="00163821" w:rsidP="00A00123">
      <w:pPr>
        <w:spacing w:after="0" w:line="240" w:lineRule="auto"/>
        <w:jc w:val="both"/>
        <w:rPr>
          <w:rFonts w:ascii="Times New Roman" w:hAnsi="Times New Roman"/>
          <w:sz w:val="24"/>
          <w:szCs w:val="24"/>
        </w:rPr>
      </w:pPr>
      <w:r w:rsidRPr="00163821">
        <w:rPr>
          <w:rFonts w:ascii="Times New Roman" w:hAnsi="Times New Roman"/>
          <w:noProof/>
          <w:sz w:val="24"/>
          <w:szCs w:val="24"/>
        </w:rPr>
        <w:drawing>
          <wp:inline distT="0" distB="0" distL="0" distR="0">
            <wp:extent cx="6124575" cy="1905000"/>
            <wp:effectExtent l="19050" t="0" r="0" b="0"/>
            <wp:docPr id="7"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02DB3" w:rsidRPr="00E048BD" w:rsidRDefault="00802DB3" w:rsidP="000A73DF">
      <w:pPr>
        <w:spacing w:after="0" w:line="240" w:lineRule="auto"/>
        <w:ind w:firstLine="709"/>
        <w:jc w:val="both"/>
        <w:rPr>
          <w:rFonts w:ascii="Times New Roman" w:eastAsia="Times New Roman" w:hAnsi="Times New Roman"/>
          <w:sz w:val="10"/>
          <w:szCs w:val="10"/>
        </w:rPr>
      </w:pPr>
    </w:p>
    <w:p w:rsidR="000A73DF" w:rsidRPr="00B52225" w:rsidRDefault="000A73DF" w:rsidP="000A73DF">
      <w:pPr>
        <w:spacing w:after="0" w:line="240" w:lineRule="auto"/>
        <w:ind w:firstLine="709"/>
        <w:jc w:val="both"/>
        <w:rPr>
          <w:rFonts w:ascii="Times New Roman" w:eastAsia="Times New Roman" w:hAnsi="Times New Roman"/>
          <w:sz w:val="24"/>
          <w:szCs w:val="24"/>
        </w:rPr>
      </w:pPr>
      <w:r w:rsidRPr="00B52225">
        <w:rPr>
          <w:rFonts w:ascii="Times New Roman" w:eastAsia="Times New Roman" w:hAnsi="Times New Roman"/>
          <w:sz w:val="24"/>
          <w:szCs w:val="24"/>
        </w:rPr>
        <w:t xml:space="preserve">В </w:t>
      </w:r>
      <w:r w:rsidRPr="00B52225">
        <w:rPr>
          <w:rFonts w:ascii="Times New Roman" w:eastAsia="Times New Roman" w:hAnsi="Times New Roman"/>
          <w:b/>
          <w:snapToGrid w:val="0"/>
          <w:sz w:val="24"/>
          <w:szCs w:val="24"/>
        </w:rPr>
        <w:t xml:space="preserve">пищевой промышленности </w:t>
      </w:r>
      <w:r w:rsidRPr="00B52225">
        <w:rPr>
          <w:rFonts w:ascii="Times New Roman" w:eastAsia="Times New Roman" w:hAnsi="Times New Roman"/>
          <w:snapToGrid w:val="0"/>
          <w:sz w:val="24"/>
          <w:szCs w:val="24"/>
        </w:rPr>
        <w:t>в</w:t>
      </w:r>
      <w:r w:rsidRPr="00B52225">
        <w:rPr>
          <w:rFonts w:ascii="Times New Roman" w:eastAsia="Times New Roman" w:hAnsi="Times New Roman"/>
          <w:sz w:val="24"/>
          <w:szCs w:val="24"/>
        </w:rPr>
        <w:t xml:space="preserve"> рассматриваемом периоде </w:t>
      </w:r>
      <w:r w:rsidRPr="00B52225">
        <w:rPr>
          <w:rFonts w:ascii="Times New Roman" w:eastAsia="Times New Roman" w:hAnsi="Times New Roman"/>
          <w:snapToGrid w:val="0"/>
          <w:sz w:val="24"/>
          <w:szCs w:val="24"/>
        </w:rPr>
        <w:t>отмечено увеличение</w:t>
      </w:r>
      <w:r w:rsidRPr="00B52225">
        <w:rPr>
          <w:rFonts w:ascii="Times New Roman" w:eastAsia="Times New Roman" w:hAnsi="Times New Roman"/>
          <w:sz w:val="24"/>
          <w:szCs w:val="24"/>
        </w:rPr>
        <w:t xml:space="preserve"> товарного выпуска в сопоставимых ценах на 4,1%, что вызвано расширением объемов производства на ЗАО «Тираспольский </w:t>
      </w:r>
      <w:r w:rsidR="006158EC">
        <w:rPr>
          <w:rFonts w:ascii="Times New Roman" w:eastAsia="Times New Roman" w:hAnsi="Times New Roman"/>
          <w:sz w:val="24"/>
          <w:szCs w:val="24"/>
        </w:rPr>
        <w:t>в</w:t>
      </w:r>
      <w:r w:rsidR="003E0203">
        <w:rPr>
          <w:rFonts w:ascii="Times New Roman" w:eastAsia="Times New Roman" w:hAnsi="Times New Roman"/>
          <w:sz w:val="24"/>
          <w:szCs w:val="24"/>
        </w:rPr>
        <w:t>ино</w:t>
      </w:r>
      <w:r w:rsidRPr="00B52225">
        <w:rPr>
          <w:rFonts w:ascii="Times New Roman" w:eastAsia="Times New Roman" w:hAnsi="Times New Roman"/>
          <w:sz w:val="24"/>
          <w:szCs w:val="24"/>
        </w:rPr>
        <w:t>-коньячный завод «KVINT» («+»11,9%), ЗАО</w:t>
      </w:r>
      <w:r w:rsidR="00EC11FC">
        <w:rPr>
          <w:rFonts w:ascii="Times New Roman" w:eastAsia="Times New Roman" w:hAnsi="Times New Roman"/>
          <w:sz w:val="24"/>
          <w:szCs w:val="24"/>
        </w:rPr>
        <w:t> </w:t>
      </w:r>
      <w:r w:rsidRPr="00B52225">
        <w:rPr>
          <w:rFonts w:ascii="Times New Roman" w:eastAsia="Times New Roman" w:hAnsi="Times New Roman"/>
          <w:sz w:val="24"/>
          <w:szCs w:val="24"/>
        </w:rPr>
        <w:t>«Завод консервов детского питания («+»34,0%), ООО «Тавера» («+»41,3%) и др. При этом, учитывая понижательную динамику цен на продукцию отрасли следует отметить, что в текущих ценах объем промышленного производства отрасли в 2016 году увеличился на 0,8%.</w:t>
      </w:r>
    </w:p>
    <w:p w:rsidR="000A73DF" w:rsidRPr="00B52225" w:rsidRDefault="000A73DF" w:rsidP="000A73DF">
      <w:pPr>
        <w:spacing w:after="0" w:line="240" w:lineRule="auto"/>
        <w:ind w:firstLine="709"/>
        <w:jc w:val="both"/>
        <w:rPr>
          <w:rFonts w:ascii="Times New Roman" w:eastAsia="Times New Roman" w:hAnsi="Times New Roman"/>
          <w:sz w:val="24"/>
          <w:szCs w:val="24"/>
        </w:rPr>
      </w:pPr>
      <w:r w:rsidRPr="00B52225">
        <w:rPr>
          <w:rFonts w:ascii="Times New Roman" w:eastAsia="Times New Roman" w:hAnsi="Times New Roman"/>
          <w:sz w:val="24"/>
          <w:szCs w:val="24"/>
        </w:rPr>
        <w:t xml:space="preserve">Положительная динамика объемов производства отрасли </w:t>
      </w:r>
      <w:r w:rsidRPr="00B52225">
        <w:rPr>
          <w:rFonts w:ascii="Times New Roman" w:hAnsi="Times New Roman"/>
          <w:sz w:val="24"/>
          <w:szCs w:val="24"/>
        </w:rPr>
        <w:t xml:space="preserve">в натуральном выражении отмечена </w:t>
      </w:r>
      <w:r w:rsidRPr="00B52225">
        <w:rPr>
          <w:rFonts w:ascii="Times New Roman" w:eastAsia="Times New Roman" w:hAnsi="Times New Roman"/>
          <w:sz w:val="24"/>
          <w:szCs w:val="24"/>
        </w:rPr>
        <w:t>по выпуску кондитерских изделий («+»23,1%), вин виноградных («+»43,6%), мясных полуфабрикатов («+»53,1%), сыров жирных (в 3,1 р.), а также масла растительного (в 3,1 р.), и др. Вместе с этим по ряду товарных позиций отмечалось сокращение: консервов (на 10,1%), коньяков (на 7,7%), безалкогольных напитков и минеральных вод (в среднем на 7,1%), животных масел (на 2,2%).</w:t>
      </w:r>
    </w:p>
    <w:p w:rsidR="000A73DF" w:rsidRPr="00B52225" w:rsidRDefault="000A73DF" w:rsidP="000A73DF">
      <w:pPr>
        <w:spacing w:after="0" w:line="240" w:lineRule="auto"/>
        <w:ind w:firstLine="709"/>
        <w:jc w:val="both"/>
        <w:rPr>
          <w:rFonts w:ascii="Times New Roman" w:eastAsia="Times New Roman" w:hAnsi="Times New Roman"/>
          <w:sz w:val="24"/>
          <w:szCs w:val="24"/>
        </w:rPr>
      </w:pPr>
      <w:r w:rsidRPr="00B52225">
        <w:rPr>
          <w:rFonts w:ascii="Times New Roman" w:eastAsia="Times New Roman" w:hAnsi="Times New Roman"/>
          <w:sz w:val="24"/>
          <w:szCs w:val="24"/>
        </w:rPr>
        <w:t xml:space="preserve">В </w:t>
      </w:r>
      <w:r w:rsidRPr="00B52225">
        <w:rPr>
          <w:rFonts w:ascii="Times New Roman" w:eastAsia="Times New Roman" w:hAnsi="Times New Roman"/>
          <w:b/>
          <w:sz w:val="24"/>
          <w:szCs w:val="24"/>
        </w:rPr>
        <w:t>мукомольно-крупяной и комбикормовой промышленности</w:t>
      </w:r>
      <w:r w:rsidRPr="00B52225">
        <w:rPr>
          <w:rFonts w:ascii="Times New Roman" w:eastAsia="Times New Roman" w:hAnsi="Times New Roman"/>
          <w:sz w:val="24"/>
          <w:szCs w:val="24"/>
        </w:rPr>
        <w:t xml:space="preserve"> в рассматриваемом периоде отмечается снижение выпуска готовой продукции на 16,6%, что вызвано в основном сокращением объемов производства на предприятиях отрасли ввиду </w:t>
      </w:r>
      <w:r w:rsidRPr="00B52225">
        <w:rPr>
          <w:rFonts w:ascii="Times New Roman" w:hAnsi="Times New Roman"/>
          <w:sz w:val="24"/>
          <w:szCs w:val="24"/>
        </w:rPr>
        <w:t>конкуренции на отраслевом рынке, из-за импорта товаров по более низким ценам из сопредельных государств</w:t>
      </w:r>
      <w:r w:rsidRPr="00B52225">
        <w:rPr>
          <w:rFonts w:ascii="Times New Roman" w:eastAsia="Times New Roman" w:hAnsi="Times New Roman"/>
          <w:sz w:val="24"/>
          <w:szCs w:val="24"/>
        </w:rPr>
        <w:t>.</w:t>
      </w:r>
    </w:p>
    <w:p w:rsidR="000A73DF" w:rsidRPr="00B52225" w:rsidRDefault="000A73DF" w:rsidP="000A73DF">
      <w:pPr>
        <w:spacing w:after="0" w:line="240" w:lineRule="auto"/>
        <w:ind w:firstLine="709"/>
        <w:jc w:val="both"/>
        <w:rPr>
          <w:rFonts w:ascii="Times New Roman" w:eastAsia="Times New Roman" w:hAnsi="Times New Roman"/>
          <w:sz w:val="24"/>
          <w:szCs w:val="24"/>
        </w:rPr>
      </w:pPr>
      <w:r w:rsidRPr="00B52225">
        <w:rPr>
          <w:rFonts w:ascii="Times New Roman" w:eastAsia="Times New Roman" w:hAnsi="Times New Roman"/>
          <w:sz w:val="24"/>
          <w:szCs w:val="24"/>
        </w:rPr>
        <w:t>В натуральном выражении в анализируемом периоде отмечается снижение производства муки на 14,2%.</w:t>
      </w:r>
    </w:p>
    <w:p w:rsidR="000A73DF" w:rsidRPr="00B52225" w:rsidRDefault="000A73DF" w:rsidP="000A73DF">
      <w:pPr>
        <w:spacing w:after="0" w:line="240" w:lineRule="auto"/>
        <w:ind w:firstLine="709"/>
        <w:jc w:val="both"/>
        <w:rPr>
          <w:rFonts w:ascii="Times New Roman" w:hAnsi="Times New Roman"/>
          <w:sz w:val="24"/>
          <w:szCs w:val="24"/>
        </w:rPr>
      </w:pPr>
      <w:r w:rsidRPr="00B52225">
        <w:rPr>
          <w:rFonts w:ascii="Times New Roman" w:hAnsi="Times New Roman"/>
          <w:sz w:val="24"/>
          <w:szCs w:val="24"/>
        </w:rPr>
        <w:t>В</w:t>
      </w:r>
      <w:r w:rsidRPr="00B52225">
        <w:rPr>
          <w:rFonts w:ascii="Times New Roman" w:hAnsi="Times New Roman"/>
          <w:b/>
          <w:sz w:val="24"/>
          <w:szCs w:val="24"/>
        </w:rPr>
        <w:t xml:space="preserve"> полиграфической промышленности</w:t>
      </w:r>
      <w:r w:rsidRPr="00B52225">
        <w:rPr>
          <w:rFonts w:ascii="Times New Roman" w:hAnsi="Times New Roman"/>
          <w:sz w:val="24"/>
          <w:szCs w:val="24"/>
        </w:rPr>
        <w:t xml:space="preserve"> падение объема производства в рассматриваемом периоде на ГУИП Типография «Полиграфист» (63,6% общего объема производства по подотрасли) на 63,7% относительно соответствующего периода прошлого </w:t>
      </w:r>
      <w:r w:rsidRPr="00B52225">
        <w:rPr>
          <w:rFonts w:ascii="Times New Roman" w:hAnsi="Times New Roman"/>
          <w:sz w:val="24"/>
          <w:szCs w:val="24"/>
        </w:rPr>
        <w:lastRenderedPageBreak/>
        <w:t>года, в результате выполнения договорных обязательств по печати учебной литературы предопределило сокращение совокупной стоимости товарного выпуска отрасли на 52,6%.</w:t>
      </w:r>
    </w:p>
    <w:p w:rsidR="000A73DF" w:rsidRPr="00340723" w:rsidRDefault="000A73DF" w:rsidP="000A73DF">
      <w:pPr>
        <w:spacing w:after="0" w:line="240" w:lineRule="auto"/>
        <w:ind w:firstLine="709"/>
        <w:jc w:val="both"/>
        <w:rPr>
          <w:rFonts w:ascii="Times New Roman" w:eastAsia="Times New Roman" w:hAnsi="Times New Roman"/>
          <w:sz w:val="24"/>
          <w:szCs w:val="24"/>
        </w:rPr>
      </w:pPr>
      <w:r w:rsidRPr="00B52225">
        <w:rPr>
          <w:rFonts w:ascii="Times New Roman" w:eastAsia="Times New Roman" w:hAnsi="Times New Roman"/>
          <w:sz w:val="24"/>
          <w:szCs w:val="24"/>
        </w:rPr>
        <w:t>Таким образом, достигнутые значения показателей промышленного производства отражают негативные тенденции</w:t>
      </w:r>
      <w:r>
        <w:rPr>
          <w:rFonts w:ascii="Times New Roman" w:eastAsia="Times New Roman" w:hAnsi="Times New Roman"/>
          <w:sz w:val="24"/>
          <w:szCs w:val="24"/>
        </w:rPr>
        <w:t>,</w:t>
      </w:r>
      <w:r w:rsidRPr="00B52225">
        <w:rPr>
          <w:rFonts w:ascii="Times New Roman" w:eastAsia="Times New Roman" w:hAnsi="Times New Roman"/>
          <w:sz w:val="24"/>
          <w:szCs w:val="24"/>
        </w:rPr>
        <w:t xml:space="preserve"> сложившиеся в экономике республики.</w:t>
      </w:r>
      <w:r w:rsidRPr="00B52225">
        <w:rPr>
          <w:rFonts w:ascii="Times New Roman" w:hAnsi="Times New Roman"/>
          <w:sz w:val="24"/>
          <w:szCs w:val="24"/>
        </w:rPr>
        <w:t xml:space="preserve"> Разновекторная динамика сырьевых и отпускных цен, защита внутреннего рынка некоторыми государствами, </w:t>
      </w:r>
      <w:r w:rsidRPr="00B52225">
        <w:rPr>
          <w:rFonts w:ascii="Times New Roman" w:eastAsia="Times New Roman" w:hAnsi="Times New Roman"/>
          <w:sz w:val="24"/>
          <w:szCs w:val="24"/>
        </w:rPr>
        <w:t>в совокупности с дисбалансом на валютном рынке Приднестровской Молдавской Республики оказывали отрицательное влияние на функционирование предприятий индустрии на протяжении всего 2016 года.</w:t>
      </w:r>
    </w:p>
    <w:p w:rsidR="00CE11D9" w:rsidRPr="0080737A" w:rsidRDefault="00CE11D9" w:rsidP="00CE11D9">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Таким образом, достигнутые значения показателей промышленного производства свидетельствуют о нестабильной ситуации на предприятиях индустрии. </w:t>
      </w:r>
      <w:r w:rsidRPr="0080737A">
        <w:rPr>
          <w:rFonts w:ascii="Times New Roman" w:eastAsia="Calibri" w:hAnsi="Times New Roman"/>
          <w:sz w:val="24"/>
          <w:szCs w:val="24"/>
        </w:rPr>
        <w:t>Нестабильная ценовая ситуация на мировых товарных рынках, удешевление энергоносителей, металлов и продовольствия</w:t>
      </w:r>
      <w:r w:rsidRPr="0080737A">
        <w:rPr>
          <w:rFonts w:ascii="Times New Roman" w:hAnsi="Times New Roman"/>
          <w:sz w:val="24"/>
          <w:szCs w:val="24"/>
        </w:rPr>
        <w:t>, сложности с логистикой, в совокупности с влиянием внутренних факторов (</w:t>
      </w:r>
      <w:r w:rsidRPr="0080737A">
        <w:rPr>
          <w:rFonts w:ascii="Times New Roman" w:eastAsia="Calibri" w:hAnsi="Times New Roman"/>
          <w:sz w:val="24"/>
          <w:szCs w:val="24"/>
        </w:rPr>
        <w:t>з</w:t>
      </w:r>
      <w:r w:rsidRPr="0080737A">
        <w:rPr>
          <w:rFonts w:ascii="Times New Roman" w:eastAsia="MS Mincho" w:hAnsi="Times New Roman"/>
          <w:sz w:val="24"/>
          <w:szCs w:val="24"/>
        </w:rPr>
        <w:t xml:space="preserve">начительный физический и моральный износ основных фондов, </w:t>
      </w:r>
      <w:r w:rsidRPr="0080737A">
        <w:rPr>
          <w:rFonts w:ascii="Times New Roman" w:eastAsia="Calibri" w:hAnsi="Times New Roman"/>
          <w:sz w:val="24"/>
          <w:szCs w:val="24"/>
        </w:rPr>
        <w:t xml:space="preserve">устаревшая структура промышленного производства, невысокая доля в выпуске наукоемкой, высокотехнологичной продукции, техническое и технологическое отставание отечественных предприятий от мирового уровня и др.) </w:t>
      </w:r>
      <w:r w:rsidRPr="0080737A">
        <w:rPr>
          <w:rFonts w:ascii="Times New Roman" w:hAnsi="Times New Roman"/>
          <w:sz w:val="24"/>
          <w:szCs w:val="24"/>
        </w:rPr>
        <w:t>продолжали оказывать дестабилизирующее воздействие на результаты финансово-хозяйственной деятельности предприятий индустрии.</w:t>
      </w:r>
    </w:p>
    <w:p w:rsidR="00CE11D9" w:rsidRPr="0080737A" w:rsidRDefault="00CE11D9" w:rsidP="00CE11D9">
      <w:pPr>
        <w:autoSpaceDE w:val="0"/>
        <w:autoSpaceDN w:val="0"/>
        <w:adjustRightInd w:val="0"/>
        <w:spacing w:after="0" w:line="240" w:lineRule="auto"/>
        <w:ind w:firstLine="709"/>
        <w:jc w:val="both"/>
        <w:rPr>
          <w:rFonts w:ascii="Times New Roman" w:eastAsia="Calibri" w:hAnsi="Times New Roman"/>
          <w:sz w:val="24"/>
          <w:szCs w:val="24"/>
        </w:rPr>
      </w:pPr>
    </w:p>
    <w:p w:rsidR="00CE11D9" w:rsidRPr="0080737A" w:rsidRDefault="00CE11D9" w:rsidP="00CE11D9">
      <w:pPr>
        <w:widowControl w:val="0"/>
        <w:autoSpaceDE w:val="0"/>
        <w:autoSpaceDN w:val="0"/>
        <w:adjustRightInd w:val="0"/>
        <w:spacing w:after="0" w:line="240" w:lineRule="auto"/>
        <w:ind w:firstLine="720"/>
        <w:jc w:val="both"/>
        <w:rPr>
          <w:rFonts w:ascii="Times New Roman" w:eastAsia="Calibri" w:hAnsi="Times New Roman"/>
          <w:b/>
          <w:sz w:val="24"/>
          <w:szCs w:val="24"/>
        </w:rPr>
      </w:pPr>
      <w:r w:rsidRPr="0080737A">
        <w:rPr>
          <w:rFonts w:ascii="Times New Roman" w:eastAsia="Calibri" w:hAnsi="Times New Roman"/>
          <w:b/>
          <w:sz w:val="24"/>
          <w:szCs w:val="24"/>
        </w:rPr>
        <w:t>Агропромышленный комплекс</w:t>
      </w:r>
    </w:p>
    <w:p w:rsidR="000A73DF" w:rsidRDefault="000A73DF" w:rsidP="00A00123">
      <w:pPr>
        <w:spacing w:after="0" w:line="240" w:lineRule="auto"/>
        <w:jc w:val="both"/>
        <w:rPr>
          <w:rFonts w:ascii="Times New Roman" w:hAnsi="Times New Roman"/>
          <w:sz w:val="24"/>
          <w:szCs w:val="24"/>
        </w:rPr>
      </w:pPr>
    </w:p>
    <w:p w:rsidR="00CE11D9" w:rsidRPr="00F06A23" w:rsidRDefault="00CE11D9" w:rsidP="00CE11D9">
      <w:pPr>
        <w:spacing w:after="0" w:line="240" w:lineRule="auto"/>
        <w:ind w:firstLine="708"/>
        <w:jc w:val="both"/>
        <w:rPr>
          <w:rFonts w:ascii="Times New Roman" w:hAnsi="Times New Roman"/>
          <w:sz w:val="24"/>
          <w:szCs w:val="24"/>
        </w:rPr>
      </w:pPr>
      <w:r w:rsidRPr="00F06A23">
        <w:rPr>
          <w:rFonts w:ascii="Times New Roman" w:eastAsia="Calibri" w:hAnsi="Times New Roman"/>
          <w:sz w:val="24"/>
          <w:szCs w:val="24"/>
        </w:rPr>
        <w:t xml:space="preserve">Общая ситуация в агропромышленном комплексе республики в 2016 году характеризовалась положительной динамикой развития растениеводческой отрасли, чему способствовали предпринимаемые меры со стороны государства с целью поддержки хозяйствующих субъектов агропромышленного комплекса, а также </w:t>
      </w:r>
      <w:r w:rsidRPr="00F06A23">
        <w:rPr>
          <w:rFonts w:ascii="Times New Roman" w:hAnsi="Times New Roman"/>
          <w:sz w:val="24"/>
          <w:szCs w:val="24"/>
        </w:rPr>
        <w:t>благоприятные погодные условия.</w:t>
      </w:r>
    </w:p>
    <w:p w:rsidR="00CE11D9" w:rsidRDefault="00CE11D9" w:rsidP="00CE11D9">
      <w:pPr>
        <w:spacing w:after="0" w:line="240" w:lineRule="auto"/>
        <w:ind w:firstLine="709"/>
        <w:jc w:val="both"/>
        <w:rPr>
          <w:rFonts w:ascii="Times New Roman" w:eastAsia="Calibri" w:hAnsi="Times New Roman"/>
          <w:sz w:val="24"/>
          <w:szCs w:val="24"/>
        </w:rPr>
      </w:pPr>
      <w:r w:rsidRPr="00F06A23">
        <w:rPr>
          <w:rFonts w:ascii="Times New Roman" w:eastAsia="Calibri" w:hAnsi="Times New Roman"/>
          <w:sz w:val="24"/>
          <w:szCs w:val="24"/>
        </w:rPr>
        <w:t>Валовая продукция сельского хозяйства во всех категориях хозяйств в 2016 году оценочно составила 2 209,1 млн. руб. (в текущих ценах), что на 8,6% больше сопоставимого показателя 2015 года. Индекс физического объёма продукции сельского хозяйства составил 116,5% к уровню 2015 года, в том числе по продукции растениеводства – 119,6%, животноводства – 98,0%. Доля сельского хозяйства в структуре ВВП республики за 2016 год увеличилась на 1,70 процентных пункта к уровню 2015 года и составила 6,93%.</w:t>
      </w:r>
    </w:p>
    <w:p w:rsidR="00802DB3" w:rsidRPr="00E048BD" w:rsidRDefault="00802DB3" w:rsidP="00CE11D9">
      <w:pPr>
        <w:spacing w:after="0" w:line="240" w:lineRule="auto"/>
        <w:ind w:firstLine="709"/>
        <w:jc w:val="both"/>
        <w:rPr>
          <w:rFonts w:ascii="Times New Roman" w:eastAsia="Calibri" w:hAnsi="Times New Roman"/>
          <w:sz w:val="10"/>
          <w:szCs w:val="10"/>
        </w:rPr>
      </w:pPr>
    </w:p>
    <w:p w:rsidR="000A73DF" w:rsidRDefault="00CE11D9" w:rsidP="00EC11FC">
      <w:pPr>
        <w:spacing w:after="0" w:line="240" w:lineRule="auto"/>
        <w:ind w:left="-284"/>
        <w:jc w:val="both"/>
        <w:rPr>
          <w:rFonts w:ascii="Times New Roman" w:hAnsi="Times New Roman"/>
          <w:sz w:val="24"/>
          <w:szCs w:val="24"/>
        </w:rPr>
      </w:pPr>
      <w:r w:rsidRPr="00CE11D9">
        <w:rPr>
          <w:rFonts w:ascii="Times New Roman" w:hAnsi="Times New Roman"/>
          <w:noProof/>
          <w:sz w:val="24"/>
          <w:szCs w:val="24"/>
        </w:rPr>
        <w:drawing>
          <wp:inline distT="0" distB="0" distL="0" distR="0">
            <wp:extent cx="6410325" cy="2924175"/>
            <wp:effectExtent l="0" t="0" r="0" b="0"/>
            <wp:docPr id="2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02DB3" w:rsidRPr="00E048BD" w:rsidRDefault="00802DB3" w:rsidP="00CE11D9">
      <w:pPr>
        <w:spacing w:after="0" w:line="240" w:lineRule="auto"/>
        <w:ind w:firstLine="720"/>
        <w:jc w:val="both"/>
        <w:rPr>
          <w:rFonts w:ascii="Times New Roman" w:eastAsia="Calibri" w:hAnsi="Times New Roman"/>
          <w:sz w:val="10"/>
          <w:szCs w:val="10"/>
        </w:rPr>
      </w:pPr>
    </w:p>
    <w:p w:rsidR="00CE11D9" w:rsidRDefault="00CE11D9" w:rsidP="00CE11D9">
      <w:pPr>
        <w:spacing w:after="0" w:line="240" w:lineRule="auto"/>
        <w:ind w:firstLine="720"/>
        <w:jc w:val="both"/>
        <w:rPr>
          <w:rFonts w:ascii="Times New Roman" w:eastAsia="Calibri" w:hAnsi="Times New Roman"/>
          <w:sz w:val="24"/>
          <w:szCs w:val="24"/>
        </w:rPr>
      </w:pPr>
      <w:r w:rsidRPr="00F06A23">
        <w:rPr>
          <w:rFonts w:ascii="Times New Roman" w:eastAsia="Calibri" w:hAnsi="Times New Roman"/>
          <w:sz w:val="24"/>
          <w:szCs w:val="24"/>
        </w:rPr>
        <w:t>В 2016 году в структуре валовой продукции сельского хозяйства на долю организаций, осуществляющих сельскохозяйственное производство, приходится 55,3% от общего объёма, хозяйств населения – 36,3%, крестьянских (фермерских) хозяйств и арендаторов – 8,4%.</w:t>
      </w:r>
    </w:p>
    <w:p w:rsidR="00802DB3" w:rsidRDefault="00802DB3" w:rsidP="00CE11D9">
      <w:pPr>
        <w:spacing w:after="0" w:line="240" w:lineRule="auto"/>
        <w:ind w:firstLine="720"/>
        <w:jc w:val="both"/>
        <w:rPr>
          <w:rFonts w:ascii="Times New Roman" w:eastAsia="Calibri" w:hAnsi="Times New Roman"/>
          <w:sz w:val="24"/>
          <w:szCs w:val="24"/>
        </w:rPr>
      </w:pPr>
    </w:p>
    <w:p w:rsidR="00802DB3" w:rsidRDefault="00802DB3" w:rsidP="00CE11D9">
      <w:pPr>
        <w:spacing w:after="0" w:line="240" w:lineRule="auto"/>
        <w:ind w:firstLine="720"/>
        <w:jc w:val="both"/>
        <w:rPr>
          <w:rFonts w:ascii="Times New Roman" w:eastAsia="Calibri" w:hAnsi="Times New Roman"/>
          <w:sz w:val="24"/>
          <w:szCs w:val="24"/>
        </w:rPr>
      </w:pPr>
    </w:p>
    <w:p w:rsidR="00BB46CA" w:rsidRPr="00F06A23" w:rsidRDefault="00CE11D9" w:rsidP="00BB46CA">
      <w:pPr>
        <w:spacing w:after="0" w:line="240" w:lineRule="auto"/>
        <w:ind w:firstLine="720"/>
        <w:jc w:val="center"/>
        <w:rPr>
          <w:rFonts w:ascii="Times New Roman" w:eastAsia="Calibri" w:hAnsi="Times New Roman"/>
          <w:b/>
        </w:rPr>
      </w:pPr>
      <w:r w:rsidRPr="00F06A23">
        <w:rPr>
          <w:rFonts w:ascii="Times New Roman" w:eastAsia="Calibri" w:hAnsi="Times New Roman"/>
          <w:b/>
        </w:rPr>
        <w:lastRenderedPageBreak/>
        <w:t>Структура валовой продукции сельского хозяйства, в процента</w:t>
      </w:r>
      <w:r w:rsidR="00BB46CA">
        <w:rPr>
          <w:rFonts w:ascii="Times New Roman" w:eastAsia="Calibri" w:hAnsi="Times New Roman"/>
          <w:b/>
        </w:rPr>
        <w:t>х</w:t>
      </w:r>
      <w:r w:rsidR="00BB46CA" w:rsidRPr="00BB46CA">
        <w:rPr>
          <w:rFonts w:ascii="Times New Roman" w:eastAsia="Calibri" w:hAnsi="Times New Roman"/>
          <w:b/>
        </w:rPr>
        <w:t xml:space="preserve"> </w:t>
      </w:r>
    </w:p>
    <w:p w:rsidR="00BB46CA" w:rsidRPr="00F06A23" w:rsidRDefault="00437440" w:rsidP="00BB46CA">
      <w:pPr>
        <w:ind w:left="-360" w:right="-185"/>
        <w:jc w:val="center"/>
        <w:rPr>
          <w:rFonts w:eastAsia="Calibri"/>
        </w:rPr>
      </w:pPr>
      <w:r>
        <w:rPr>
          <w:rFonts w:eastAsia="Calibri"/>
          <w:noProof/>
        </w:rPr>
        <w:pict>
          <v:rect id="_x0000_s1034" style="position:absolute;left:0;text-align:left;margin-left:287.85pt;margin-top:122.05pt;width:135.15pt;height:33.35pt;z-index:251676672" filled="f" stroked="f">
            <v:textbox style="mso-next-textbox:#_x0000_s1034" inset="0,0,0,0">
              <w:txbxContent>
                <w:p w:rsidR="001E7C56" w:rsidRPr="00AE1B05" w:rsidRDefault="001E7C56" w:rsidP="00BB46CA">
                  <w:pPr>
                    <w:spacing w:after="0" w:line="240" w:lineRule="auto"/>
                    <w:rPr>
                      <w:rFonts w:ascii="Times New Roman" w:hAnsi="Times New Roman"/>
                      <w:sz w:val="18"/>
                      <w:szCs w:val="18"/>
                    </w:rPr>
                  </w:pPr>
                  <w:r w:rsidRPr="00AE1B05">
                    <w:rPr>
                      <w:rFonts w:ascii="Times New Roman" w:hAnsi="Times New Roman"/>
                      <w:color w:val="000000"/>
                      <w:sz w:val="18"/>
                      <w:szCs w:val="18"/>
                    </w:rPr>
                    <w:t>Крестьянские (фер</w:t>
                  </w:r>
                  <w:r>
                    <w:rPr>
                      <w:rFonts w:ascii="Times New Roman" w:hAnsi="Times New Roman"/>
                      <w:color w:val="000000"/>
                      <w:sz w:val="18"/>
                      <w:szCs w:val="18"/>
                    </w:rPr>
                    <w:t xml:space="preserve">мерские хозяйства) хозяйства и </w:t>
                  </w:r>
                  <w:r w:rsidRPr="00AE1B05">
                    <w:rPr>
                      <w:rFonts w:ascii="Times New Roman" w:hAnsi="Times New Roman"/>
                      <w:color w:val="000000"/>
                      <w:sz w:val="18"/>
                      <w:szCs w:val="18"/>
                    </w:rPr>
                    <w:t>арендаторы</w:t>
                  </w:r>
                </w:p>
              </w:txbxContent>
            </v:textbox>
          </v:rect>
        </w:pict>
      </w:r>
      <w:r>
        <w:rPr>
          <w:rFonts w:eastAsia="Calibri"/>
          <w:noProof/>
        </w:rPr>
        <w:pict>
          <v:rect id="_x0000_s1028" style="position:absolute;left:0;text-align:left;margin-left:36pt;margin-top:116.25pt;width:18pt;height:13.9pt;z-index:251670528" fillcolor="aqua">
            <v:fill r:id="rId42" o:title="Широкий диагональный 2" type="pattern"/>
          </v:rect>
        </w:pict>
      </w:r>
      <w:r>
        <w:rPr>
          <w:rFonts w:eastAsia="Calibri"/>
          <w:noProof/>
        </w:rPr>
        <w:pict>
          <v:rect id="_x0000_s1029" style="position:absolute;left:0;text-align:left;margin-left:63pt;margin-top:116.25pt;width:171pt;height:32.3pt;z-index:251671552" filled="f" stroked="f">
            <v:textbox style="mso-next-textbox:#_x0000_s1029" inset="0,0,0,0">
              <w:txbxContent>
                <w:p w:rsidR="001E7C56" w:rsidRPr="00AE1B05" w:rsidRDefault="001E7C56" w:rsidP="00BB46CA">
                  <w:pPr>
                    <w:spacing w:after="0" w:line="240" w:lineRule="auto"/>
                    <w:rPr>
                      <w:rFonts w:ascii="Times New Roman" w:hAnsi="Times New Roman"/>
                      <w:color w:val="000000"/>
                      <w:sz w:val="18"/>
                      <w:szCs w:val="18"/>
                    </w:rPr>
                  </w:pPr>
                  <w:r w:rsidRPr="00AE1B05">
                    <w:rPr>
                      <w:rFonts w:ascii="Times New Roman" w:hAnsi="Times New Roman"/>
                      <w:color w:val="000000"/>
                      <w:sz w:val="18"/>
                      <w:szCs w:val="18"/>
                    </w:rPr>
                    <w:t xml:space="preserve">Сельскохозяйственные </w:t>
                  </w:r>
                </w:p>
                <w:p w:rsidR="001E7C56" w:rsidRDefault="001E7C56" w:rsidP="00BB46CA">
                  <w:pPr>
                    <w:spacing w:after="0" w:line="240" w:lineRule="auto"/>
                    <w:rPr>
                      <w:rFonts w:ascii="Times New Roman" w:hAnsi="Times New Roman"/>
                      <w:color w:val="000000"/>
                      <w:sz w:val="18"/>
                      <w:szCs w:val="18"/>
                    </w:rPr>
                  </w:pPr>
                  <w:r w:rsidRPr="00AE1B05">
                    <w:rPr>
                      <w:rFonts w:ascii="Times New Roman" w:hAnsi="Times New Roman"/>
                      <w:color w:val="000000"/>
                      <w:sz w:val="18"/>
                      <w:szCs w:val="18"/>
                    </w:rPr>
                    <w:t xml:space="preserve">организации </w:t>
                  </w:r>
                </w:p>
                <w:p w:rsidR="001E7C56" w:rsidRPr="0006785A" w:rsidRDefault="001E7C56" w:rsidP="00BB46CA">
                  <w:pPr>
                    <w:spacing w:after="0" w:line="240" w:lineRule="auto"/>
                    <w:rPr>
                      <w:rFonts w:ascii="Times New Roman" w:hAnsi="Times New Roman"/>
                      <w:b/>
                      <w:color w:val="000000"/>
                      <w:sz w:val="18"/>
                      <w:szCs w:val="18"/>
                    </w:rPr>
                  </w:pPr>
                </w:p>
                <w:p w:rsidR="001E7C56" w:rsidRPr="00AE1B05" w:rsidRDefault="001E7C56" w:rsidP="00BB46CA">
                  <w:pPr>
                    <w:spacing w:after="0" w:line="240" w:lineRule="auto"/>
                    <w:rPr>
                      <w:sz w:val="18"/>
                      <w:szCs w:val="18"/>
                    </w:rPr>
                  </w:pPr>
                </w:p>
              </w:txbxContent>
            </v:textbox>
          </v:rect>
        </w:pict>
      </w:r>
      <w:r w:rsidR="00BB46CA" w:rsidRPr="00F06A23">
        <w:rPr>
          <w:rFonts w:ascii="Times New Roman" w:eastAsia="Calibri" w:hAnsi="Times New Roman"/>
          <w:noProof/>
          <w:sz w:val="24"/>
          <w:szCs w:val="24"/>
        </w:rPr>
        <w:drawing>
          <wp:inline distT="0" distB="0" distL="0" distR="0">
            <wp:extent cx="3169920" cy="1455420"/>
            <wp:effectExtent l="0" t="0" r="0" b="0"/>
            <wp:docPr id="3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BB46CA" w:rsidRPr="00F06A23">
        <w:rPr>
          <w:rFonts w:ascii="Times New Roman" w:eastAsia="Calibri" w:hAnsi="Times New Roman"/>
          <w:noProof/>
          <w:sz w:val="24"/>
          <w:szCs w:val="24"/>
        </w:rPr>
        <w:drawing>
          <wp:inline distT="0" distB="0" distL="0" distR="0">
            <wp:extent cx="3032760" cy="1455420"/>
            <wp:effectExtent l="0" t="0" r="0" b="0"/>
            <wp:docPr id="34"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B46CA" w:rsidRDefault="00437440" w:rsidP="00BB46CA">
      <w:pPr>
        <w:ind w:firstLine="561"/>
        <w:jc w:val="center"/>
        <w:rPr>
          <w:rFonts w:eastAsia="Calibri"/>
          <w:b/>
        </w:rPr>
      </w:pPr>
      <w:r w:rsidRPr="00437440">
        <w:rPr>
          <w:rFonts w:eastAsia="Calibri"/>
          <w:noProof/>
        </w:rPr>
        <w:pict>
          <v:rect id="_x0000_s1033" style="position:absolute;left:0;text-align:left;margin-left:256.2pt;margin-top:-.45pt;width:22.8pt;height:16.7pt;flip:y;z-index:251675648" fillcolor="maroon">
            <v:fill color2="#cfc"/>
          </v:rect>
        </w:pict>
      </w:r>
      <w:r w:rsidRPr="00437440">
        <w:rPr>
          <w:rFonts w:eastAsia="Calibri"/>
          <w:noProof/>
        </w:rPr>
        <w:pict>
          <v:rect id="_x0000_s1031" style="position:absolute;left:0;text-align:left;margin-left:62.7pt;margin-top:16.25pt;width:171pt;height:18pt;z-index:251673600" filled="f" stroked="f">
            <v:textbox style="mso-next-textbox:#_x0000_s1031" inset="0,0,0,0">
              <w:txbxContent>
                <w:p w:rsidR="001E7C56" w:rsidRPr="00AE1B05" w:rsidRDefault="001E7C56" w:rsidP="00BB46CA">
                  <w:pPr>
                    <w:rPr>
                      <w:rFonts w:ascii="Times New Roman" w:hAnsi="Times New Roman"/>
                      <w:sz w:val="18"/>
                      <w:szCs w:val="18"/>
                    </w:rPr>
                  </w:pPr>
                  <w:r w:rsidRPr="00AE1B05">
                    <w:rPr>
                      <w:rFonts w:ascii="Times New Roman" w:hAnsi="Times New Roman"/>
                      <w:color w:val="000000"/>
                      <w:sz w:val="18"/>
                      <w:szCs w:val="18"/>
                    </w:rPr>
                    <w:t>Хозяйства населения</w:t>
                  </w:r>
                </w:p>
              </w:txbxContent>
            </v:textbox>
          </v:rect>
        </w:pict>
      </w:r>
      <w:r w:rsidRPr="00437440">
        <w:rPr>
          <w:rFonts w:eastAsia="Calibri"/>
          <w:noProof/>
        </w:rPr>
        <w:pict>
          <v:rect id="_x0000_s1030" style="position:absolute;left:0;text-align:left;margin-left:36pt;margin-top:16.25pt;width:18pt;height:12.55pt;z-index:251672576" fillcolor="#ddd">
            <v:fill r:id="rId45" o:title="Гранит" rotate="t" type="tile"/>
          </v:rect>
        </w:pict>
      </w:r>
      <w:r w:rsidRPr="00437440">
        <w:rPr>
          <w:rFonts w:eastAsia="Calibri"/>
          <w:noProof/>
        </w:rPr>
        <w:pict>
          <v:rect id="_x0000_s1032" style="position:absolute;left:0;text-align:left;margin-left:287.85pt;margin-top:8.05pt;width:171.15pt;height:32.3pt;z-index:251674624" filled="f" stroked="f">
            <v:textbox style="mso-next-textbox:#_x0000_s1032" inset="0,0,0,0">
              <w:txbxContent>
                <w:p w:rsidR="001E7C56" w:rsidRPr="00841775" w:rsidRDefault="001E7C56" w:rsidP="00BB46CA">
                  <w:pPr>
                    <w:rPr>
                      <w:szCs w:val="23"/>
                    </w:rPr>
                  </w:pPr>
                </w:p>
              </w:txbxContent>
            </v:textbox>
          </v:rect>
        </w:pict>
      </w:r>
    </w:p>
    <w:p w:rsidR="00EC11FC" w:rsidRDefault="00EC11FC" w:rsidP="00BB46CA">
      <w:pPr>
        <w:tabs>
          <w:tab w:val="left" w:pos="4253"/>
          <w:tab w:val="left" w:pos="5529"/>
        </w:tabs>
        <w:spacing w:after="0" w:line="240" w:lineRule="auto"/>
        <w:ind w:firstLine="567"/>
        <w:jc w:val="both"/>
        <w:rPr>
          <w:rFonts w:ascii="Times New Roman" w:hAnsi="Times New Roman"/>
          <w:b/>
          <w:i/>
          <w:sz w:val="24"/>
          <w:szCs w:val="24"/>
        </w:rPr>
      </w:pPr>
    </w:p>
    <w:p w:rsidR="00BB46CA" w:rsidRPr="00F06A23" w:rsidRDefault="00BB46CA" w:rsidP="006158EC">
      <w:pPr>
        <w:tabs>
          <w:tab w:val="left" w:pos="4253"/>
          <w:tab w:val="left" w:pos="5529"/>
        </w:tabs>
        <w:spacing w:after="0" w:line="240" w:lineRule="auto"/>
        <w:ind w:firstLine="709"/>
        <w:jc w:val="both"/>
        <w:rPr>
          <w:rFonts w:ascii="Times New Roman" w:hAnsi="Times New Roman"/>
          <w:sz w:val="24"/>
          <w:szCs w:val="24"/>
        </w:rPr>
      </w:pPr>
      <w:r w:rsidRPr="00F06A23">
        <w:rPr>
          <w:rFonts w:ascii="Times New Roman" w:hAnsi="Times New Roman"/>
          <w:b/>
          <w:i/>
          <w:sz w:val="24"/>
          <w:szCs w:val="24"/>
        </w:rPr>
        <w:t>Растениеводство.</w:t>
      </w:r>
      <w:r w:rsidRPr="00F06A23">
        <w:rPr>
          <w:rFonts w:ascii="Times New Roman" w:hAnsi="Times New Roman"/>
          <w:sz w:val="24"/>
          <w:szCs w:val="24"/>
        </w:rPr>
        <w:t xml:space="preserve"> Положительные тенденции, связанные с благоприятными погодными условиями 2016 года, способствовали получению высоких показателей в растениеводческой отрасли, рост урожайности и валового сбора отмечен практически по всем культурам. Вместе с этим, наблюдалась отрицательная динамика валового сбора плодов («-»2,1%) и винограда («-»22,8%) к уровню 2015 года, обусловленная низкими температурами весной, что спровоцировало развитие болезни многолетних насаждений.</w:t>
      </w:r>
    </w:p>
    <w:p w:rsidR="00BB46CA" w:rsidRDefault="00BB46CA" w:rsidP="00BB46CA">
      <w:pPr>
        <w:spacing w:after="0" w:line="240" w:lineRule="auto"/>
        <w:ind w:firstLine="708"/>
        <w:jc w:val="both"/>
        <w:rPr>
          <w:rFonts w:ascii="Times New Roman" w:hAnsi="Times New Roman"/>
          <w:sz w:val="24"/>
          <w:szCs w:val="24"/>
        </w:rPr>
      </w:pPr>
      <w:r w:rsidRPr="00F06A23">
        <w:rPr>
          <w:rFonts w:ascii="Times New Roman" w:hAnsi="Times New Roman"/>
          <w:sz w:val="24"/>
          <w:szCs w:val="24"/>
        </w:rPr>
        <w:t xml:space="preserve">Производство и урожайность основных видов продукции растениеводства представлены следующими данными. </w:t>
      </w:r>
    </w:p>
    <w:p w:rsidR="00B60B48" w:rsidRPr="003E0203" w:rsidRDefault="003E0203" w:rsidP="003E0203">
      <w:pPr>
        <w:spacing w:after="0" w:line="240" w:lineRule="auto"/>
        <w:ind w:firstLine="708"/>
        <w:jc w:val="right"/>
        <w:rPr>
          <w:rFonts w:ascii="Times New Roman" w:hAnsi="Times New Roman"/>
          <w:sz w:val="24"/>
          <w:szCs w:val="24"/>
        </w:rPr>
      </w:pPr>
      <w:r>
        <w:rPr>
          <w:rFonts w:ascii="Times New Roman" w:hAnsi="Times New Roman"/>
          <w:sz w:val="24"/>
          <w:szCs w:val="24"/>
        </w:rPr>
        <w:t>Таблица №7</w:t>
      </w:r>
    </w:p>
    <w:p w:rsidR="00BB46CA" w:rsidRPr="00F06A23" w:rsidRDefault="00BB46CA" w:rsidP="00BB46CA">
      <w:pPr>
        <w:spacing w:after="0" w:line="240" w:lineRule="auto"/>
        <w:jc w:val="center"/>
        <w:rPr>
          <w:rFonts w:ascii="Times New Roman" w:eastAsia="Calibri" w:hAnsi="Times New Roman"/>
          <w:b/>
        </w:rPr>
      </w:pPr>
      <w:r w:rsidRPr="00F06A23">
        <w:rPr>
          <w:rFonts w:ascii="Times New Roman" w:eastAsia="Calibri" w:hAnsi="Times New Roman"/>
          <w:b/>
        </w:rPr>
        <w:t xml:space="preserve">Производство основных сельскохозяйственных культур </w:t>
      </w:r>
    </w:p>
    <w:p w:rsidR="00BB46CA" w:rsidRPr="00F06A23" w:rsidRDefault="00BB46CA" w:rsidP="00BB46CA">
      <w:pPr>
        <w:spacing w:after="0" w:line="240" w:lineRule="auto"/>
        <w:jc w:val="center"/>
        <w:rPr>
          <w:rFonts w:ascii="Times New Roman" w:eastAsia="Calibri" w:hAnsi="Times New Roman"/>
          <w:b/>
        </w:rPr>
      </w:pPr>
      <w:r w:rsidRPr="00F06A23">
        <w:rPr>
          <w:rFonts w:ascii="Times New Roman" w:eastAsia="Calibri" w:hAnsi="Times New Roman"/>
          <w:b/>
        </w:rPr>
        <w:t>во всех категориях хозяйств за 2015 -2016 годы</w:t>
      </w:r>
    </w:p>
    <w:tbl>
      <w:tblPr>
        <w:tblW w:w="9355" w:type="dxa"/>
        <w:tblInd w:w="108" w:type="dxa"/>
        <w:tblLayout w:type="fixed"/>
        <w:tblLook w:val="0000"/>
      </w:tblPr>
      <w:tblGrid>
        <w:gridCol w:w="2552"/>
        <w:gridCol w:w="992"/>
        <w:gridCol w:w="1134"/>
        <w:gridCol w:w="1276"/>
        <w:gridCol w:w="992"/>
        <w:gridCol w:w="992"/>
        <w:gridCol w:w="1417"/>
      </w:tblGrid>
      <w:tr w:rsidR="00BB46CA" w:rsidRPr="00F06A23" w:rsidTr="00B60B48">
        <w:trPr>
          <w:trHeight w:val="285"/>
        </w:trPr>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B46CA" w:rsidRPr="00F06A23" w:rsidRDefault="00BB46CA" w:rsidP="00770A9A">
            <w:pPr>
              <w:spacing w:after="0" w:line="240" w:lineRule="auto"/>
              <w:jc w:val="center"/>
              <w:rPr>
                <w:rFonts w:ascii="Times New Roman" w:eastAsia="Calibri" w:hAnsi="Times New Roman"/>
                <w:bCs/>
              </w:rPr>
            </w:pPr>
            <w:r w:rsidRPr="00F06A23">
              <w:rPr>
                <w:rFonts w:ascii="Times New Roman" w:eastAsia="Calibri" w:hAnsi="Times New Roman"/>
                <w:bCs/>
              </w:rPr>
              <w:t>Культуры</w:t>
            </w:r>
          </w:p>
        </w:tc>
        <w:tc>
          <w:tcPr>
            <w:tcW w:w="3402" w:type="dxa"/>
            <w:gridSpan w:val="3"/>
            <w:tcBorders>
              <w:top w:val="single" w:sz="4" w:space="0" w:color="auto"/>
              <w:left w:val="nil"/>
              <w:bottom w:val="single" w:sz="4" w:space="0" w:color="auto"/>
              <w:right w:val="single" w:sz="4" w:space="0" w:color="auto"/>
            </w:tcBorders>
            <w:shd w:val="clear" w:color="auto" w:fill="auto"/>
            <w:vAlign w:val="center"/>
          </w:tcPr>
          <w:p w:rsidR="00BB46CA" w:rsidRPr="00F06A23" w:rsidRDefault="00BB46CA" w:rsidP="00770A9A">
            <w:pPr>
              <w:spacing w:after="0" w:line="240" w:lineRule="auto"/>
              <w:jc w:val="center"/>
              <w:rPr>
                <w:rFonts w:ascii="Times New Roman" w:eastAsia="Calibri" w:hAnsi="Times New Roman"/>
                <w:bCs/>
              </w:rPr>
            </w:pPr>
            <w:r w:rsidRPr="00F06A23">
              <w:rPr>
                <w:rFonts w:ascii="Times New Roman" w:eastAsia="Calibri" w:hAnsi="Times New Roman"/>
                <w:bCs/>
              </w:rPr>
              <w:t>Валовой сбор, тыс. тонн</w:t>
            </w:r>
          </w:p>
        </w:tc>
        <w:tc>
          <w:tcPr>
            <w:tcW w:w="3401" w:type="dxa"/>
            <w:gridSpan w:val="3"/>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ind w:left="-288"/>
              <w:jc w:val="center"/>
              <w:rPr>
                <w:rFonts w:ascii="Times New Roman" w:eastAsia="Calibri" w:hAnsi="Times New Roman"/>
                <w:bCs/>
              </w:rPr>
            </w:pPr>
            <w:r w:rsidRPr="00F06A23">
              <w:rPr>
                <w:rFonts w:ascii="Times New Roman" w:eastAsia="Calibri" w:hAnsi="Times New Roman"/>
                <w:bCs/>
              </w:rPr>
              <w:t>Средняя урожайность, ц/га*</w:t>
            </w:r>
          </w:p>
        </w:tc>
      </w:tr>
      <w:tr w:rsidR="00BB46CA" w:rsidRPr="00F06A23" w:rsidTr="00B60B48">
        <w:trPr>
          <w:trHeight w:val="385"/>
        </w:trPr>
        <w:tc>
          <w:tcPr>
            <w:tcW w:w="2552" w:type="dxa"/>
            <w:vMerge/>
            <w:tcBorders>
              <w:top w:val="single" w:sz="4" w:space="0" w:color="auto"/>
              <w:left w:val="single" w:sz="4" w:space="0" w:color="auto"/>
              <w:bottom w:val="single" w:sz="4" w:space="0" w:color="auto"/>
              <w:right w:val="single" w:sz="4" w:space="0" w:color="auto"/>
            </w:tcBorders>
            <w:vAlign w:val="center"/>
          </w:tcPr>
          <w:p w:rsidR="00BB46CA" w:rsidRPr="00F06A23" w:rsidRDefault="00BB46CA" w:rsidP="00770A9A">
            <w:pPr>
              <w:spacing w:after="0" w:line="240" w:lineRule="auto"/>
              <w:rPr>
                <w:rFonts w:ascii="Times New Roman" w:eastAsia="Calibri" w:hAnsi="Times New Roman"/>
                <w:bCs/>
              </w:rPr>
            </w:pPr>
          </w:p>
        </w:tc>
        <w:tc>
          <w:tcPr>
            <w:tcW w:w="992" w:type="dxa"/>
            <w:tcBorders>
              <w:top w:val="nil"/>
              <w:left w:val="nil"/>
              <w:bottom w:val="single" w:sz="4" w:space="0" w:color="auto"/>
              <w:right w:val="single" w:sz="4" w:space="0" w:color="auto"/>
            </w:tcBorders>
            <w:shd w:val="clear" w:color="auto" w:fill="auto"/>
            <w:vAlign w:val="center"/>
          </w:tcPr>
          <w:p w:rsidR="00BB46CA" w:rsidRPr="00F06A23" w:rsidRDefault="00BB46CA" w:rsidP="00B60B48">
            <w:pPr>
              <w:spacing w:after="0" w:line="240" w:lineRule="auto"/>
              <w:ind w:left="-108" w:right="-108"/>
              <w:jc w:val="center"/>
              <w:rPr>
                <w:rFonts w:ascii="Times New Roman" w:eastAsia="Calibri" w:hAnsi="Times New Roman"/>
                <w:bCs/>
              </w:rPr>
            </w:pPr>
            <w:r w:rsidRPr="00F06A23">
              <w:rPr>
                <w:rFonts w:ascii="Times New Roman" w:eastAsia="Calibri" w:hAnsi="Times New Roman"/>
                <w:bCs/>
              </w:rPr>
              <w:t>2015 год</w:t>
            </w:r>
          </w:p>
        </w:tc>
        <w:tc>
          <w:tcPr>
            <w:tcW w:w="1134" w:type="dxa"/>
            <w:tcBorders>
              <w:top w:val="nil"/>
              <w:left w:val="nil"/>
              <w:bottom w:val="single" w:sz="4" w:space="0" w:color="auto"/>
              <w:right w:val="single" w:sz="4" w:space="0" w:color="auto"/>
            </w:tcBorders>
            <w:shd w:val="clear" w:color="auto" w:fill="auto"/>
            <w:vAlign w:val="center"/>
          </w:tcPr>
          <w:p w:rsidR="00BB46CA" w:rsidRPr="00F06A23" w:rsidRDefault="00BB46CA" w:rsidP="00B60B48">
            <w:pPr>
              <w:spacing w:after="0" w:line="240" w:lineRule="auto"/>
              <w:ind w:left="-108" w:right="-109"/>
              <w:jc w:val="center"/>
              <w:rPr>
                <w:rFonts w:ascii="Times New Roman" w:eastAsia="Calibri" w:hAnsi="Times New Roman"/>
                <w:bCs/>
              </w:rPr>
            </w:pPr>
            <w:r w:rsidRPr="00F06A23">
              <w:rPr>
                <w:rFonts w:ascii="Times New Roman" w:eastAsia="Calibri" w:hAnsi="Times New Roman"/>
                <w:bCs/>
              </w:rPr>
              <w:t>2016 год</w:t>
            </w:r>
          </w:p>
        </w:tc>
        <w:tc>
          <w:tcPr>
            <w:tcW w:w="1276" w:type="dxa"/>
            <w:tcBorders>
              <w:top w:val="nil"/>
              <w:left w:val="nil"/>
              <w:bottom w:val="single" w:sz="4" w:space="0" w:color="auto"/>
              <w:right w:val="single" w:sz="4" w:space="0" w:color="auto"/>
            </w:tcBorders>
            <w:shd w:val="clear" w:color="auto" w:fill="auto"/>
            <w:vAlign w:val="center"/>
          </w:tcPr>
          <w:p w:rsidR="00BB46CA" w:rsidRPr="00F06A23" w:rsidRDefault="00BB46CA" w:rsidP="00770A9A">
            <w:pPr>
              <w:spacing w:after="0" w:line="240" w:lineRule="auto"/>
              <w:ind w:left="-108"/>
              <w:jc w:val="center"/>
              <w:rPr>
                <w:rFonts w:ascii="Times New Roman" w:eastAsia="Calibri" w:hAnsi="Times New Roman"/>
                <w:bCs/>
              </w:rPr>
            </w:pPr>
            <w:r w:rsidRPr="00F06A23">
              <w:rPr>
                <w:rFonts w:ascii="Times New Roman" w:eastAsia="Calibri" w:hAnsi="Times New Roman"/>
                <w:bCs/>
              </w:rPr>
              <w:t xml:space="preserve">Темп роста </w:t>
            </w:r>
          </w:p>
          <w:p w:rsidR="00BB46CA" w:rsidRPr="00F06A23" w:rsidRDefault="00BB46CA" w:rsidP="00770A9A">
            <w:pPr>
              <w:spacing w:after="0" w:line="240" w:lineRule="auto"/>
              <w:ind w:left="-108"/>
              <w:jc w:val="center"/>
              <w:rPr>
                <w:rFonts w:ascii="Times New Roman" w:eastAsia="Calibri" w:hAnsi="Times New Roman"/>
                <w:bCs/>
              </w:rPr>
            </w:pPr>
            <w:r w:rsidRPr="00F06A23">
              <w:rPr>
                <w:rFonts w:ascii="Times New Roman" w:eastAsia="Calibri" w:hAnsi="Times New Roman"/>
                <w:bCs/>
              </w:rPr>
              <w:t>в % к 2015г.</w:t>
            </w:r>
          </w:p>
        </w:tc>
        <w:tc>
          <w:tcPr>
            <w:tcW w:w="992" w:type="dxa"/>
            <w:tcBorders>
              <w:top w:val="nil"/>
              <w:left w:val="nil"/>
              <w:bottom w:val="single" w:sz="4" w:space="0" w:color="auto"/>
              <w:right w:val="single" w:sz="4" w:space="0" w:color="auto"/>
            </w:tcBorders>
            <w:shd w:val="clear" w:color="auto" w:fill="auto"/>
            <w:vAlign w:val="center"/>
          </w:tcPr>
          <w:p w:rsidR="00BB46CA" w:rsidRPr="00F06A23" w:rsidRDefault="00BB46CA" w:rsidP="00B60B48">
            <w:pPr>
              <w:spacing w:after="0" w:line="240" w:lineRule="auto"/>
              <w:ind w:left="-109" w:right="-108"/>
              <w:jc w:val="center"/>
              <w:rPr>
                <w:rFonts w:ascii="Times New Roman" w:eastAsia="Calibri" w:hAnsi="Times New Roman"/>
                <w:bCs/>
              </w:rPr>
            </w:pPr>
            <w:r w:rsidRPr="00F06A23">
              <w:rPr>
                <w:rFonts w:ascii="Times New Roman" w:eastAsia="Calibri" w:hAnsi="Times New Roman"/>
                <w:bCs/>
              </w:rPr>
              <w:t>2015 год</w:t>
            </w:r>
          </w:p>
        </w:tc>
        <w:tc>
          <w:tcPr>
            <w:tcW w:w="992" w:type="dxa"/>
            <w:tcBorders>
              <w:top w:val="nil"/>
              <w:left w:val="nil"/>
              <w:bottom w:val="single" w:sz="4" w:space="0" w:color="auto"/>
              <w:right w:val="single" w:sz="4" w:space="0" w:color="auto"/>
            </w:tcBorders>
            <w:shd w:val="clear" w:color="auto" w:fill="auto"/>
            <w:vAlign w:val="center"/>
          </w:tcPr>
          <w:p w:rsidR="00BB46CA" w:rsidRPr="00F06A23" w:rsidRDefault="00BB46CA" w:rsidP="00B60B48">
            <w:pPr>
              <w:spacing w:after="0" w:line="240" w:lineRule="auto"/>
              <w:ind w:left="-109" w:right="-107"/>
              <w:jc w:val="center"/>
              <w:rPr>
                <w:rFonts w:ascii="Times New Roman" w:eastAsia="Calibri" w:hAnsi="Times New Roman"/>
                <w:bCs/>
              </w:rPr>
            </w:pPr>
            <w:r w:rsidRPr="00F06A23">
              <w:rPr>
                <w:rFonts w:ascii="Times New Roman" w:eastAsia="Calibri" w:hAnsi="Times New Roman"/>
                <w:bCs/>
              </w:rPr>
              <w:t>2016 год</w:t>
            </w:r>
          </w:p>
        </w:tc>
        <w:tc>
          <w:tcPr>
            <w:tcW w:w="1417" w:type="dxa"/>
            <w:tcBorders>
              <w:top w:val="nil"/>
              <w:left w:val="nil"/>
              <w:bottom w:val="single" w:sz="4" w:space="0" w:color="auto"/>
              <w:right w:val="single" w:sz="4" w:space="0" w:color="auto"/>
            </w:tcBorders>
            <w:shd w:val="clear" w:color="auto" w:fill="auto"/>
            <w:vAlign w:val="center"/>
          </w:tcPr>
          <w:p w:rsidR="00BB46CA" w:rsidRPr="00F06A23" w:rsidRDefault="00BB46CA" w:rsidP="00770A9A">
            <w:pPr>
              <w:spacing w:after="0" w:line="240" w:lineRule="auto"/>
              <w:ind w:left="-141"/>
              <w:jc w:val="center"/>
              <w:rPr>
                <w:rFonts w:ascii="Times New Roman" w:eastAsia="Calibri" w:hAnsi="Times New Roman"/>
                <w:bCs/>
              </w:rPr>
            </w:pPr>
            <w:r w:rsidRPr="00F06A23">
              <w:rPr>
                <w:rFonts w:ascii="Times New Roman" w:eastAsia="Calibri" w:hAnsi="Times New Roman"/>
                <w:bCs/>
              </w:rPr>
              <w:t>Темп роста</w:t>
            </w:r>
          </w:p>
          <w:p w:rsidR="00BB46CA" w:rsidRPr="00F06A23" w:rsidRDefault="00BB46CA" w:rsidP="00770A9A">
            <w:pPr>
              <w:spacing w:after="0" w:line="240" w:lineRule="auto"/>
              <w:ind w:left="-141"/>
              <w:jc w:val="center"/>
              <w:rPr>
                <w:rFonts w:ascii="Times New Roman" w:eastAsia="Calibri" w:hAnsi="Times New Roman"/>
                <w:bCs/>
              </w:rPr>
            </w:pPr>
            <w:r w:rsidRPr="00F06A23">
              <w:rPr>
                <w:rFonts w:ascii="Times New Roman" w:eastAsia="Calibri" w:hAnsi="Times New Roman"/>
                <w:bCs/>
              </w:rPr>
              <w:t xml:space="preserve"> в % к 2015 г.</w:t>
            </w:r>
          </w:p>
        </w:tc>
      </w:tr>
      <w:tr w:rsidR="00BB46CA" w:rsidRPr="00F06A23" w:rsidTr="00B60B48">
        <w:trPr>
          <w:trHeight w:val="30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B46CA" w:rsidRPr="00F06A23" w:rsidRDefault="00BB46CA" w:rsidP="00B60B48">
            <w:pPr>
              <w:spacing w:after="0" w:line="240" w:lineRule="auto"/>
              <w:ind w:right="-108"/>
              <w:rPr>
                <w:rFonts w:ascii="Times New Roman" w:eastAsia="Calibri" w:hAnsi="Times New Roman"/>
                <w:bCs/>
              </w:rPr>
            </w:pPr>
            <w:r w:rsidRPr="00F06A23">
              <w:rPr>
                <w:rFonts w:ascii="Times New Roman" w:eastAsia="Calibri" w:hAnsi="Times New Roman"/>
                <w:bCs/>
              </w:rPr>
              <w:t>Зерновые и зернобобовые культуры</w:t>
            </w:r>
          </w:p>
        </w:tc>
        <w:tc>
          <w:tcPr>
            <w:tcW w:w="992"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380,6</w:t>
            </w:r>
          </w:p>
        </w:tc>
        <w:tc>
          <w:tcPr>
            <w:tcW w:w="1134"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B60B48">
            <w:pPr>
              <w:spacing w:after="0" w:line="240" w:lineRule="auto"/>
              <w:jc w:val="right"/>
              <w:rPr>
                <w:rFonts w:ascii="Times New Roman" w:hAnsi="Times New Roman"/>
              </w:rPr>
            </w:pPr>
            <w:r w:rsidRPr="00F06A23">
              <w:rPr>
                <w:rFonts w:ascii="Times New Roman" w:hAnsi="Times New Roman"/>
              </w:rPr>
              <w:t>538,7</w:t>
            </w:r>
          </w:p>
        </w:tc>
        <w:tc>
          <w:tcPr>
            <w:tcW w:w="1276"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141,5</w:t>
            </w:r>
          </w:p>
        </w:tc>
        <w:tc>
          <w:tcPr>
            <w:tcW w:w="992"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33,2</w:t>
            </w:r>
          </w:p>
        </w:tc>
        <w:tc>
          <w:tcPr>
            <w:tcW w:w="992"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B60B48">
            <w:pPr>
              <w:spacing w:after="0" w:line="240" w:lineRule="auto"/>
              <w:ind w:left="-250" w:firstLine="44"/>
              <w:jc w:val="right"/>
              <w:rPr>
                <w:rFonts w:ascii="Times New Roman" w:hAnsi="Times New Roman"/>
              </w:rPr>
            </w:pPr>
            <w:r w:rsidRPr="00F06A23">
              <w:rPr>
                <w:rFonts w:ascii="Times New Roman" w:hAnsi="Times New Roman"/>
              </w:rPr>
              <w:t>44,1</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132,8</w:t>
            </w:r>
          </w:p>
        </w:tc>
      </w:tr>
      <w:tr w:rsidR="00BB46CA" w:rsidRPr="00F06A23" w:rsidTr="00B60B48">
        <w:trPr>
          <w:trHeight w:val="213"/>
        </w:trPr>
        <w:tc>
          <w:tcPr>
            <w:tcW w:w="2552" w:type="dxa"/>
            <w:tcBorders>
              <w:top w:val="single" w:sz="4" w:space="0" w:color="auto"/>
              <w:left w:val="single" w:sz="4" w:space="0" w:color="auto"/>
              <w:bottom w:val="single" w:sz="4" w:space="0" w:color="auto"/>
              <w:right w:val="single" w:sz="4" w:space="0" w:color="auto"/>
            </w:tcBorders>
            <w:shd w:val="clear" w:color="auto" w:fill="auto"/>
          </w:tcPr>
          <w:p w:rsidR="00BB46CA" w:rsidRPr="00F06A23" w:rsidRDefault="00BB46CA" w:rsidP="00B60B48">
            <w:pPr>
              <w:spacing w:after="0" w:line="240" w:lineRule="auto"/>
              <w:ind w:right="-108"/>
              <w:rPr>
                <w:rFonts w:ascii="Times New Roman" w:eastAsia="Calibri" w:hAnsi="Times New Roman"/>
                <w:bCs/>
              </w:rPr>
            </w:pPr>
            <w:r w:rsidRPr="00F06A23">
              <w:rPr>
                <w:rFonts w:ascii="Times New Roman" w:eastAsia="Calibri" w:hAnsi="Times New Roman"/>
                <w:bCs/>
              </w:rPr>
              <w:t>из них: озимая пшеница</w:t>
            </w:r>
          </w:p>
        </w:tc>
        <w:tc>
          <w:tcPr>
            <w:tcW w:w="992"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258,2</w:t>
            </w:r>
          </w:p>
        </w:tc>
        <w:tc>
          <w:tcPr>
            <w:tcW w:w="1134"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hAnsi="Times New Roman"/>
              </w:rPr>
            </w:pPr>
            <w:r w:rsidRPr="00F06A23">
              <w:rPr>
                <w:rFonts w:ascii="Times New Roman" w:hAnsi="Times New Roman"/>
              </w:rPr>
              <w:t>361,8</w:t>
            </w:r>
          </w:p>
        </w:tc>
        <w:tc>
          <w:tcPr>
            <w:tcW w:w="1276"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140,1</w:t>
            </w:r>
          </w:p>
        </w:tc>
        <w:tc>
          <w:tcPr>
            <w:tcW w:w="992"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37,0</w:t>
            </w:r>
          </w:p>
        </w:tc>
        <w:tc>
          <w:tcPr>
            <w:tcW w:w="992"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hAnsi="Times New Roman"/>
              </w:rPr>
            </w:pPr>
            <w:r w:rsidRPr="00F06A23">
              <w:rPr>
                <w:rFonts w:ascii="Times New Roman" w:hAnsi="Times New Roman"/>
              </w:rPr>
              <w:t>44,9</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121,4</w:t>
            </w:r>
          </w:p>
        </w:tc>
      </w:tr>
      <w:tr w:rsidR="00BB46CA" w:rsidRPr="00F06A23" w:rsidTr="00B60B48">
        <w:trPr>
          <w:trHeight w:val="138"/>
        </w:trPr>
        <w:tc>
          <w:tcPr>
            <w:tcW w:w="2552" w:type="dxa"/>
            <w:tcBorders>
              <w:top w:val="single" w:sz="4" w:space="0" w:color="auto"/>
              <w:left w:val="single" w:sz="4" w:space="0" w:color="auto"/>
              <w:bottom w:val="single" w:sz="4" w:space="0" w:color="auto"/>
              <w:right w:val="single" w:sz="4" w:space="0" w:color="auto"/>
            </w:tcBorders>
            <w:shd w:val="clear" w:color="auto" w:fill="auto"/>
          </w:tcPr>
          <w:p w:rsidR="00BB46CA" w:rsidRPr="00F06A23" w:rsidRDefault="00BB46CA" w:rsidP="00B60B48">
            <w:pPr>
              <w:spacing w:after="0" w:line="240" w:lineRule="auto"/>
              <w:ind w:right="-108"/>
              <w:rPr>
                <w:rFonts w:ascii="Times New Roman" w:eastAsia="Calibri" w:hAnsi="Times New Roman"/>
                <w:bCs/>
              </w:rPr>
            </w:pPr>
            <w:r w:rsidRPr="00F06A23">
              <w:rPr>
                <w:rFonts w:ascii="Times New Roman" w:eastAsia="Calibri" w:hAnsi="Times New Roman"/>
                <w:bCs/>
              </w:rPr>
              <w:t>кукуруза на зерно</w:t>
            </w:r>
          </w:p>
        </w:tc>
        <w:tc>
          <w:tcPr>
            <w:tcW w:w="992"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56,8</w:t>
            </w:r>
          </w:p>
        </w:tc>
        <w:tc>
          <w:tcPr>
            <w:tcW w:w="1134"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hAnsi="Times New Roman"/>
              </w:rPr>
            </w:pPr>
            <w:r w:rsidRPr="00F06A23">
              <w:rPr>
                <w:rFonts w:ascii="Times New Roman" w:hAnsi="Times New Roman"/>
              </w:rPr>
              <w:t>93,3</w:t>
            </w:r>
          </w:p>
        </w:tc>
        <w:tc>
          <w:tcPr>
            <w:tcW w:w="1276"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164,3</w:t>
            </w:r>
          </w:p>
        </w:tc>
        <w:tc>
          <w:tcPr>
            <w:tcW w:w="992"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26,8</w:t>
            </w:r>
          </w:p>
        </w:tc>
        <w:tc>
          <w:tcPr>
            <w:tcW w:w="992"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hAnsi="Times New Roman"/>
              </w:rPr>
            </w:pPr>
            <w:r w:rsidRPr="00F06A23">
              <w:rPr>
                <w:rFonts w:ascii="Times New Roman" w:hAnsi="Times New Roman"/>
              </w:rPr>
              <w:t>55,3</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BB46CA" w:rsidRPr="00F06A23" w:rsidRDefault="00BB46CA" w:rsidP="00B60B48">
            <w:pPr>
              <w:spacing w:after="0" w:line="240" w:lineRule="auto"/>
              <w:jc w:val="right"/>
              <w:rPr>
                <w:rFonts w:ascii="Times New Roman" w:eastAsia="Calibri" w:hAnsi="Times New Roman"/>
              </w:rPr>
            </w:pPr>
            <w:r w:rsidRPr="00F06A23">
              <w:rPr>
                <w:rFonts w:ascii="Times New Roman" w:eastAsia="Calibri" w:hAnsi="Times New Roman"/>
              </w:rPr>
              <w:t>в 2,1 р.</w:t>
            </w:r>
          </w:p>
        </w:tc>
      </w:tr>
      <w:tr w:rsidR="00BB46CA" w:rsidRPr="00F06A23" w:rsidTr="00B60B48">
        <w:trPr>
          <w:trHeight w:val="214"/>
        </w:trPr>
        <w:tc>
          <w:tcPr>
            <w:tcW w:w="2552" w:type="dxa"/>
            <w:tcBorders>
              <w:top w:val="single" w:sz="4" w:space="0" w:color="auto"/>
              <w:left w:val="single" w:sz="4" w:space="0" w:color="auto"/>
              <w:bottom w:val="single" w:sz="4" w:space="0" w:color="auto"/>
              <w:right w:val="single" w:sz="4" w:space="0" w:color="auto"/>
            </w:tcBorders>
            <w:shd w:val="clear" w:color="auto" w:fill="auto"/>
          </w:tcPr>
          <w:p w:rsidR="00BB46CA" w:rsidRPr="00F06A23" w:rsidRDefault="00BB46CA" w:rsidP="00B60B48">
            <w:pPr>
              <w:spacing w:after="0" w:line="240" w:lineRule="auto"/>
              <w:ind w:right="-108"/>
              <w:rPr>
                <w:rFonts w:ascii="Times New Roman" w:eastAsia="Calibri" w:hAnsi="Times New Roman"/>
                <w:bCs/>
              </w:rPr>
            </w:pPr>
            <w:r w:rsidRPr="00F06A23">
              <w:rPr>
                <w:rFonts w:ascii="Times New Roman" w:eastAsia="Calibri" w:hAnsi="Times New Roman"/>
                <w:bCs/>
              </w:rPr>
              <w:t>Подсолнечник на зерно</w:t>
            </w:r>
          </w:p>
        </w:tc>
        <w:tc>
          <w:tcPr>
            <w:tcW w:w="992"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77,5</w:t>
            </w:r>
          </w:p>
        </w:tc>
        <w:tc>
          <w:tcPr>
            <w:tcW w:w="1134"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hAnsi="Times New Roman"/>
              </w:rPr>
            </w:pPr>
            <w:r w:rsidRPr="00F06A23">
              <w:rPr>
                <w:rFonts w:ascii="Times New Roman" w:hAnsi="Times New Roman"/>
              </w:rPr>
              <w:t>112,3</w:t>
            </w:r>
          </w:p>
        </w:tc>
        <w:tc>
          <w:tcPr>
            <w:tcW w:w="1276"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144,9</w:t>
            </w:r>
          </w:p>
        </w:tc>
        <w:tc>
          <w:tcPr>
            <w:tcW w:w="992"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15,7</w:t>
            </w:r>
          </w:p>
        </w:tc>
        <w:tc>
          <w:tcPr>
            <w:tcW w:w="992"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hAnsi="Times New Roman"/>
              </w:rPr>
            </w:pPr>
            <w:r w:rsidRPr="00F06A23">
              <w:rPr>
                <w:rFonts w:ascii="Times New Roman" w:hAnsi="Times New Roman"/>
              </w:rPr>
              <w:t>20,9</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133,1</w:t>
            </w:r>
          </w:p>
        </w:tc>
      </w:tr>
      <w:tr w:rsidR="00BB46CA" w:rsidRPr="00F06A23" w:rsidTr="00B60B48">
        <w:trPr>
          <w:trHeight w:val="127"/>
        </w:trPr>
        <w:tc>
          <w:tcPr>
            <w:tcW w:w="2552" w:type="dxa"/>
            <w:tcBorders>
              <w:top w:val="single" w:sz="4" w:space="0" w:color="auto"/>
              <w:left w:val="single" w:sz="4" w:space="0" w:color="auto"/>
              <w:bottom w:val="single" w:sz="4" w:space="0" w:color="auto"/>
              <w:right w:val="single" w:sz="4" w:space="0" w:color="auto"/>
            </w:tcBorders>
            <w:shd w:val="clear" w:color="auto" w:fill="auto"/>
          </w:tcPr>
          <w:p w:rsidR="00BB46CA" w:rsidRPr="00F06A23" w:rsidRDefault="00BB46CA" w:rsidP="00B60B48">
            <w:pPr>
              <w:spacing w:after="0" w:line="240" w:lineRule="auto"/>
              <w:ind w:right="-108"/>
              <w:rPr>
                <w:rFonts w:ascii="Times New Roman" w:eastAsia="Calibri" w:hAnsi="Times New Roman"/>
                <w:bCs/>
              </w:rPr>
            </w:pPr>
            <w:r w:rsidRPr="00F06A23">
              <w:rPr>
                <w:rFonts w:ascii="Times New Roman" w:eastAsia="Calibri" w:hAnsi="Times New Roman"/>
                <w:bCs/>
              </w:rPr>
              <w:t>Картофель</w:t>
            </w:r>
          </w:p>
        </w:tc>
        <w:tc>
          <w:tcPr>
            <w:tcW w:w="992"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5,6</w:t>
            </w:r>
          </w:p>
        </w:tc>
        <w:tc>
          <w:tcPr>
            <w:tcW w:w="1134"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hAnsi="Times New Roman"/>
              </w:rPr>
            </w:pPr>
            <w:r w:rsidRPr="00F06A23">
              <w:rPr>
                <w:rFonts w:ascii="Times New Roman" w:hAnsi="Times New Roman"/>
              </w:rPr>
              <w:t>6,3</w:t>
            </w:r>
          </w:p>
        </w:tc>
        <w:tc>
          <w:tcPr>
            <w:tcW w:w="1276"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112,5</w:t>
            </w:r>
          </w:p>
        </w:tc>
        <w:tc>
          <w:tcPr>
            <w:tcW w:w="992"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194,2</w:t>
            </w:r>
          </w:p>
        </w:tc>
        <w:tc>
          <w:tcPr>
            <w:tcW w:w="992"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hAnsi="Times New Roman"/>
              </w:rPr>
            </w:pPr>
            <w:r w:rsidRPr="00F06A23">
              <w:rPr>
                <w:rFonts w:ascii="Times New Roman" w:hAnsi="Times New Roman"/>
              </w:rPr>
              <w:t>262,9</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135,4</w:t>
            </w:r>
          </w:p>
        </w:tc>
      </w:tr>
      <w:tr w:rsidR="00BB46CA" w:rsidRPr="00F06A23" w:rsidTr="00B60B48">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B46CA" w:rsidRPr="00F06A23" w:rsidRDefault="00BB46CA" w:rsidP="00B60B48">
            <w:pPr>
              <w:spacing w:after="0" w:line="240" w:lineRule="auto"/>
              <w:ind w:right="-108"/>
              <w:rPr>
                <w:rFonts w:ascii="Times New Roman" w:eastAsia="Calibri" w:hAnsi="Times New Roman"/>
                <w:iCs/>
              </w:rPr>
            </w:pPr>
            <w:r w:rsidRPr="00F06A23">
              <w:rPr>
                <w:rFonts w:ascii="Times New Roman" w:eastAsia="Calibri" w:hAnsi="Times New Roman"/>
                <w:iCs/>
              </w:rPr>
              <w:t>Овощи открытого грунта</w:t>
            </w:r>
          </w:p>
        </w:tc>
        <w:tc>
          <w:tcPr>
            <w:tcW w:w="992"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31,8</w:t>
            </w:r>
          </w:p>
        </w:tc>
        <w:tc>
          <w:tcPr>
            <w:tcW w:w="1134"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hAnsi="Times New Roman"/>
              </w:rPr>
            </w:pPr>
            <w:r w:rsidRPr="00F06A23">
              <w:rPr>
                <w:rFonts w:ascii="Times New Roman" w:hAnsi="Times New Roman"/>
              </w:rPr>
              <w:t>39,8</w:t>
            </w:r>
          </w:p>
        </w:tc>
        <w:tc>
          <w:tcPr>
            <w:tcW w:w="1276"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125,2</w:t>
            </w:r>
          </w:p>
        </w:tc>
        <w:tc>
          <w:tcPr>
            <w:tcW w:w="992"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191,7</w:t>
            </w:r>
          </w:p>
        </w:tc>
        <w:tc>
          <w:tcPr>
            <w:tcW w:w="992"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hAnsi="Times New Roman"/>
              </w:rPr>
            </w:pPr>
            <w:r w:rsidRPr="00F06A23">
              <w:rPr>
                <w:rFonts w:ascii="Times New Roman" w:hAnsi="Times New Roman"/>
              </w:rPr>
              <w:t>164,3</w:t>
            </w:r>
          </w:p>
        </w:tc>
        <w:tc>
          <w:tcPr>
            <w:tcW w:w="1417"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85,7</w:t>
            </w:r>
          </w:p>
        </w:tc>
      </w:tr>
      <w:tr w:rsidR="00BB46CA" w:rsidRPr="00F06A23" w:rsidTr="00B60B48">
        <w:trPr>
          <w:trHeight w:val="92"/>
        </w:trPr>
        <w:tc>
          <w:tcPr>
            <w:tcW w:w="2552" w:type="dxa"/>
            <w:tcBorders>
              <w:top w:val="single" w:sz="4" w:space="0" w:color="auto"/>
              <w:left w:val="single" w:sz="4" w:space="0" w:color="auto"/>
              <w:bottom w:val="single" w:sz="4" w:space="0" w:color="auto"/>
              <w:right w:val="single" w:sz="4" w:space="0" w:color="auto"/>
            </w:tcBorders>
            <w:shd w:val="clear" w:color="auto" w:fill="auto"/>
          </w:tcPr>
          <w:p w:rsidR="00BB46CA" w:rsidRPr="00F06A23" w:rsidRDefault="00BB46CA" w:rsidP="00B60B48">
            <w:pPr>
              <w:spacing w:after="0" w:line="240" w:lineRule="auto"/>
              <w:ind w:right="-108"/>
              <w:rPr>
                <w:rFonts w:ascii="Times New Roman" w:eastAsia="Calibri" w:hAnsi="Times New Roman"/>
                <w:iCs/>
              </w:rPr>
            </w:pPr>
            <w:r w:rsidRPr="00F06A23">
              <w:rPr>
                <w:rFonts w:ascii="Times New Roman" w:eastAsia="Calibri" w:hAnsi="Times New Roman"/>
                <w:iCs/>
              </w:rPr>
              <w:t>Плоды</w:t>
            </w:r>
          </w:p>
        </w:tc>
        <w:tc>
          <w:tcPr>
            <w:tcW w:w="992" w:type="dxa"/>
            <w:tcBorders>
              <w:top w:val="single" w:sz="4" w:space="0" w:color="auto"/>
              <w:left w:val="nil"/>
              <w:bottom w:val="single" w:sz="4" w:space="0" w:color="auto"/>
              <w:right w:val="single" w:sz="4" w:space="0" w:color="auto"/>
            </w:tcBorders>
            <w:shd w:val="clear" w:color="auto" w:fill="auto"/>
            <w:vAlign w:val="center"/>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14,5</w:t>
            </w:r>
          </w:p>
        </w:tc>
        <w:tc>
          <w:tcPr>
            <w:tcW w:w="1134"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hAnsi="Times New Roman"/>
              </w:rPr>
            </w:pPr>
            <w:r w:rsidRPr="00F06A23">
              <w:rPr>
                <w:rFonts w:ascii="Times New Roman" w:hAnsi="Times New Roman"/>
              </w:rPr>
              <w:t>14,2</w:t>
            </w:r>
          </w:p>
        </w:tc>
        <w:tc>
          <w:tcPr>
            <w:tcW w:w="1276" w:type="dxa"/>
            <w:tcBorders>
              <w:top w:val="single" w:sz="4" w:space="0" w:color="auto"/>
              <w:left w:val="nil"/>
              <w:bottom w:val="single" w:sz="4" w:space="0" w:color="auto"/>
              <w:right w:val="single" w:sz="4" w:space="0" w:color="auto"/>
            </w:tcBorders>
            <w:shd w:val="clear" w:color="auto" w:fill="auto"/>
            <w:vAlign w:val="center"/>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97,9</w:t>
            </w:r>
          </w:p>
        </w:tc>
        <w:tc>
          <w:tcPr>
            <w:tcW w:w="992" w:type="dxa"/>
            <w:tcBorders>
              <w:top w:val="single" w:sz="4" w:space="0" w:color="auto"/>
              <w:left w:val="nil"/>
              <w:bottom w:val="single" w:sz="4" w:space="0" w:color="auto"/>
              <w:right w:val="single" w:sz="4" w:space="0" w:color="auto"/>
            </w:tcBorders>
            <w:shd w:val="clear" w:color="auto" w:fill="auto"/>
            <w:vAlign w:val="center"/>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84,4**</w:t>
            </w:r>
          </w:p>
        </w:tc>
        <w:tc>
          <w:tcPr>
            <w:tcW w:w="992" w:type="dxa"/>
            <w:tcBorders>
              <w:top w:val="single" w:sz="4" w:space="0" w:color="auto"/>
              <w:left w:val="nil"/>
              <w:bottom w:val="single" w:sz="4" w:space="0" w:color="auto"/>
              <w:right w:val="single" w:sz="4" w:space="0" w:color="auto"/>
            </w:tcBorders>
            <w:shd w:val="clear" w:color="auto" w:fill="auto"/>
            <w:vAlign w:val="bottom"/>
          </w:tcPr>
          <w:p w:rsidR="00BB46CA" w:rsidRPr="00F06A23" w:rsidRDefault="00BB46CA" w:rsidP="00770A9A">
            <w:pPr>
              <w:spacing w:after="0" w:line="240" w:lineRule="auto"/>
              <w:jc w:val="right"/>
              <w:rPr>
                <w:rFonts w:ascii="Times New Roman" w:hAnsi="Times New Roman"/>
              </w:rPr>
            </w:pPr>
            <w:r w:rsidRPr="00F06A23">
              <w:rPr>
                <w:rFonts w:ascii="Times New Roman" w:hAnsi="Times New Roman"/>
              </w:rPr>
              <w:t>84,5**</w:t>
            </w:r>
          </w:p>
        </w:tc>
        <w:tc>
          <w:tcPr>
            <w:tcW w:w="1417" w:type="dxa"/>
            <w:tcBorders>
              <w:top w:val="single" w:sz="4" w:space="0" w:color="auto"/>
              <w:left w:val="nil"/>
              <w:bottom w:val="single" w:sz="4" w:space="0" w:color="auto"/>
              <w:right w:val="single" w:sz="4" w:space="0" w:color="auto"/>
            </w:tcBorders>
            <w:shd w:val="clear" w:color="auto" w:fill="auto"/>
            <w:vAlign w:val="center"/>
          </w:tcPr>
          <w:p w:rsidR="00BB46CA" w:rsidRPr="00F06A23" w:rsidRDefault="00BB46CA" w:rsidP="00770A9A">
            <w:pPr>
              <w:tabs>
                <w:tab w:val="left" w:pos="867"/>
              </w:tabs>
              <w:spacing w:after="0" w:line="240" w:lineRule="auto"/>
              <w:jc w:val="right"/>
              <w:rPr>
                <w:rFonts w:ascii="Times New Roman" w:eastAsia="Calibri" w:hAnsi="Times New Roman"/>
              </w:rPr>
            </w:pPr>
            <w:r w:rsidRPr="00F06A23">
              <w:rPr>
                <w:rFonts w:ascii="Times New Roman" w:eastAsia="Calibri" w:hAnsi="Times New Roman"/>
              </w:rPr>
              <w:t>100,1</w:t>
            </w:r>
          </w:p>
        </w:tc>
      </w:tr>
      <w:tr w:rsidR="00BB46CA" w:rsidRPr="00F06A23" w:rsidTr="00B60B48">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tcPr>
          <w:p w:rsidR="00BB46CA" w:rsidRPr="00F06A23" w:rsidRDefault="00BB46CA" w:rsidP="00B60B48">
            <w:pPr>
              <w:spacing w:after="0" w:line="240" w:lineRule="auto"/>
              <w:ind w:right="-108"/>
              <w:rPr>
                <w:rFonts w:ascii="Times New Roman" w:eastAsia="Calibri" w:hAnsi="Times New Roman"/>
                <w:iCs/>
              </w:rPr>
            </w:pPr>
            <w:r w:rsidRPr="00F06A23">
              <w:rPr>
                <w:rFonts w:ascii="Times New Roman" w:eastAsia="Calibri" w:hAnsi="Times New Roman"/>
                <w:iCs/>
              </w:rPr>
              <w:t>Виноград</w:t>
            </w:r>
          </w:p>
        </w:tc>
        <w:tc>
          <w:tcPr>
            <w:tcW w:w="992" w:type="dxa"/>
            <w:tcBorders>
              <w:top w:val="single" w:sz="4" w:space="0" w:color="auto"/>
              <w:left w:val="nil"/>
              <w:bottom w:val="single" w:sz="4" w:space="0" w:color="auto"/>
              <w:right w:val="single" w:sz="4" w:space="0" w:color="auto"/>
            </w:tcBorders>
            <w:shd w:val="clear" w:color="auto" w:fill="auto"/>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23,2</w:t>
            </w:r>
          </w:p>
        </w:tc>
        <w:tc>
          <w:tcPr>
            <w:tcW w:w="1134" w:type="dxa"/>
            <w:tcBorders>
              <w:top w:val="single" w:sz="4" w:space="0" w:color="auto"/>
              <w:left w:val="nil"/>
              <w:bottom w:val="single" w:sz="4" w:space="0" w:color="auto"/>
              <w:right w:val="single" w:sz="4" w:space="0" w:color="auto"/>
            </w:tcBorders>
            <w:shd w:val="clear" w:color="auto" w:fill="auto"/>
          </w:tcPr>
          <w:p w:rsidR="00BB46CA" w:rsidRPr="00F06A23" w:rsidRDefault="00BB46CA" w:rsidP="00770A9A">
            <w:pPr>
              <w:spacing w:after="0" w:line="240" w:lineRule="auto"/>
              <w:jc w:val="right"/>
              <w:rPr>
                <w:rFonts w:ascii="Times New Roman" w:hAnsi="Times New Roman"/>
              </w:rPr>
            </w:pPr>
            <w:r w:rsidRPr="00F06A23">
              <w:rPr>
                <w:rFonts w:ascii="Times New Roman" w:hAnsi="Times New Roman"/>
              </w:rPr>
              <w:t>17,9</w:t>
            </w:r>
          </w:p>
        </w:tc>
        <w:tc>
          <w:tcPr>
            <w:tcW w:w="1276" w:type="dxa"/>
            <w:tcBorders>
              <w:top w:val="single" w:sz="4" w:space="0" w:color="auto"/>
              <w:left w:val="nil"/>
              <w:bottom w:val="single" w:sz="4" w:space="0" w:color="auto"/>
              <w:right w:val="single" w:sz="4" w:space="0" w:color="auto"/>
            </w:tcBorders>
            <w:shd w:val="clear" w:color="auto" w:fill="auto"/>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77,2</w:t>
            </w:r>
          </w:p>
        </w:tc>
        <w:tc>
          <w:tcPr>
            <w:tcW w:w="992" w:type="dxa"/>
            <w:tcBorders>
              <w:top w:val="single" w:sz="4" w:space="0" w:color="auto"/>
              <w:left w:val="nil"/>
              <w:bottom w:val="single" w:sz="4" w:space="0" w:color="auto"/>
              <w:right w:val="single" w:sz="4" w:space="0" w:color="auto"/>
            </w:tcBorders>
            <w:shd w:val="clear" w:color="auto" w:fill="auto"/>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103,0**</w:t>
            </w:r>
          </w:p>
        </w:tc>
        <w:tc>
          <w:tcPr>
            <w:tcW w:w="992" w:type="dxa"/>
            <w:tcBorders>
              <w:top w:val="single" w:sz="4" w:space="0" w:color="auto"/>
              <w:left w:val="nil"/>
              <w:bottom w:val="single" w:sz="4" w:space="0" w:color="auto"/>
              <w:right w:val="single" w:sz="4" w:space="0" w:color="auto"/>
            </w:tcBorders>
            <w:shd w:val="clear" w:color="auto" w:fill="auto"/>
          </w:tcPr>
          <w:p w:rsidR="00BB46CA" w:rsidRPr="00F06A23" w:rsidRDefault="00BB46CA" w:rsidP="00770A9A">
            <w:pPr>
              <w:spacing w:after="0" w:line="240" w:lineRule="auto"/>
              <w:jc w:val="right"/>
              <w:rPr>
                <w:rFonts w:ascii="Times New Roman" w:hAnsi="Times New Roman"/>
              </w:rPr>
            </w:pPr>
            <w:r w:rsidRPr="00F06A23">
              <w:rPr>
                <w:rFonts w:ascii="Times New Roman" w:hAnsi="Times New Roman"/>
              </w:rPr>
              <w:t>74,3**</w:t>
            </w:r>
          </w:p>
        </w:tc>
        <w:tc>
          <w:tcPr>
            <w:tcW w:w="1417" w:type="dxa"/>
            <w:tcBorders>
              <w:top w:val="single" w:sz="4" w:space="0" w:color="auto"/>
              <w:left w:val="nil"/>
              <w:bottom w:val="single" w:sz="4" w:space="0" w:color="auto"/>
              <w:right w:val="single" w:sz="4" w:space="0" w:color="auto"/>
            </w:tcBorders>
            <w:shd w:val="clear" w:color="auto" w:fill="auto"/>
          </w:tcPr>
          <w:p w:rsidR="00BB46CA" w:rsidRPr="00F06A23" w:rsidRDefault="00BB46CA" w:rsidP="00770A9A">
            <w:pPr>
              <w:spacing w:after="0" w:line="240" w:lineRule="auto"/>
              <w:jc w:val="right"/>
              <w:rPr>
                <w:rFonts w:ascii="Times New Roman" w:eastAsia="Calibri" w:hAnsi="Times New Roman"/>
              </w:rPr>
            </w:pPr>
            <w:r w:rsidRPr="00F06A23">
              <w:rPr>
                <w:rFonts w:ascii="Times New Roman" w:eastAsia="Calibri" w:hAnsi="Times New Roman"/>
              </w:rPr>
              <w:t>72,1</w:t>
            </w:r>
          </w:p>
        </w:tc>
      </w:tr>
    </w:tbl>
    <w:p w:rsidR="00BB46CA" w:rsidRPr="00F06A23" w:rsidRDefault="00BB46CA" w:rsidP="00BB46CA">
      <w:pPr>
        <w:tabs>
          <w:tab w:val="left" w:pos="7020"/>
          <w:tab w:val="left" w:pos="8460"/>
        </w:tabs>
        <w:spacing w:after="0" w:line="240" w:lineRule="auto"/>
        <w:rPr>
          <w:rFonts w:ascii="Times New Roman" w:eastAsia="Calibri" w:hAnsi="Times New Roman"/>
          <w:sz w:val="20"/>
          <w:szCs w:val="20"/>
        </w:rPr>
      </w:pPr>
      <w:r w:rsidRPr="00F06A23">
        <w:rPr>
          <w:rFonts w:ascii="Times New Roman" w:eastAsia="Calibri" w:hAnsi="Times New Roman"/>
          <w:sz w:val="20"/>
          <w:szCs w:val="20"/>
        </w:rPr>
        <w:t xml:space="preserve"> *- средняя урожайность, ц/га  с уборочной площади;</w:t>
      </w:r>
    </w:p>
    <w:p w:rsidR="00BB46CA" w:rsidRDefault="00BB46CA" w:rsidP="003E0203">
      <w:pPr>
        <w:tabs>
          <w:tab w:val="left" w:pos="8460"/>
        </w:tabs>
        <w:spacing w:after="0"/>
        <w:ind w:left="-567" w:firstLine="567"/>
        <w:rPr>
          <w:rFonts w:ascii="Times New Roman" w:eastAsia="Calibri" w:hAnsi="Times New Roman"/>
          <w:sz w:val="20"/>
          <w:szCs w:val="20"/>
        </w:rPr>
      </w:pPr>
      <w:r w:rsidRPr="00F06A23">
        <w:rPr>
          <w:rFonts w:ascii="Times New Roman" w:eastAsia="Calibri" w:hAnsi="Times New Roman"/>
          <w:sz w:val="20"/>
          <w:szCs w:val="20"/>
        </w:rPr>
        <w:t xml:space="preserve"> **- средняя урожайность, ц/га с площади в плодоносящем возрасте </w:t>
      </w:r>
    </w:p>
    <w:p w:rsidR="00E048BD" w:rsidRPr="00E048BD" w:rsidRDefault="00E048BD" w:rsidP="003E0203">
      <w:pPr>
        <w:tabs>
          <w:tab w:val="left" w:pos="8460"/>
        </w:tabs>
        <w:spacing w:after="0"/>
        <w:ind w:left="-567" w:firstLine="567"/>
        <w:rPr>
          <w:rFonts w:ascii="Times New Roman" w:eastAsia="Calibri" w:hAnsi="Times New Roman"/>
          <w:sz w:val="10"/>
          <w:szCs w:val="10"/>
        </w:rPr>
      </w:pPr>
    </w:p>
    <w:p w:rsidR="00BB46CA" w:rsidRPr="00F06A23" w:rsidRDefault="00BB46CA" w:rsidP="003E0203">
      <w:pPr>
        <w:spacing w:after="0" w:line="240" w:lineRule="auto"/>
        <w:ind w:firstLine="708"/>
        <w:jc w:val="both"/>
        <w:rPr>
          <w:rFonts w:ascii="Times New Roman" w:hAnsi="Times New Roman"/>
          <w:sz w:val="24"/>
          <w:szCs w:val="24"/>
        </w:rPr>
      </w:pPr>
      <w:r w:rsidRPr="00F06A23">
        <w:rPr>
          <w:rFonts w:ascii="Times New Roman" w:hAnsi="Times New Roman"/>
          <w:sz w:val="24"/>
          <w:szCs w:val="24"/>
        </w:rPr>
        <w:t>В последние годы наблюдается рост количества землепользователей, решающих заниматься орошаемым земледелием. Для обеспечения полива в объемах, предусмотренных заключенными договорами по оказанию услуг на цели орошения, в 2016 году была подготовлена 51 насосная станция. По всем запланированным к поливу насосным станциям были реализованы мероприятия по ремонту и ревизии насосно-силового оборудования, обследования технического состояния водозаборных сооружений, проведению пуско-наладочных работ, а также аттестации обслуживающего персонала насосных станций.</w:t>
      </w:r>
    </w:p>
    <w:p w:rsidR="00BB46CA" w:rsidRPr="00F06A23" w:rsidRDefault="00BB46CA" w:rsidP="00BB46CA">
      <w:pPr>
        <w:spacing w:after="0" w:line="240" w:lineRule="auto"/>
        <w:ind w:firstLine="708"/>
        <w:jc w:val="both"/>
        <w:rPr>
          <w:rFonts w:ascii="Times New Roman" w:hAnsi="Times New Roman"/>
          <w:sz w:val="24"/>
          <w:szCs w:val="24"/>
        </w:rPr>
      </w:pPr>
      <w:r w:rsidRPr="00F06A23">
        <w:rPr>
          <w:rFonts w:ascii="Times New Roman" w:hAnsi="Times New Roman"/>
          <w:sz w:val="24"/>
          <w:szCs w:val="24"/>
        </w:rPr>
        <w:t>В 2016 году ГУ «Приднестровские оросительные системы» было заключено 55 договоров с хозяйствами-водопользователями на оказание услуг по подаче воды для целей орошения (в 2015 году - 53 договора). Плановый охват поливом физических площадей составил 11,4 тыс. га.</w:t>
      </w:r>
    </w:p>
    <w:p w:rsidR="00BB46CA" w:rsidRPr="00F06A23" w:rsidRDefault="00BB46CA" w:rsidP="00BB46CA">
      <w:pPr>
        <w:spacing w:after="0" w:line="240" w:lineRule="auto"/>
        <w:ind w:firstLine="708"/>
        <w:jc w:val="both"/>
        <w:rPr>
          <w:rFonts w:ascii="Times New Roman" w:hAnsi="Times New Roman"/>
          <w:sz w:val="24"/>
          <w:szCs w:val="24"/>
        </w:rPr>
      </w:pPr>
      <w:r w:rsidRPr="00F06A23">
        <w:rPr>
          <w:rFonts w:ascii="Times New Roman" w:hAnsi="Times New Roman"/>
          <w:sz w:val="24"/>
          <w:szCs w:val="24"/>
        </w:rPr>
        <w:t>В республике продолжились работы по раскорчевке многолетних насаждений. Общая площадь раскорчеванных многолетних насаждений в 2016 году составила 1 450,7 га (в 2015</w:t>
      </w:r>
      <w:r w:rsidR="00B60B48">
        <w:rPr>
          <w:rFonts w:ascii="Times New Roman" w:hAnsi="Times New Roman"/>
          <w:sz w:val="24"/>
          <w:szCs w:val="24"/>
        </w:rPr>
        <w:t> </w:t>
      </w:r>
      <w:r w:rsidRPr="00F06A23">
        <w:rPr>
          <w:rFonts w:ascii="Times New Roman" w:hAnsi="Times New Roman"/>
          <w:sz w:val="24"/>
          <w:szCs w:val="24"/>
        </w:rPr>
        <w:t>году – 1</w:t>
      </w:r>
      <w:r w:rsidR="00B60B48">
        <w:rPr>
          <w:rFonts w:ascii="Times New Roman" w:hAnsi="Times New Roman"/>
          <w:sz w:val="24"/>
          <w:szCs w:val="24"/>
        </w:rPr>
        <w:t> </w:t>
      </w:r>
      <w:r w:rsidRPr="00F06A23">
        <w:rPr>
          <w:rFonts w:ascii="Times New Roman" w:hAnsi="Times New Roman"/>
          <w:sz w:val="24"/>
          <w:szCs w:val="24"/>
        </w:rPr>
        <w:t xml:space="preserve">166,2 га). Наряду с раскорчевкой списанных многолетних насаждений с последующим переводом земель в пашню, производилась закладка новых садов интенсивного типа. Также велась закладка виноградников, орехоплодных насаждений и </w:t>
      </w:r>
      <w:r w:rsidRPr="00F06A23">
        <w:rPr>
          <w:rFonts w:ascii="Times New Roman" w:hAnsi="Times New Roman"/>
          <w:sz w:val="24"/>
          <w:szCs w:val="24"/>
        </w:rPr>
        <w:lastRenderedPageBreak/>
        <w:t>ягодников. Всего в 2016 году произведена закладка многолетних насаждений на площади 223 га (в 2015году - 350 га).</w:t>
      </w:r>
    </w:p>
    <w:p w:rsidR="00BB46CA" w:rsidRPr="00F06A23" w:rsidRDefault="00BB46CA" w:rsidP="00BB46CA">
      <w:pPr>
        <w:suppressAutoHyphens/>
        <w:spacing w:after="0" w:line="240" w:lineRule="auto"/>
        <w:ind w:firstLine="708"/>
        <w:jc w:val="both"/>
        <w:rPr>
          <w:rFonts w:ascii="Times New Roman" w:hAnsi="Times New Roman"/>
          <w:sz w:val="24"/>
          <w:szCs w:val="24"/>
        </w:rPr>
      </w:pPr>
      <w:r w:rsidRPr="00F06A23">
        <w:rPr>
          <w:rFonts w:ascii="Times New Roman" w:hAnsi="Times New Roman"/>
          <w:sz w:val="24"/>
          <w:szCs w:val="24"/>
        </w:rPr>
        <w:t xml:space="preserve">В отчетном году регулярно проводился мониторинг по защите растений на выявление и распространение вредителей, возбудителей болезней растений и сорных растений, соблюдения применения пестицидов и ядохимикатов. </w:t>
      </w:r>
    </w:p>
    <w:p w:rsidR="00BB46CA" w:rsidRPr="00F06A23" w:rsidRDefault="00BB46CA" w:rsidP="00BB46CA">
      <w:pPr>
        <w:spacing w:after="0" w:line="240" w:lineRule="auto"/>
        <w:ind w:firstLine="708"/>
        <w:jc w:val="both"/>
        <w:rPr>
          <w:rFonts w:ascii="Times New Roman" w:hAnsi="Times New Roman"/>
          <w:sz w:val="24"/>
          <w:szCs w:val="24"/>
        </w:rPr>
      </w:pPr>
      <w:r w:rsidRPr="00F06A23">
        <w:rPr>
          <w:rFonts w:ascii="Times New Roman" w:hAnsi="Times New Roman"/>
          <w:sz w:val="24"/>
          <w:szCs w:val="24"/>
        </w:rPr>
        <w:t>С целью своевременного выявления очагов карантинных сорняков, вредителей и возбудителей болезней растений в 2016 году было проведено обследование 153,3 тыс. га земель сельскохозяйственного назначения (или 104% к 2015 году). Локализация и ликвидация очагов вредных организмов была успешно проведена на площади 19,3 тыс. га против 17,6 тыс. га в 2015 году. В 2016 году всего применено 350,4 тонн средств защиты растений (в 2015 году – 346,4 тонн).</w:t>
      </w:r>
    </w:p>
    <w:p w:rsidR="00BB46CA" w:rsidRDefault="00BB46CA" w:rsidP="00BB46CA">
      <w:pPr>
        <w:spacing w:after="0" w:line="240" w:lineRule="auto"/>
        <w:ind w:firstLine="708"/>
        <w:jc w:val="both"/>
        <w:rPr>
          <w:rFonts w:ascii="Times New Roman" w:hAnsi="Times New Roman"/>
          <w:sz w:val="24"/>
          <w:szCs w:val="24"/>
        </w:rPr>
      </w:pPr>
      <w:r w:rsidRPr="00F06A23">
        <w:rPr>
          <w:rFonts w:ascii="Times New Roman" w:hAnsi="Times New Roman"/>
          <w:b/>
          <w:i/>
          <w:sz w:val="24"/>
          <w:szCs w:val="24"/>
        </w:rPr>
        <w:t>Животноводство.</w:t>
      </w:r>
      <w:r w:rsidRPr="00F06A23">
        <w:rPr>
          <w:rFonts w:ascii="Times New Roman" w:hAnsi="Times New Roman"/>
          <w:sz w:val="24"/>
          <w:szCs w:val="24"/>
        </w:rPr>
        <w:t xml:space="preserve"> </w:t>
      </w:r>
      <w:r>
        <w:rPr>
          <w:rFonts w:ascii="Times New Roman" w:hAnsi="Times New Roman"/>
          <w:sz w:val="24"/>
          <w:szCs w:val="24"/>
        </w:rPr>
        <w:t>П</w:t>
      </w:r>
      <w:r w:rsidRPr="00F06A23">
        <w:rPr>
          <w:rFonts w:ascii="Times New Roman" w:eastAsia="Calibri" w:hAnsi="Times New Roman"/>
          <w:sz w:val="24"/>
          <w:szCs w:val="24"/>
        </w:rPr>
        <w:t>роблемной отраслью сельского хозяйства остается животноводство.</w:t>
      </w:r>
      <w:r w:rsidRPr="00F06A23">
        <w:rPr>
          <w:rFonts w:ascii="Times New Roman" w:hAnsi="Times New Roman"/>
          <w:sz w:val="24"/>
          <w:szCs w:val="24"/>
        </w:rPr>
        <w:t xml:space="preserve"> По состоянию на 1 января 2017 года к соответствующей дате 2016 года в хозяйствах всех категорий (с учетом хозяйств населения) зафиксирован спад поголовья крупного рогатого скота («-»4,9%» до 17 495 голов), свиней («-»1,8% до 30 699 голов), овец и коз («-»3,1% до 12 007 голов). В то же время отмечен прирост поголовья птицы («+»10,4% до 569 419 голов).</w:t>
      </w:r>
    </w:p>
    <w:p w:rsidR="00E048BD" w:rsidRPr="00E048BD" w:rsidRDefault="00E048BD" w:rsidP="00BB46CA">
      <w:pPr>
        <w:spacing w:after="0" w:line="240" w:lineRule="auto"/>
        <w:ind w:firstLine="708"/>
        <w:jc w:val="both"/>
        <w:rPr>
          <w:rFonts w:ascii="Times New Roman" w:hAnsi="Times New Roman"/>
          <w:sz w:val="10"/>
          <w:szCs w:val="10"/>
        </w:rPr>
      </w:pPr>
    </w:p>
    <w:p w:rsidR="00CE11D9" w:rsidRDefault="00BB46CA" w:rsidP="002D049B">
      <w:pPr>
        <w:ind w:hanging="567"/>
        <w:rPr>
          <w:rFonts w:eastAsia="Calibri"/>
        </w:rPr>
      </w:pPr>
      <w:r w:rsidRPr="000077C4">
        <w:rPr>
          <w:rFonts w:eastAsia="Calibri"/>
          <w:noProof/>
          <w:color w:val="D99594" w:themeColor="accent2" w:themeTint="99"/>
        </w:rPr>
        <w:drawing>
          <wp:inline distT="0" distB="0" distL="0" distR="0">
            <wp:extent cx="5819775" cy="1571625"/>
            <wp:effectExtent l="0" t="0" r="0" b="0"/>
            <wp:docPr id="3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D049B" w:rsidRPr="00F06A23" w:rsidRDefault="002D049B" w:rsidP="002D049B">
      <w:pPr>
        <w:spacing w:after="0" w:line="240" w:lineRule="auto"/>
        <w:ind w:firstLine="708"/>
        <w:jc w:val="both"/>
        <w:rPr>
          <w:rFonts w:ascii="Times New Roman" w:eastAsia="Calibri" w:hAnsi="Times New Roman"/>
          <w:sz w:val="24"/>
          <w:szCs w:val="24"/>
        </w:rPr>
      </w:pPr>
      <w:r w:rsidRPr="00F06A23">
        <w:rPr>
          <w:rFonts w:ascii="Times New Roman" w:eastAsia="Calibri" w:hAnsi="Times New Roman"/>
          <w:sz w:val="24"/>
          <w:szCs w:val="24"/>
        </w:rPr>
        <w:t>Основное поголовье животных сосредоточено в хозяйствах населения. Доля их в общем объёме поголовья крупного рогатого скота на 1 января 2017 года составляет 60,3% (на 1 января 2016 года – 59,0%), свиней – 43,3% (на 1 января 2016 года – 45,3%), овец и коз – 70,3% (на 1 января 2016 года – 69,6%), птицы – 40,8% (на 1 января 2016 года – 43,5%).</w:t>
      </w:r>
    </w:p>
    <w:p w:rsidR="00BB46CA" w:rsidRDefault="00BB46CA" w:rsidP="00BB46CA">
      <w:pPr>
        <w:tabs>
          <w:tab w:val="left" w:pos="8647"/>
        </w:tabs>
        <w:spacing w:after="0" w:line="240" w:lineRule="auto"/>
        <w:ind w:firstLine="709"/>
        <w:jc w:val="both"/>
        <w:rPr>
          <w:rFonts w:ascii="Times New Roman" w:hAnsi="Times New Roman"/>
          <w:sz w:val="24"/>
          <w:szCs w:val="24"/>
        </w:rPr>
      </w:pPr>
      <w:r w:rsidRPr="00F06A23">
        <w:rPr>
          <w:rFonts w:ascii="Times New Roman" w:hAnsi="Times New Roman"/>
          <w:sz w:val="24"/>
          <w:szCs w:val="24"/>
        </w:rPr>
        <w:t>В 2016 году по сравнению с уровнем 2015 года в хозяйствах всех категорий (без учета хозяйств населения) отмечалось снижение производства молока коровьего и яиц куриных соответственно на 8,</w:t>
      </w:r>
      <w:r>
        <w:rPr>
          <w:rFonts w:ascii="Times New Roman" w:hAnsi="Times New Roman"/>
          <w:sz w:val="24"/>
          <w:szCs w:val="24"/>
        </w:rPr>
        <w:t>2</w:t>
      </w:r>
      <w:r w:rsidRPr="00F06A23">
        <w:rPr>
          <w:rFonts w:ascii="Times New Roman" w:hAnsi="Times New Roman"/>
          <w:sz w:val="24"/>
          <w:szCs w:val="24"/>
        </w:rPr>
        <w:t>% и на 74,</w:t>
      </w:r>
      <w:r>
        <w:rPr>
          <w:rFonts w:ascii="Times New Roman" w:hAnsi="Times New Roman"/>
          <w:sz w:val="24"/>
          <w:szCs w:val="24"/>
        </w:rPr>
        <w:t>0</w:t>
      </w:r>
      <w:r w:rsidRPr="00F06A23">
        <w:rPr>
          <w:rFonts w:ascii="Times New Roman" w:hAnsi="Times New Roman"/>
          <w:sz w:val="24"/>
          <w:szCs w:val="24"/>
        </w:rPr>
        <w:t>%, что обусловлено сокращением поголовья коров молочного стада и поголовья кур-несушек. При этом в рассматриваемом периоде возрос объем реализации скота и птицы на убой (в живом весе) на 34,8%.</w:t>
      </w:r>
    </w:p>
    <w:p w:rsidR="000077C4" w:rsidRPr="00F06A23" w:rsidRDefault="000077C4" w:rsidP="00BB46CA">
      <w:pPr>
        <w:tabs>
          <w:tab w:val="left" w:pos="8647"/>
        </w:tabs>
        <w:spacing w:after="0" w:line="240" w:lineRule="auto"/>
        <w:ind w:firstLine="709"/>
        <w:jc w:val="both"/>
        <w:rPr>
          <w:rFonts w:ascii="Times New Roman" w:hAnsi="Times New Roman"/>
          <w:sz w:val="24"/>
          <w:szCs w:val="24"/>
        </w:rPr>
      </w:pPr>
    </w:p>
    <w:p w:rsidR="00BB46CA" w:rsidRDefault="00BB46CA" w:rsidP="00BB46CA">
      <w:pPr>
        <w:rPr>
          <w:rFonts w:eastAsia="Calibri"/>
        </w:rPr>
      </w:pPr>
      <w:r w:rsidRPr="00BB46CA">
        <w:rPr>
          <w:rFonts w:eastAsia="Calibri"/>
          <w:noProof/>
        </w:rPr>
        <w:drawing>
          <wp:inline distT="0" distB="0" distL="0" distR="0">
            <wp:extent cx="6076950" cy="2705100"/>
            <wp:effectExtent l="0" t="0" r="0" b="0"/>
            <wp:docPr id="3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B46CA" w:rsidRPr="00F06A23" w:rsidRDefault="00BB46CA" w:rsidP="00BB46CA">
      <w:pPr>
        <w:spacing w:after="0" w:line="240" w:lineRule="auto"/>
        <w:ind w:firstLine="709"/>
        <w:jc w:val="both"/>
        <w:rPr>
          <w:rFonts w:ascii="Times New Roman" w:eastAsia="Calibri" w:hAnsi="Times New Roman"/>
          <w:sz w:val="24"/>
          <w:szCs w:val="24"/>
        </w:rPr>
      </w:pPr>
      <w:r w:rsidRPr="00F06A23">
        <w:rPr>
          <w:rFonts w:ascii="Times New Roman" w:eastAsia="Calibri" w:hAnsi="Times New Roman"/>
          <w:sz w:val="24"/>
          <w:szCs w:val="24"/>
        </w:rPr>
        <w:lastRenderedPageBreak/>
        <w:t>Продуктивность скота и птицы в 2016 году по отношению к уровню 2015 года снизилась соответственно на 5,0% (до 3 268 кг молока в расчете на 1 корову)  и на 20,9% (до 167 штук яиц в среднем от одной курицы).</w:t>
      </w:r>
    </w:p>
    <w:p w:rsidR="00BB46CA" w:rsidRPr="00F06A23" w:rsidRDefault="00BB46CA" w:rsidP="00BB46CA">
      <w:pPr>
        <w:spacing w:after="0" w:line="240" w:lineRule="auto"/>
        <w:ind w:firstLine="567"/>
        <w:jc w:val="both"/>
        <w:rPr>
          <w:rFonts w:ascii="Times New Roman" w:hAnsi="Times New Roman"/>
          <w:sz w:val="24"/>
          <w:szCs w:val="24"/>
        </w:rPr>
      </w:pPr>
      <w:r w:rsidRPr="00F06A23">
        <w:rPr>
          <w:rFonts w:ascii="Times New Roman" w:hAnsi="Times New Roman"/>
          <w:sz w:val="24"/>
          <w:szCs w:val="24"/>
        </w:rPr>
        <w:t>Снижение производства яиц и увеличение производства куриного мяса в республике произошло за счет перепрофилирования части производственных мощностей некоторых птицеводческих предприятий Дубоссарского района с выращивания кур-несушек на выращивание цыплят - бройлеров, что обусловлено, более длительным инвестиционным циклом при производстве яиц</w:t>
      </w:r>
      <w:r>
        <w:rPr>
          <w:rFonts w:ascii="Times New Roman" w:hAnsi="Times New Roman"/>
          <w:sz w:val="24"/>
          <w:szCs w:val="24"/>
        </w:rPr>
        <w:t>.</w:t>
      </w:r>
      <w:r w:rsidRPr="00F06A23">
        <w:rPr>
          <w:rFonts w:ascii="Times New Roman" w:hAnsi="Times New Roman"/>
          <w:sz w:val="24"/>
          <w:szCs w:val="24"/>
        </w:rPr>
        <w:t xml:space="preserve"> Полностью прекращено производство яиц и перепрофилировано на производство мяса птицы в ООО "Пиазис", резко (в 5 раз) сокращено производство яиц в ООО "Калиюга".</w:t>
      </w:r>
    </w:p>
    <w:p w:rsidR="00BB46CA" w:rsidRPr="00F06A23" w:rsidRDefault="00BB46CA" w:rsidP="00BB46CA">
      <w:pPr>
        <w:spacing w:after="0" w:line="240" w:lineRule="auto"/>
        <w:ind w:firstLine="708"/>
        <w:jc w:val="both"/>
        <w:rPr>
          <w:rFonts w:ascii="Times New Roman" w:hAnsi="Times New Roman"/>
          <w:sz w:val="24"/>
          <w:szCs w:val="24"/>
        </w:rPr>
      </w:pPr>
      <w:r w:rsidRPr="00F06A23">
        <w:rPr>
          <w:rFonts w:ascii="Times New Roman" w:hAnsi="Times New Roman"/>
          <w:sz w:val="24"/>
          <w:szCs w:val="24"/>
        </w:rPr>
        <w:t>С целью поддержания эпизоотического благополучия и недопущения заболевания африканской чумы свиней на территории Приднестровской Молдавской Республики были введены ограничения, которые позволили снизить риск заноса вируса африканской чумы свиней на территорию республики, а также дали возможность ввоза безопасной продукции в ветеринарном отношении с благополучных территорий.</w:t>
      </w:r>
    </w:p>
    <w:p w:rsidR="00BB46CA" w:rsidRPr="00F06A23" w:rsidRDefault="00BB46CA" w:rsidP="00BB46CA">
      <w:pPr>
        <w:tabs>
          <w:tab w:val="left" w:pos="8647"/>
        </w:tabs>
        <w:spacing w:after="0" w:line="240" w:lineRule="auto"/>
        <w:ind w:firstLine="709"/>
        <w:jc w:val="both"/>
        <w:rPr>
          <w:rFonts w:ascii="Times New Roman" w:hAnsi="Times New Roman"/>
          <w:b/>
          <w:i/>
          <w:sz w:val="24"/>
          <w:szCs w:val="24"/>
        </w:rPr>
      </w:pPr>
      <w:r w:rsidRPr="00F06A23">
        <w:rPr>
          <w:rFonts w:ascii="Times New Roman" w:hAnsi="Times New Roman"/>
          <w:b/>
          <w:i/>
          <w:sz w:val="24"/>
          <w:szCs w:val="24"/>
        </w:rPr>
        <w:t>Инвестиционные вложения в развитие АПК</w:t>
      </w:r>
    </w:p>
    <w:p w:rsidR="00BB46CA" w:rsidRPr="00F06A23" w:rsidRDefault="00BB46CA" w:rsidP="00BB46CA">
      <w:pPr>
        <w:spacing w:after="0" w:line="240" w:lineRule="auto"/>
        <w:ind w:firstLine="708"/>
        <w:jc w:val="both"/>
        <w:rPr>
          <w:szCs w:val="24"/>
        </w:rPr>
      </w:pPr>
      <w:r w:rsidRPr="00F06A23">
        <w:rPr>
          <w:rFonts w:ascii="Times New Roman" w:hAnsi="Times New Roman"/>
          <w:sz w:val="24"/>
          <w:szCs w:val="24"/>
        </w:rPr>
        <w:t>При финансовой поддержке Российской Федерации в 2016 году началась реализация инвестиционной программы «Реконструкция, восстановление и развитие оросительных систем, задействованных в структуре агропромышленного комплекса Приднестровской Молдавской Республики». На первом этапе за счет выделенных 32 млн. руб. РФ подготовлена проектно-сметная документация</w:t>
      </w:r>
      <w:r w:rsidRPr="00F06A23">
        <w:rPr>
          <w:szCs w:val="24"/>
        </w:rPr>
        <w:t>.</w:t>
      </w:r>
    </w:p>
    <w:p w:rsidR="00BB46CA" w:rsidRPr="00054A3E" w:rsidRDefault="00BB46CA" w:rsidP="00BB46CA">
      <w:pPr>
        <w:spacing w:after="0" w:line="240" w:lineRule="auto"/>
        <w:ind w:firstLine="708"/>
        <w:jc w:val="both"/>
        <w:rPr>
          <w:rFonts w:ascii="Times New Roman" w:hAnsi="Times New Roman"/>
          <w:spacing w:val="-12"/>
          <w:sz w:val="24"/>
          <w:szCs w:val="24"/>
        </w:rPr>
      </w:pPr>
      <w:r w:rsidRPr="00F06A23">
        <w:rPr>
          <w:rFonts w:ascii="Times New Roman" w:hAnsi="Times New Roman"/>
          <w:sz w:val="24"/>
          <w:szCs w:val="24"/>
        </w:rPr>
        <w:t xml:space="preserve">В целях стимулирования рационального использования земель, а также повышения эффективности экономической политики государства в сфере землепользования в 2016 году продолжилось заключение Соглашений об инвестиционных обязательствах хозяйствующих субъектов при предоставлении им земель сельскохозяйственного назначения в пользование (аренду). По состоянию на 1 января 2017 года инвестиционными соглашениями и договорами охвачено </w:t>
      </w:r>
      <w:r w:rsidRPr="00F06A23">
        <w:rPr>
          <w:rFonts w:ascii="Times New Roman" w:hAnsi="Times New Roman"/>
          <w:bCs/>
          <w:sz w:val="24"/>
          <w:szCs w:val="24"/>
        </w:rPr>
        <w:t>84</w:t>
      </w:r>
      <w:r w:rsidRPr="00F06A23">
        <w:rPr>
          <w:rFonts w:ascii="Times New Roman" w:hAnsi="Times New Roman"/>
          <w:bCs/>
        </w:rPr>
        <w:t>,4 тыс. га</w:t>
      </w:r>
      <w:r w:rsidRPr="00F06A23">
        <w:rPr>
          <w:rFonts w:ascii="Times New Roman" w:hAnsi="Times New Roman"/>
          <w:sz w:val="24"/>
          <w:szCs w:val="24"/>
        </w:rPr>
        <w:t xml:space="preserve"> земель сельскохозяйственного назначения. Общая сумма предполагаемых инвестиций согласно заключенным соглашениям и договорам долгосрочного пользования составляет </w:t>
      </w:r>
      <w:r w:rsidRPr="00F06A23">
        <w:rPr>
          <w:rFonts w:ascii="Times New Roman" w:hAnsi="Times New Roman"/>
          <w:bCs/>
          <w:sz w:val="24"/>
          <w:szCs w:val="24"/>
        </w:rPr>
        <w:t>175,3</w:t>
      </w:r>
      <w:r w:rsidRPr="00F06A23">
        <w:rPr>
          <w:rFonts w:ascii="Times New Roman" w:hAnsi="Times New Roman"/>
          <w:sz w:val="24"/>
          <w:szCs w:val="24"/>
        </w:rPr>
        <w:t xml:space="preserve"> млн. руб., из них в материальные и внеоборотные активы сельскохозяйственных организаций будет направлено – 165,3 млн.</w:t>
      </w:r>
      <w:r w:rsidR="00E01495">
        <w:rPr>
          <w:rFonts w:ascii="Times New Roman" w:hAnsi="Times New Roman"/>
          <w:sz w:val="24"/>
          <w:szCs w:val="24"/>
        </w:rPr>
        <w:t> </w:t>
      </w:r>
      <w:r w:rsidRPr="00F06A23">
        <w:rPr>
          <w:rFonts w:ascii="Times New Roman" w:hAnsi="Times New Roman"/>
          <w:sz w:val="24"/>
          <w:szCs w:val="24"/>
        </w:rPr>
        <w:t>руб., в инфраструктуру сел – 10 млн. руб.</w:t>
      </w:r>
      <w:r w:rsidRPr="00F06A23">
        <w:rPr>
          <w:spacing w:val="-12"/>
        </w:rPr>
        <w:t xml:space="preserve"> </w:t>
      </w:r>
      <w:r>
        <w:rPr>
          <w:rFonts w:ascii="Times New Roman" w:hAnsi="Times New Roman"/>
          <w:spacing w:val="-12"/>
          <w:sz w:val="24"/>
          <w:szCs w:val="24"/>
        </w:rPr>
        <w:t xml:space="preserve">Всего </w:t>
      </w:r>
      <w:r w:rsidRPr="00054A3E">
        <w:rPr>
          <w:rFonts w:ascii="Times New Roman" w:hAnsi="Times New Roman"/>
          <w:spacing w:val="-12"/>
          <w:sz w:val="24"/>
          <w:szCs w:val="24"/>
        </w:rPr>
        <w:t xml:space="preserve">в </w:t>
      </w:r>
      <w:r>
        <w:rPr>
          <w:rFonts w:ascii="Times New Roman" w:hAnsi="Times New Roman"/>
          <w:spacing w:val="-12"/>
          <w:sz w:val="24"/>
          <w:szCs w:val="24"/>
        </w:rPr>
        <w:t xml:space="preserve">2016 году </w:t>
      </w:r>
      <w:r w:rsidRPr="00054A3E">
        <w:rPr>
          <w:rFonts w:ascii="Times New Roman" w:hAnsi="Times New Roman"/>
          <w:spacing w:val="-12"/>
          <w:sz w:val="24"/>
          <w:szCs w:val="24"/>
        </w:rPr>
        <w:t xml:space="preserve">было заключено 241 Соглашение </w:t>
      </w:r>
      <w:r w:rsidRPr="00F06A23">
        <w:rPr>
          <w:rFonts w:ascii="Times New Roman" w:hAnsi="Times New Roman"/>
          <w:sz w:val="24"/>
          <w:szCs w:val="24"/>
        </w:rPr>
        <w:t xml:space="preserve">об инвестиционных обязательствах </w:t>
      </w:r>
      <w:r w:rsidRPr="00054A3E">
        <w:rPr>
          <w:rFonts w:ascii="Times New Roman" w:hAnsi="Times New Roman"/>
          <w:spacing w:val="-12"/>
          <w:sz w:val="24"/>
          <w:szCs w:val="24"/>
        </w:rPr>
        <w:t>на общую сумму</w:t>
      </w:r>
      <w:r>
        <w:rPr>
          <w:rFonts w:ascii="Times New Roman" w:hAnsi="Times New Roman"/>
          <w:spacing w:val="-12"/>
          <w:sz w:val="24"/>
          <w:szCs w:val="24"/>
        </w:rPr>
        <w:t xml:space="preserve"> </w:t>
      </w:r>
      <w:r w:rsidRPr="00054A3E">
        <w:rPr>
          <w:rFonts w:ascii="Times New Roman" w:hAnsi="Times New Roman"/>
          <w:spacing w:val="-12"/>
          <w:sz w:val="24"/>
          <w:szCs w:val="24"/>
        </w:rPr>
        <w:t>25,490 млн. руб.</w:t>
      </w:r>
    </w:p>
    <w:p w:rsidR="00BB46CA" w:rsidRPr="00F06A23" w:rsidRDefault="00BB46CA" w:rsidP="00BB46CA">
      <w:pPr>
        <w:tabs>
          <w:tab w:val="left" w:pos="8647"/>
        </w:tabs>
        <w:spacing w:after="0" w:line="240" w:lineRule="auto"/>
        <w:ind w:firstLine="709"/>
        <w:jc w:val="both"/>
        <w:rPr>
          <w:rFonts w:ascii="Times New Roman" w:hAnsi="Times New Roman"/>
          <w:b/>
          <w:i/>
          <w:sz w:val="24"/>
          <w:szCs w:val="24"/>
        </w:rPr>
      </w:pPr>
      <w:r w:rsidRPr="00F06A23">
        <w:rPr>
          <w:rFonts w:ascii="Times New Roman" w:hAnsi="Times New Roman"/>
          <w:b/>
          <w:i/>
          <w:sz w:val="24"/>
          <w:szCs w:val="24"/>
        </w:rPr>
        <w:t>Государственная поддержка хозяйствующим субъектам АПК</w:t>
      </w:r>
    </w:p>
    <w:p w:rsidR="00BB46CA" w:rsidRPr="00F06A23" w:rsidRDefault="00BB46CA" w:rsidP="009F6053">
      <w:pPr>
        <w:tabs>
          <w:tab w:val="left" w:pos="709"/>
        </w:tabs>
        <w:spacing w:after="0" w:line="240" w:lineRule="auto"/>
        <w:ind w:firstLine="709"/>
        <w:jc w:val="both"/>
        <w:rPr>
          <w:rFonts w:ascii="Times New Roman" w:hAnsi="Times New Roman"/>
          <w:sz w:val="24"/>
          <w:szCs w:val="24"/>
        </w:rPr>
      </w:pPr>
      <w:r w:rsidRPr="00F06A23">
        <w:rPr>
          <w:rFonts w:ascii="Times New Roman" w:hAnsi="Times New Roman"/>
          <w:sz w:val="24"/>
          <w:szCs w:val="24"/>
        </w:rPr>
        <w:t>В 2016 году продолжилось кредитование хозяйствующих субъектов агропромышленного комплекса республики из средств помощи, полученной от Российской Федерации в 2008 и 2011 годах, кредитными организациями через Фонд государственного резерва Приднестровской Молдавской Республики. Наблюдательным советом Фонда государственного резерва Приднестровской Молдавской Республики было принято решение о выделении хозяйствующим субъектам агропромышленного комплекса республики беспроцентных займов (кредитов) в сумме 90,8 млн. руб. РФ против 5,75 млн. руб. РФ в 2015</w:t>
      </w:r>
      <w:r w:rsidR="009F6053">
        <w:rPr>
          <w:rFonts w:ascii="Times New Roman" w:hAnsi="Times New Roman"/>
          <w:sz w:val="24"/>
          <w:szCs w:val="24"/>
        </w:rPr>
        <w:t> </w:t>
      </w:r>
      <w:r w:rsidRPr="00F06A23">
        <w:rPr>
          <w:rFonts w:ascii="Times New Roman" w:hAnsi="Times New Roman"/>
          <w:sz w:val="24"/>
          <w:szCs w:val="24"/>
        </w:rPr>
        <w:t>году. Кредитование осуществлялось в разрезе следующих направлений:</w:t>
      </w:r>
    </w:p>
    <w:p w:rsidR="00BB46CA" w:rsidRPr="00F06A23" w:rsidRDefault="00BB46CA" w:rsidP="00BB46CA">
      <w:pPr>
        <w:pStyle w:val="a5"/>
        <w:numPr>
          <w:ilvl w:val="0"/>
          <w:numId w:val="1"/>
        </w:numPr>
        <w:tabs>
          <w:tab w:val="left" w:pos="851"/>
          <w:tab w:val="left" w:pos="993"/>
        </w:tabs>
        <w:spacing w:after="0" w:line="240" w:lineRule="auto"/>
        <w:ind w:left="0" w:firstLine="709"/>
        <w:jc w:val="both"/>
        <w:rPr>
          <w:rFonts w:ascii="Times New Roman" w:hAnsi="Times New Roman"/>
          <w:sz w:val="24"/>
          <w:szCs w:val="24"/>
        </w:rPr>
      </w:pPr>
      <w:r w:rsidRPr="00F06A23">
        <w:rPr>
          <w:rFonts w:ascii="Times New Roman" w:hAnsi="Times New Roman"/>
          <w:sz w:val="24"/>
          <w:szCs w:val="24"/>
        </w:rPr>
        <w:t>Закладка многолетних насаждений – 20 млн. руб. РФ на приобретение саженцев, техники, оборудования для капельного орошения;</w:t>
      </w:r>
    </w:p>
    <w:p w:rsidR="00BB46CA" w:rsidRPr="00F06A23" w:rsidRDefault="00BB46CA" w:rsidP="00BB46CA">
      <w:pPr>
        <w:pStyle w:val="a5"/>
        <w:numPr>
          <w:ilvl w:val="0"/>
          <w:numId w:val="1"/>
        </w:numPr>
        <w:tabs>
          <w:tab w:val="left" w:pos="0"/>
          <w:tab w:val="left" w:pos="709"/>
          <w:tab w:val="left" w:pos="851"/>
          <w:tab w:val="left" w:pos="993"/>
        </w:tabs>
        <w:spacing w:after="0" w:line="240" w:lineRule="auto"/>
        <w:ind w:left="0" w:firstLine="709"/>
        <w:jc w:val="both"/>
        <w:rPr>
          <w:rFonts w:ascii="Times New Roman" w:hAnsi="Times New Roman"/>
          <w:sz w:val="24"/>
          <w:szCs w:val="24"/>
        </w:rPr>
      </w:pPr>
      <w:r w:rsidRPr="00F06A23">
        <w:rPr>
          <w:rFonts w:ascii="Times New Roman" w:hAnsi="Times New Roman"/>
          <w:sz w:val="24"/>
          <w:szCs w:val="24"/>
        </w:rPr>
        <w:t>Приобретение сельскохозяйственной техники в сфере растениеводства –34,2</w:t>
      </w:r>
      <w:r w:rsidR="009F6053">
        <w:rPr>
          <w:rFonts w:ascii="Times New Roman" w:hAnsi="Times New Roman"/>
          <w:sz w:val="24"/>
          <w:szCs w:val="24"/>
        </w:rPr>
        <w:t> </w:t>
      </w:r>
      <w:r w:rsidRPr="00F06A23">
        <w:rPr>
          <w:rFonts w:ascii="Times New Roman" w:hAnsi="Times New Roman"/>
          <w:sz w:val="24"/>
          <w:szCs w:val="24"/>
        </w:rPr>
        <w:t>млн.</w:t>
      </w:r>
      <w:r w:rsidR="009F6053">
        <w:rPr>
          <w:rFonts w:ascii="Times New Roman" w:hAnsi="Times New Roman"/>
          <w:sz w:val="24"/>
          <w:szCs w:val="24"/>
        </w:rPr>
        <w:t> </w:t>
      </w:r>
      <w:r w:rsidRPr="00F06A23">
        <w:rPr>
          <w:rFonts w:ascii="Times New Roman" w:hAnsi="Times New Roman"/>
          <w:sz w:val="24"/>
          <w:szCs w:val="24"/>
        </w:rPr>
        <w:t>руб. РФ;</w:t>
      </w:r>
    </w:p>
    <w:p w:rsidR="00BB46CA" w:rsidRPr="00F06A23" w:rsidRDefault="00BB46CA" w:rsidP="00BB46CA">
      <w:pPr>
        <w:pStyle w:val="a5"/>
        <w:numPr>
          <w:ilvl w:val="0"/>
          <w:numId w:val="1"/>
        </w:numPr>
        <w:tabs>
          <w:tab w:val="left" w:pos="0"/>
          <w:tab w:val="left" w:pos="709"/>
          <w:tab w:val="left" w:pos="851"/>
          <w:tab w:val="left" w:pos="993"/>
        </w:tabs>
        <w:spacing w:after="0" w:line="240" w:lineRule="auto"/>
        <w:ind w:left="0" w:firstLine="709"/>
        <w:jc w:val="both"/>
        <w:rPr>
          <w:rFonts w:ascii="Times New Roman" w:hAnsi="Times New Roman"/>
          <w:sz w:val="24"/>
          <w:szCs w:val="24"/>
        </w:rPr>
      </w:pPr>
      <w:r w:rsidRPr="00F06A23">
        <w:rPr>
          <w:rFonts w:ascii="Times New Roman" w:hAnsi="Times New Roman"/>
          <w:sz w:val="24"/>
          <w:szCs w:val="24"/>
        </w:rPr>
        <w:t xml:space="preserve">Животноводство – 25,1 млн. руб. РФ; </w:t>
      </w:r>
    </w:p>
    <w:p w:rsidR="00BB46CA" w:rsidRPr="00F06A23" w:rsidRDefault="00BB46CA" w:rsidP="00BB46CA">
      <w:pPr>
        <w:pStyle w:val="a5"/>
        <w:numPr>
          <w:ilvl w:val="0"/>
          <w:numId w:val="1"/>
        </w:numPr>
        <w:tabs>
          <w:tab w:val="left" w:pos="0"/>
          <w:tab w:val="left" w:pos="709"/>
          <w:tab w:val="left" w:pos="851"/>
          <w:tab w:val="left" w:pos="993"/>
        </w:tabs>
        <w:spacing w:after="0" w:line="240" w:lineRule="auto"/>
        <w:ind w:left="0" w:firstLine="709"/>
        <w:jc w:val="both"/>
        <w:rPr>
          <w:rFonts w:ascii="Times New Roman" w:hAnsi="Times New Roman"/>
          <w:sz w:val="24"/>
          <w:szCs w:val="24"/>
        </w:rPr>
      </w:pPr>
      <w:r w:rsidRPr="00F06A23">
        <w:rPr>
          <w:rFonts w:ascii="Times New Roman" w:hAnsi="Times New Roman"/>
          <w:sz w:val="24"/>
          <w:szCs w:val="24"/>
        </w:rPr>
        <w:t>Мелиорация – 11,5 млн. руб. РФ.</w:t>
      </w:r>
    </w:p>
    <w:p w:rsidR="00BB46CA" w:rsidRPr="00F06A23" w:rsidRDefault="00BB46CA" w:rsidP="00BB46CA">
      <w:pPr>
        <w:spacing w:after="0" w:line="240" w:lineRule="auto"/>
        <w:ind w:firstLine="708"/>
        <w:jc w:val="both"/>
        <w:rPr>
          <w:rFonts w:ascii="Times New Roman" w:hAnsi="Times New Roman"/>
          <w:sz w:val="24"/>
          <w:szCs w:val="24"/>
        </w:rPr>
      </w:pPr>
      <w:r w:rsidRPr="00F06A23">
        <w:rPr>
          <w:rFonts w:ascii="Times New Roman" w:hAnsi="Times New Roman"/>
          <w:sz w:val="24"/>
          <w:szCs w:val="24"/>
        </w:rPr>
        <w:t>Кроме того, на развитие личного подсобного хозяйства физическим лицам выделено 10 млн. руб. ПМР, что на 3,4 млн. руб. больше, чем в 2015 году.</w:t>
      </w:r>
    </w:p>
    <w:p w:rsidR="00BB46CA" w:rsidRPr="00F06A23" w:rsidRDefault="00BB46CA" w:rsidP="00BB46CA">
      <w:pPr>
        <w:spacing w:after="0" w:line="240" w:lineRule="auto"/>
        <w:ind w:firstLine="709"/>
        <w:jc w:val="both"/>
        <w:rPr>
          <w:rFonts w:ascii="Times New Roman" w:hAnsi="Times New Roman"/>
          <w:sz w:val="24"/>
          <w:szCs w:val="24"/>
        </w:rPr>
      </w:pPr>
      <w:r w:rsidRPr="00F06A23">
        <w:rPr>
          <w:rFonts w:ascii="Times New Roman" w:hAnsi="Times New Roman"/>
          <w:sz w:val="24"/>
          <w:szCs w:val="24"/>
        </w:rPr>
        <w:t>В целях поддержки производителей и переработчиков животноводческой продукции были установлены льготные тарифы на услуги по газоснабжению и на у</w:t>
      </w:r>
      <w:r w:rsidRPr="00F06A23">
        <w:rPr>
          <w:rFonts w:ascii="Times New Roman" w:hAnsi="Times New Roman"/>
          <w:b/>
          <w:sz w:val="24"/>
          <w:szCs w:val="24"/>
        </w:rPr>
        <w:t>с</w:t>
      </w:r>
      <w:r w:rsidRPr="00F06A23">
        <w:rPr>
          <w:rFonts w:ascii="Times New Roman" w:hAnsi="Times New Roman"/>
          <w:sz w:val="24"/>
          <w:szCs w:val="24"/>
        </w:rPr>
        <w:t xml:space="preserve">луги в сфере электроэнергетики. </w:t>
      </w:r>
    </w:p>
    <w:p w:rsidR="00BB46CA" w:rsidRPr="00F06A23" w:rsidRDefault="00BB46CA" w:rsidP="00BB46CA">
      <w:pPr>
        <w:spacing w:after="0" w:line="240" w:lineRule="auto"/>
        <w:ind w:firstLine="708"/>
        <w:jc w:val="both"/>
        <w:rPr>
          <w:rFonts w:ascii="Times New Roman" w:hAnsi="Times New Roman"/>
          <w:sz w:val="24"/>
          <w:szCs w:val="24"/>
        </w:rPr>
      </w:pPr>
      <w:r w:rsidRPr="00F06A23">
        <w:rPr>
          <w:rFonts w:ascii="Times New Roman" w:hAnsi="Times New Roman"/>
          <w:sz w:val="24"/>
          <w:szCs w:val="24"/>
        </w:rPr>
        <w:t>Оказание поддержки сельскохозяйственным предприятиям также выражается в мерах, способствующих снижению себестоимости произведенной продукции:</w:t>
      </w:r>
    </w:p>
    <w:p w:rsidR="00BB46CA" w:rsidRPr="00F06A23" w:rsidRDefault="00BB46CA" w:rsidP="00BB46CA">
      <w:pPr>
        <w:pStyle w:val="21"/>
        <w:ind w:firstLine="708"/>
        <w:jc w:val="both"/>
        <w:rPr>
          <w:rFonts w:ascii="Times New Roman" w:hAnsi="Times New Roman"/>
          <w:sz w:val="24"/>
          <w:szCs w:val="24"/>
        </w:rPr>
      </w:pPr>
      <w:r w:rsidRPr="00F06A23">
        <w:rPr>
          <w:rFonts w:ascii="Times New Roman" w:hAnsi="Times New Roman"/>
          <w:sz w:val="24"/>
          <w:szCs w:val="24"/>
        </w:rPr>
        <w:lastRenderedPageBreak/>
        <w:t>- льготный тариф на оказание услуги по подаче поливной воды на орошение: 70</w:t>
      </w:r>
      <w:r w:rsidR="009F6053">
        <w:rPr>
          <w:rFonts w:ascii="Times New Roman" w:hAnsi="Times New Roman"/>
          <w:sz w:val="24"/>
          <w:szCs w:val="24"/>
        </w:rPr>
        <w:t> </w:t>
      </w:r>
      <w:r w:rsidRPr="00F06A23">
        <w:rPr>
          <w:rFonts w:ascii="Times New Roman" w:hAnsi="Times New Roman"/>
          <w:sz w:val="24"/>
          <w:szCs w:val="24"/>
        </w:rPr>
        <w:t>копеек за один метр кубический и без оплаты в засушливый период (в засуху);</w:t>
      </w:r>
    </w:p>
    <w:p w:rsidR="00BB46CA" w:rsidRPr="00F06A23" w:rsidRDefault="00BB46CA" w:rsidP="00BB46CA">
      <w:pPr>
        <w:pStyle w:val="21"/>
        <w:ind w:firstLine="708"/>
        <w:jc w:val="both"/>
        <w:rPr>
          <w:rFonts w:ascii="Times New Roman" w:hAnsi="Times New Roman"/>
          <w:sz w:val="24"/>
          <w:szCs w:val="24"/>
        </w:rPr>
      </w:pPr>
      <w:r w:rsidRPr="00F06A23">
        <w:rPr>
          <w:rFonts w:ascii="Times New Roman" w:hAnsi="Times New Roman"/>
          <w:sz w:val="24"/>
          <w:szCs w:val="24"/>
        </w:rPr>
        <w:t>- снижение таможенных пошлин и их обнуление на номенклатуру товаров для сельскохозяйственного производства – тракторов, сельскохозяйственных машин и механизмов;</w:t>
      </w:r>
    </w:p>
    <w:p w:rsidR="00BB46CA" w:rsidRPr="00F06A23" w:rsidRDefault="00BB46CA" w:rsidP="00BB46CA">
      <w:pPr>
        <w:pStyle w:val="21"/>
        <w:ind w:firstLine="708"/>
        <w:jc w:val="both"/>
        <w:rPr>
          <w:rFonts w:ascii="Times New Roman" w:hAnsi="Times New Roman"/>
          <w:sz w:val="24"/>
          <w:szCs w:val="24"/>
        </w:rPr>
      </w:pPr>
      <w:r w:rsidRPr="00F06A23">
        <w:rPr>
          <w:rFonts w:ascii="Times New Roman" w:hAnsi="Times New Roman"/>
          <w:sz w:val="24"/>
          <w:szCs w:val="24"/>
        </w:rPr>
        <w:t>- упрощение оформления товаров, используемых в технологическом процессе: семян, удобрений, посадочного материала, средств защиты растений.</w:t>
      </w:r>
    </w:p>
    <w:p w:rsidR="00BB46CA" w:rsidRPr="00F06A23" w:rsidRDefault="00BB46CA" w:rsidP="00BB46CA">
      <w:pPr>
        <w:spacing w:after="0" w:line="240" w:lineRule="auto"/>
        <w:ind w:firstLine="708"/>
        <w:jc w:val="both"/>
        <w:rPr>
          <w:rFonts w:ascii="Times New Roman" w:hAnsi="Times New Roman"/>
          <w:sz w:val="24"/>
          <w:szCs w:val="24"/>
        </w:rPr>
      </w:pPr>
      <w:r w:rsidRPr="00F06A23">
        <w:rPr>
          <w:rFonts w:ascii="Times New Roman" w:hAnsi="Times New Roman"/>
          <w:sz w:val="24"/>
          <w:szCs w:val="24"/>
        </w:rPr>
        <w:t>В целях государственной поддержки землепользователям в 2016 году предоставлялись преференции в виде полного освобождения от уплаты налогов, а именно:</w:t>
      </w:r>
    </w:p>
    <w:p w:rsidR="00BB46CA" w:rsidRPr="00F06A23" w:rsidRDefault="00BB46CA" w:rsidP="00BB46CA">
      <w:pPr>
        <w:spacing w:after="0" w:line="240" w:lineRule="auto"/>
        <w:ind w:firstLine="708"/>
        <w:jc w:val="both"/>
        <w:rPr>
          <w:rFonts w:ascii="Times New Roman" w:hAnsi="Times New Roman"/>
          <w:sz w:val="24"/>
          <w:szCs w:val="24"/>
        </w:rPr>
      </w:pPr>
      <w:r w:rsidRPr="00F06A23">
        <w:rPr>
          <w:rFonts w:ascii="Times New Roman" w:hAnsi="Times New Roman"/>
          <w:sz w:val="24"/>
          <w:szCs w:val="24"/>
        </w:rPr>
        <w:t>- при посадке многолетних насаждений до вступления их в плодоношение;</w:t>
      </w:r>
    </w:p>
    <w:p w:rsidR="00BB46CA" w:rsidRPr="00F06A23" w:rsidRDefault="00BB46CA" w:rsidP="009F6053">
      <w:pPr>
        <w:tabs>
          <w:tab w:val="left" w:pos="709"/>
        </w:tabs>
        <w:spacing w:after="0" w:line="240" w:lineRule="auto"/>
        <w:ind w:firstLine="709"/>
        <w:jc w:val="both"/>
        <w:rPr>
          <w:rFonts w:ascii="Times New Roman" w:hAnsi="Times New Roman"/>
          <w:sz w:val="24"/>
          <w:szCs w:val="24"/>
        </w:rPr>
      </w:pPr>
      <w:r w:rsidRPr="00F06A23">
        <w:rPr>
          <w:rFonts w:ascii="Times New Roman" w:hAnsi="Times New Roman"/>
          <w:sz w:val="24"/>
          <w:szCs w:val="24"/>
        </w:rPr>
        <w:t>- при раскорчевке многолетних насаждений;</w:t>
      </w:r>
    </w:p>
    <w:p w:rsidR="00BB46CA" w:rsidRPr="00F06A23" w:rsidRDefault="00BB46CA" w:rsidP="009F6053">
      <w:pPr>
        <w:tabs>
          <w:tab w:val="left" w:pos="709"/>
        </w:tabs>
        <w:spacing w:after="0" w:line="240" w:lineRule="auto"/>
        <w:ind w:firstLine="709"/>
        <w:jc w:val="both"/>
      </w:pPr>
      <w:r w:rsidRPr="00F06A23">
        <w:rPr>
          <w:rFonts w:ascii="Times New Roman" w:hAnsi="Times New Roman"/>
          <w:sz w:val="24"/>
          <w:szCs w:val="24"/>
        </w:rPr>
        <w:t xml:space="preserve">- при </w:t>
      </w:r>
      <w:r w:rsidRPr="00F06A23">
        <w:rPr>
          <w:rFonts w:ascii="Times New Roman" w:hAnsi="Times New Roman"/>
          <w:sz w:val="24"/>
          <w:szCs w:val="24"/>
        </w:rPr>
        <w:tab/>
        <w:t>образовании крестьянских (фермерских) хозяйств с момента их государственной регистрации</w:t>
      </w:r>
      <w:r w:rsidRPr="00F06A23">
        <w:t>.</w:t>
      </w:r>
    </w:p>
    <w:p w:rsidR="00BB46CA" w:rsidRPr="00F06A23" w:rsidRDefault="00BB46CA" w:rsidP="00BB46CA">
      <w:pPr>
        <w:shd w:val="clear" w:color="auto" w:fill="FFFFFF"/>
        <w:autoSpaceDE w:val="0"/>
        <w:autoSpaceDN w:val="0"/>
        <w:adjustRightInd w:val="0"/>
        <w:spacing w:after="0" w:line="240" w:lineRule="auto"/>
        <w:ind w:firstLine="709"/>
        <w:contextualSpacing/>
        <w:jc w:val="both"/>
        <w:rPr>
          <w:rFonts w:ascii="Times New Roman" w:hAnsi="Times New Roman"/>
          <w:sz w:val="24"/>
          <w:szCs w:val="24"/>
        </w:rPr>
      </w:pPr>
      <w:r w:rsidRPr="00F06A23">
        <w:rPr>
          <w:rFonts w:ascii="Times New Roman" w:hAnsi="Times New Roman"/>
          <w:sz w:val="24"/>
          <w:szCs w:val="24"/>
        </w:rPr>
        <w:t>В целом в агропромышленном комплексе республики отмечаются положительные тенденции в развитии растениеводческой отрасли, что обусловлено внедрением интенсивных и ресурсосберегающих технологий, высокоурожайных и элитных сортов, а также использованием современной высокопроизводительной техники. Однако, общая ситуация в животноводческой отрасли остаётся по-прежнему сложной. Состояние отрасли требует принятия мер государственной поддержки в долгосрочной перспективе. Ключевым ограничением для развития животноводческой отрасли является низкая привлекательность для частных инвестиций. Этому способствуют длительный период окупаемости инвестиционных вложений и высокие процентные ставки по кредитам. Отрасль становится непривлекательна для молодых специалистов, в республике наблюдается дефицит специалистов по профессиональному обращению с животными (зоотехники, селекционеры, техники-осеменаторы).</w:t>
      </w:r>
    </w:p>
    <w:p w:rsidR="00BB46CA" w:rsidRPr="00F06A23" w:rsidRDefault="00BB46CA" w:rsidP="00BB46CA">
      <w:pPr>
        <w:shd w:val="clear" w:color="auto" w:fill="FFFFFF"/>
        <w:autoSpaceDE w:val="0"/>
        <w:autoSpaceDN w:val="0"/>
        <w:adjustRightInd w:val="0"/>
        <w:spacing w:after="0" w:line="240" w:lineRule="auto"/>
        <w:ind w:firstLine="709"/>
        <w:contextualSpacing/>
        <w:jc w:val="both"/>
        <w:rPr>
          <w:rFonts w:ascii="Times New Roman" w:hAnsi="Times New Roman"/>
          <w:sz w:val="24"/>
          <w:szCs w:val="24"/>
        </w:rPr>
      </w:pPr>
    </w:p>
    <w:p w:rsidR="00BB46CA" w:rsidRDefault="00BB46CA" w:rsidP="00BB46CA">
      <w:pPr>
        <w:widowControl w:val="0"/>
        <w:autoSpaceDE w:val="0"/>
        <w:autoSpaceDN w:val="0"/>
        <w:adjustRightInd w:val="0"/>
        <w:spacing w:after="0" w:line="240" w:lineRule="auto"/>
        <w:ind w:firstLine="709"/>
        <w:jc w:val="both"/>
        <w:rPr>
          <w:rFonts w:ascii="Times New Roman" w:eastAsia="Calibri" w:hAnsi="Times New Roman"/>
          <w:b/>
          <w:sz w:val="24"/>
          <w:szCs w:val="24"/>
          <w:lang w:eastAsia="en-US"/>
        </w:rPr>
      </w:pPr>
      <w:r w:rsidRPr="0080737A">
        <w:rPr>
          <w:rFonts w:ascii="Times New Roman" w:eastAsia="Calibri" w:hAnsi="Times New Roman"/>
          <w:b/>
          <w:sz w:val="24"/>
          <w:szCs w:val="24"/>
          <w:lang w:eastAsia="en-US"/>
        </w:rPr>
        <w:t>Инвестиционная деятельность</w:t>
      </w:r>
    </w:p>
    <w:p w:rsidR="009F6053" w:rsidRPr="0080737A" w:rsidRDefault="009F6053" w:rsidP="00BB46CA">
      <w:pPr>
        <w:widowControl w:val="0"/>
        <w:autoSpaceDE w:val="0"/>
        <w:autoSpaceDN w:val="0"/>
        <w:adjustRightInd w:val="0"/>
        <w:spacing w:after="0" w:line="240" w:lineRule="auto"/>
        <w:ind w:firstLine="709"/>
        <w:jc w:val="both"/>
        <w:rPr>
          <w:rFonts w:ascii="Times New Roman" w:eastAsia="Calibri" w:hAnsi="Times New Roman"/>
          <w:b/>
          <w:sz w:val="24"/>
          <w:szCs w:val="24"/>
          <w:lang w:eastAsia="en-US"/>
        </w:rPr>
      </w:pPr>
    </w:p>
    <w:p w:rsidR="00BB46CA" w:rsidRPr="00CB2B21" w:rsidRDefault="00BB46CA" w:rsidP="00BB46CA">
      <w:pPr>
        <w:spacing w:after="0" w:line="240" w:lineRule="auto"/>
        <w:ind w:firstLine="709"/>
        <w:jc w:val="both"/>
        <w:rPr>
          <w:rFonts w:ascii="Times New Roman" w:eastAsia="Calibri" w:hAnsi="Times New Roman"/>
          <w:sz w:val="24"/>
          <w:szCs w:val="24"/>
          <w:lang w:eastAsia="en-US"/>
        </w:rPr>
      </w:pPr>
      <w:r w:rsidRPr="00CB2B21">
        <w:rPr>
          <w:rFonts w:ascii="Times New Roman" w:eastAsia="Calibri" w:hAnsi="Times New Roman"/>
          <w:sz w:val="24"/>
          <w:szCs w:val="24"/>
          <w:lang w:eastAsia="en-US"/>
        </w:rPr>
        <w:t>Приоритетным направлением инвестиционной политики государства в 2016 году являлось создание благоприятного климата для отечественных и зарубежных инвесторов в целях увеличения инвестиционных потоков, модернизации основных фондов.</w:t>
      </w:r>
      <w:r w:rsidRPr="00CB2B21">
        <w:rPr>
          <w:rFonts w:ascii="Times New Roman" w:hAnsi="Times New Roman"/>
          <w:sz w:val="24"/>
          <w:szCs w:val="24"/>
        </w:rPr>
        <w:t xml:space="preserve"> В этой связи для повышения у</w:t>
      </w:r>
      <w:r w:rsidRPr="00CB2B21">
        <w:rPr>
          <w:rFonts w:ascii="Times New Roman" w:eastAsia="Calibri" w:hAnsi="Times New Roman"/>
          <w:sz w:val="24"/>
          <w:szCs w:val="24"/>
          <w:lang w:eastAsia="en-US"/>
        </w:rPr>
        <w:t>ровня инвестиционной активности, являющегося ключевым фактором развития экономики Приднестровья, 19-20 мая 2016</w:t>
      </w:r>
      <w:r w:rsidRPr="00CB2B21">
        <w:rPr>
          <w:rFonts w:eastAsia="Calibri"/>
        </w:rPr>
        <w:t> </w:t>
      </w:r>
      <w:r w:rsidRPr="00CB2B21">
        <w:rPr>
          <w:rFonts w:ascii="Times New Roman" w:eastAsia="Calibri" w:hAnsi="Times New Roman"/>
          <w:sz w:val="24"/>
          <w:szCs w:val="24"/>
          <w:lang w:eastAsia="en-US"/>
        </w:rPr>
        <w:t xml:space="preserve">года был проведен </w:t>
      </w:r>
      <w:r w:rsidRPr="00CB2B21">
        <w:rPr>
          <w:rFonts w:ascii="Times New Roman" w:eastAsia="Calibri" w:hAnsi="Times New Roman"/>
          <w:sz w:val="24"/>
          <w:szCs w:val="24"/>
          <w:lang w:val="en-US" w:eastAsia="en-US"/>
        </w:rPr>
        <w:t>IV</w:t>
      </w:r>
      <w:r w:rsidRPr="00CB2B21">
        <w:rPr>
          <w:rFonts w:ascii="Times New Roman" w:eastAsia="Calibri" w:hAnsi="Times New Roman"/>
          <w:sz w:val="24"/>
          <w:szCs w:val="24"/>
          <w:lang w:eastAsia="en-US"/>
        </w:rPr>
        <w:t xml:space="preserve"> Приднестровский инвестиционно</w:t>
      </w:r>
      <w:r w:rsidRPr="00CB2B21">
        <w:rPr>
          <w:rFonts w:ascii="Times New Roman" w:eastAsia="Calibri" w:hAnsi="Times New Roman"/>
          <w:sz w:val="24"/>
          <w:szCs w:val="24"/>
          <w:lang w:val="en-US" w:eastAsia="en-US"/>
        </w:rPr>
        <w:t> </w:t>
      </w:r>
      <w:r w:rsidRPr="00CB2B21">
        <w:rPr>
          <w:rFonts w:ascii="Times New Roman" w:eastAsia="Calibri" w:hAnsi="Times New Roman"/>
          <w:sz w:val="24"/>
          <w:szCs w:val="24"/>
          <w:lang w:eastAsia="en-US"/>
        </w:rPr>
        <w:t>-</w:t>
      </w:r>
      <w:r w:rsidRPr="00CB2B21">
        <w:rPr>
          <w:rFonts w:ascii="Times New Roman" w:eastAsia="Calibri" w:hAnsi="Times New Roman"/>
          <w:sz w:val="24"/>
          <w:szCs w:val="24"/>
          <w:lang w:val="en-US" w:eastAsia="en-US"/>
        </w:rPr>
        <w:t> </w:t>
      </w:r>
      <w:r w:rsidRPr="00CB2B21">
        <w:rPr>
          <w:rFonts w:ascii="Times New Roman" w:eastAsia="Calibri" w:hAnsi="Times New Roman"/>
          <w:sz w:val="24"/>
          <w:szCs w:val="24"/>
          <w:lang w:eastAsia="en-US"/>
        </w:rPr>
        <w:t xml:space="preserve">экономический форум. В рамках, которого на пленарном заседании и </w:t>
      </w:r>
      <w:r w:rsidR="00A53647">
        <w:rPr>
          <w:rFonts w:ascii="Times New Roman" w:eastAsia="Calibri" w:hAnsi="Times New Roman"/>
          <w:sz w:val="24"/>
          <w:szCs w:val="24"/>
          <w:lang w:eastAsia="en-US"/>
        </w:rPr>
        <w:t xml:space="preserve">          </w:t>
      </w:r>
      <w:r w:rsidRPr="00CB2B21">
        <w:rPr>
          <w:rFonts w:ascii="Times New Roman" w:eastAsia="Calibri" w:hAnsi="Times New Roman"/>
          <w:sz w:val="24"/>
          <w:szCs w:val="24"/>
          <w:lang w:eastAsia="en-US"/>
        </w:rPr>
        <w:t>5 дискуссионных площадках были заслушаны 34 доклада, приняли участие около 800 человек, из которых 64 иностранных участника из 43 организаций 17 стран мира (России, Украины, Беларуси, Молдовы, Абхазии, Италии, Франции, Великобритании, США, Чехии, Румынии, Швеции, Швейцарии, Германии, Польши, Словакии, Венгрии).</w:t>
      </w:r>
    </w:p>
    <w:p w:rsidR="00BB46CA" w:rsidRPr="00CB2B21" w:rsidRDefault="00BB46CA" w:rsidP="00BB46CA">
      <w:pPr>
        <w:spacing w:after="0" w:line="240" w:lineRule="auto"/>
        <w:ind w:firstLine="709"/>
        <w:jc w:val="both"/>
        <w:rPr>
          <w:rFonts w:ascii="Times New Roman" w:eastAsia="Calibri" w:hAnsi="Times New Roman"/>
          <w:sz w:val="24"/>
          <w:szCs w:val="24"/>
          <w:lang w:eastAsia="en-US"/>
        </w:rPr>
      </w:pPr>
      <w:r w:rsidRPr="00CB2B21">
        <w:rPr>
          <w:rFonts w:ascii="Times New Roman" w:eastAsia="Calibri" w:hAnsi="Times New Roman"/>
          <w:sz w:val="24"/>
          <w:szCs w:val="24"/>
          <w:lang w:eastAsia="en-US"/>
        </w:rPr>
        <w:t xml:space="preserve">При этом внешнеполитическая и внешнеэкономическая ситуация, сложившаяся вокруг Приднестровской Молдавской Республики, оказывает негативное воздействие на инвестиционную активность, как местных, так и иностранных инвесторов. Так, по итогам 2016 года </w:t>
      </w:r>
      <w:r w:rsidRPr="00CB2B21">
        <w:rPr>
          <w:rFonts w:ascii="Times New Roman" w:eastAsia="Calibri" w:hAnsi="Times New Roman"/>
          <w:b/>
          <w:sz w:val="24"/>
          <w:szCs w:val="24"/>
          <w:lang w:eastAsia="en-US"/>
        </w:rPr>
        <w:t xml:space="preserve">объем инвестиций в основной капитал </w:t>
      </w:r>
      <w:r w:rsidRPr="00CB2B21">
        <w:rPr>
          <w:rFonts w:ascii="Times New Roman" w:eastAsia="Calibri" w:hAnsi="Times New Roman"/>
          <w:b/>
          <w:i/>
          <w:sz w:val="24"/>
          <w:szCs w:val="24"/>
          <w:lang w:eastAsia="en-US"/>
        </w:rPr>
        <w:t>(с учетом субъектов малого предпринимательства и индивидуальных застройщиков)</w:t>
      </w:r>
      <w:r w:rsidRPr="00CB2B21">
        <w:rPr>
          <w:rFonts w:ascii="Times New Roman" w:eastAsia="Calibri" w:hAnsi="Times New Roman"/>
          <w:sz w:val="24"/>
          <w:szCs w:val="24"/>
          <w:lang w:eastAsia="en-US"/>
        </w:rPr>
        <w:t xml:space="preserve"> составил </w:t>
      </w:r>
      <w:r w:rsidRPr="00CB2B21">
        <w:rPr>
          <w:rFonts w:ascii="Times New Roman" w:eastAsia="Calibri" w:hAnsi="Times New Roman"/>
          <w:b/>
          <w:sz w:val="24"/>
          <w:szCs w:val="24"/>
          <w:lang w:eastAsia="en-US"/>
        </w:rPr>
        <w:t>137,3 млн. руб.</w:t>
      </w:r>
      <w:r w:rsidRPr="00CB2B21">
        <w:rPr>
          <w:rFonts w:ascii="Times New Roman" w:eastAsia="Calibri" w:hAnsi="Times New Roman"/>
          <w:sz w:val="24"/>
          <w:szCs w:val="24"/>
          <w:lang w:eastAsia="en-US"/>
        </w:rPr>
        <w:t xml:space="preserve"> и сократился на 17,2% к базовому уровню минувшего года.</w:t>
      </w:r>
    </w:p>
    <w:p w:rsidR="00BB46CA" w:rsidRPr="00CB2B21" w:rsidRDefault="00BB46CA" w:rsidP="00BB46CA">
      <w:pPr>
        <w:spacing w:after="0" w:line="240" w:lineRule="auto"/>
        <w:ind w:firstLine="709"/>
        <w:jc w:val="both"/>
        <w:rPr>
          <w:rFonts w:ascii="Times New Roman" w:hAnsi="Times New Roman"/>
          <w:sz w:val="24"/>
          <w:szCs w:val="24"/>
        </w:rPr>
      </w:pPr>
      <w:r w:rsidRPr="00CB2B21">
        <w:rPr>
          <w:rFonts w:ascii="Times New Roman" w:hAnsi="Times New Roman"/>
          <w:sz w:val="24"/>
          <w:szCs w:val="24"/>
        </w:rPr>
        <w:t xml:space="preserve">Размер инвестиций в основной капитал по организациям всех форм собственности (кроме субъектов малого предпринимательства) сложился на уровне 1 085,4 млн. руб. (в текущих ценах), что на 19,8% (в сопоставимой оценке) ниже уровня 2015 года. </w:t>
      </w:r>
    </w:p>
    <w:p w:rsidR="00BB46CA" w:rsidRPr="00CB2B21" w:rsidRDefault="00BB46CA" w:rsidP="00BB46CA">
      <w:pPr>
        <w:spacing w:after="0" w:line="240" w:lineRule="auto"/>
        <w:ind w:firstLine="709"/>
        <w:jc w:val="both"/>
        <w:rPr>
          <w:rFonts w:ascii="Times New Roman" w:hAnsi="Times New Roman"/>
          <w:sz w:val="24"/>
          <w:szCs w:val="24"/>
        </w:rPr>
      </w:pPr>
      <w:r w:rsidRPr="00CB2B21">
        <w:rPr>
          <w:rFonts w:ascii="Times New Roman" w:hAnsi="Times New Roman"/>
          <w:sz w:val="24"/>
          <w:szCs w:val="24"/>
        </w:rPr>
        <w:t xml:space="preserve">Объем средств затраченных на </w:t>
      </w:r>
      <w:r w:rsidRPr="00CB2B21">
        <w:rPr>
          <w:rFonts w:ascii="Times New Roman" w:hAnsi="Times New Roman"/>
          <w:spacing w:val="4"/>
          <w:sz w:val="24"/>
          <w:szCs w:val="24"/>
        </w:rPr>
        <w:t xml:space="preserve">обновление машин, оборудования, транспортных средств </w:t>
      </w:r>
      <w:r w:rsidRPr="00CB2B21">
        <w:rPr>
          <w:rFonts w:ascii="Times New Roman" w:hAnsi="Times New Roman"/>
          <w:sz w:val="24"/>
          <w:szCs w:val="24"/>
        </w:rPr>
        <w:t xml:space="preserve">и </w:t>
      </w:r>
      <w:r w:rsidRPr="00CB2B21">
        <w:rPr>
          <w:rFonts w:ascii="Times New Roman" w:hAnsi="Times New Roman"/>
          <w:spacing w:val="4"/>
          <w:sz w:val="24"/>
          <w:szCs w:val="24"/>
        </w:rPr>
        <w:t xml:space="preserve">строительно-монтажные работы </w:t>
      </w:r>
      <w:r w:rsidRPr="00CB2B21">
        <w:rPr>
          <w:rFonts w:ascii="Times New Roman" w:hAnsi="Times New Roman"/>
          <w:sz w:val="24"/>
          <w:szCs w:val="24"/>
        </w:rPr>
        <w:t xml:space="preserve">(в текущих ценах) </w:t>
      </w:r>
      <w:r w:rsidRPr="00CB2B21">
        <w:rPr>
          <w:rFonts w:ascii="Times New Roman" w:hAnsi="Times New Roman"/>
          <w:spacing w:val="4"/>
          <w:sz w:val="24"/>
          <w:szCs w:val="24"/>
        </w:rPr>
        <w:t xml:space="preserve">составил 595,7 млн. руб. и 447,8 млн. руб. соответственно, не достигнув объема 2015 года </w:t>
      </w:r>
      <w:r w:rsidRPr="00CB2B21">
        <w:rPr>
          <w:rFonts w:ascii="Times New Roman" w:hAnsi="Times New Roman"/>
          <w:sz w:val="24"/>
          <w:szCs w:val="24"/>
        </w:rPr>
        <w:t>(в сопоставимой оценке) на 16,4% и 20,8% соответственно.</w:t>
      </w:r>
    </w:p>
    <w:p w:rsidR="009F6053" w:rsidRPr="009F6053" w:rsidRDefault="00BB46CA" w:rsidP="009F6053">
      <w:pPr>
        <w:ind w:left="-426"/>
        <w:rPr>
          <w:rFonts w:ascii="Times New Roman" w:eastAsia="Calibri" w:hAnsi="Times New Roman"/>
          <w:spacing w:val="3"/>
          <w:sz w:val="10"/>
          <w:szCs w:val="10"/>
          <w:lang w:eastAsia="en-US"/>
        </w:rPr>
      </w:pPr>
      <w:r w:rsidRPr="00BB46CA">
        <w:rPr>
          <w:rFonts w:eastAsia="Calibri"/>
          <w:noProof/>
        </w:rPr>
        <w:lastRenderedPageBreak/>
        <w:drawing>
          <wp:inline distT="0" distB="0" distL="0" distR="0">
            <wp:extent cx="6467475" cy="2743200"/>
            <wp:effectExtent l="0" t="0" r="0" b="0"/>
            <wp:docPr id="3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303BE" w:rsidRPr="00CB2B21" w:rsidRDefault="009303BE" w:rsidP="009F6053">
      <w:pPr>
        <w:spacing w:after="0" w:line="240" w:lineRule="auto"/>
        <w:ind w:firstLine="709"/>
        <w:jc w:val="both"/>
        <w:rPr>
          <w:rFonts w:ascii="Times New Roman" w:eastAsia="Calibri" w:hAnsi="Times New Roman"/>
          <w:spacing w:val="3"/>
          <w:sz w:val="24"/>
          <w:szCs w:val="24"/>
          <w:lang w:eastAsia="en-US"/>
        </w:rPr>
      </w:pPr>
      <w:r w:rsidRPr="00CB2B21">
        <w:rPr>
          <w:rFonts w:ascii="Times New Roman" w:eastAsia="Calibri" w:hAnsi="Times New Roman"/>
          <w:spacing w:val="3"/>
          <w:sz w:val="24"/>
          <w:szCs w:val="24"/>
          <w:lang w:eastAsia="en-US"/>
        </w:rPr>
        <w:t xml:space="preserve">В 2016 году на строительство, расширение, реконструкцию и техническое перевооружение объектов </w:t>
      </w:r>
      <w:r w:rsidRPr="00CB2B21">
        <w:rPr>
          <w:rFonts w:ascii="Times New Roman" w:eastAsia="Calibri" w:hAnsi="Times New Roman"/>
          <w:b/>
          <w:spacing w:val="3"/>
          <w:sz w:val="24"/>
          <w:szCs w:val="24"/>
          <w:lang w:eastAsia="en-US"/>
        </w:rPr>
        <w:t>производственного назначения</w:t>
      </w:r>
      <w:r w:rsidRPr="00CB2B21">
        <w:rPr>
          <w:rFonts w:ascii="Times New Roman" w:eastAsia="Calibri" w:hAnsi="Times New Roman"/>
          <w:spacing w:val="3"/>
          <w:sz w:val="24"/>
          <w:szCs w:val="24"/>
          <w:lang w:eastAsia="en-US"/>
        </w:rPr>
        <w:t xml:space="preserve"> направлено 827,2 млн. руб. или 76,2% от общего объема инвестиций, сумма которых сократилась по отношению к уровню показателя 2015 года на 20,6%. </w:t>
      </w:r>
    </w:p>
    <w:p w:rsidR="009303BE" w:rsidRPr="00CB2B21" w:rsidRDefault="009303BE" w:rsidP="009303BE">
      <w:pPr>
        <w:spacing w:after="0" w:line="240" w:lineRule="auto"/>
        <w:ind w:firstLine="708"/>
        <w:jc w:val="both"/>
        <w:rPr>
          <w:rFonts w:ascii="Times New Roman" w:eastAsia="Calibri" w:hAnsi="Times New Roman"/>
          <w:spacing w:val="2"/>
          <w:sz w:val="24"/>
          <w:szCs w:val="24"/>
          <w:lang w:eastAsia="en-US"/>
        </w:rPr>
      </w:pPr>
      <w:r w:rsidRPr="00CB2B21">
        <w:rPr>
          <w:rFonts w:ascii="Times New Roman" w:eastAsia="Calibri" w:hAnsi="Times New Roman"/>
          <w:spacing w:val="3"/>
          <w:sz w:val="24"/>
          <w:szCs w:val="24"/>
          <w:lang w:eastAsia="en-US"/>
        </w:rPr>
        <w:t>По отношению к уроню</w:t>
      </w:r>
      <w:r w:rsidRPr="00CB2B21">
        <w:rPr>
          <w:rFonts w:ascii="Times New Roman" w:eastAsia="Calibri" w:hAnsi="Times New Roman"/>
          <w:spacing w:val="2"/>
          <w:sz w:val="24"/>
          <w:szCs w:val="24"/>
          <w:lang w:eastAsia="en-US"/>
        </w:rPr>
        <w:t xml:space="preserve"> 2015 года </w:t>
      </w:r>
      <w:r w:rsidRPr="00CB2B21">
        <w:rPr>
          <w:rFonts w:ascii="Times New Roman" w:eastAsia="Calibri" w:hAnsi="Times New Roman"/>
          <w:spacing w:val="3"/>
          <w:sz w:val="24"/>
          <w:szCs w:val="24"/>
          <w:lang w:eastAsia="en-US"/>
        </w:rPr>
        <w:t xml:space="preserve">сумма средств, направленных на обновление объектов </w:t>
      </w:r>
      <w:r w:rsidRPr="00CB2B21">
        <w:rPr>
          <w:rFonts w:ascii="Times New Roman" w:eastAsia="Calibri" w:hAnsi="Times New Roman"/>
          <w:b/>
          <w:spacing w:val="2"/>
          <w:sz w:val="24"/>
          <w:szCs w:val="24"/>
          <w:lang w:eastAsia="en-US"/>
        </w:rPr>
        <w:t xml:space="preserve">непроизводственного назначения </w:t>
      </w:r>
      <w:r w:rsidRPr="00CB2B21">
        <w:rPr>
          <w:rFonts w:ascii="Times New Roman" w:eastAsia="Calibri" w:hAnsi="Times New Roman"/>
          <w:spacing w:val="2"/>
          <w:sz w:val="24"/>
          <w:szCs w:val="24"/>
          <w:lang w:eastAsia="en-US"/>
        </w:rPr>
        <w:t>сузилась на 16,8%, их вклад в совокупный объем инвестиций составил 23,8%.</w:t>
      </w:r>
    </w:p>
    <w:p w:rsidR="009303BE" w:rsidRPr="009F6053" w:rsidRDefault="009303BE" w:rsidP="009F6053">
      <w:pPr>
        <w:spacing w:after="0"/>
        <w:rPr>
          <w:rFonts w:eastAsia="Calibri"/>
          <w:sz w:val="10"/>
          <w:szCs w:val="10"/>
        </w:rPr>
      </w:pPr>
      <w:r w:rsidRPr="009303BE">
        <w:rPr>
          <w:rFonts w:eastAsia="Calibri"/>
          <w:noProof/>
        </w:rPr>
        <w:drawing>
          <wp:inline distT="0" distB="0" distL="0" distR="0">
            <wp:extent cx="6200775" cy="2543175"/>
            <wp:effectExtent l="0" t="0" r="0" b="0"/>
            <wp:docPr id="3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303BE" w:rsidRPr="00CB2B21" w:rsidRDefault="009303BE" w:rsidP="009F6053">
      <w:pPr>
        <w:spacing w:after="0" w:line="240" w:lineRule="auto"/>
        <w:ind w:firstLine="709"/>
        <w:jc w:val="both"/>
        <w:rPr>
          <w:rFonts w:ascii="Times New Roman" w:eastAsia="Calibri" w:hAnsi="Times New Roman"/>
          <w:spacing w:val="2"/>
          <w:sz w:val="24"/>
          <w:szCs w:val="24"/>
          <w:lang w:eastAsia="en-US"/>
        </w:rPr>
      </w:pPr>
      <w:r w:rsidRPr="00CB2B21">
        <w:rPr>
          <w:rFonts w:ascii="Times New Roman" w:eastAsia="Calibri" w:hAnsi="Times New Roman"/>
          <w:spacing w:val="2"/>
          <w:sz w:val="24"/>
          <w:szCs w:val="24"/>
          <w:lang w:eastAsia="en-US"/>
        </w:rPr>
        <w:t xml:space="preserve">В январе-декабре 2016 года центральным источником финансирования долгосрочных инвестиционных проектов выступали </w:t>
      </w:r>
      <w:r w:rsidRPr="00CB2B21">
        <w:rPr>
          <w:rFonts w:ascii="Times New Roman" w:eastAsia="Calibri" w:hAnsi="Times New Roman"/>
          <w:b/>
          <w:spacing w:val="2"/>
          <w:sz w:val="24"/>
          <w:szCs w:val="24"/>
          <w:lang w:eastAsia="en-US"/>
        </w:rPr>
        <w:t xml:space="preserve">собственные средства организаций </w:t>
      </w:r>
      <w:r w:rsidRPr="00CB2B21">
        <w:rPr>
          <w:rFonts w:ascii="Times New Roman" w:eastAsia="Calibri" w:hAnsi="Times New Roman"/>
          <w:spacing w:val="2"/>
          <w:sz w:val="24"/>
          <w:szCs w:val="24"/>
          <w:lang w:eastAsia="en-US"/>
        </w:rPr>
        <w:t xml:space="preserve">(84,1%), при этом их долевое участие по отношению к базисному значению 2015 года сократилось на 0,4 процентных пункта. </w:t>
      </w:r>
    </w:p>
    <w:p w:rsidR="009303BE" w:rsidRPr="00CB2B21" w:rsidRDefault="009303BE" w:rsidP="009303BE">
      <w:pPr>
        <w:spacing w:after="0" w:line="240" w:lineRule="auto"/>
        <w:ind w:firstLine="567"/>
        <w:jc w:val="center"/>
        <w:rPr>
          <w:rFonts w:ascii="Times New Roman" w:eastAsia="Calibri" w:hAnsi="Times New Roman"/>
          <w:b/>
          <w:sz w:val="24"/>
          <w:szCs w:val="24"/>
          <w:lang w:eastAsia="en-US"/>
        </w:rPr>
      </w:pPr>
      <w:r w:rsidRPr="00CB2B21">
        <w:rPr>
          <w:rFonts w:ascii="Times New Roman" w:eastAsia="Calibri" w:hAnsi="Times New Roman"/>
          <w:b/>
          <w:sz w:val="24"/>
          <w:szCs w:val="24"/>
          <w:lang w:eastAsia="en-US"/>
        </w:rPr>
        <w:t xml:space="preserve">Структура инвестиций в основной капитал </w:t>
      </w:r>
    </w:p>
    <w:p w:rsidR="009303BE" w:rsidRPr="00CB2B21" w:rsidRDefault="009303BE" w:rsidP="009303BE">
      <w:pPr>
        <w:spacing w:after="0" w:line="240" w:lineRule="auto"/>
        <w:ind w:firstLine="567"/>
        <w:jc w:val="center"/>
        <w:rPr>
          <w:rFonts w:ascii="Times New Roman" w:eastAsia="Calibri" w:hAnsi="Times New Roman"/>
          <w:sz w:val="24"/>
          <w:szCs w:val="24"/>
          <w:lang w:eastAsia="en-US"/>
        </w:rPr>
      </w:pPr>
      <w:r w:rsidRPr="00CB2B21">
        <w:rPr>
          <w:rFonts w:ascii="Times New Roman" w:eastAsia="Calibri" w:hAnsi="Times New Roman"/>
          <w:b/>
          <w:sz w:val="24"/>
          <w:szCs w:val="24"/>
          <w:lang w:eastAsia="en-US"/>
        </w:rPr>
        <w:t>по источникам финансирования, %</w:t>
      </w:r>
    </w:p>
    <w:p w:rsidR="009303BE" w:rsidRDefault="009303BE" w:rsidP="009F6053">
      <w:pPr>
        <w:spacing w:after="0"/>
        <w:rPr>
          <w:rFonts w:eastAsia="Calibri"/>
        </w:rPr>
      </w:pPr>
      <w:r w:rsidRPr="009303BE">
        <w:rPr>
          <w:rFonts w:eastAsia="Calibri"/>
          <w:noProof/>
        </w:rPr>
        <w:drawing>
          <wp:inline distT="0" distB="0" distL="0" distR="0">
            <wp:extent cx="3314700" cy="1775460"/>
            <wp:effectExtent l="0" t="0" r="0" b="0"/>
            <wp:docPr id="3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9303BE">
        <w:rPr>
          <w:rFonts w:eastAsia="Calibri"/>
          <w:noProof/>
        </w:rPr>
        <w:drawing>
          <wp:inline distT="0" distB="0" distL="0" distR="0">
            <wp:extent cx="2465070" cy="1775460"/>
            <wp:effectExtent l="19050" t="0" r="0" b="0"/>
            <wp:docPr id="4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303BE" w:rsidRPr="00CB2B21" w:rsidRDefault="009303BE" w:rsidP="009F6053">
      <w:pPr>
        <w:spacing w:after="0" w:line="240" w:lineRule="auto"/>
        <w:ind w:firstLine="709"/>
        <w:jc w:val="both"/>
        <w:rPr>
          <w:rFonts w:ascii="Times New Roman" w:eastAsia="Calibri" w:hAnsi="Times New Roman"/>
          <w:spacing w:val="2"/>
          <w:sz w:val="24"/>
          <w:szCs w:val="24"/>
          <w:lang w:eastAsia="en-US"/>
        </w:rPr>
      </w:pPr>
      <w:r w:rsidRPr="00CB2B21">
        <w:rPr>
          <w:rFonts w:ascii="Times New Roman" w:eastAsia="Calibri" w:hAnsi="Times New Roman"/>
          <w:spacing w:val="2"/>
          <w:sz w:val="24"/>
          <w:szCs w:val="24"/>
          <w:lang w:eastAsia="en-US"/>
        </w:rPr>
        <w:lastRenderedPageBreak/>
        <w:t xml:space="preserve">Несмотря на незначительное расширение долевого участия в структуре инвестиций в основной капитал (на 0,5 процентных пункта), основное влияние на формировании совокупного показателя оказали организации </w:t>
      </w:r>
      <w:r w:rsidRPr="00CB2B21">
        <w:rPr>
          <w:rFonts w:ascii="Times New Roman" w:eastAsia="Calibri" w:hAnsi="Times New Roman"/>
          <w:b/>
          <w:spacing w:val="2"/>
          <w:sz w:val="24"/>
          <w:szCs w:val="24"/>
          <w:lang w:eastAsia="en-US"/>
        </w:rPr>
        <w:t>частной формы собственности</w:t>
      </w:r>
      <w:r w:rsidRPr="00CB2B21">
        <w:rPr>
          <w:rFonts w:ascii="Times New Roman" w:eastAsia="Calibri" w:hAnsi="Times New Roman"/>
          <w:spacing w:val="2"/>
          <w:sz w:val="24"/>
          <w:szCs w:val="24"/>
          <w:lang w:eastAsia="en-US"/>
        </w:rPr>
        <w:t xml:space="preserve"> (58,0%), на капитальные вложения предприятий государственной формы собственности приходилось 28,7% против 31,7% в 2015 году.</w:t>
      </w:r>
    </w:p>
    <w:p w:rsidR="009303BE" w:rsidRPr="00CB2B21" w:rsidRDefault="009303BE" w:rsidP="009F6053">
      <w:pPr>
        <w:spacing w:after="0" w:line="240" w:lineRule="auto"/>
        <w:ind w:firstLine="709"/>
        <w:jc w:val="center"/>
        <w:rPr>
          <w:rFonts w:ascii="Times New Roman" w:eastAsia="Calibri" w:hAnsi="Times New Roman"/>
          <w:b/>
          <w:sz w:val="24"/>
          <w:szCs w:val="24"/>
          <w:lang w:eastAsia="en-US"/>
        </w:rPr>
      </w:pPr>
      <w:r w:rsidRPr="00CB2B21">
        <w:rPr>
          <w:rFonts w:ascii="Times New Roman" w:eastAsia="Calibri" w:hAnsi="Times New Roman"/>
          <w:b/>
          <w:sz w:val="24"/>
          <w:szCs w:val="24"/>
          <w:lang w:eastAsia="en-US"/>
        </w:rPr>
        <w:t>Структура инвестиций в основной капитал</w:t>
      </w:r>
    </w:p>
    <w:p w:rsidR="009303BE" w:rsidRDefault="009303BE" w:rsidP="009F6053">
      <w:pPr>
        <w:spacing w:after="0"/>
        <w:jc w:val="center"/>
        <w:rPr>
          <w:rFonts w:ascii="Times New Roman" w:eastAsia="Calibri" w:hAnsi="Times New Roman"/>
          <w:b/>
          <w:sz w:val="24"/>
          <w:szCs w:val="24"/>
          <w:lang w:eastAsia="en-US"/>
        </w:rPr>
      </w:pPr>
      <w:r w:rsidRPr="00CB2B21">
        <w:rPr>
          <w:rFonts w:ascii="Times New Roman" w:eastAsia="Calibri" w:hAnsi="Times New Roman"/>
          <w:b/>
          <w:sz w:val="24"/>
          <w:szCs w:val="24"/>
          <w:lang w:eastAsia="en-US"/>
        </w:rPr>
        <w:t>по формам собственности, %</w:t>
      </w:r>
    </w:p>
    <w:p w:rsidR="009303BE" w:rsidRDefault="009303BE" w:rsidP="009F6053">
      <w:pPr>
        <w:spacing w:after="0"/>
        <w:ind w:hanging="284"/>
        <w:rPr>
          <w:rFonts w:eastAsia="Calibri"/>
        </w:rPr>
      </w:pPr>
      <w:r w:rsidRPr="009303BE">
        <w:rPr>
          <w:rFonts w:eastAsia="Calibri"/>
          <w:noProof/>
        </w:rPr>
        <w:drawing>
          <wp:inline distT="0" distB="0" distL="0" distR="0">
            <wp:extent cx="3114675" cy="1685925"/>
            <wp:effectExtent l="0" t="0" r="0" b="0"/>
            <wp:docPr id="4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9303BE">
        <w:rPr>
          <w:rFonts w:eastAsia="Calibri"/>
          <w:noProof/>
        </w:rPr>
        <w:drawing>
          <wp:inline distT="0" distB="0" distL="0" distR="0">
            <wp:extent cx="2857500" cy="1647825"/>
            <wp:effectExtent l="0" t="0" r="0" b="0"/>
            <wp:docPr id="4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303BE" w:rsidRPr="00CB2B21" w:rsidRDefault="009303BE" w:rsidP="009F6053">
      <w:pPr>
        <w:spacing w:after="0" w:line="240" w:lineRule="auto"/>
        <w:ind w:firstLine="709"/>
        <w:jc w:val="both"/>
        <w:rPr>
          <w:rFonts w:ascii="Times New Roman" w:eastAsia="Calibri" w:hAnsi="Times New Roman"/>
          <w:sz w:val="24"/>
          <w:szCs w:val="24"/>
          <w:lang w:eastAsia="en-US"/>
        </w:rPr>
      </w:pPr>
      <w:r w:rsidRPr="00CB2B21">
        <w:rPr>
          <w:rFonts w:ascii="Times New Roman" w:eastAsia="Calibri" w:hAnsi="Times New Roman"/>
          <w:sz w:val="24"/>
          <w:szCs w:val="24"/>
          <w:lang w:eastAsia="en-US"/>
        </w:rPr>
        <w:t xml:space="preserve">В промышленности, несмотря на снижение объёмов капитальных вложений </w:t>
      </w:r>
      <w:r w:rsidRPr="00CB2B21">
        <w:rPr>
          <w:rFonts w:ascii="Times New Roman" w:eastAsia="Calibri" w:hAnsi="Times New Roman"/>
          <w:sz w:val="24"/>
          <w:szCs w:val="24"/>
          <w:lang w:eastAsia="en-US"/>
        </w:rPr>
        <w:br/>
        <w:t>в основной капитал на 12,4% до 438,3 млн. руб., сформировано порядка 40,4% совокупного показателя. Отмечалось увеличение инвестиционных вложений в модернизацию, техническое обновление и перевооружение промышленного производства в индустриальном секторе по таким предприятиям, как МУП «Тирастеплоэнерго» (на 58,8%), ООО «Шериф» (на 97,6%</w:t>
      </w:r>
      <w:r>
        <w:rPr>
          <w:rFonts w:ascii="Times New Roman" w:eastAsia="Calibri" w:hAnsi="Times New Roman"/>
          <w:sz w:val="24"/>
          <w:szCs w:val="24"/>
          <w:lang w:eastAsia="en-US"/>
        </w:rPr>
        <w:t>)</w:t>
      </w:r>
      <w:r w:rsidRPr="00CB2B21">
        <w:rPr>
          <w:rFonts w:ascii="Times New Roman" w:eastAsia="Calibri" w:hAnsi="Times New Roman"/>
          <w:sz w:val="24"/>
          <w:szCs w:val="24"/>
          <w:lang w:eastAsia="en-US"/>
        </w:rPr>
        <w:t xml:space="preserve">, Филиал «Завод «Прибор АО «НПЦ Салют» (на 52,8%), ЗАО «Рыбницкий цементный комбинат» (в 2,6 раза), ЗАО «Тираспольский винно-коньячный завод «Квинт» (на 14,8%). Суммарный объём инвестиционных потоков данными предприятиями достиг </w:t>
      </w:r>
      <w:r w:rsidR="00A53647">
        <w:rPr>
          <w:rFonts w:ascii="Times New Roman" w:eastAsia="Calibri" w:hAnsi="Times New Roman"/>
          <w:sz w:val="24"/>
          <w:szCs w:val="24"/>
          <w:lang w:eastAsia="en-US"/>
        </w:rPr>
        <w:br/>
      </w:r>
      <w:r w:rsidRPr="00CB2B21">
        <w:rPr>
          <w:rFonts w:ascii="Times New Roman" w:eastAsia="Calibri" w:hAnsi="Times New Roman"/>
          <w:sz w:val="24"/>
          <w:szCs w:val="24"/>
          <w:lang w:eastAsia="en-US"/>
        </w:rPr>
        <w:t>116,2 млн. руб. (26,5% от общего объёма инвестиций по отрасли промышленности или 10,7% по республике).</w:t>
      </w:r>
    </w:p>
    <w:p w:rsidR="009303BE" w:rsidRPr="00CB2B21" w:rsidRDefault="009303BE" w:rsidP="009303BE">
      <w:pPr>
        <w:spacing w:after="0" w:line="240" w:lineRule="auto"/>
        <w:ind w:firstLine="709"/>
        <w:jc w:val="both"/>
        <w:rPr>
          <w:rFonts w:ascii="Times New Roman" w:hAnsi="Times New Roman"/>
          <w:sz w:val="24"/>
          <w:szCs w:val="24"/>
        </w:rPr>
      </w:pPr>
      <w:r w:rsidRPr="00CB2B21">
        <w:rPr>
          <w:rFonts w:ascii="Times New Roman" w:eastAsia="Calibri" w:hAnsi="Times New Roman"/>
          <w:sz w:val="24"/>
          <w:szCs w:val="24"/>
          <w:lang w:eastAsia="en-US"/>
        </w:rPr>
        <w:t xml:space="preserve"> </w:t>
      </w:r>
      <w:r w:rsidRPr="00CB2B21">
        <w:rPr>
          <w:rFonts w:ascii="Times New Roman" w:hAnsi="Times New Roman"/>
          <w:sz w:val="24"/>
          <w:szCs w:val="24"/>
        </w:rPr>
        <w:t>В 2016 году по отношению к уровню 2015 года снизились базисные показатели долгосрочного развития сельскохозяйственных организаций, ими было осуществлено инвестиционных вложений на общую сумму 64,5 млн. руб. («-» 52,5%). Основная доля инвестиционных вложений была направлена на развитие сельского хозяйства, такими организациями, как: ЗАО «Тираспольский винно-коньячный завод «</w:t>
      </w:r>
      <w:r w:rsidRPr="00CB2B21">
        <w:rPr>
          <w:rFonts w:ascii="Times New Roman" w:hAnsi="Times New Roman"/>
          <w:sz w:val="24"/>
          <w:szCs w:val="24"/>
          <w:lang w:val="en-US"/>
        </w:rPr>
        <w:t>K</w:t>
      </w:r>
      <w:r w:rsidRPr="00CB2B21">
        <w:rPr>
          <w:rFonts w:ascii="Times New Roman" w:hAnsi="Times New Roman"/>
          <w:sz w:val="24"/>
          <w:szCs w:val="24"/>
        </w:rPr>
        <w:t xml:space="preserve">ВИНТ» (27,1%), </w:t>
      </w:r>
      <w:r w:rsidR="00A53647">
        <w:rPr>
          <w:rFonts w:ascii="Times New Roman" w:hAnsi="Times New Roman"/>
          <w:sz w:val="24"/>
          <w:szCs w:val="24"/>
        </w:rPr>
        <w:br/>
      </w:r>
      <w:r w:rsidRPr="00CB2B21">
        <w:rPr>
          <w:rFonts w:ascii="Times New Roman" w:hAnsi="Times New Roman"/>
          <w:sz w:val="24"/>
          <w:szCs w:val="24"/>
        </w:rPr>
        <w:t>ООО «Каменский Колос» (11,8%),ООО С/Х ФИРМА «РУСТАС» (10,7%</w:t>
      </w:r>
      <w:r w:rsidRPr="00CB2B21">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r w:rsidRPr="00CB2B21">
        <w:rPr>
          <w:rFonts w:ascii="Times New Roman" w:eastAsia="Calibri" w:hAnsi="Times New Roman"/>
          <w:sz w:val="24"/>
          <w:szCs w:val="24"/>
          <w:lang w:eastAsia="en-US"/>
        </w:rPr>
        <w:t xml:space="preserve">ООО «Агро Компакт» (7,3%), ЗАО «Комбинат Хлебопродуктов» (5,6%), ООО «ФИАЛЬТ-АГРО» (4,3%). Финансовые потоки данных организаций </w:t>
      </w:r>
      <w:r w:rsidRPr="00CB2B21">
        <w:rPr>
          <w:rFonts w:ascii="Times New Roman" w:hAnsi="Times New Roman"/>
          <w:sz w:val="24"/>
          <w:szCs w:val="24"/>
        </w:rPr>
        <w:t>были направлены на внедрение системы капельного орошения, закладку интенсивных садов, приобретение современного холодильного оборудования.</w:t>
      </w:r>
    </w:p>
    <w:p w:rsidR="009303BE" w:rsidRPr="001955C1" w:rsidRDefault="009303BE" w:rsidP="009F6053">
      <w:pPr>
        <w:tabs>
          <w:tab w:val="left" w:pos="709"/>
          <w:tab w:val="left" w:pos="851"/>
        </w:tabs>
        <w:spacing w:after="0" w:line="240" w:lineRule="auto"/>
        <w:ind w:firstLine="709"/>
        <w:jc w:val="both"/>
        <w:rPr>
          <w:rFonts w:ascii="Times New Roman" w:hAnsi="Times New Roman"/>
          <w:spacing w:val="-12"/>
          <w:sz w:val="24"/>
          <w:szCs w:val="24"/>
        </w:rPr>
      </w:pPr>
      <w:r w:rsidRPr="00CB2B21">
        <w:rPr>
          <w:rFonts w:ascii="Times New Roman" w:hAnsi="Times New Roman"/>
          <w:sz w:val="24"/>
          <w:szCs w:val="24"/>
        </w:rPr>
        <w:t>В целях стимулирования рационального использования земель, а также повышения эффективности экономической политики государства в сфере землепользования в</w:t>
      </w:r>
      <w:r>
        <w:rPr>
          <w:rFonts w:ascii="Times New Roman" w:hAnsi="Times New Roman"/>
          <w:sz w:val="24"/>
          <w:szCs w:val="24"/>
        </w:rPr>
        <w:t xml:space="preserve"> </w:t>
      </w:r>
      <w:r w:rsidRPr="00CB2B21">
        <w:rPr>
          <w:rFonts w:ascii="Times New Roman" w:hAnsi="Times New Roman"/>
          <w:sz w:val="24"/>
          <w:szCs w:val="24"/>
        </w:rPr>
        <w:t xml:space="preserve">2016 году продолжилось заключение Соглашений об инвестиционных обязательствах хозяйствующих субъектов при предоставлении им земель сельскохозяйственного назначения в пользование (аренду). По состоянию на 1 января 2017 года инвестиционными соглашениями и договорами </w:t>
      </w:r>
      <w:r w:rsidRPr="009F6053">
        <w:rPr>
          <w:rFonts w:ascii="Times New Roman" w:hAnsi="Times New Roman" w:cs="Times New Roman"/>
          <w:sz w:val="24"/>
          <w:szCs w:val="24"/>
        </w:rPr>
        <w:t xml:space="preserve">охвачено </w:t>
      </w:r>
      <w:r w:rsidRPr="009F6053">
        <w:rPr>
          <w:rFonts w:ascii="Times New Roman" w:hAnsi="Times New Roman" w:cs="Times New Roman"/>
          <w:bCs/>
          <w:sz w:val="24"/>
          <w:szCs w:val="24"/>
        </w:rPr>
        <w:t>84</w:t>
      </w:r>
      <w:r w:rsidRPr="009F6053">
        <w:rPr>
          <w:rFonts w:ascii="Times New Roman" w:hAnsi="Times New Roman" w:cs="Times New Roman"/>
          <w:bCs/>
        </w:rPr>
        <w:t>,4 тыс. га</w:t>
      </w:r>
      <w:r w:rsidRPr="009F6053">
        <w:rPr>
          <w:rFonts w:ascii="Times New Roman" w:hAnsi="Times New Roman" w:cs="Times New Roman"/>
          <w:sz w:val="24"/>
          <w:szCs w:val="24"/>
        </w:rPr>
        <w:t xml:space="preserve"> земель сельскохозяйственного назначения. Общая сумма предполагаемых инвестиций согласно заключенным соглашениям и договорам долгосрочного пользования составляет </w:t>
      </w:r>
      <w:r w:rsidRPr="009F6053">
        <w:rPr>
          <w:rFonts w:ascii="Times New Roman" w:hAnsi="Times New Roman" w:cs="Times New Roman"/>
          <w:bCs/>
          <w:sz w:val="24"/>
          <w:szCs w:val="24"/>
        </w:rPr>
        <w:t>175,3</w:t>
      </w:r>
      <w:r w:rsidRPr="009F6053">
        <w:rPr>
          <w:rFonts w:ascii="Times New Roman" w:hAnsi="Times New Roman" w:cs="Times New Roman"/>
          <w:sz w:val="24"/>
          <w:szCs w:val="24"/>
        </w:rPr>
        <w:t xml:space="preserve"> млн. руб., из них в материальные и внеоборотные активы сельскохозяйственных организаций будет направлено – 165,3 млн.</w:t>
      </w:r>
      <w:r w:rsidR="009F6053">
        <w:rPr>
          <w:rFonts w:ascii="Times New Roman" w:hAnsi="Times New Roman" w:cs="Times New Roman"/>
          <w:sz w:val="24"/>
          <w:szCs w:val="24"/>
        </w:rPr>
        <w:t> </w:t>
      </w:r>
      <w:r w:rsidRPr="009F6053">
        <w:rPr>
          <w:rFonts w:ascii="Times New Roman" w:hAnsi="Times New Roman" w:cs="Times New Roman"/>
          <w:sz w:val="24"/>
          <w:szCs w:val="24"/>
        </w:rPr>
        <w:t>руб., в инфраструктуру сел – 10 млн. руб.</w:t>
      </w:r>
      <w:r w:rsidRPr="009F6053">
        <w:rPr>
          <w:rFonts w:ascii="Times New Roman" w:hAnsi="Times New Roman" w:cs="Times New Roman"/>
          <w:spacing w:val="-12"/>
        </w:rPr>
        <w:t xml:space="preserve"> </w:t>
      </w:r>
      <w:r w:rsidRPr="009F6053">
        <w:rPr>
          <w:rFonts w:ascii="Times New Roman" w:hAnsi="Times New Roman" w:cs="Times New Roman"/>
          <w:spacing w:val="-12"/>
          <w:sz w:val="24"/>
          <w:szCs w:val="24"/>
        </w:rPr>
        <w:t>Всего в 2016 году заключено 241 Соглашение</w:t>
      </w:r>
      <w:r w:rsidRPr="009F6053">
        <w:rPr>
          <w:rFonts w:ascii="Times New Roman" w:hAnsi="Times New Roman" w:cs="Times New Roman"/>
          <w:sz w:val="24"/>
          <w:szCs w:val="24"/>
        </w:rPr>
        <w:t xml:space="preserve"> об инвестиционных обязательствах</w:t>
      </w:r>
      <w:r w:rsidRPr="009F6053">
        <w:rPr>
          <w:rFonts w:ascii="Times New Roman" w:hAnsi="Times New Roman" w:cs="Times New Roman"/>
          <w:spacing w:val="-12"/>
          <w:sz w:val="24"/>
          <w:szCs w:val="24"/>
        </w:rPr>
        <w:t xml:space="preserve"> на общую сумму 25,490 млн. руб.</w:t>
      </w:r>
    </w:p>
    <w:p w:rsidR="009303BE" w:rsidRPr="00CB2B21" w:rsidRDefault="009303BE" w:rsidP="009303BE">
      <w:pPr>
        <w:pStyle w:val="1"/>
        <w:ind w:firstLine="709"/>
        <w:jc w:val="both"/>
        <w:rPr>
          <w:rFonts w:ascii="Times New Roman" w:hAnsi="Times New Roman"/>
          <w:sz w:val="24"/>
          <w:szCs w:val="24"/>
        </w:rPr>
      </w:pPr>
      <w:r w:rsidRPr="00CB2B21">
        <w:rPr>
          <w:rFonts w:ascii="Times New Roman" w:hAnsi="Times New Roman"/>
          <w:sz w:val="24"/>
          <w:szCs w:val="24"/>
        </w:rPr>
        <w:t>В 2016 году отмечался прирост инвестиционной активности в таких отраслях, как строительство (на 35,4% до 10,1 млн. руб.), связь (на 84,1% до 122,4 млн. руб.). По остальным отраслям экономики республики наблюдалось сокращение инвестиций в основной капитал по отношению к базовому уровню 2015 года, в связи с ухудшением экономической ситуации на мировых и региональных рынках.</w:t>
      </w:r>
    </w:p>
    <w:p w:rsidR="00656A17" w:rsidRDefault="00656A17" w:rsidP="009303BE">
      <w:pPr>
        <w:spacing w:after="0" w:line="240" w:lineRule="auto"/>
        <w:ind w:firstLine="708"/>
        <w:jc w:val="right"/>
        <w:rPr>
          <w:rFonts w:ascii="Times New Roman" w:eastAsia="Calibri" w:hAnsi="Times New Roman"/>
          <w:spacing w:val="2"/>
          <w:sz w:val="24"/>
          <w:szCs w:val="24"/>
          <w:lang w:eastAsia="en-US"/>
        </w:rPr>
      </w:pPr>
    </w:p>
    <w:p w:rsidR="009303BE" w:rsidRPr="00CB2B21" w:rsidRDefault="009303BE" w:rsidP="009303BE">
      <w:pPr>
        <w:spacing w:after="0" w:line="240" w:lineRule="auto"/>
        <w:ind w:firstLine="708"/>
        <w:jc w:val="right"/>
        <w:rPr>
          <w:rFonts w:ascii="Times New Roman" w:eastAsia="Calibri" w:hAnsi="Times New Roman"/>
          <w:spacing w:val="2"/>
          <w:sz w:val="24"/>
          <w:szCs w:val="24"/>
          <w:lang w:eastAsia="en-US"/>
        </w:rPr>
      </w:pPr>
      <w:r w:rsidRPr="00CB2B21">
        <w:rPr>
          <w:rFonts w:ascii="Times New Roman" w:eastAsia="Calibri" w:hAnsi="Times New Roman"/>
          <w:spacing w:val="2"/>
          <w:sz w:val="24"/>
          <w:szCs w:val="24"/>
          <w:lang w:eastAsia="en-US"/>
        </w:rPr>
        <w:lastRenderedPageBreak/>
        <w:t>Таблица №</w:t>
      </w:r>
      <w:r w:rsidR="003E0203">
        <w:rPr>
          <w:rFonts w:ascii="Times New Roman" w:eastAsia="Calibri" w:hAnsi="Times New Roman"/>
          <w:spacing w:val="2"/>
          <w:sz w:val="24"/>
          <w:szCs w:val="24"/>
          <w:lang w:eastAsia="en-US"/>
        </w:rPr>
        <w:t>8</w:t>
      </w:r>
    </w:p>
    <w:p w:rsidR="009303BE" w:rsidRPr="00CB2B21" w:rsidRDefault="009303BE" w:rsidP="009303BE">
      <w:pPr>
        <w:spacing w:after="0" w:line="240" w:lineRule="auto"/>
        <w:jc w:val="center"/>
        <w:rPr>
          <w:rFonts w:ascii="Times New Roman" w:eastAsia="Calibri" w:hAnsi="Times New Roman"/>
          <w:b/>
          <w:sz w:val="24"/>
          <w:szCs w:val="24"/>
          <w:lang w:eastAsia="en-US"/>
        </w:rPr>
      </w:pPr>
      <w:r w:rsidRPr="00CB2B21">
        <w:rPr>
          <w:rFonts w:ascii="Times New Roman" w:eastAsia="Calibri" w:hAnsi="Times New Roman"/>
          <w:b/>
          <w:sz w:val="24"/>
          <w:szCs w:val="24"/>
          <w:lang w:eastAsia="en-US"/>
        </w:rPr>
        <w:t xml:space="preserve">Динамика инвестиций в основной капитал и их структура </w:t>
      </w:r>
    </w:p>
    <w:p w:rsidR="009303BE" w:rsidRDefault="009303BE" w:rsidP="009303BE">
      <w:pPr>
        <w:spacing w:after="0" w:line="240" w:lineRule="auto"/>
        <w:jc w:val="center"/>
        <w:rPr>
          <w:rFonts w:ascii="Times New Roman" w:eastAsia="Calibri" w:hAnsi="Times New Roman"/>
          <w:sz w:val="24"/>
          <w:szCs w:val="24"/>
          <w:lang w:eastAsia="en-US"/>
        </w:rPr>
      </w:pPr>
      <w:r w:rsidRPr="00CB2B21">
        <w:rPr>
          <w:rFonts w:ascii="Times New Roman" w:eastAsia="Calibri" w:hAnsi="Times New Roman"/>
          <w:b/>
          <w:sz w:val="24"/>
          <w:szCs w:val="24"/>
          <w:lang w:eastAsia="en-US"/>
        </w:rPr>
        <w:t xml:space="preserve">по основным отраслям экономики </w:t>
      </w:r>
      <w:r w:rsidRPr="00CB2B21">
        <w:rPr>
          <w:rFonts w:ascii="Times New Roman" w:eastAsia="Calibri" w:hAnsi="Times New Roman"/>
          <w:sz w:val="24"/>
          <w:szCs w:val="24"/>
          <w:lang w:eastAsia="en-US"/>
        </w:rPr>
        <w:t>(без субъектов малого предпринимательства)</w:t>
      </w: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28"/>
        <w:gridCol w:w="1134"/>
        <w:gridCol w:w="1134"/>
        <w:gridCol w:w="1134"/>
        <w:gridCol w:w="1134"/>
        <w:gridCol w:w="1276"/>
      </w:tblGrid>
      <w:tr w:rsidR="009303BE" w:rsidRPr="00CB2B21" w:rsidTr="00E048BD">
        <w:trPr>
          <w:trHeight w:val="433"/>
        </w:trPr>
        <w:tc>
          <w:tcPr>
            <w:tcW w:w="3828" w:type="dxa"/>
            <w:vMerge w:val="restart"/>
            <w:vAlign w:val="center"/>
          </w:tcPr>
          <w:p w:rsidR="009303BE" w:rsidRPr="00CB2B21" w:rsidRDefault="009303BE" w:rsidP="000077C4">
            <w:pPr>
              <w:spacing w:before="40" w:after="40" w:line="240" w:lineRule="auto"/>
              <w:jc w:val="center"/>
              <w:rPr>
                <w:rFonts w:ascii="Times New Roman" w:eastAsia="Calibri" w:hAnsi="Times New Roman"/>
                <w:b/>
                <w:i/>
                <w:sz w:val="21"/>
                <w:szCs w:val="21"/>
                <w:lang w:eastAsia="en-US"/>
              </w:rPr>
            </w:pPr>
            <w:r w:rsidRPr="00CB2B21">
              <w:rPr>
                <w:rFonts w:ascii="Times New Roman" w:eastAsia="Calibri" w:hAnsi="Times New Roman"/>
                <w:b/>
                <w:i/>
                <w:spacing w:val="2"/>
                <w:sz w:val="21"/>
                <w:szCs w:val="21"/>
                <w:lang w:eastAsia="en-US"/>
              </w:rPr>
              <w:t>Показатели</w:t>
            </w:r>
          </w:p>
        </w:tc>
        <w:tc>
          <w:tcPr>
            <w:tcW w:w="2268" w:type="dxa"/>
            <w:gridSpan w:val="2"/>
            <w:vAlign w:val="center"/>
          </w:tcPr>
          <w:p w:rsidR="009303BE" w:rsidRPr="00CB2B21" w:rsidRDefault="009303BE" w:rsidP="000077C4">
            <w:pPr>
              <w:spacing w:before="40" w:after="40" w:line="240" w:lineRule="auto"/>
              <w:jc w:val="center"/>
              <w:rPr>
                <w:rFonts w:ascii="Times New Roman" w:eastAsia="Calibri" w:hAnsi="Times New Roman"/>
                <w:b/>
                <w:sz w:val="21"/>
                <w:szCs w:val="21"/>
                <w:lang w:eastAsia="en-US"/>
              </w:rPr>
            </w:pPr>
            <w:r w:rsidRPr="00CB2B21">
              <w:rPr>
                <w:rFonts w:ascii="Times New Roman" w:eastAsia="Calibri" w:hAnsi="Times New Roman"/>
                <w:b/>
                <w:sz w:val="21"/>
                <w:szCs w:val="21"/>
                <w:lang w:eastAsia="en-US"/>
              </w:rPr>
              <w:t>2015 г.</w:t>
            </w:r>
          </w:p>
        </w:tc>
        <w:tc>
          <w:tcPr>
            <w:tcW w:w="2268" w:type="dxa"/>
            <w:gridSpan w:val="2"/>
            <w:vAlign w:val="center"/>
          </w:tcPr>
          <w:p w:rsidR="009303BE" w:rsidRPr="00CB2B21" w:rsidRDefault="009303BE" w:rsidP="000077C4">
            <w:pPr>
              <w:spacing w:before="40" w:after="40" w:line="240" w:lineRule="auto"/>
              <w:jc w:val="center"/>
              <w:rPr>
                <w:rFonts w:ascii="Times New Roman" w:eastAsia="Calibri" w:hAnsi="Times New Roman"/>
                <w:b/>
                <w:sz w:val="21"/>
                <w:szCs w:val="21"/>
                <w:lang w:eastAsia="en-US"/>
              </w:rPr>
            </w:pPr>
            <w:r w:rsidRPr="00CB2B21">
              <w:rPr>
                <w:rFonts w:ascii="Times New Roman" w:eastAsia="Calibri" w:hAnsi="Times New Roman"/>
                <w:b/>
                <w:sz w:val="21"/>
                <w:szCs w:val="21"/>
                <w:lang w:eastAsia="en-US"/>
              </w:rPr>
              <w:t>2016 г.</w:t>
            </w:r>
          </w:p>
        </w:tc>
        <w:tc>
          <w:tcPr>
            <w:tcW w:w="1276" w:type="dxa"/>
            <w:vMerge w:val="restart"/>
            <w:vAlign w:val="center"/>
          </w:tcPr>
          <w:p w:rsidR="009303BE" w:rsidRPr="00CB2B21" w:rsidRDefault="009303BE" w:rsidP="000077C4">
            <w:pPr>
              <w:spacing w:before="40" w:after="40" w:line="240" w:lineRule="auto"/>
              <w:ind w:hanging="108"/>
              <w:jc w:val="center"/>
              <w:rPr>
                <w:rFonts w:ascii="Times New Roman" w:eastAsia="Calibri" w:hAnsi="Times New Roman"/>
                <w:b/>
                <w:sz w:val="21"/>
                <w:szCs w:val="21"/>
                <w:lang w:eastAsia="en-US"/>
              </w:rPr>
            </w:pPr>
            <w:r w:rsidRPr="00CB2B21">
              <w:rPr>
                <w:rFonts w:ascii="Times New Roman" w:eastAsia="Calibri" w:hAnsi="Times New Roman"/>
                <w:b/>
                <w:bCs/>
                <w:sz w:val="21"/>
                <w:szCs w:val="21"/>
                <w:lang w:eastAsia="en-US"/>
              </w:rPr>
              <w:t>Темп роста 2016 г. к 2015 г., %*</w:t>
            </w:r>
          </w:p>
        </w:tc>
      </w:tr>
      <w:tr w:rsidR="009303BE" w:rsidRPr="00CB2B21" w:rsidTr="00E048BD">
        <w:trPr>
          <w:trHeight w:val="553"/>
        </w:trPr>
        <w:tc>
          <w:tcPr>
            <w:tcW w:w="3828" w:type="dxa"/>
            <w:vMerge/>
            <w:tcBorders>
              <w:bottom w:val="single" w:sz="4" w:space="0" w:color="000000"/>
            </w:tcBorders>
            <w:vAlign w:val="center"/>
          </w:tcPr>
          <w:p w:rsidR="009303BE" w:rsidRPr="00CB2B21" w:rsidRDefault="009303BE" w:rsidP="000077C4">
            <w:pPr>
              <w:spacing w:before="40" w:after="40" w:line="240" w:lineRule="auto"/>
              <w:jc w:val="center"/>
              <w:rPr>
                <w:rFonts w:ascii="Times New Roman" w:eastAsia="Calibri" w:hAnsi="Times New Roman"/>
                <w:b/>
                <w:sz w:val="21"/>
                <w:szCs w:val="21"/>
                <w:lang w:eastAsia="en-US"/>
              </w:rPr>
            </w:pPr>
          </w:p>
        </w:tc>
        <w:tc>
          <w:tcPr>
            <w:tcW w:w="1134" w:type="dxa"/>
            <w:tcBorders>
              <w:bottom w:val="single" w:sz="4" w:space="0" w:color="000000"/>
            </w:tcBorders>
            <w:vAlign w:val="center"/>
          </w:tcPr>
          <w:p w:rsidR="009303BE" w:rsidRPr="00CB2B21" w:rsidRDefault="009303BE" w:rsidP="000077C4">
            <w:pPr>
              <w:spacing w:before="40" w:after="40" w:line="240" w:lineRule="auto"/>
              <w:jc w:val="center"/>
              <w:rPr>
                <w:rFonts w:ascii="Times New Roman" w:eastAsia="Calibri" w:hAnsi="Times New Roman"/>
                <w:b/>
                <w:sz w:val="21"/>
                <w:szCs w:val="21"/>
                <w:lang w:eastAsia="en-US"/>
              </w:rPr>
            </w:pPr>
            <w:r w:rsidRPr="00CB2B21">
              <w:rPr>
                <w:rFonts w:ascii="Times New Roman" w:eastAsia="Calibri" w:hAnsi="Times New Roman"/>
                <w:b/>
                <w:sz w:val="21"/>
                <w:szCs w:val="21"/>
                <w:lang w:eastAsia="en-US"/>
              </w:rPr>
              <w:t>млн. руб.</w:t>
            </w:r>
          </w:p>
        </w:tc>
        <w:tc>
          <w:tcPr>
            <w:tcW w:w="1134" w:type="dxa"/>
            <w:tcBorders>
              <w:bottom w:val="single" w:sz="4" w:space="0" w:color="000000"/>
            </w:tcBorders>
            <w:vAlign w:val="center"/>
          </w:tcPr>
          <w:p w:rsidR="009303BE" w:rsidRPr="00CB2B21" w:rsidRDefault="009303BE" w:rsidP="000077C4">
            <w:pPr>
              <w:spacing w:before="40" w:after="40" w:line="240" w:lineRule="auto"/>
              <w:ind w:left="-108" w:firstLine="108"/>
              <w:jc w:val="center"/>
              <w:rPr>
                <w:rFonts w:ascii="Times New Roman" w:eastAsia="Calibri" w:hAnsi="Times New Roman"/>
                <w:b/>
                <w:sz w:val="21"/>
                <w:szCs w:val="21"/>
                <w:lang w:eastAsia="en-US"/>
              </w:rPr>
            </w:pPr>
            <w:r w:rsidRPr="00CB2B21">
              <w:rPr>
                <w:rFonts w:ascii="Times New Roman" w:eastAsia="Calibri" w:hAnsi="Times New Roman"/>
                <w:b/>
                <w:sz w:val="21"/>
                <w:szCs w:val="21"/>
                <w:lang w:eastAsia="en-US"/>
              </w:rPr>
              <w:t>уд. вес,</w:t>
            </w:r>
          </w:p>
          <w:p w:rsidR="009303BE" w:rsidRPr="00CB2B21" w:rsidRDefault="009303BE" w:rsidP="000077C4">
            <w:pPr>
              <w:spacing w:before="40" w:after="40" w:line="240" w:lineRule="auto"/>
              <w:ind w:left="-108" w:firstLine="108"/>
              <w:jc w:val="center"/>
              <w:rPr>
                <w:rFonts w:ascii="Times New Roman" w:eastAsia="Calibri" w:hAnsi="Times New Roman"/>
                <w:b/>
                <w:sz w:val="21"/>
                <w:szCs w:val="21"/>
                <w:lang w:eastAsia="en-US"/>
              </w:rPr>
            </w:pPr>
            <w:r w:rsidRPr="00CB2B21">
              <w:rPr>
                <w:rFonts w:ascii="Times New Roman" w:eastAsia="Calibri" w:hAnsi="Times New Roman"/>
                <w:b/>
                <w:sz w:val="21"/>
                <w:szCs w:val="21"/>
                <w:lang w:eastAsia="en-US"/>
              </w:rPr>
              <w:t xml:space="preserve"> %</w:t>
            </w:r>
          </w:p>
        </w:tc>
        <w:tc>
          <w:tcPr>
            <w:tcW w:w="1134" w:type="dxa"/>
            <w:tcBorders>
              <w:bottom w:val="single" w:sz="4" w:space="0" w:color="000000"/>
            </w:tcBorders>
            <w:vAlign w:val="center"/>
          </w:tcPr>
          <w:p w:rsidR="009303BE" w:rsidRPr="00CB2B21" w:rsidRDefault="009303BE" w:rsidP="000077C4">
            <w:pPr>
              <w:spacing w:before="40" w:after="40" w:line="240" w:lineRule="auto"/>
              <w:jc w:val="center"/>
              <w:rPr>
                <w:rFonts w:ascii="Times New Roman" w:eastAsia="Calibri" w:hAnsi="Times New Roman"/>
                <w:b/>
                <w:sz w:val="21"/>
                <w:szCs w:val="21"/>
                <w:lang w:eastAsia="en-US"/>
              </w:rPr>
            </w:pPr>
            <w:r w:rsidRPr="00CB2B21">
              <w:rPr>
                <w:rFonts w:ascii="Times New Roman" w:eastAsia="Calibri" w:hAnsi="Times New Roman"/>
                <w:b/>
                <w:sz w:val="21"/>
                <w:szCs w:val="21"/>
                <w:lang w:eastAsia="en-US"/>
              </w:rPr>
              <w:t>млн. руб.</w:t>
            </w:r>
          </w:p>
        </w:tc>
        <w:tc>
          <w:tcPr>
            <w:tcW w:w="1134" w:type="dxa"/>
            <w:tcBorders>
              <w:bottom w:val="single" w:sz="4" w:space="0" w:color="000000"/>
            </w:tcBorders>
            <w:vAlign w:val="center"/>
          </w:tcPr>
          <w:p w:rsidR="009303BE" w:rsidRPr="00CB2B21" w:rsidRDefault="009303BE" w:rsidP="000077C4">
            <w:pPr>
              <w:spacing w:before="40" w:after="40" w:line="240" w:lineRule="auto"/>
              <w:jc w:val="center"/>
              <w:rPr>
                <w:rFonts w:ascii="Times New Roman" w:eastAsia="Calibri" w:hAnsi="Times New Roman"/>
                <w:b/>
                <w:sz w:val="21"/>
                <w:szCs w:val="21"/>
                <w:lang w:eastAsia="en-US"/>
              </w:rPr>
            </w:pPr>
            <w:r w:rsidRPr="00CB2B21">
              <w:rPr>
                <w:rFonts w:ascii="Times New Roman" w:eastAsia="Calibri" w:hAnsi="Times New Roman"/>
                <w:b/>
                <w:sz w:val="21"/>
                <w:szCs w:val="21"/>
                <w:lang w:eastAsia="en-US"/>
              </w:rPr>
              <w:t>уд. вес, %</w:t>
            </w:r>
          </w:p>
        </w:tc>
        <w:tc>
          <w:tcPr>
            <w:tcW w:w="1276" w:type="dxa"/>
            <w:vMerge/>
            <w:tcBorders>
              <w:bottom w:val="single" w:sz="4" w:space="0" w:color="000000"/>
            </w:tcBorders>
            <w:vAlign w:val="center"/>
          </w:tcPr>
          <w:p w:rsidR="009303BE" w:rsidRPr="00CB2B21" w:rsidRDefault="009303BE" w:rsidP="000077C4">
            <w:pPr>
              <w:spacing w:before="40" w:after="40" w:line="240" w:lineRule="auto"/>
              <w:jc w:val="center"/>
              <w:rPr>
                <w:rFonts w:ascii="Times New Roman" w:eastAsia="Calibri" w:hAnsi="Times New Roman"/>
                <w:b/>
                <w:sz w:val="21"/>
                <w:szCs w:val="21"/>
                <w:lang w:eastAsia="en-US"/>
              </w:rPr>
            </w:pPr>
          </w:p>
        </w:tc>
      </w:tr>
      <w:tr w:rsidR="009303BE" w:rsidRPr="00CB2B21" w:rsidTr="00E048BD">
        <w:trPr>
          <w:trHeight w:val="929"/>
        </w:trPr>
        <w:tc>
          <w:tcPr>
            <w:tcW w:w="3828" w:type="dxa"/>
            <w:vAlign w:val="center"/>
          </w:tcPr>
          <w:p w:rsidR="009303BE" w:rsidRPr="00CB2B21" w:rsidRDefault="009303BE" w:rsidP="000077C4">
            <w:pPr>
              <w:spacing w:before="40" w:after="40" w:line="240" w:lineRule="auto"/>
              <w:rPr>
                <w:rFonts w:ascii="Times New Roman" w:eastAsia="Calibri" w:hAnsi="Times New Roman"/>
                <w:sz w:val="21"/>
                <w:szCs w:val="21"/>
                <w:lang w:eastAsia="en-US"/>
              </w:rPr>
            </w:pPr>
            <w:r w:rsidRPr="00CB2B21">
              <w:rPr>
                <w:rFonts w:ascii="Times New Roman" w:eastAsia="Calibri" w:hAnsi="Times New Roman"/>
                <w:b/>
                <w:sz w:val="21"/>
                <w:szCs w:val="21"/>
                <w:lang w:eastAsia="en-US"/>
              </w:rPr>
              <w:t>Инвестиции в основной капитал</w:t>
            </w:r>
            <w:r w:rsidRPr="00CB2B21">
              <w:rPr>
                <w:rFonts w:ascii="Times New Roman" w:eastAsia="Calibri" w:hAnsi="Times New Roman"/>
                <w:sz w:val="21"/>
                <w:szCs w:val="21"/>
                <w:lang w:eastAsia="en-US"/>
              </w:rPr>
              <w:t xml:space="preserve"> (в части новых и приобретенных по импорту основных средств) – всего</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b/>
                <w:sz w:val="21"/>
                <w:szCs w:val="21"/>
                <w:lang w:eastAsia="en-US"/>
              </w:rPr>
            </w:pPr>
            <w:r w:rsidRPr="00CB2B21">
              <w:rPr>
                <w:rFonts w:ascii="Times New Roman" w:eastAsia="Calibri" w:hAnsi="Times New Roman"/>
                <w:b/>
                <w:sz w:val="21"/>
                <w:szCs w:val="21"/>
                <w:lang w:eastAsia="en-US"/>
              </w:rPr>
              <w:t>1 352,4</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b/>
                <w:sz w:val="21"/>
                <w:szCs w:val="21"/>
                <w:lang w:eastAsia="en-US"/>
              </w:rPr>
            </w:pPr>
            <w:r w:rsidRPr="00CB2B21">
              <w:rPr>
                <w:rFonts w:ascii="Times New Roman" w:eastAsia="Calibri" w:hAnsi="Times New Roman"/>
                <w:b/>
                <w:sz w:val="21"/>
                <w:szCs w:val="21"/>
                <w:lang w:eastAsia="en-US"/>
              </w:rPr>
              <w:t>100,0</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b/>
                <w:sz w:val="21"/>
                <w:szCs w:val="21"/>
                <w:lang w:eastAsia="en-US"/>
              </w:rPr>
            </w:pPr>
            <w:r w:rsidRPr="00CB2B21">
              <w:rPr>
                <w:rFonts w:ascii="Times New Roman" w:eastAsia="Calibri" w:hAnsi="Times New Roman"/>
                <w:b/>
                <w:sz w:val="21"/>
                <w:szCs w:val="21"/>
                <w:lang w:eastAsia="en-US"/>
              </w:rPr>
              <w:t>1 085,4</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b/>
                <w:sz w:val="21"/>
                <w:szCs w:val="21"/>
                <w:lang w:eastAsia="en-US"/>
              </w:rPr>
            </w:pPr>
            <w:r w:rsidRPr="00CB2B21">
              <w:rPr>
                <w:rFonts w:ascii="Times New Roman" w:eastAsia="Calibri" w:hAnsi="Times New Roman"/>
                <w:b/>
                <w:sz w:val="21"/>
                <w:szCs w:val="21"/>
                <w:lang w:eastAsia="en-US"/>
              </w:rPr>
              <w:t>100,0</w:t>
            </w:r>
          </w:p>
        </w:tc>
        <w:tc>
          <w:tcPr>
            <w:tcW w:w="1276" w:type="dxa"/>
            <w:vAlign w:val="center"/>
          </w:tcPr>
          <w:p w:rsidR="009303BE" w:rsidRPr="00CB2B21" w:rsidRDefault="009303BE" w:rsidP="000077C4">
            <w:pPr>
              <w:spacing w:before="40" w:after="40" w:line="240" w:lineRule="auto"/>
              <w:jc w:val="center"/>
              <w:rPr>
                <w:rFonts w:ascii="Times New Roman" w:eastAsia="Calibri" w:hAnsi="Times New Roman"/>
                <w:b/>
                <w:sz w:val="21"/>
                <w:szCs w:val="21"/>
                <w:lang w:eastAsia="en-US"/>
              </w:rPr>
            </w:pPr>
            <w:r w:rsidRPr="00CB2B21">
              <w:rPr>
                <w:rFonts w:ascii="Times New Roman" w:eastAsia="Calibri" w:hAnsi="Times New Roman"/>
                <w:b/>
                <w:sz w:val="21"/>
                <w:szCs w:val="21"/>
                <w:lang w:eastAsia="en-US"/>
              </w:rPr>
              <w:t>79,3</w:t>
            </w:r>
          </w:p>
        </w:tc>
      </w:tr>
      <w:tr w:rsidR="009303BE" w:rsidRPr="00CB2B21" w:rsidTr="00E048BD">
        <w:trPr>
          <w:trHeight w:val="617"/>
        </w:trPr>
        <w:tc>
          <w:tcPr>
            <w:tcW w:w="3828" w:type="dxa"/>
            <w:vAlign w:val="center"/>
          </w:tcPr>
          <w:p w:rsidR="009303BE" w:rsidRPr="00CB2B21" w:rsidRDefault="009303BE" w:rsidP="000077C4">
            <w:pPr>
              <w:spacing w:before="40" w:after="40" w:line="240" w:lineRule="auto"/>
              <w:rPr>
                <w:rFonts w:ascii="Times New Roman" w:hAnsi="Times New Roman"/>
                <w:sz w:val="21"/>
                <w:szCs w:val="21"/>
              </w:rPr>
            </w:pPr>
            <w:r w:rsidRPr="00CB2B21">
              <w:rPr>
                <w:rFonts w:ascii="Times New Roman" w:hAnsi="Times New Roman"/>
                <w:sz w:val="21"/>
                <w:szCs w:val="21"/>
              </w:rPr>
              <w:t>в том числе:</w:t>
            </w:r>
          </w:p>
          <w:p w:rsidR="009303BE" w:rsidRPr="00CB2B21" w:rsidRDefault="009303BE" w:rsidP="000077C4">
            <w:pPr>
              <w:spacing w:before="40" w:after="40" w:line="240" w:lineRule="auto"/>
              <w:rPr>
                <w:rFonts w:ascii="Times New Roman" w:hAnsi="Times New Roman"/>
                <w:sz w:val="21"/>
                <w:szCs w:val="21"/>
              </w:rPr>
            </w:pPr>
            <w:r w:rsidRPr="00CB2B21">
              <w:rPr>
                <w:rFonts w:ascii="Times New Roman" w:hAnsi="Times New Roman"/>
                <w:sz w:val="21"/>
                <w:szCs w:val="21"/>
              </w:rPr>
              <w:t>промышленность</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493,6</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36,5</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438,3</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40,4</w:t>
            </w:r>
          </w:p>
        </w:tc>
        <w:tc>
          <w:tcPr>
            <w:tcW w:w="1276"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87,6</w:t>
            </w:r>
          </w:p>
        </w:tc>
      </w:tr>
      <w:tr w:rsidR="009303BE" w:rsidRPr="00CB2B21" w:rsidTr="00E048BD">
        <w:trPr>
          <w:trHeight w:val="222"/>
        </w:trPr>
        <w:tc>
          <w:tcPr>
            <w:tcW w:w="3828" w:type="dxa"/>
            <w:vAlign w:val="center"/>
          </w:tcPr>
          <w:p w:rsidR="009303BE" w:rsidRPr="00CB2B21" w:rsidRDefault="009303BE" w:rsidP="000077C4">
            <w:pPr>
              <w:spacing w:before="40" w:after="40" w:line="240" w:lineRule="auto"/>
              <w:rPr>
                <w:rFonts w:ascii="Times New Roman" w:eastAsia="Calibri" w:hAnsi="Times New Roman"/>
                <w:sz w:val="21"/>
                <w:szCs w:val="21"/>
                <w:lang w:eastAsia="en-US"/>
              </w:rPr>
            </w:pPr>
            <w:r w:rsidRPr="00CB2B21">
              <w:rPr>
                <w:rFonts w:ascii="Times New Roman" w:eastAsia="Calibri" w:hAnsi="Times New Roman"/>
                <w:sz w:val="21"/>
                <w:szCs w:val="21"/>
                <w:lang w:eastAsia="en-US"/>
              </w:rPr>
              <w:t>сельское хозяйство</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137,1</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10,1</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64,5</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5,9</w:t>
            </w:r>
          </w:p>
        </w:tc>
        <w:tc>
          <w:tcPr>
            <w:tcW w:w="1276"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47,5</w:t>
            </w:r>
          </w:p>
        </w:tc>
      </w:tr>
      <w:tr w:rsidR="009303BE" w:rsidRPr="00CB2B21" w:rsidTr="00E048BD">
        <w:trPr>
          <w:trHeight w:val="222"/>
        </w:trPr>
        <w:tc>
          <w:tcPr>
            <w:tcW w:w="3828" w:type="dxa"/>
            <w:vAlign w:val="center"/>
          </w:tcPr>
          <w:p w:rsidR="009303BE" w:rsidRPr="00CB2B21" w:rsidRDefault="009303BE" w:rsidP="000077C4">
            <w:pPr>
              <w:spacing w:before="40" w:after="40" w:line="240" w:lineRule="auto"/>
              <w:rPr>
                <w:rFonts w:ascii="Times New Roman" w:eastAsia="Calibri" w:hAnsi="Times New Roman"/>
                <w:sz w:val="21"/>
                <w:szCs w:val="21"/>
                <w:lang w:eastAsia="en-US"/>
              </w:rPr>
            </w:pPr>
            <w:r w:rsidRPr="00CB2B21">
              <w:rPr>
                <w:rFonts w:ascii="Times New Roman" w:eastAsia="Calibri" w:hAnsi="Times New Roman"/>
                <w:sz w:val="21"/>
                <w:szCs w:val="21"/>
                <w:lang w:eastAsia="en-US"/>
              </w:rPr>
              <w:t>транспорт</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60,4</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4,5</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56,0</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5,2</w:t>
            </w:r>
          </w:p>
        </w:tc>
        <w:tc>
          <w:tcPr>
            <w:tcW w:w="1276"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89,1</w:t>
            </w:r>
          </w:p>
        </w:tc>
      </w:tr>
      <w:tr w:rsidR="009303BE" w:rsidRPr="00CB2B21" w:rsidTr="00E048BD">
        <w:trPr>
          <w:trHeight w:val="222"/>
        </w:trPr>
        <w:tc>
          <w:tcPr>
            <w:tcW w:w="3828" w:type="dxa"/>
            <w:vAlign w:val="center"/>
          </w:tcPr>
          <w:p w:rsidR="009303BE" w:rsidRPr="00CB2B21" w:rsidRDefault="009303BE" w:rsidP="000077C4">
            <w:pPr>
              <w:spacing w:before="40" w:after="40" w:line="240" w:lineRule="auto"/>
              <w:rPr>
                <w:rFonts w:ascii="Times New Roman" w:eastAsia="Calibri" w:hAnsi="Times New Roman"/>
                <w:sz w:val="21"/>
                <w:szCs w:val="21"/>
                <w:lang w:eastAsia="en-US"/>
              </w:rPr>
            </w:pPr>
            <w:r w:rsidRPr="00CB2B21">
              <w:rPr>
                <w:rFonts w:ascii="Times New Roman" w:eastAsia="Calibri" w:hAnsi="Times New Roman"/>
                <w:sz w:val="21"/>
                <w:szCs w:val="21"/>
                <w:lang w:eastAsia="en-US"/>
              </w:rPr>
              <w:t>связь</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66,5</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4,9</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122,4</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11,3</w:t>
            </w:r>
          </w:p>
        </w:tc>
        <w:tc>
          <w:tcPr>
            <w:tcW w:w="1276"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184,1</w:t>
            </w:r>
          </w:p>
        </w:tc>
      </w:tr>
      <w:tr w:rsidR="009303BE" w:rsidRPr="00CB2B21" w:rsidTr="00E048BD">
        <w:trPr>
          <w:trHeight w:val="222"/>
        </w:trPr>
        <w:tc>
          <w:tcPr>
            <w:tcW w:w="3828" w:type="dxa"/>
            <w:vAlign w:val="center"/>
          </w:tcPr>
          <w:p w:rsidR="009303BE" w:rsidRPr="00CB2B21" w:rsidRDefault="009303BE" w:rsidP="000077C4">
            <w:pPr>
              <w:spacing w:before="40" w:after="40" w:line="240" w:lineRule="auto"/>
              <w:rPr>
                <w:rFonts w:ascii="Times New Roman" w:eastAsia="Calibri" w:hAnsi="Times New Roman"/>
                <w:sz w:val="21"/>
                <w:szCs w:val="21"/>
                <w:lang w:eastAsia="en-US"/>
              </w:rPr>
            </w:pPr>
            <w:r w:rsidRPr="00CB2B21">
              <w:rPr>
                <w:rFonts w:ascii="Times New Roman" w:eastAsia="Calibri" w:hAnsi="Times New Roman"/>
                <w:sz w:val="21"/>
                <w:szCs w:val="21"/>
                <w:lang w:eastAsia="en-US"/>
              </w:rPr>
              <w:t>строительство</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9,2</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0,7</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10,1</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0,9</w:t>
            </w:r>
          </w:p>
        </w:tc>
        <w:tc>
          <w:tcPr>
            <w:tcW w:w="1276"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135,4</w:t>
            </w:r>
          </w:p>
        </w:tc>
      </w:tr>
      <w:tr w:rsidR="009303BE" w:rsidRPr="00CB2B21" w:rsidTr="00E048BD">
        <w:trPr>
          <w:trHeight w:val="222"/>
        </w:trPr>
        <w:tc>
          <w:tcPr>
            <w:tcW w:w="3828" w:type="dxa"/>
            <w:vAlign w:val="center"/>
          </w:tcPr>
          <w:p w:rsidR="009303BE" w:rsidRPr="00CB2B21" w:rsidRDefault="009303BE" w:rsidP="000077C4">
            <w:pPr>
              <w:spacing w:before="40" w:after="40" w:line="240" w:lineRule="auto"/>
              <w:rPr>
                <w:rFonts w:ascii="Times New Roman" w:eastAsia="Calibri" w:hAnsi="Times New Roman"/>
                <w:sz w:val="21"/>
                <w:szCs w:val="21"/>
                <w:lang w:eastAsia="en-US"/>
              </w:rPr>
            </w:pPr>
            <w:r w:rsidRPr="00CB2B21">
              <w:rPr>
                <w:rFonts w:ascii="Times New Roman" w:eastAsia="Calibri" w:hAnsi="Times New Roman"/>
                <w:sz w:val="21"/>
                <w:szCs w:val="21"/>
                <w:lang w:eastAsia="en-US"/>
              </w:rPr>
              <w:t>торговля и общественное питание</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122,9</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9,1</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108,7</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10,0</w:t>
            </w:r>
          </w:p>
        </w:tc>
        <w:tc>
          <w:tcPr>
            <w:tcW w:w="1276"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80,7</w:t>
            </w:r>
          </w:p>
        </w:tc>
      </w:tr>
      <w:tr w:rsidR="009303BE" w:rsidRPr="00CB2B21" w:rsidTr="00E048BD">
        <w:trPr>
          <w:trHeight w:val="222"/>
        </w:trPr>
        <w:tc>
          <w:tcPr>
            <w:tcW w:w="3828" w:type="dxa"/>
            <w:vAlign w:val="center"/>
          </w:tcPr>
          <w:p w:rsidR="009303BE" w:rsidRPr="00CB2B21" w:rsidRDefault="009303BE" w:rsidP="000077C4">
            <w:pPr>
              <w:spacing w:before="40" w:after="40" w:line="240" w:lineRule="auto"/>
              <w:rPr>
                <w:rFonts w:ascii="Times New Roman" w:eastAsia="Calibri" w:hAnsi="Times New Roman"/>
                <w:sz w:val="21"/>
                <w:szCs w:val="21"/>
                <w:lang w:eastAsia="en-US"/>
              </w:rPr>
            </w:pPr>
            <w:r w:rsidRPr="00CB2B21">
              <w:rPr>
                <w:rFonts w:ascii="Times New Roman" w:eastAsia="Calibri" w:hAnsi="Times New Roman"/>
                <w:sz w:val="21"/>
                <w:szCs w:val="21"/>
                <w:lang w:eastAsia="en-US"/>
              </w:rPr>
              <w:t>жилищное строительство</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30,8</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2,3</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6,8</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0,6</w:t>
            </w:r>
          </w:p>
        </w:tc>
        <w:tc>
          <w:tcPr>
            <w:tcW w:w="1276"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21,9</w:t>
            </w:r>
          </w:p>
        </w:tc>
      </w:tr>
      <w:tr w:rsidR="009303BE" w:rsidRPr="00CB2B21" w:rsidTr="00E048BD">
        <w:trPr>
          <w:trHeight w:val="222"/>
        </w:trPr>
        <w:tc>
          <w:tcPr>
            <w:tcW w:w="3828" w:type="dxa"/>
            <w:vAlign w:val="center"/>
          </w:tcPr>
          <w:p w:rsidR="009303BE" w:rsidRPr="00CB2B21" w:rsidRDefault="009303BE" w:rsidP="000077C4">
            <w:pPr>
              <w:spacing w:before="40" w:after="40" w:line="240" w:lineRule="auto"/>
              <w:rPr>
                <w:rFonts w:ascii="Times New Roman" w:eastAsia="Calibri" w:hAnsi="Times New Roman"/>
                <w:sz w:val="21"/>
                <w:szCs w:val="21"/>
                <w:lang w:eastAsia="en-US"/>
              </w:rPr>
            </w:pPr>
            <w:r w:rsidRPr="00CB2B21">
              <w:rPr>
                <w:rFonts w:ascii="Times New Roman" w:eastAsia="Calibri" w:hAnsi="Times New Roman"/>
                <w:sz w:val="21"/>
                <w:szCs w:val="21"/>
                <w:lang w:eastAsia="en-US"/>
              </w:rPr>
              <w:t>коммунальное хозяйство</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23,8</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1,8</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23,7</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2,2</w:t>
            </w:r>
          </w:p>
        </w:tc>
        <w:tc>
          <w:tcPr>
            <w:tcW w:w="1276"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99,7</w:t>
            </w:r>
          </w:p>
        </w:tc>
      </w:tr>
      <w:tr w:rsidR="009303BE" w:rsidRPr="00CB2B21" w:rsidTr="00E048BD">
        <w:trPr>
          <w:trHeight w:val="222"/>
        </w:trPr>
        <w:tc>
          <w:tcPr>
            <w:tcW w:w="3828" w:type="dxa"/>
            <w:vAlign w:val="center"/>
          </w:tcPr>
          <w:p w:rsidR="009303BE" w:rsidRPr="00CB2B21" w:rsidRDefault="009303BE" w:rsidP="000077C4">
            <w:pPr>
              <w:spacing w:before="40" w:after="40" w:line="240" w:lineRule="auto"/>
              <w:rPr>
                <w:rFonts w:ascii="Times New Roman" w:hAnsi="Times New Roman"/>
                <w:sz w:val="21"/>
                <w:szCs w:val="21"/>
              </w:rPr>
            </w:pPr>
            <w:r w:rsidRPr="00CB2B21">
              <w:rPr>
                <w:rFonts w:ascii="Times New Roman" w:hAnsi="Times New Roman"/>
                <w:sz w:val="21"/>
                <w:szCs w:val="21"/>
              </w:rPr>
              <w:t xml:space="preserve">здравоохранение </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55,4</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4,1</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43,5</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4,0</w:t>
            </w:r>
          </w:p>
        </w:tc>
        <w:tc>
          <w:tcPr>
            <w:tcW w:w="1276"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78,5</w:t>
            </w:r>
          </w:p>
        </w:tc>
      </w:tr>
      <w:tr w:rsidR="009303BE" w:rsidRPr="00CB2B21" w:rsidTr="00E048BD">
        <w:trPr>
          <w:trHeight w:val="222"/>
        </w:trPr>
        <w:tc>
          <w:tcPr>
            <w:tcW w:w="3828" w:type="dxa"/>
            <w:vAlign w:val="center"/>
          </w:tcPr>
          <w:p w:rsidR="009303BE" w:rsidRPr="00CB2B21" w:rsidRDefault="009303BE" w:rsidP="000077C4">
            <w:pPr>
              <w:spacing w:before="40" w:after="40" w:line="240" w:lineRule="auto"/>
              <w:rPr>
                <w:rFonts w:ascii="Times New Roman" w:hAnsi="Times New Roman"/>
                <w:sz w:val="21"/>
                <w:szCs w:val="21"/>
              </w:rPr>
            </w:pPr>
            <w:r w:rsidRPr="00CB2B21">
              <w:rPr>
                <w:rFonts w:ascii="Times New Roman" w:hAnsi="Times New Roman"/>
                <w:sz w:val="21"/>
                <w:szCs w:val="21"/>
              </w:rPr>
              <w:t>социальное обеспечение</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0,4</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0,0</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0,8</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0,1</w:t>
            </w:r>
          </w:p>
        </w:tc>
        <w:tc>
          <w:tcPr>
            <w:tcW w:w="1276"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155,9</w:t>
            </w:r>
          </w:p>
        </w:tc>
      </w:tr>
      <w:tr w:rsidR="009303BE" w:rsidRPr="00CB2B21" w:rsidTr="00E048BD">
        <w:trPr>
          <w:trHeight w:val="222"/>
        </w:trPr>
        <w:tc>
          <w:tcPr>
            <w:tcW w:w="3828" w:type="dxa"/>
            <w:vAlign w:val="center"/>
          </w:tcPr>
          <w:p w:rsidR="009303BE" w:rsidRPr="00CB2B21" w:rsidRDefault="009303BE" w:rsidP="000077C4">
            <w:pPr>
              <w:spacing w:before="40" w:after="40" w:line="240" w:lineRule="auto"/>
              <w:rPr>
                <w:rFonts w:ascii="Times New Roman" w:hAnsi="Times New Roman"/>
                <w:sz w:val="21"/>
                <w:szCs w:val="21"/>
              </w:rPr>
            </w:pPr>
            <w:r w:rsidRPr="00CB2B21">
              <w:rPr>
                <w:rFonts w:ascii="Times New Roman" w:hAnsi="Times New Roman"/>
                <w:sz w:val="21"/>
                <w:szCs w:val="21"/>
              </w:rPr>
              <w:t>образование</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98,1</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7,2</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106,1</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9,8</w:t>
            </w:r>
          </w:p>
        </w:tc>
        <w:tc>
          <w:tcPr>
            <w:tcW w:w="1276"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98,1</w:t>
            </w:r>
          </w:p>
        </w:tc>
      </w:tr>
      <w:tr w:rsidR="009303BE" w:rsidRPr="00CB2B21" w:rsidTr="00E048BD">
        <w:trPr>
          <w:trHeight w:val="237"/>
        </w:trPr>
        <w:tc>
          <w:tcPr>
            <w:tcW w:w="3828" w:type="dxa"/>
            <w:vAlign w:val="center"/>
          </w:tcPr>
          <w:p w:rsidR="009303BE" w:rsidRPr="00CB2B21" w:rsidRDefault="009303BE" w:rsidP="000077C4">
            <w:pPr>
              <w:spacing w:before="40" w:after="40" w:line="240" w:lineRule="auto"/>
              <w:rPr>
                <w:rFonts w:ascii="Times New Roman" w:hAnsi="Times New Roman"/>
                <w:sz w:val="21"/>
                <w:szCs w:val="21"/>
              </w:rPr>
            </w:pPr>
            <w:r w:rsidRPr="00CB2B21">
              <w:rPr>
                <w:rFonts w:ascii="Times New Roman" w:hAnsi="Times New Roman"/>
                <w:sz w:val="21"/>
                <w:szCs w:val="21"/>
              </w:rPr>
              <w:t>прочие</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254,2</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18,8</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104,5</w:t>
            </w:r>
          </w:p>
        </w:tc>
        <w:tc>
          <w:tcPr>
            <w:tcW w:w="1134"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9,6</w:t>
            </w:r>
          </w:p>
        </w:tc>
        <w:tc>
          <w:tcPr>
            <w:tcW w:w="1276" w:type="dxa"/>
            <w:vAlign w:val="center"/>
          </w:tcPr>
          <w:p w:rsidR="009303BE" w:rsidRPr="00CB2B21" w:rsidRDefault="009303BE" w:rsidP="000077C4">
            <w:pPr>
              <w:spacing w:before="40" w:after="40" w:line="240" w:lineRule="auto"/>
              <w:jc w:val="center"/>
              <w:rPr>
                <w:rFonts w:ascii="Times New Roman" w:eastAsia="Calibri" w:hAnsi="Times New Roman"/>
                <w:sz w:val="21"/>
                <w:szCs w:val="21"/>
                <w:lang w:eastAsia="en-US"/>
              </w:rPr>
            </w:pPr>
            <w:r w:rsidRPr="00CB2B21">
              <w:rPr>
                <w:rFonts w:ascii="Times New Roman" w:eastAsia="Calibri" w:hAnsi="Times New Roman"/>
                <w:sz w:val="21"/>
                <w:szCs w:val="21"/>
                <w:lang w:eastAsia="en-US"/>
              </w:rPr>
              <w:t>43,0</w:t>
            </w:r>
          </w:p>
        </w:tc>
      </w:tr>
    </w:tbl>
    <w:p w:rsidR="009303BE" w:rsidRDefault="009303BE" w:rsidP="009303BE">
      <w:pPr>
        <w:spacing w:after="0" w:line="240" w:lineRule="auto"/>
        <w:ind w:left="192" w:hanging="50"/>
        <w:rPr>
          <w:rFonts w:ascii="Times New Roman" w:eastAsia="Calibri" w:hAnsi="Times New Roman"/>
          <w:spacing w:val="2"/>
          <w:sz w:val="20"/>
          <w:szCs w:val="20"/>
          <w:lang w:eastAsia="en-US"/>
        </w:rPr>
      </w:pPr>
      <w:r w:rsidRPr="00CB2B21">
        <w:rPr>
          <w:rFonts w:ascii="Times New Roman" w:eastAsia="Calibri" w:hAnsi="Times New Roman"/>
          <w:spacing w:val="2"/>
          <w:sz w:val="20"/>
          <w:szCs w:val="20"/>
          <w:lang w:eastAsia="en-US"/>
        </w:rPr>
        <w:t>*- темпы роста приведены к уточненным данным ГСС</w:t>
      </w:r>
      <w:r>
        <w:rPr>
          <w:rFonts w:ascii="Times New Roman" w:eastAsia="Calibri" w:hAnsi="Times New Roman"/>
          <w:spacing w:val="2"/>
          <w:sz w:val="20"/>
          <w:szCs w:val="20"/>
          <w:lang w:eastAsia="en-US"/>
        </w:rPr>
        <w:t xml:space="preserve"> ПМР</w:t>
      </w:r>
    </w:p>
    <w:p w:rsidR="00656A17" w:rsidRPr="00CB2B21" w:rsidRDefault="00656A17" w:rsidP="009303BE">
      <w:pPr>
        <w:spacing w:after="0" w:line="240" w:lineRule="auto"/>
        <w:ind w:left="192" w:hanging="50"/>
        <w:rPr>
          <w:rFonts w:ascii="Times New Roman" w:eastAsia="Calibri" w:hAnsi="Times New Roman"/>
          <w:spacing w:val="2"/>
          <w:sz w:val="20"/>
          <w:szCs w:val="20"/>
          <w:lang w:eastAsia="en-US"/>
        </w:rPr>
      </w:pPr>
    </w:p>
    <w:p w:rsidR="009303BE" w:rsidRPr="00F46645" w:rsidRDefault="009303BE" w:rsidP="009303BE">
      <w:pPr>
        <w:shd w:val="clear" w:color="auto" w:fill="FFFFFF"/>
        <w:spacing w:after="0" w:line="240" w:lineRule="auto"/>
        <w:ind w:firstLine="709"/>
        <w:jc w:val="both"/>
        <w:rPr>
          <w:rFonts w:ascii="Times New Roman" w:hAnsi="Times New Roman"/>
          <w:sz w:val="24"/>
          <w:szCs w:val="24"/>
        </w:rPr>
      </w:pPr>
      <w:r w:rsidRPr="00F46645">
        <w:rPr>
          <w:rFonts w:ascii="Times New Roman" w:eastAsia="Calibri" w:hAnsi="Times New Roman"/>
          <w:sz w:val="24"/>
          <w:szCs w:val="24"/>
          <w:lang w:eastAsia="en-US"/>
        </w:rPr>
        <w:t>Таким образом, сохраняющаяся неопределённость дальнейших перспектив развития в связи с обострением негативных факторов, обусловленных внешнеполитической и экономической конъюнктурной ситуацией на фоне отсутствия доступа к внешнему финансированию и ограниченности внутренних ресурсов, предопределила в 201</w:t>
      </w:r>
      <w:r>
        <w:rPr>
          <w:rFonts w:ascii="Times New Roman" w:eastAsia="Calibri" w:hAnsi="Times New Roman"/>
          <w:sz w:val="24"/>
          <w:szCs w:val="24"/>
          <w:lang w:eastAsia="en-US"/>
        </w:rPr>
        <w:t>6</w:t>
      </w:r>
      <w:r w:rsidRPr="00F46645">
        <w:rPr>
          <w:rFonts w:ascii="Times New Roman" w:eastAsia="Calibri" w:hAnsi="Times New Roman"/>
          <w:sz w:val="24"/>
          <w:szCs w:val="24"/>
          <w:lang w:eastAsia="en-US"/>
        </w:rPr>
        <w:t xml:space="preserve"> году отрицательную динамику показателей долгосрочных вложений в основной капитал. </w:t>
      </w:r>
    </w:p>
    <w:p w:rsidR="00A53647" w:rsidRDefault="00A53647" w:rsidP="00A53647">
      <w:pPr>
        <w:spacing w:after="0" w:line="240" w:lineRule="auto"/>
        <w:ind w:firstLine="709"/>
        <w:rPr>
          <w:rFonts w:ascii="Times New Roman" w:hAnsi="Times New Roman"/>
          <w:b/>
          <w:sz w:val="24"/>
          <w:szCs w:val="24"/>
        </w:rPr>
      </w:pPr>
    </w:p>
    <w:p w:rsidR="00067149" w:rsidRPr="00087D05" w:rsidRDefault="00067149" w:rsidP="00067149">
      <w:pPr>
        <w:spacing w:after="0" w:line="240" w:lineRule="auto"/>
        <w:ind w:firstLine="709"/>
        <w:rPr>
          <w:rFonts w:ascii="Times New Roman" w:hAnsi="Times New Roman"/>
          <w:b/>
          <w:sz w:val="24"/>
          <w:szCs w:val="24"/>
        </w:rPr>
      </w:pPr>
      <w:r w:rsidRPr="00087D05">
        <w:rPr>
          <w:rFonts w:ascii="Times New Roman" w:hAnsi="Times New Roman"/>
          <w:b/>
          <w:sz w:val="24"/>
          <w:szCs w:val="24"/>
        </w:rPr>
        <w:t>Транспорт</w:t>
      </w:r>
    </w:p>
    <w:p w:rsidR="00067149" w:rsidRPr="00087D05" w:rsidRDefault="00067149" w:rsidP="00067149">
      <w:pPr>
        <w:spacing w:after="0" w:line="240" w:lineRule="auto"/>
        <w:ind w:firstLine="709"/>
        <w:rPr>
          <w:rFonts w:ascii="Times New Roman" w:hAnsi="Times New Roman"/>
          <w:b/>
          <w:sz w:val="24"/>
          <w:szCs w:val="24"/>
        </w:rPr>
      </w:pPr>
    </w:p>
    <w:p w:rsidR="00067149" w:rsidRPr="00087D05" w:rsidRDefault="00067149" w:rsidP="00067149">
      <w:pPr>
        <w:spacing w:after="0" w:line="240" w:lineRule="auto"/>
        <w:ind w:firstLine="709"/>
        <w:jc w:val="both"/>
        <w:rPr>
          <w:rFonts w:ascii="Times New Roman" w:hAnsi="Times New Roman"/>
          <w:sz w:val="24"/>
          <w:szCs w:val="24"/>
        </w:rPr>
      </w:pPr>
      <w:r w:rsidRPr="00087D05">
        <w:rPr>
          <w:rFonts w:ascii="Times New Roman" w:hAnsi="Times New Roman"/>
          <w:sz w:val="24"/>
          <w:szCs w:val="24"/>
        </w:rPr>
        <w:t>Сложности при осуществлении внешнеэкономической деятельности хозяйствующими субъектами республики, обусловленные ситуацией на мировых сырьевых и товарных рынках, в совокупности с сокращением спроса на услуги предприятий отрасли, на фоне процессов происходящих в сфере трудовых отношений, оказывают влияние на результаты финансово-хозяйственной деятельности организаций сферы транспорта.</w:t>
      </w:r>
    </w:p>
    <w:p w:rsidR="00067149" w:rsidRPr="00087D05" w:rsidRDefault="00067149" w:rsidP="00067149">
      <w:pPr>
        <w:spacing w:after="0" w:line="240" w:lineRule="auto"/>
        <w:ind w:firstLine="709"/>
        <w:jc w:val="both"/>
        <w:rPr>
          <w:rFonts w:ascii="Times New Roman" w:hAnsi="Times New Roman"/>
          <w:sz w:val="24"/>
          <w:szCs w:val="24"/>
        </w:rPr>
      </w:pPr>
      <w:r w:rsidRPr="00087D05">
        <w:rPr>
          <w:rFonts w:ascii="Times New Roman" w:hAnsi="Times New Roman"/>
          <w:sz w:val="24"/>
          <w:szCs w:val="24"/>
        </w:rPr>
        <w:t xml:space="preserve">Показатели деятельности организаций </w:t>
      </w:r>
      <w:r w:rsidRPr="00087D05">
        <w:rPr>
          <w:rFonts w:ascii="Times New Roman" w:hAnsi="Times New Roman"/>
          <w:b/>
          <w:i/>
          <w:sz w:val="24"/>
          <w:szCs w:val="24"/>
        </w:rPr>
        <w:t xml:space="preserve">грузового автомобильного транспорта </w:t>
      </w:r>
      <w:r w:rsidRPr="00087D05">
        <w:rPr>
          <w:rFonts w:ascii="Times New Roman" w:hAnsi="Times New Roman"/>
          <w:sz w:val="24"/>
          <w:szCs w:val="24"/>
        </w:rPr>
        <w:t>в             2016 году на фоне спада деловой активности приднестровских экономических агентов, а также трудностей с представлением со стороны Республики Молдова разрешительных документов на осуществление международных грузовых перевозок, демонстрируют разновекторную динамику. Грузооборот по автотранспортным организациям общего пользования в 2016 году, на фоне увеличения общего объема перевезенных грузов автомобильным транспортом на 18,5% до 2 493,2 тыс. тонн и роста средней</w:t>
      </w:r>
      <w:r w:rsidRPr="00087D05">
        <w:rPr>
          <w:rFonts w:ascii="Times New Roman" w:hAnsi="Times New Roman"/>
          <w:spacing w:val="3"/>
          <w:sz w:val="24"/>
          <w:szCs w:val="24"/>
        </w:rPr>
        <w:t xml:space="preserve"> дальности перевозки 1 тонны груза на 1,1% до 9,6 км расширился на 19,8%, составив                23 913,3 тыс. т-км.</w:t>
      </w:r>
    </w:p>
    <w:p w:rsidR="00067149" w:rsidRDefault="00067149" w:rsidP="00067149">
      <w:pPr>
        <w:spacing w:after="0" w:line="240" w:lineRule="auto"/>
        <w:ind w:firstLine="709"/>
        <w:jc w:val="both"/>
        <w:rPr>
          <w:rFonts w:ascii="Times New Roman" w:hAnsi="Times New Roman"/>
          <w:sz w:val="24"/>
          <w:szCs w:val="24"/>
        </w:rPr>
      </w:pPr>
      <w:r w:rsidRPr="00087D05">
        <w:rPr>
          <w:rFonts w:ascii="Times New Roman" w:hAnsi="Times New Roman"/>
          <w:sz w:val="24"/>
          <w:szCs w:val="24"/>
        </w:rPr>
        <w:t>Доходы от оказания услуг автомобильным транспортом за рассматриваемый период увеличились на 32,4% по сравнению с 2015 годом и составили 43 201,9 тыс. руб., что обусловлено ростом общего объема перевезенных грузов. Так, увеличение доходов отмечается по ООО «Ростан плюс» - на 26,6%, по ООО «ВИТ-ТРАНС» - на 87,3%, по ОАО</w:t>
      </w:r>
      <w:r>
        <w:rPr>
          <w:rFonts w:ascii="Times New Roman" w:hAnsi="Times New Roman"/>
          <w:sz w:val="24"/>
          <w:szCs w:val="24"/>
        </w:rPr>
        <w:t> </w:t>
      </w:r>
      <w:r w:rsidRPr="00087D05">
        <w:rPr>
          <w:rFonts w:ascii="Times New Roman" w:hAnsi="Times New Roman"/>
          <w:sz w:val="24"/>
          <w:szCs w:val="24"/>
        </w:rPr>
        <w:t>«Машинно-технологическая станция» - в 2,0 раза и др.</w:t>
      </w:r>
    </w:p>
    <w:p w:rsidR="00067149" w:rsidRPr="00087D05" w:rsidRDefault="00067149" w:rsidP="00067149">
      <w:pPr>
        <w:spacing w:after="0" w:line="240" w:lineRule="auto"/>
        <w:ind w:firstLine="709"/>
        <w:jc w:val="right"/>
        <w:rPr>
          <w:rFonts w:ascii="Times New Roman" w:hAnsi="Times New Roman"/>
          <w:spacing w:val="3"/>
          <w:sz w:val="24"/>
          <w:szCs w:val="24"/>
        </w:rPr>
      </w:pPr>
      <w:r w:rsidRPr="00087D05">
        <w:rPr>
          <w:rFonts w:ascii="Times New Roman" w:hAnsi="Times New Roman"/>
          <w:spacing w:val="3"/>
          <w:sz w:val="24"/>
          <w:szCs w:val="24"/>
        </w:rPr>
        <w:lastRenderedPageBreak/>
        <w:t>Таблица №</w:t>
      </w:r>
      <w:r w:rsidR="003E0203">
        <w:rPr>
          <w:rFonts w:ascii="Times New Roman" w:hAnsi="Times New Roman"/>
          <w:spacing w:val="3"/>
          <w:sz w:val="24"/>
          <w:szCs w:val="24"/>
        </w:rPr>
        <w:t>9</w:t>
      </w:r>
    </w:p>
    <w:p w:rsidR="00067149" w:rsidRPr="00087D05" w:rsidRDefault="00067149" w:rsidP="00067149">
      <w:pPr>
        <w:spacing w:after="0" w:line="240" w:lineRule="auto"/>
        <w:jc w:val="center"/>
        <w:rPr>
          <w:rFonts w:ascii="Times New Roman" w:hAnsi="Times New Roman"/>
          <w:b/>
          <w:sz w:val="24"/>
          <w:szCs w:val="24"/>
        </w:rPr>
      </w:pPr>
      <w:r w:rsidRPr="00087D05">
        <w:rPr>
          <w:rFonts w:ascii="Times New Roman" w:hAnsi="Times New Roman"/>
          <w:b/>
          <w:sz w:val="24"/>
          <w:szCs w:val="24"/>
        </w:rPr>
        <w:t>Показатели работы грузового транспорта общего пользования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9"/>
        <w:gridCol w:w="1368"/>
        <w:gridCol w:w="1156"/>
        <w:gridCol w:w="1300"/>
        <w:gridCol w:w="1546"/>
      </w:tblGrid>
      <w:tr w:rsidR="00067149" w:rsidRPr="00087D05" w:rsidTr="00656A17">
        <w:trPr>
          <w:trHeight w:val="477"/>
        </w:trPr>
        <w:tc>
          <w:tcPr>
            <w:tcW w:w="4269" w:type="dxa"/>
            <w:vAlign w:val="center"/>
          </w:tcPr>
          <w:p w:rsidR="00067149" w:rsidRPr="00087D05" w:rsidRDefault="00067149" w:rsidP="006E321F">
            <w:pPr>
              <w:spacing w:after="0" w:line="240" w:lineRule="auto"/>
              <w:jc w:val="center"/>
              <w:rPr>
                <w:rFonts w:ascii="Times New Roman" w:hAnsi="Times New Roman"/>
                <w:b/>
              </w:rPr>
            </w:pPr>
            <w:r w:rsidRPr="00087D05">
              <w:rPr>
                <w:rFonts w:ascii="Times New Roman" w:hAnsi="Times New Roman"/>
                <w:b/>
              </w:rPr>
              <w:t>Показатели</w:t>
            </w:r>
          </w:p>
        </w:tc>
        <w:tc>
          <w:tcPr>
            <w:tcW w:w="1368" w:type="dxa"/>
            <w:vAlign w:val="center"/>
          </w:tcPr>
          <w:p w:rsidR="00067149" w:rsidRPr="00087D05" w:rsidRDefault="00067149" w:rsidP="006E321F">
            <w:pPr>
              <w:spacing w:after="0" w:line="240" w:lineRule="auto"/>
              <w:jc w:val="center"/>
              <w:rPr>
                <w:rFonts w:ascii="Times New Roman" w:hAnsi="Times New Roman"/>
                <w:b/>
              </w:rPr>
            </w:pPr>
            <w:r w:rsidRPr="00087D05">
              <w:rPr>
                <w:rFonts w:ascii="Times New Roman" w:hAnsi="Times New Roman"/>
                <w:b/>
              </w:rPr>
              <w:t>Ед. изм.</w:t>
            </w:r>
          </w:p>
        </w:tc>
        <w:tc>
          <w:tcPr>
            <w:tcW w:w="1156" w:type="dxa"/>
            <w:vAlign w:val="center"/>
          </w:tcPr>
          <w:p w:rsidR="00067149" w:rsidRPr="00087D05" w:rsidRDefault="00067149" w:rsidP="006E321F">
            <w:pPr>
              <w:spacing w:after="0" w:line="240" w:lineRule="auto"/>
              <w:jc w:val="center"/>
              <w:rPr>
                <w:rFonts w:ascii="Times New Roman" w:hAnsi="Times New Roman"/>
                <w:b/>
              </w:rPr>
            </w:pPr>
            <w:r w:rsidRPr="00087D05">
              <w:rPr>
                <w:rFonts w:ascii="Times New Roman" w:hAnsi="Times New Roman"/>
                <w:b/>
              </w:rPr>
              <w:t>2015 г.</w:t>
            </w:r>
          </w:p>
        </w:tc>
        <w:tc>
          <w:tcPr>
            <w:tcW w:w="1300" w:type="dxa"/>
            <w:vAlign w:val="center"/>
          </w:tcPr>
          <w:p w:rsidR="00067149" w:rsidRPr="00087D05" w:rsidRDefault="00067149" w:rsidP="006E321F">
            <w:pPr>
              <w:spacing w:after="0" w:line="240" w:lineRule="auto"/>
              <w:jc w:val="center"/>
              <w:rPr>
                <w:rFonts w:ascii="Times New Roman" w:hAnsi="Times New Roman"/>
                <w:b/>
              </w:rPr>
            </w:pPr>
            <w:r w:rsidRPr="00087D05">
              <w:rPr>
                <w:rFonts w:ascii="Times New Roman" w:hAnsi="Times New Roman"/>
                <w:b/>
              </w:rPr>
              <w:t>2016 г.</w:t>
            </w:r>
          </w:p>
        </w:tc>
        <w:tc>
          <w:tcPr>
            <w:tcW w:w="1546" w:type="dxa"/>
            <w:vAlign w:val="center"/>
          </w:tcPr>
          <w:p w:rsidR="00067149" w:rsidRPr="00087D05" w:rsidRDefault="00067149" w:rsidP="006E321F">
            <w:pPr>
              <w:spacing w:after="0" w:line="240" w:lineRule="auto"/>
              <w:ind w:left="-108" w:right="-51"/>
              <w:jc w:val="center"/>
              <w:rPr>
                <w:rFonts w:ascii="Times New Roman" w:hAnsi="Times New Roman"/>
                <w:b/>
                <w:i/>
              </w:rPr>
            </w:pPr>
            <w:r w:rsidRPr="00087D05">
              <w:rPr>
                <w:rFonts w:ascii="Times New Roman" w:hAnsi="Times New Roman"/>
                <w:b/>
                <w:i/>
              </w:rPr>
              <w:t>2016 г. в % к</w:t>
            </w:r>
          </w:p>
          <w:p w:rsidR="00067149" w:rsidRPr="00087D05" w:rsidRDefault="00067149" w:rsidP="006E321F">
            <w:pPr>
              <w:spacing w:after="0" w:line="240" w:lineRule="auto"/>
              <w:ind w:left="-108" w:right="-51"/>
              <w:jc w:val="center"/>
              <w:rPr>
                <w:rFonts w:ascii="Times New Roman" w:hAnsi="Times New Roman"/>
                <w:b/>
                <w:i/>
              </w:rPr>
            </w:pPr>
            <w:r w:rsidRPr="00087D05">
              <w:rPr>
                <w:rFonts w:ascii="Times New Roman" w:hAnsi="Times New Roman"/>
                <w:b/>
                <w:i/>
              </w:rPr>
              <w:t>2015 г.</w:t>
            </w:r>
          </w:p>
        </w:tc>
      </w:tr>
      <w:tr w:rsidR="00067149" w:rsidRPr="00087D05" w:rsidTr="00067149">
        <w:trPr>
          <w:trHeight w:val="286"/>
        </w:trPr>
        <w:tc>
          <w:tcPr>
            <w:tcW w:w="4269" w:type="dxa"/>
            <w:vAlign w:val="center"/>
          </w:tcPr>
          <w:p w:rsidR="00067149" w:rsidRPr="00087D05" w:rsidRDefault="00067149" w:rsidP="006E321F">
            <w:pPr>
              <w:spacing w:after="0" w:line="240" w:lineRule="auto"/>
              <w:rPr>
                <w:rFonts w:ascii="Times New Roman" w:hAnsi="Times New Roman"/>
                <w:vertAlign w:val="superscript"/>
              </w:rPr>
            </w:pPr>
            <w:r w:rsidRPr="00087D05">
              <w:rPr>
                <w:rFonts w:ascii="Times New Roman" w:hAnsi="Times New Roman"/>
                <w:b/>
              </w:rPr>
              <w:t>Объем перевезенных грузов</w:t>
            </w:r>
          </w:p>
        </w:tc>
        <w:tc>
          <w:tcPr>
            <w:tcW w:w="1368" w:type="dxa"/>
            <w:vAlign w:val="center"/>
          </w:tcPr>
          <w:p w:rsidR="00067149" w:rsidRPr="00087D05" w:rsidRDefault="00067149" w:rsidP="006E321F">
            <w:pPr>
              <w:spacing w:after="0" w:line="240" w:lineRule="auto"/>
              <w:ind w:right="113"/>
              <w:jc w:val="center"/>
              <w:rPr>
                <w:rFonts w:ascii="Times New Roman" w:hAnsi="Times New Roman"/>
              </w:rPr>
            </w:pPr>
            <w:r w:rsidRPr="00087D05">
              <w:rPr>
                <w:rFonts w:ascii="Times New Roman" w:hAnsi="Times New Roman"/>
              </w:rPr>
              <w:t>тыс. т</w:t>
            </w:r>
          </w:p>
        </w:tc>
        <w:tc>
          <w:tcPr>
            <w:tcW w:w="1156" w:type="dxa"/>
            <w:vAlign w:val="center"/>
          </w:tcPr>
          <w:p w:rsidR="00067149" w:rsidRPr="00087D05" w:rsidRDefault="00067149" w:rsidP="006E321F">
            <w:pPr>
              <w:spacing w:after="0" w:line="240" w:lineRule="auto"/>
              <w:ind w:right="113"/>
              <w:jc w:val="center"/>
              <w:rPr>
                <w:rFonts w:ascii="Times New Roman" w:hAnsi="Times New Roman"/>
              </w:rPr>
            </w:pPr>
            <w:r w:rsidRPr="00087D05">
              <w:rPr>
                <w:rFonts w:ascii="Times New Roman" w:hAnsi="Times New Roman"/>
              </w:rPr>
              <w:t>2 104,5</w:t>
            </w:r>
          </w:p>
        </w:tc>
        <w:tc>
          <w:tcPr>
            <w:tcW w:w="1300" w:type="dxa"/>
            <w:vAlign w:val="center"/>
          </w:tcPr>
          <w:p w:rsidR="00067149" w:rsidRPr="00087D05" w:rsidRDefault="00067149" w:rsidP="006E321F">
            <w:pPr>
              <w:spacing w:after="0" w:line="240" w:lineRule="auto"/>
              <w:ind w:right="113"/>
              <w:jc w:val="center"/>
              <w:rPr>
                <w:rFonts w:ascii="Times New Roman" w:hAnsi="Times New Roman"/>
              </w:rPr>
            </w:pPr>
            <w:r w:rsidRPr="00087D05">
              <w:rPr>
                <w:rFonts w:ascii="Times New Roman" w:hAnsi="Times New Roman"/>
              </w:rPr>
              <w:t>2 493,2</w:t>
            </w:r>
          </w:p>
        </w:tc>
        <w:tc>
          <w:tcPr>
            <w:tcW w:w="1546" w:type="dxa"/>
            <w:vAlign w:val="center"/>
          </w:tcPr>
          <w:p w:rsidR="00067149" w:rsidRPr="00087D05" w:rsidRDefault="00067149" w:rsidP="006E321F">
            <w:pPr>
              <w:spacing w:after="0" w:line="240" w:lineRule="auto"/>
              <w:ind w:left="-108" w:right="-51"/>
              <w:jc w:val="center"/>
              <w:rPr>
                <w:rFonts w:ascii="Times New Roman" w:hAnsi="Times New Roman"/>
                <w:i/>
              </w:rPr>
            </w:pPr>
            <w:r w:rsidRPr="00087D05">
              <w:rPr>
                <w:rFonts w:ascii="Times New Roman" w:hAnsi="Times New Roman"/>
                <w:i/>
              </w:rPr>
              <w:t>118,5</w:t>
            </w:r>
          </w:p>
        </w:tc>
      </w:tr>
      <w:tr w:rsidR="00067149" w:rsidRPr="00087D05" w:rsidTr="00067149">
        <w:trPr>
          <w:trHeight w:val="108"/>
        </w:trPr>
        <w:tc>
          <w:tcPr>
            <w:tcW w:w="4269" w:type="dxa"/>
            <w:vAlign w:val="center"/>
          </w:tcPr>
          <w:p w:rsidR="00067149" w:rsidRPr="00087D05" w:rsidRDefault="00067149" w:rsidP="006E321F">
            <w:pPr>
              <w:spacing w:after="0" w:line="240" w:lineRule="auto"/>
              <w:rPr>
                <w:rFonts w:ascii="Times New Roman" w:hAnsi="Times New Roman"/>
              </w:rPr>
            </w:pPr>
            <w:r w:rsidRPr="00087D05">
              <w:rPr>
                <w:rFonts w:ascii="Times New Roman" w:hAnsi="Times New Roman"/>
                <w:b/>
              </w:rPr>
              <w:t>Грузооборот</w:t>
            </w:r>
          </w:p>
        </w:tc>
        <w:tc>
          <w:tcPr>
            <w:tcW w:w="1368" w:type="dxa"/>
            <w:vAlign w:val="center"/>
          </w:tcPr>
          <w:p w:rsidR="00067149" w:rsidRPr="00087D05" w:rsidRDefault="00067149" w:rsidP="006E321F">
            <w:pPr>
              <w:spacing w:after="0" w:line="240" w:lineRule="auto"/>
              <w:ind w:right="113"/>
              <w:jc w:val="center"/>
              <w:rPr>
                <w:rFonts w:ascii="Times New Roman" w:hAnsi="Times New Roman"/>
              </w:rPr>
            </w:pPr>
            <w:r w:rsidRPr="00087D05">
              <w:rPr>
                <w:rFonts w:ascii="Times New Roman" w:hAnsi="Times New Roman"/>
              </w:rPr>
              <w:t>тыс. т-км.</w:t>
            </w:r>
          </w:p>
        </w:tc>
        <w:tc>
          <w:tcPr>
            <w:tcW w:w="1156" w:type="dxa"/>
            <w:vAlign w:val="center"/>
          </w:tcPr>
          <w:p w:rsidR="00067149" w:rsidRPr="00087D05" w:rsidRDefault="00067149" w:rsidP="006E321F">
            <w:pPr>
              <w:spacing w:after="0" w:line="240" w:lineRule="auto"/>
              <w:ind w:right="113"/>
              <w:jc w:val="center"/>
              <w:rPr>
                <w:rFonts w:ascii="Times New Roman" w:hAnsi="Times New Roman"/>
              </w:rPr>
            </w:pPr>
            <w:r w:rsidRPr="00087D05">
              <w:rPr>
                <w:rFonts w:ascii="Times New Roman" w:hAnsi="Times New Roman"/>
              </w:rPr>
              <w:t>19 961,7</w:t>
            </w:r>
          </w:p>
        </w:tc>
        <w:tc>
          <w:tcPr>
            <w:tcW w:w="1300" w:type="dxa"/>
            <w:vAlign w:val="center"/>
          </w:tcPr>
          <w:p w:rsidR="00067149" w:rsidRPr="00087D05" w:rsidRDefault="00067149" w:rsidP="006E321F">
            <w:pPr>
              <w:spacing w:after="0" w:line="240" w:lineRule="auto"/>
              <w:ind w:right="113"/>
              <w:jc w:val="center"/>
              <w:rPr>
                <w:rFonts w:ascii="Times New Roman" w:hAnsi="Times New Roman"/>
                <w:lang w:val="en-US"/>
              </w:rPr>
            </w:pPr>
            <w:r w:rsidRPr="00087D05">
              <w:rPr>
                <w:rFonts w:ascii="Times New Roman" w:hAnsi="Times New Roman"/>
              </w:rPr>
              <w:t>23 913,3</w:t>
            </w:r>
          </w:p>
        </w:tc>
        <w:tc>
          <w:tcPr>
            <w:tcW w:w="1546" w:type="dxa"/>
            <w:vAlign w:val="center"/>
          </w:tcPr>
          <w:p w:rsidR="00067149" w:rsidRPr="00087D05" w:rsidRDefault="00067149" w:rsidP="006E321F">
            <w:pPr>
              <w:spacing w:after="0" w:line="240" w:lineRule="auto"/>
              <w:ind w:left="-108" w:right="-51"/>
              <w:jc w:val="center"/>
              <w:rPr>
                <w:rFonts w:ascii="Times New Roman" w:hAnsi="Times New Roman"/>
                <w:i/>
                <w:lang w:val="en-US"/>
              </w:rPr>
            </w:pPr>
            <w:r w:rsidRPr="00087D05">
              <w:rPr>
                <w:rFonts w:ascii="Times New Roman" w:hAnsi="Times New Roman"/>
                <w:i/>
              </w:rPr>
              <w:t>119,8</w:t>
            </w:r>
          </w:p>
        </w:tc>
      </w:tr>
      <w:tr w:rsidR="00067149" w:rsidRPr="00087D05" w:rsidTr="00067149">
        <w:trPr>
          <w:trHeight w:val="268"/>
        </w:trPr>
        <w:tc>
          <w:tcPr>
            <w:tcW w:w="4269" w:type="dxa"/>
            <w:vAlign w:val="center"/>
          </w:tcPr>
          <w:p w:rsidR="00067149" w:rsidRPr="00087D05" w:rsidRDefault="00067149" w:rsidP="006E321F">
            <w:pPr>
              <w:spacing w:after="0" w:line="240" w:lineRule="auto"/>
              <w:rPr>
                <w:rFonts w:ascii="Times New Roman" w:hAnsi="Times New Roman"/>
                <w:b/>
              </w:rPr>
            </w:pPr>
            <w:r w:rsidRPr="00087D05">
              <w:rPr>
                <w:rFonts w:ascii="Times New Roman" w:hAnsi="Times New Roman"/>
                <w:b/>
              </w:rPr>
              <w:t>Средняя дальность перевозки 1 т груза</w:t>
            </w:r>
          </w:p>
        </w:tc>
        <w:tc>
          <w:tcPr>
            <w:tcW w:w="1368" w:type="dxa"/>
            <w:vAlign w:val="center"/>
          </w:tcPr>
          <w:p w:rsidR="00067149" w:rsidRPr="00087D05" w:rsidRDefault="00067149" w:rsidP="006E321F">
            <w:pPr>
              <w:spacing w:after="0" w:line="240" w:lineRule="auto"/>
              <w:ind w:right="113"/>
              <w:jc w:val="center"/>
              <w:rPr>
                <w:rFonts w:ascii="Times New Roman" w:hAnsi="Times New Roman"/>
              </w:rPr>
            </w:pPr>
            <w:r w:rsidRPr="00087D05">
              <w:rPr>
                <w:rFonts w:ascii="Times New Roman" w:hAnsi="Times New Roman"/>
              </w:rPr>
              <w:t>км</w:t>
            </w:r>
          </w:p>
        </w:tc>
        <w:tc>
          <w:tcPr>
            <w:tcW w:w="1156" w:type="dxa"/>
            <w:vAlign w:val="center"/>
          </w:tcPr>
          <w:p w:rsidR="00067149" w:rsidRPr="00087D05" w:rsidRDefault="00067149" w:rsidP="006E321F">
            <w:pPr>
              <w:spacing w:after="0" w:line="240" w:lineRule="auto"/>
              <w:ind w:right="113"/>
              <w:jc w:val="center"/>
              <w:rPr>
                <w:rFonts w:ascii="Times New Roman" w:hAnsi="Times New Roman"/>
                <w:lang w:val="en-US"/>
              </w:rPr>
            </w:pPr>
            <w:r w:rsidRPr="00087D05">
              <w:rPr>
                <w:rFonts w:ascii="Times New Roman" w:hAnsi="Times New Roman"/>
              </w:rPr>
              <w:t>9,5</w:t>
            </w:r>
          </w:p>
        </w:tc>
        <w:tc>
          <w:tcPr>
            <w:tcW w:w="1300" w:type="dxa"/>
            <w:vAlign w:val="center"/>
          </w:tcPr>
          <w:p w:rsidR="00067149" w:rsidRPr="00087D05" w:rsidRDefault="00067149" w:rsidP="006E321F">
            <w:pPr>
              <w:spacing w:after="0" w:line="240" w:lineRule="auto"/>
              <w:ind w:right="113"/>
              <w:jc w:val="center"/>
              <w:rPr>
                <w:rFonts w:ascii="Times New Roman" w:hAnsi="Times New Roman"/>
                <w:lang w:val="en-US"/>
              </w:rPr>
            </w:pPr>
            <w:r w:rsidRPr="00087D05">
              <w:rPr>
                <w:rFonts w:ascii="Times New Roman" w:hAnsi="Times New Roman"/>
              </w:rPr>
              <w:t>9,6</w:t>
            </w:r>
          </w:p>
        </w:tc>
        <w:tc>
          <w:tcPr>
            <w:tcW w:w="1546" w:type="dxa"/>
            <w:vAlign w:val="center"/>
          </w:tcPr>
          <w:p w:rsidR="00067149" w:rsidRPr="00087D05" w:rsidRDefault="00067149" w:rsidP="006E321F">
            <w:pPr>
              <w:spacing w:after="0" w:line="240" w:lineRule="auto"/>
              <w:ind w:left="-108" w:right="-51"/>
              <w:jc w:val="center"/>
              <w:rPr>
                <w:rFonts w:ascii="Times New Roman" w:hAnsi="Times New Roman"/>
                <w:i/>
              </w:rPr>
            </w:pPr>
            <w:r w:rsidRPr="00087D05">
              <w:rPr>
                <w:rFonts w:ascii="Times New Roman" w:hAnsi="Times New Roman"/>
                <w:i/>
              </w:rPr>
              <w:t>101,1</w:t>
            </w:r>
          </w:p>
        </w:tc>
      </w:tr>
      <w:tr w:rsidR="00067149" w:rsidRPr="00087D05" w:rsidTr="00067149">
        <w:trPr>
          <w:trHeight w:val="215"/>
        </w:trPr>
        <w:tc>
          <w:tcPr>
            <w:tcW w:w="4269" w:type="dxa"/>
            <w:vAlign w:val="center"/>
          </w:tcPr>
          <w:p w:rsidR="00067149" w:rsidRPr="00087D05" w:rsidRDefault="00067149" w:rsidP="006E321F">
            <w:pPr>
              <w:spacing w:after="0" w:line="240" w:lineRule="auto"/>
              <w:rPr>
                <w:rFonts w:ascii="Times New Roman" w:hAnsi="Times New Roman"/>
                <w:lang w:val="en-US"/>
              </w:rPr>
            </w:pPr>
            <w:r w:rsidRPr="00087D05">
              <w:rPr>
                <w:rFonts w:ascii="Times New Roman" w:hAnsi="Times New Roman"/>
                <w:b/>
              </w:rPr>
              <w:t>Наличие грузовых автомобилей</w:t>
            </w:r>
          </w:p>
        </w:tc>
        <w:tc>
          <w:tcPr>
            <w:tcW w:w="1368" w:type="dxa"/>
            <w:vAlign w:val="center"/>
          </w:tcPr>
          <w:p w:rsidR="00067149" w:rsidRPr="00087D05" w:rsidRDefault="00067149" w:rsidP="006E321F">
            <w:pPr>
              <w:spacing w:after="0" w:line="240" w:lineRule="auto"/>
              <w:ind w:right="113"/>
              <w:jc w:val="center"/>
              <w:rPr>
                <w:rFonts w:ascii="Times New Roman" w:hAnsi="Times New Roman"/>
              </w:rPr>
            </w:pPr>
            <w:r w:rsidRPr="00087D05">
              <w:rPr>
                <w:rFonts w:ascii="Times New Roman" w:hAnsi="Times New Roman"/>
              </w:rPr>
              <w:t>ед.</w:t>
            </w:r>
          </w:p>
        </w:tc>
        <w:tc>
          <w:tcPr>
            <w:tcW w:w="1156" w:type="dxa"/>
            <w:vAlign w:val="center"/>
          </w:tcPr>
          <w:p w:rsidR="00067149" w:rsidRPr="00087D05" w:rsidRDefault="00067149" w:rsidP="006E321F">
            <w:pPr>
              <w:spacing w:after="0" w:line="240" w:lineRule="auto"/>
              <w:ind w:right="113"/>
              <w:jc w:val="center"/>
              <w:rPr>
                <w:rFonts w:ascii="Times New Roman" w:hAnsi="Times New Roman"/>
                <w:lang w:val="en-US"/>
              </w:rPr>
            </w:pPr>
            <w:r w:rsidRPr="00087D05">
              <w:rPr>
                <w:rFonts w:ascii="Times New Roman" w:hAnsi="Times New Roman"/>
              </w:rPr>
              <w:t>740</w:t>
            </w:r>
          </w:p>
        </w:tc>
        <w:tc>
          <w:tcPr>
            <w:tcW w:w="1300" w:type="dxa"/>
            <w:vAlign w:val="center"/>
          </w:tcPr>
          <w:p w:rsidR="00067149" w:rsidRPr="00087D05" w:rsidRDefault="00067149" w:rsidP="006E321F">
            <w:pPr>
              <w:spacing w:after="0" w:line="240" w:lineRule="auto"/>
              <w:ind w:right="113"/>
              <w:jc w:val="center"/>
              <w:rPr>
                <w:rFonts w:ascii="Times New Roman" w:hAnsi="Times New Roman"/>
              </w:rPr>
            </w:pPr>
            <w:r w:rsidRPr="00087D05">
              <w:rPr>
                <w:rFonts w:ascii="Times New Roman" w:hAnsi="Times New Roman"/>
              </w:rPr>
              <w:t>703</w:t>
            </w:r>
          </w:p>
        </w:tc>
        <w:tc>
          <w:tcPr>
            <w:tcW w:w="1546" w:type="dxa"/>
            <w:vAlign w:val="center"/>
          </w:tcPr>
          <w:p w:rsidR="00067149" w:rsidRPr="00087D05" w:rsidRDefault="00067149" w:rsidP="006E321F">
            <w:pPr>
              <w:spacing w:after="0" w:line="240" w:lineRule="auto"/>
              <w:ind w:left="-108" w:right="-51"/>
              <w:jc w:val="center"/>
              <w:rPr>
                <w:rFonts w:ascii="Times New Roman" w:hAnsi="Times New Roman"/>
                <w:i/>
              </w:rPr>
            </w:pPr>
            <w:r w:rsidRPr="00087D05">
              <w:rPr>
                <w:rFonts w:ascii="Times New Roman" w:hAnsi="Times New Roman"/>
                <w:i/>
              </w:rPr>
              <w:t>95,0</w:t>
            </w:r>
          </w:p>
        </w:tc>
      </w:tr>
      <w:tr w:rsidR="00067149" w:rsidRPr="00087D05" w:rsidTr="00067149">
        <w:trPr>
          <w:trHeight w:val="251"/>
        </w:trPr>
        <w:tc>
          <w:tcPr>
            <w:tcW w:w="4269" w:type="dxa"/>
            <w:vAlign w:val="center"/>
          </w:tcPr>
          <w:p w:rsidR="00067149" w:rsidRPr="00087D05" w:rsidRDefault="00067149" w:rsidP="006E321F">
            <w:pPr>
              <w:spacing w:after="0" w:line="240" w:lineRule="auto"/>
              <w:rPr>
                <w:rFonts w:ascii="Times New Roman" w:hAnsi="Times New Roman"/>
              </w:rPr>
            </w:pPr>
            <w:r w:rsidRPr="00087D05">
              <w:rPr>
                <w:rFonts w:ascii="Times New Roman" w:hAnsi="Times New Roman"/>
                <w:b/>
              </w:rPr>
              <w:t>Доход от доставки грузов</w:t>
            </w:r>
          </w:p>
        </w:tc>
        <w:tc>
          <w:tcPr>
            <w:tcW w:w="1368" w:type="dxa"/>
            <w:vAlign w:val="center"/>
          </w:tcPr>
          <w:p w:rsidR="00067149" w:rsidRPr="00087D05" w:rsidRDefault="00067149" w:rsidP="006E321F">
            <w:pPr>
              <w:spacing w:after="0" w:line="240" w:lineRule="auto"/>
              <w:ind w:right="113"/>
              <w:jc w:val="center"/>
              <w:rPr>
                <w:rFonts w:ascii="Times New Roman" w:hAnsi="Times New Roman"/>
              </w:rPr>
            </w:pPr>
            <w:r w:rsidRPr="00087D05">
              <w:rPr>
                <w:rFonts w:ascii="Times New Roman" w:hAnsi="Times New Roman"/>
              </w:rPr>
              <w:t>тыс. руб.</w:t>
            </w:r>
          </w:p>
        </w:tc>
        <w:tc>
          <w:tcPr>
            <w:tcW w:w="1156" w:type="dxa"/>
            <w:vAlign w:val="center"/>
          </w:tcPr>
          <w:p w:rsidR="00067149" w:rsidRPr="00087D05" w:rsidRDefault="00067149" w:rsidP="006E321F">
            <w:pPr>
              <w:spacing w:after="0" w:line="240" w:lineRule="auto"/>
              <w:ind w:right="113"/>
              <w:jc w:val="center"/>
              <w:rPr>
                <w:rFonts w:ascii="Times New Roman" w:hAnsi="Times New Roman"/>
                <w:lang w:val="en-US"/>
              </w:rPr>
            </w:pPr>
            <w:r w:rsidRPr="00087D05">
              <w:rPr>
                <w:rFonts w:ascii="Times New Roman" w:hAnsi="Times New Roman"/>
              </w:rPr>
              <w:t>32 629,4</w:t>
            </w:r>
          </w:p>
        </w:tc>
        <w:tc>
          <w:tcPr>
            <w:tcW w:w="1300" w:type="dxa"/>
            <w:vAlign w:val="center"/>
          </w:tcPr>
          <w:p w:rsidR="00067149" w:rsidRPr="00087D05" w:rsidRDefault="00067149" w:rsidP="006E321F">
            <w:pPr>
              <w:spacing w:after="0" w:line="240" w:lineRule="auto"/>
              <w:ind w:right="113"/>
              <w:jc w:val="center"/>
              <w:rPr>
                <w:rFonts w:ascii="Times New Roman" w:hAnsi="Times New Roman"/>
                <w:lang w:val="en-US"/>
              </w:rPr>
            </w:pPr>
            <w:r w:rsidRPr="00087D05">
              <w:rPr>
                <w:rFonts w:ascii="Times New Roman" w:hAnsi="Times New Roman"/>
              </w:rPr>
              <w:t>43 201,9</w:t>
            </w:r>
          </w:p>
        </w:tc>
        <w:tc>
          <w:tcPr>
            <w:tcW w:w="1546" w:type="dxa"/>
            <w:vAlign w:val="center"/>
          </w:tcPr>
          <w:p w:rsidR="00067149" w:rsidRPr="00087D05" w:rsidRDefault="00067149" w:rsidP="006E321F">
            <w:pPr>
              <w:spacing w:after="0" w:line="240" w:lineRule="auto"/>
              <w:ind w:left="-108" w:right="-51"/>
              <w:jc w:val="center"/>
              <w:rPr>
                <w:rFonts w:ascii="Times New Roman" w:hAnsi="Times New Roman"/>
                <w:i/>
                <w:lang w:val="en-US"/>
              </w:rPr>
            </w:pPr>
            <w:r w:rsidRPr="00087D05">
              <w:rPr>
                <w:rFonts w:ascii="Times New Roman" w:hAnsi="Times New Roman"/>
                <w:i/>
              </w:rPr>
              <w:t>132,4</w:t>
            </w:r>
          </w:p>
        </w:tc>
      </w:tr>
    </w:tbl>
    <w:p w:rsidR="00067149" w:rsidRPr="00067149" w:rsidRDefault="00067149" w:rsidP="00067149">
      <w:pPr>
        <w:pStyle w:val="a5"/>
        <w:spacing w:after="0" w:line="240" w:lineRule="auto"/>
        <w:jc w:val="both"/>
        <w:rPr>
          <w:rFonts w:ascii="Times New Roman" w:hAnsi="Times New Roman"/>
          <w:sz w:val="10"/>
          <w:szCs w:val="10"/>
        </w:rPr>
      </w:pPr>
    </w:p>
    <w:p w:rsidR="00067149" w:rsidRPr="00087D05" w:rsidRDefault="00067149" w:rsidP="00067149">
      <w:pPr>
        <w:spacing w:after="0" w:line="240" w:lineRule="auto"/>
        <w:ind w:firstLine="709"/>
        <w:jc w:val="both"/>
        <w:rPr>
          <w:rFonts w:ascii="Times New Roman" w:hAnsi="Times New Roman"/>
          <w:spacing w:val="3"/>
          <w:sz w:val="24"/>
          <w:szCs w:val="24"/>
        </w:rPr>
      </w:pPr>
      <w:r w:rsidRPr="00087D05">
        <w:rPr>
          <w:rFonts w:ascii="Times New Roman" w:hAnsi="Times New Roman"/>
          <w:spacing w:val="3"/>
          <w:sz w:val="24"/>
          <w:szCs w:val="24"/>
        </w:rPr>
        <w:t xml:space="preserve">В 2016 году количество грузовых автомобилей сократилось на 5,0% и составило 703 единицы. Снижение количества автотранспортных средств отмечено на                    ООО «Сенсор» - на 28 единиц или на 62,2%, на ЗАО «Автотранспортное предприятие </w:t>
      </w:r>
      <w:r>
        <w:rPr>
          <w:rFonts w:ascii="Times New Roman" w:hAnsi="Times New Roman"/>
          <w:spacing w:val="3"/>
          <w:sz w:val="24"/>
          <w:szCs w:val="24"/>
        </w:rPr>
        <w:br/>
      </w:r>
      <w:r w:rsidRPr="003E0203">
        <w:rPr>
          <w:rFonts w:ascii="Times New Roman" w:hAnsi="Times New Roman"/>
          <w:spacing w:val="3"/>
          <w:sz w:val="24"/>
          <w:szCs w:val="24"/>
        </w:rPr>
        <w:t>№3» - на</w:t>
      </w:r>
      <w:r w:rsidRPr="00087D05">
        <w:rPr>
          <w:rFonts w:ascii="Times New Roman" w:hAnsi="Times New Roman"/>
          <w:spacing w:val="3"/>
          <w:sz w:val="24"/>
          <w:szCs w:val="24"/>
        </w:rPr>
        <w:t xml:space="preserve"> 2 единицы или на 5,5%.</w:t>
      </w:r>
    </w:p>
    <w:p w:rsidR="00067149" w:rsidRPr="00087D05" w:rsidRDefault="00067149" w:rsidP="00067149">
      <w:pPr>
        <w:spacing w:after="0" w:line="240" w:lineRule="auto"/>
        <w:ind w:firstLine="709"/>
        <w:jc w:val="both"/>
        <w:rPr>
          <w:rFonts w:ascii="Times New Roman" w:hAnsi="Times New Roman"/>
          <w:spacing w:val="4"/>
          <w:sz w:val="24"/>
          <w:szCs w:val="24"/>
        </w:rPr>
      </w:pPr>
      <w:r w:rsidRPr="00087D05">
        <w:rPr>
          <w:rFonts w:ascii="Times New Roman" w:hAnsi="Times New Roman"/>
          <w:spacing w:val="4"/>
          <w:sz w:val="24"/>
          <w:szCs w:val="24"/>
        </w:rPr>
        <w:t xml:space="preserve">Основные показатели работы </w:t>
      </w:r>
      <w:r w:rsidRPr="00087D05">
        <w:rPr>
          <w:rFonts w:ascii="Times New Roman" w:hAnsi="Times New Roman"/>
          <w:b/>
          <w:i/>
          <w:spacing w:val="4"/>
          <w:sz w:val="24"/>
          <w:szCs w:val="24"/>
        </w:rPr>
        <w:t>автомобильного транспорта общего пользования</w:t>
      </w:r>
      <w:r w:rsidRPr="00087D05">
        <w:rPr>
          <w:rFonts w:ascii="Times New Roman" w:hAnsi="Times New Roman"/>
          <w:spacing w:val="4"/>
          <w:sz w:val="24"/>
          <w:szCs w:val="24"/>
        </w:rPr>
        <w:t xml:space="preserve"> в рассматриваемом периоде в целом демонстрируют понижательную динамику развития, что в совокупности с рядом внешних факторов, обусловлено </w:t>
      </w:r>
      <w:r w:rsidRPr="00087D05">
        <w:rPr>
          <w:rFonts w:ascii="Times New Roman" w:hAnsi="Times New Roman"/>
          <w:sz w:val="24"/>
          <w:szCs w:val="24"/>
        </w:rPr>
        <w:t xml:space="preserve">снижением </w:t>
      </w:r>
      <w:r w:rsidRPr="00087D05">
        <w:rPr>
          <w:rFonts w:ascii="Times New Roman" w:hAnsi="Times New Roman"/>
          <w:spacing w:val="4"/>
          <w:sz w:val="24"/>
          <w:szCs w:val="24"/>
        </w:rPr>
        <w:t>пассажиропотока, ростом цен на запчасти и топливо, а также</w:t>
      </w:r>
      <w:r w:rsidRPr="00087D05">
        <w:rPr>
          <w:rFonts w:ascii="Times New Roman" w:hAnsi="Times New Roman"/>
          <w:sz w:val="24"/>
          <w:szCs w:val="24"/>
        </w:rPr>
        <w:t xml:space="preserve"> снижением реальных доходов населения в условиях кризиса. Также следует отметить и то, что на отрицательную динамику показателей влияют более низкие тарифы на перевозку пассажиров автомобильным транспортом общего пользования в Республике Молдова и Украине, по отношению к которым</w:t>
      </w:r>
      <w:r w:rsidR="001E7C56">
        <w:rPr>
          <w:rFonts w:ascii="Times New Roman" w:hAnsi="Times New Roman"/>
          <w:sz w:val="24"/>
          <w:szCs w:val="24"/>
        </w:rPr>
        <w:t>,</w:t>
      </w:r>
      <w:r w:rsidRPr="00087D05">
        <w:rPr>
          <w:rFonts w:ascii="Times New Roman" w:hAnsi="Times New Roman"/>
          <w:sz w:val="24"/>
          <w:szCs w:val="24"/>
        </w:rPr>
        <w:t xml:space="preserve"> тарифы действующие в нашей стране выше на 77% и 82% соответственно в пригородном сообщении  на 7% и в 2,3 раза соответственно в пригородном сообщении. В результате </w:t>
      </w:r>
      <w:r w:rsidRPr="00087D05">
        <w:rPr>
          <w:rFonts w:ascii="Times New Roman" w:hAnsi="Times New Roman"/>
          <w:spacing w:val="4"/>
          <w:sz w:val="24"/>
          <w:szCs w:val="24"/>
        </w:rPr>
        <w:t>автоперевозчиками региона, специализирующимися на предоставлении услуг физическим лицам, перевезено 25,2 млн. пассажиров, что на 4,7% ниже уровня 2015 года.</w:t>
      </w:r>
    </w:p>
    <w:p w:rsidR="00067149" w:rsidRPr="00087D05" w:rsidRDefault="00067149" w:rsidP="00067149">
      <w:pPr>
        <w:spacing w:after="0" w:line="240" w:lineRule="auto"/>
        <w:ind w:firstLine="709"/>
        <w:jc w:val="both"/>
        <w:rPr>
          <w:rFonts w:ascii="Times New Roman" w:hAnsi="Times New Roman"/>
          <w:spacing w:val="2"/>
          <w:sz w:val="24"/>
          <w:szCs w:val="24"/>
        </w:rPr>
      </w:pPr>
      <w:r w:rsidRPr="00087D05">
        <w:rPr>
          <w:rFonts w:ascii="Times New Roman" w:hAnsi="Times New Roman"/>
          <w:spacing w:val="3"/>
          <w:sz w:val="24"/>
          <w:szCs w:val="24"/>
        </w:rPr>
        <w:t xml:space="preserve">На фоне снижения объема пассажиропотока («-»4,7%), и сокращения средней дальности поездки одного пассажира («-»1,1%) </w:t>
      </w:r>
      <w:r w:rsidRPr="00087D05">
        <w:rPr>
          <w:rFonts w:ascii="Times New Roman" w:hAnsi="Times New Roman"/>
          <w:spacing w:val="4"/>
          <w:sz w:val="24"/>
          <w:szCs w:val="24"/>
        </w:rPr>
        <w:t>пассажирооборот в 2016 году сократился по сравнению с 2015 годом на 5,2% и составил 222,5 млн. пассажиро – километров</w:t>
      </w:r>
      <w:r w:rsidRPr="00087D05">
        <w:rPr>
          <w:rFonts w:ascii="Times New Roman" w:hAnsi="Times New Roman"/>
          <w:spacing w:val="3"/>
          <w:sz w:val="24"/>
          <w:szCs w:val="24"/>
        </w:rPr>
        <w:t>. При этом доходы организаций пассажирского автотранспорта в рассматриваемом периоде</w:t>
      </w:r>
      <w:r w:rsidRPr="00087D05">
        <w:rPr>
          <w:rFonts w:ascii="Times New Roman" w:hAnsi="Times New Roman"/>
          <w:spacing w:val="2"/>
          <w:sz w:val="24"/>
          <w:szCs w:val="24"/>
        </w:rPr>
        <w:t xml:space="preserve"> сложились в сумме 130,9</w:t>
      </w:r>
      <w:r w:rsidRPr="00087D05">
        <w:rPr>
          <w:rFonts w:ascii="Times New Roman" w:hAnsi="Times New Roman"/>
          <w:spacing w:val="3"/>
          <w:sz w:val="24"/>
          <w:szCs w:val="24"/>
        </w:rPr>
        <w:t xml:space="preserve"> млн. руб., что ниже аналогичного показателя 2</w:t>
      </w:r>
      <w:r w:rsidRPr="00087D05">
        <w:rPr>
          <w:rFonts w:ascii="Times New Roman" w:hAnsi="Times New Roman"/>
          <w:spacing w:val="2"/>
          <w:sz w:val="24"/>
          <w:szCs w:val="24"/>
        </w:rPr>
        <w:t xml:space="preserve">015 года </w:t>
      </w:r>
      <w:r w:rsidRPr="00087D05">
        <w:rPr>
          <w:rFonts w:ascii="Times New Roman" w:hAnsi="Times New Roman"/>
          <w:spacing w:val="3"/>
          <w:sz w:val="24"/>
          <w:szCs w:val="24"/>
        </w:rPr>
        <w:t>на 5,1</w:t>
      </w:r>
      <w:r w:rsidRPr="00087D05">
        <w:rPr>
          <w:rFonts w:ascii="Times New Roman" w:hAnsi="Times New Roman"/>
          <w:spacing w:val="2"/>
          <w:sz w:val="24"/>
          <w:szCs w:val="24"/>
        </w:rPr>
        <w:t>%. Так, на ООО «АВЭПС» в результате снижения пассажиропотока и пассажирооборота, отмечено сокращение доходов от оказания услуг по перевозке на 64,1%. На ОАО</w:t>
      </w:r>
      <w:r>
        <w:rPr>
          <w:rFonts w:ascii="Times New Roman" w:hAnsi="Times New Roman"/>
          <w:spacing w:val="2"/>
          <w:sz w:val="24"/>
          <w:szCs w:val="24"/>
        </w:rPr>
        <w:t> </w:t>
      </w:r>
      <w:r w:rsidRPr="00087D05">
        <w:rPr>
          <w:rFonts w:ascii="Times New Roman" w:hAnsi="Times New Roman"/>
          <w:spacing w:val="2"/>
          <w:sz w:val="24"/>
          <w:szCs w:val="24"/>
        </w:rPr>
        <w:t>«Рыбницкая автоколонна 2831» в результате сокращения числа перевезенных пассажиров на 3,3% и пассажирооборота на 14,6% отмечено снижение доходов на 8,3%. На ООО «Горавтотранс» соответственно при снижении количества перевезенных пассажиров и пассажирооборота на 6,1%, доходы от оказания услуг по перевозке пассажиров снизились на 6,1%.</w:t>
      </w:r>
    </w:p>
    <w:p w:rsidR="00067149" w:rsidRPr="00087D05" w:rsidRDefault="00067149" w:rsidP="00067149">
      <w:pPr>
        <w:spacing w:after="0" w:line="240" w:lineRule="auto"/>
        <w:ind w:firstLine="709"/>
        <w:jc w:val="right"/>
        <w:rPr>
          <w:rFonts w:ascii="Times New Roman" w:hAnsi="Times New Roman"/>
          <w:spacing w:val="2"/>
          <w:sz w:val="24"/>
          <w:szCs w:val="24"/>
        </w:rPr>
      </w:pPr>
      <w:r w:rsidRPr="00087D05">
        <w:rPr>
          <w:rFonts w:ascii="Times New Roman" w:hAnsi="Times New Roman"/>
          <w:spacing w:val="2"/>
          <w:sz w:val="24"/>
          <w:szCs w:val="24"/>
        </w:rPr>
        <w:t>Таблица №</w:t>
      </w:r>
      <w:r w:rsidR="003E0203">
        <w:rPr>
          <w:rFonts w:ascii="Times New Roman" w:hAnsi="Times New Roman"/>
          <w:spacing w:val="2"/>
          <w:sz w:val="24"/>
          <w:szCs w:val="24"/>
        </w:rPr>
        <w:t>10</w:t>
      </w:r>
    </w:p>
    <w:p w:rsidR="00067149" w:rsidRPr="00087D05" w:rsidRDefault="00067149" w:rsidP="00067149">
      <w:pPr>
        <w:spacing w:after="0" w:line="240" w:lineRule="auto"/>
        <w:jc w:val="center"/>
        <w:rPr>
          <w:rFonts w:ascii="Times New Roman" w:hAnsi="Times New Roman"/>
          <w:b/>
          <w:sz w:val="24"/>
          <w:szCs w:val="24"/>
        </w:rPr>
      </w:pPr>
      <w:r w:rsidRPr="00087D05">
        <w:rPr>
          <w:rFonts w:ascii="Times New Roman" w:hAnsi="Times New Roman"/>
          <w:b/>
          <w:sz w:val="24"/>
          <w:szCs w:val="24"/>
        </w:rPr>
        <w:t xml:space="preserve">Показатели работы пассажирского автотранспорта </w:t>
      </w:r>
    </w:p>
    <w:p w:rsidR="00067149" w:rsidRPr="00087D05" w:rsidRDefault="00067149" w:rsidP="00067149">
      <w:pPr>
        <w:spacing w:after="0" w:line="240" w:lineRule="auto"/>
        <w:jc w:val="center"/>
        <w:rPr>
          <w:rFonts w:ascii="Times New Roman" w:hAnsi="Times New Roman"/>
          <w:b/>
          <w:sz w:val="24"/>
          <w:szCs w:val="24"/>
        </w:rPr>
      </w:pPr>
      <w:r w:rsidRPr="00087D05">
        <w:rPr>
          <w:rFonts w:ascii="Times New Roman" w:hAnsi="Times New Roman"/>
          <w:b/>
          <w:sz w:val="24"/>
          <w:szCs w:val="24"/>
        </w:rPr>
        <w:t>общего пользования</w:t>
      </w:r>
    </w:p>
    <w:tbl>
      <w:tblPr>
        <w:tblW w:w="96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5"/>
        <w:gridCol w:w="1440"/>
        <w:gridCol w:w="1260"/>
        <w:gridCol w:w="1260"/>
        <w:gridCol w:w="1294"/>
      </w:tblGrid>
      <w:tr w:rsidR="00067149" w:rsidRPr="00087D05" w:rsidTr="00067149">
        <w:tc>
          <w:tcPr>
            <w:tcW w:w="4395" w:type="dxa"/>
            <w:vAlign w:val="center"/>
          </w:tcPr>
          <w:p w:rsidR="00067149" w:rsidRPr="00087D05" w:rsidRDefault="00067149" w:rsidP="006E321F">
            <w:pPr>
              <w:spacing w:after="0" w:line="240" w:lineRule="auto"/>
              <w:jc w:val="center"/>
              <w:rPr>
                <w:rFonts w:ascii="Times New Roman" w:hAnsi="Times New Roman"/>
                <w:b/>
              </w:rPr>
            </w:pPr>
            <w:r w:rsidRPr="00087D05">
              <w:rPr>
                <w:rFonts w:ascii="Times New Roman" w:hAnsi="Times New Roman"/>
                <w:b/>
              </w:rPr>
              <w:t>Показатели</w:t>
            </w:r>
          </w:p>
        </w:tc>
        <w:tc>
          <w:tcPr>
            <w:tcW w:w="1440" w:type="dxa"/>
            <w:vAlign w:val="center"/>
          </w:tcPr>
          <w:p w:rsidR="00067149" w:rsidRPr="00087D05" w:rsidRDefault="00067149" w:rsidP="006E321F">
            <w:pPr>
              <w:spacing w:after="0" w:line="240" w:lineRule="auto"/>
              <w:jc w:val="center"/>
              <w:rPr>
                <w:rFonts w:ascii="Times New Roman" w:hAnsi="Times New Roman"/>
                <w:b/>
              </w:rPr>
            </w:pPr>
            <w:r w:rsidRPr="00087D05">
              <w:rPr>
                <w:rFonts w:ascii="Times New Roman" w:hAnsi="Times New Roman"/>
                <w:b/>
              </w:rPr>
              <w:t>Ед. изм.</w:t>
            </w:r>
          </w:p>
        </w:tc>
        <w:tc>
          <w:tcPr>
            <w:tcW w:w="1260" w:type="dxa"/>
            <w:vAlign w:val="center"/>
          </w:tcPr>
          <w:p w:rsidR="00067149" w:rsidRPr="00087D05" w:rsidRDefault="00067149" w:rsidP="006E321F">
            <w:pPr>
              <w:spacing w:after="0" w:line="240" w:lineRule="auto"/>
              <w:jc w:val="center"/>
              <w:rPr>
                <w:rFonts w:ascii="Times New Roman" w:hAnsi="Times New Roman"/>
                <w:b/>
              </w:rPr>
            </w:pPr>
            <w:r w:rsidRPr="00087D05">
              <w:rPr>
                <w:rFonts w:ascii="Times New Roman" w:hAnsi="Times New Roman"/>
                <w:b/>
              </w:rPr>
              <w:t>2015 г.</w:t>
            </w:r>
          </w:p>
        </w:tc>
        <w:tc>
          <w:tcPr>
            <w:tcW w:w="1260" w:type="dxa"/>
            <w:vAlign w:val="center"/>
          </w:tcPr>
          <w:p w:rsidR="00067149" w:rsidRPr="00087D05" w:rsidRDefault="00067149" w:rsidP="006E321F">
            <w:pPr>
              <w:spacing w:after="0" w:line="240" w:lineRule="auto"/>
              <w:jc w:val="center"/>
              <w:rPr>
                <w:rFonts w:ascii="Times New Roman" w:hAnsi="Times New Roman"/>
                <w:b/>
              </w:rPr>
            </w:pPr>
            <w:r w:rsidRPr="00087D05">
              <w:rPr>
                <w:rFonts w:ascii="Times New Roman" w:hAnsi="Times New Roman"/>
                <w:b/>
              </w:rPr>
              <w:t>2016 г.</w:t>
            </w:r>
          </w:p>
        </w:tc>
        <w:tc>
          <w:tcPr>
            <w:tcW w:w="1294" w:type="dxa"/>
            <w:vAlign w:val="center"/>
          </w:tcPr>
          <w:p w:rsidR="00067149" w:rsidRPr="00087D05" w:rsidRDefault="00067149" w:rsidP="006E321F">
            <w:pPr>
              <w:spacing w:after="0" w:line="240" w:lineRule="auto"/>
              <w:ind w:left="-108" w:right="-51"/>
              <w:jc w:val="center"/>
              <w:rPr>
                <w:rFonts w:ascii="Times New Roman" w:hAnsi="Times New Roman"/>
                <w:b/>
                <w:i/>
              </w:rPr>
            </w:pPr>
            <w:r w:rsidRPr="00087D05">
              <w:rPr>
                <w:rFonts w:ascii="Times New Roman" w:hAnsi="Times New Roman"/>
                <w:b/>
                <w:i/>
              </w:rPr>
              <w:t>2016 г. в % к</w:t>
            </w:r>
          </w:p>
          <w:p w:rsidR="00067149" w:rsidRPr="00087D05" w:rsidRDefault="00067149" w:rsidP="006E321F">
            <w:pPr>
              <w:spacing w:after="0" w:line="240" w:lineRule="auto"/>
              <w:ind w:left="-108" w:right="-51"/>
              <w:jc w:val="center"/>
              <w:rPr>
                <w:rFonts w:ascii="Times New Roman" w:hAnsi="Times New Roman"/>
                <w:b/>
                <w:i/>
              </w:rPr>
            </w:pPr>
            <w:r w:rsidRPr="00087D05">
              <w:rPr>
                <w:rFonts w:ascii="Times New Roman" w:hAnsi="Times New Roman"/>
                <w:b/>
                <w:i/>
              </w:rPr>
              <w:t>2015 г.</w:t>
            </w:r>
          </w:p>
        </w:tc>
      </w:tr>
      <w:tr w:rsidR="00067149" w:rsidRPr="00087D05" w:rsidTr="00067149">
        <w:tc>
          <w:tcPr>
            <w:tcW w:w="4395" w:type="dxa"/>
          </w:tcPr>
          <w:p w:rsidR="00067149" w:rsidRPr="00087D05" w:rsidRDefault="00067149" w:rsidP="00067149">
            <w:pPr>
              <w:spacing w:after="0" w:line="240" w:lineRule="auto"/>
              <w:ind w:right="-108"/>
              <w:rPr>
                <w:rFonts w:ascii="Times New Roman" w:hAnsi="Times New Roman"/>
                <w:vertAlign w:val="superscript"/>
              </w:rPr>
            </w:pPr>
            <w:r w:rsidRPr="00087D05">
              <w:rPr>
                <w:rFonts w:ascii="Times New Roman" w:hAnsi="Times New Roman"/>
                <w:b/>
              </w:rPr>
              <w:t>Перевезено пассажиров</w:t>
            </w:r>
          </w:p>
        </w:tc>
        <w:tc>
          <w:tcPr>
            <w:tcW w:w="1440" w:type="dxa"/>
            <w:vAlign w:val="center"/>
          </w:tcPr>
          <w:p w:rsidR="00067149" w:rsidRPr="00087D05" w:rsidRDefault="00067149" w:rsidP="006E321F">
            <w:pPr>
              <w:spacing w:after="0" w:line="240" w:lineRule="auto"/>
              <w:ind w:right="113"/>
              <w:jc w:val="center"/>
              <w:rPr>
                <w:rFonts w:ascii="Times New Roman" w:hAnsi="Times New Roman"/>
              </w:rPr>
            </w:pPr>
            <w:r w:rsidRPr="00087D05">
              <w:rPr>
                <w:rFonts w:ascii="Times New Roman" w:hAnsi="Times New Roman"/>
              </w:rPr>
              <w:t>тыс. чел.</w:t>
            </w:r>
          </w:p>
        </w:tc>
        <w:tc>
          <w:tcPr>
            <w:tcW w:w="1260" w:type="dxa"/>
            <w:vAlign w:val="center"/>
          </w:tcPr>
          <w:p w:rsidR="00067149" w:rsidRPr="00087D05" w:rsidRDefault="00067149" w:rsidP="006E321F">
            <w:pPr>
              <w:spacing w:after="0" w:line="240" w:lineRule="auto"/>
              <w:ind w:right="113"/>
              <w:jc w:val="right"/>
              <w:rPr>
                <w:rFonts w:ascii="Times New Roman" w:hAnsi="Times New Roman"/>
              </w:rPr>
            </w:pPr>
            <w:r w:rsidRPr="00087D05">
              <w:rPr>
                <w:rFonts w:ascii="Times New Roman" w:hAnsi="Times New Roman"/>
              </w:rPr>
              <w:t>26 468,9</w:t>
            </w:r>
          </w:p>
        </w:tc>
        <w:tc>
          <w:tcPr>
            <w:tcW w:w="1260" w:type="dxa"/>
            <w:vAlign w:val="center"/>
          </w:tcPr>
          <w:p w:rsidR="00067149" w:rsidRPr="00087D05" w:rsidRDefault="00067149" w:rsidP="006E321F">
            <w:pPr>
              <w:spacing w:after="0" w:line="240" w:lineRule="auto"/>
              <w:ind w:right="113"/>
              <w:jc w:val="right"/>
              <w:rPr>
                <w:rFonts w:ascii="Times New Roman" w:hAnsi="Times New Roman"/>
              </w:rPr>
            </w:pPr>
            <w:r w:rsidRPr="00087D05">
              <w:rPr>
                <w:rFonts w:ascii="Times New Roman" w:hAnsi="Times New Roman"/>
              </w:rPr>
              <w:t>25 222,0</w:t>
            </w:r>
          </w:p>
        </w:tc>
        <w:tc>
          <w:tcPr>
            <w:tcW w:w="1294" w:type="dxa"/>
            <w:vAlign w:val="center"/>
          </w:tcPr>
          <w:p w:rsidR="00067149" w:rsidRPr="00087D05" w:rsidRDefault="00067149" w:rsidP="006E321F">
            <w:pPr>
              <w:spacing w:after="0" w:line="240" w:lineRule="auto"/>
              <w:ind w:right="113"/>
              <w:jc w:val="right"/>
              <w:rPr>
                <w:rFonts w:ascii="Times New Roman" w:hAnsi="Times New Roman"/>
                <w:i/>
              </w:rPr>
            </w:pPr>
            <w:r w:rsidRPr="00087D05">
              <w:rPr>
                <w:rFonts w:ascii="Times New Roman" w:hAnsi="Times New Roman"/>
                <w:i/>
              </w:rPr>
              <w:t>95,3</w:t>
            </w:r>
          </w:p>
        </w:tc>
      </w:tr>
      <w:tr w:rsidR="00067149" w:rsidRPr="00087D05" w:rsidTr="00067149">
        <w:tc>
          <w:tcPr>
            <w:tcW w:w="4395" w:type="dxa"/>
          </w:tcPr>
          <w:p w:rsidR="00067149" w:rsidRPr="00087D05" w:rsidRDefault="00067149" w:rsidP="00067149">
            <w:pPr>
              <w:spacing w:after="0" w:line="240" w:lineRule="auto"/>
              <w:ind w:right="-108"/>
              <w:rPr>
                <w:rFonts w:ascii="Times New Roman" w:hAnsi="Times New Roman"/>
              </w:rPr>
            </w:pPr>
            <w:r w:rsidRPr="00087D05">
              <w:rPr>
                <w:rFonts w:ascii="Times New Roman" w:hAnsi="Times New Roman"/>
                <w:b/>
              </w:rPr>
              <w:t>Пассажирооборот</w:t>
            </w:r>
          </w:p>
        </w:tc>
        <w:tc>
          <w:tcPr>
            <w:tcW w:w="1440" w:type="dxa"/>
            <w:vAlign w:val="center"/>
          </w:tcPr>
          <w:p w:rsidR="00067149" w:rsidRPr="00087D05" w:rsidRDefault="00067149" w:rsidP="006E321F">
            <w:pPr>
              <w:spacing w:after="0" w:line="240" w:lineRule="auto"/>
              <w:ind w:left="-108" w:right="-108"/>
              <w:jc w:val="center"/>
              <w:rPr>
                <w:rFonts w:ascii="Times New Roman" w:hAnsi="Times New Roman"/>
              </w:rPr>
            </w:pPr>
            <w:r w:rsidRPr="00087D05">
              <w:rPr>
                <w:rFonts w:ascii="Times New Roman" w:hAnsi="Times New Roman"/>
              </w:rPr>
              <w:t>тыс. пас - км.</w:t>
            </w:r>
          </w:p>
        </w:tc>
        <w:tc>
          <w:tcPr>
            <w:tcW w:w="1260" w:type="dxa"/>
            <w:vAlign w:val="center"/>
          </w:tcPr>
          <w:p w:rsidR="00067149" w:rsidRPr="00087D05" w:rsidRDefault="00067149" w:rsidP="006E321F">
            <w:pPr>
              <w:spacing w:after="0" w:line="240" w:lineRule="auto"/>
              <w:ind w:right="113"/>
              <w:jc w:val="right"/>
              <w:rPr>
                <w:rFonts w:ascii="Times New Roman" w:hAnsi="Times New Roman"/>
              </w:rPr>
            </w:pPr>
            <w:r w:rsidRPr="00087D05">
              <w:rPr>
                <w:rFonts w:ascii="Times New Roman" w:hAnsi="Times New Roman"/>
              </w:rPr>
              <w:t>234 678,6</w:t>
            </w:r>
          </w:p>
        </w:tc>
        <w:tc>
          <w:tcPr>
            <w:tcW w:w="1260" w:type="dxa"/>
            <w:vAlign w:val="center"/>
          </w:tcPr>
          <w:p w:rsidR="00067149" w:rsidRPr="00087D05" w:rsidRDefault="00067149" w:rsidP="006E321F">
            <w:pPr>
              <w:spacing w:after="0" w:line="240" w:lineRule="auto"/>
              <w:ind w:right="113"/>
              <w:jc w:val="right"/>
              <w:rPr>
                <w:rFonts w:ascii="Times New Roman" w:hAnsi="Times New Roman"/>
              </w:rPr>
            </w:pPr>
            <w:r w:rsidRPr="00087D05">
              <w:rPr>
                <w:rFonts w:ascii="Times New Roman" w:hAnsi="Times New Roman"/>
              </w:rPr>
              <w:t>222 524,7</w:t>
            </w:r>
          </w:p>
        </w:tc>
        <w:tc>
          <w:tcPr>
            <w:tcW w:w="1294" w:type="dxa"/>
            <w:vAlign w:val="center"/>
          </w:tcPr>
          <w:p w:rsidR="00067149" w:rsidRPr="00087D05" w:rsidRDefault="00067149" w:rsidP="006E321F">
            <w:pPr>
              <w:spacing w:after="0" w:line="240" w:lineRule="auto"/>
              <w:ind w:right="113"/>
              <w:jc w:val="right"/>
              <w:rPr>
                <w:rFonts w:ascii="Times New Roman" w:hAnsi="Times New Roman"/>
                <w:i/>
              </w:rPr>
            </w:pPr>
            <w:r w:rsidRPr="00087D05">
              <w:rPr>
                <w:rFonts w:ascii="Times New Roman" w:hAnsi="Times New Roman"/>
                <w:i/>
              </w:rPr>
              <w:t>94,8</w:t>
            </w:r>
          </w:p>
        </w:tc>
      </w:tr>
      <w:tr w:rsidR="00067149" w:rsidRPr="00087D05" w:rsidTr="00067149">
        <w:tc>
          <w:tcPr>
            <w:tcW w:w="4395" w:type="dxa"/>
          </w:tcPr>
          <w:p w:rsidR="00067149" w:rsidRPr="00087D05" w:rsidRDefault="00067149" w:rsidP="00067149">
            <w:pPr>
              <w:spacing w:after="0" w:line="240" w:lineRule="auto"/>
              <w:ind w:right="-108"/>
              <w:rPr>
                <w:rFonts w:ascii="Times New Roman" w:hAnsi="Times New Roman"/>
                <w:vertAlign w:val="superscript"/>
              </w:rPr>
            </w:pPr>
            <w:r w:rsidRPr="00087D05">
              <w:rPr>
                <w:rFonts w:ascii="Times New Roman" w:hAnsi="Times New Roman"/>
                <w:b/>
              </w:rPr>
              <w:t>Средняя дальность поездки одного пассажира</w:t>
            </w:r>
          </w:p>
        </w:tc>
        <w:tc>
          <w:tcPr>
            <w:tcW w:w="1440" w:type="dxa"/>
            <w:vAlign w:val="center"/>
          </w:tcPr>
          <w:p w:rsidR="00067149" w:rsidRPr="00087D05" w:rsidRDefault="00067149" w:rsidP="006E321F">
            <w:pPr>
              <w:spacing w:after="0" w:line="240" w:lineRule="auto"/>
              <w:ind w:right="113"/>
              <w:jc w:val="center"/>
              <w:rPr>
                <w:rFonts w:ascii="Times New Roman" w:hAnsi="Times New Roman"/>
              </w:rPr>
            </w:pPr>
            <w:r w:rsidRPr="00087D05">
              <w:rPr>
                <w:rFonts w:ascii="Times New Roman" w:hAnsi="Times New Roman"/>
              </w:rPr>
              <w:t>км</w:t>
            </w:r>
          </w:p>
        </w:tc>
        <w:tc>
          <w:tcPr>
            <w:tcW w:w="1260" w:type="dxa"/>
            <w:vAlign w:val="center"/>
          </w:tcPr>
          <w:p w:rsidR="00067149" w:rsidRPr="00087D05" w:rsidRDefault="00067149" w:rsidP="006E321F">
            <w:pPr>
              <w:spacing w:after="0" w:line="240" w:lineRule="auto"/>
              <w:ind w:right="113"/>
              <w:jc w:val="right"/>
              <w:rPr>
                <w:rFonts w:ascii="Times New Roman" w:hAnsi="Times New Roman"/>
              </w:rPr>
            </w:pPr>
            <w:r w:rsidRPr="00087D05">
              <w:rPr>
                <w:rFonts w:ascii="Times New Roman" w:hAnsi="Times New Roman"/>
              </w:rPr>
              <w:t>8,9</w:t>
            </w:r>
          </w:p>
        </w:tc>
        <w:tc>
          <w:tcPr>
            <w:tcW w:w="1260" w:type="dxa"/>
            <w:vAlign w:val="center"/>
          </w:tcPr>
          <w:p w:rsidR="00067149" w:rsidRPr="00087D05" w:rsidRDefault="00067149" w:rsidP="006E321F">
            <w:pPr>
              <w:spacing w:after="0" w:line="240" w:lineRule="auto"/>
              <w:ind w:right="113"/>
              <w:jc w:val="right"/>
              <w:rPr>
                <w:rFonts w:ascii="Times New Roman" w:hAnsi="Times New Roman"/>
              </w:rPr>
            </w:pPr>
            <w:r w:rsidRPr="00087D05">
              <w:rPr>
                <w:rFonts w:ascii="Times New Roman" w:hAnsi="Times New Roman"/>
              </w:rPr>
              <w:t>8,8</w:t>
            </w:r>
          </w:p>
        </w:tc>
        <w:tc>
          <w:tcPr>
            <w:tcW w:w="1294" w:type="dxa"/>
            <w:vAlign w:val="center"/>
          </w:tcPr>
          <w:p w:rsidR="00067149" w:rsidRPr="00087D05" w:rsidRDefault="00067149" w:rsidP="006E321F">
            <w:pPr>
              <w:spacing w:after="0" w:line="240" w:lineRule="auto"/>
              <w:ind w:right="113"/>
              <w:jc w:val="right"/>
              <w:rPr>
                <w:rFonts w:ascii="Times New Roman" w:hAnsi="Times New Roman"/>
                <w:i/>
              </w:rPr>
            </w:pPr>
            <w:r w:rsidRPr="00087D05">
              <w:rPr>
                <w:rFonts w:ascii="Times New Roman" w:hAnsi="Times New Roman"/>
                <w:i/>
              </w:rPr>
              <w:t>98,9</w:t>
            </w:r>
          </w:p>
        </w:tc>
      </w:tr>
      <w:tr w:rsidR="00067149" w:rsidRPr="00087D05" w:rsidTr="00067149">
        <w:tc>
          <w:tcPr>
            <w:tcW w:w="4395" w:type="dxa"/>
            <w:vAlign w:val="center"/>
          </w:tcPr>
          <w:p w:rsidR="00067149" w:rsidRPr="00087D05" w:rsidRDefault="00067149" w:rsidP="00067149">
            <w:pPr>
              <w:spacing w:after="0" w:line="240" w:lineRule="auto"/>
              <w:ind w:right="-108"/>
              <w:rPr>
                <w:rFonts w:ascii="Times New Roman" w:hAnsi="Times New Roman"/>
                <w:b/>
              </w:rPr>
            </w:pPr>
            <w:r w:rsidRPr="00087D05">
              <w:rPr>
                <w:rFonts w:ascii="Times New Roman" w:hAnsi="Times New Roman"/>
                <w:b/>
              </w:rPr>
              <w:t>Наличие автобусов (включая маршрутные такси)*</w:t>
            </w:r>
          </w:p>
        </w:tc>
        <w:tc>
          <w:tcPr>
            <w:tcW w:w="1440" w:type="dxa"/>
            <w:vAlign w:val="center"/>
          </w:tcPr>
          <w:p w:rsidR="00067149" w:rsidRPr="00087D05" w:rsidRDefault="00067149" w:rsidP="006E321F">
            <w:pPr>
              <w:spacing w:after="0" w:line="240" w:lineRule="auto"/>
              <w:ind w:right="113"/>
              <w:jc w:val="center"/>
              <w:rPr>
                <w:rFonts w:ascii="Times New Roman" w:hAnsi="Times New Roman"/>
              </w:rPr>
            </w:pPr>
            <w:r w:rsidRPr="00087D05">
              <w:rPr>
                <w:rFonts w:ascii="Times New Roman" w:hAnsi="Times New Roman"/>
              </w:rPr>
              <w:t>ед.</w:t>
            </w:r>
          </w:p>
        </w:tc>
        <w:tc>
          <w:tcPr>
            <w:tcW w:w="1260" w:type="dxa"/>
            <w:vAlign w:val="center"/>
          </w:tcPr>
          <w:p w:rsidR="00067149" w:rsidRPr="00087D05" w:rsidRDefault="00067149" w:rsidP="006E321F">
            <w:pPr>
              <w:spacing w:after="0" w:line="240" w:lineRule="auto"/>
              <w:ind w:right="113"/>
              <w:jc w:val="right"/>
              <w:rPr>
                <w:rFonts w:ascii="Times New Roman" w:hAnsi="Times New Roman"/>
              </w:rPr>
            </w:pPr>
            <w:r w:rsidRPr="00087D05">
              <w:rPr>
                <w:rFonts w:ascii="Times New Roman" w:hAnsi="Times New Roman"/>
              </w:rPr>
              <w:t>467</w:t>
            </w:r>
          </w:p>
        </w:tc>
        <w:tc>
          <w:tcPr>
            <w:tcW w:w="1260" w:type="dxa"/>
            <w:vAlign w:val="center"/>
          </w:tcPr>
          <w:p w:rsidR="00067149" w:rsidRPr="00087D05" w:rsidRDefault="00067149" w:rsidP="006E321F">
            <w:pPr>
              <w:spacing w:after="0" w:line="240" w:lineRule="auto"/>
              <w:ind w:right="113"/>
              <w:jc w:val="right"/>
              <w:rPr>
                <w:rFonts w:ascii="Times New Roman" w:hAnsi="Times New Roman"/>
              </w:rPr>
            </w:pPr>
            <w:r w:rsidRPr="00087D05">
              <w:rPr>
                <w:rFonts w:ascii="Times New Roman" w:hAnsi="Times New Roman"/>
              </w:rPr>
              <w:t>468</w:t>
            </w:r>
          </w:p>
        </w:tc>
        <w:tc>
          <w:tcPr>
            <w:tcW w:w="1294" w:type="dxa"/>
            <w:vAlign w:val="center"/>
          </w:tcPr>
          <w:p w:rsidR="00067149" w:rsidRPr="00087D05" w:rsidRDefault="00067149" w:rsidP="006E321F">
            <w:pPr>
              <w:spacing w:after="0" w:line="240" w:lineRule="auto"/>
              <w:ind w:right="113"/>
              <w:jc w:val="right"/>
              <w:rPr>
                <w:rFonts w:ascii="Times New Roman" w:hAnsi="Times New Roman"/>
                <w:i/>
              </w:rPr>
            </w:pPr>
            <w:r w:rsidRPr="00087D05">
              <w:rPr>
                <w:rFonts w:ascii="Times New Roman" w:hAnsi="Times New Roman"/>
                <w:i/>
              </w:rPr>
              <w:t>100,2</w:t>
            </w:r>
          </w:p>
        </w:tc>
      </w:tr>
      <w:tr w:rsidR="00067149" w:rsidRPr="00087D05" w:rsidTr="00067149">
        <w:tc>
          <w:tcPr>
            <w:tcW w:w="4395" w:type="dxa"/>
          </w:tcPr>
          <w:p w:rsidR="00067149" w:rsidRPr="00087D05" w:rsidRDefault="00067149" w:rsidP="00067149">
            <w:pPr>
              <w:spacing w:after="0" w:line="240" w:lineRule="auto"/>
              <w:ind w:right="-108"/>
              <w:rPr>
                <w:rFonts w:ascii="Times New Roman" w:hAnsi="Times New Roman"/>
                <w:vertAlign w:val="superscript"/>
              </w:rPr>
            </w:pPr>
            <w:r w:rsidRPr="00087D05">
              <w:rPr>
                <w:rFonts w:ascii="Times New Roman" w:hAnsi="Times New Roman"/>
                <w:b/>
              </w:rPr>
              <w:t>Доходы от перевозки пассажиров автобусами и легковыми такси</w:t>
            </w:r>
          </w:p>
        </w:tc>
        <w:tc>
          <w:tcPr>
            <w:tcW w:w="1440" w:type="dxa"/>
            <w:vAlign w:val="center"/>
          </w:tcPr>
          <w:p w:rsidR="00067149" w:rsidRPr="00087D05" w:rsidRDefault="00067149" w:rsidP="006E321F">
            <w:pPr>
              <w:spacing w:after="0" w:line="240" w:lineRule="auto"/>
              <w:ind w:right="113"/>
              <w:jc w:val="center"/>
              <w:rPr>
                <w:rFonts w:ascii="Times New Roman" w:hAnsi="Times New Roman"/>
              </w:rPr>
            </w:pPr>
            <w:r w:rsidRPr="00087D05">
              <w:rPr>
                <w:rFonts w:ascii="Times New Roman" w:hAnsi="Times New Roman"/>
              </w:rPr>
              <w:t>тыс. руб.</w:t>
            </w:r>
          </w:p>
        </w:tc>
        <w:tc>
          <w:tcPr>
            <w:tcW w:w="1260" w:type="dxa"/>
            <w:vAlign w:val="center"/>
          </w:tcPr>
          <w:p w:rsidR="00067149" w:rsidRPr="00087D05" w:rsidRDefault="00067149" w:rsidP="006E321F">
            <w:pPr>
              <w:spacing w:after="0" w:line="240" w:lineRule="auto"/>
              <w:ind w:right="113"/>
              <w:jc w:val="right"/>
              <w:rPr>
                <w:rFonts w:ascii="Times New Roman" w:hAnsi="Times New Roman"/>
              </w:rPr>
            </w:pPr>
            <w:r w:rsidRPr="00087D05">
              <w:rPr>
                <w:rFonts w:ascii="Times New Roman" w:hAnsi="Times New Roman"/>
              </w:rPr>
              <w:t>137 983,2</w:t>
            </w:r>
          </w:p>
        </w:tc>
        <w:tc>
          <w:tcPr>
            <w:tcW w:w="1260" w:type="dxa"/>
            <w:vAlign w:val="center"/>
          </w:tcPr>
          <w:p w:rsidR="00067149" w:rsidRPr="00087D05" w:rsidRDefault="00067149" w:rsidP="006E321F">
            <w:pPr>
              <w:spacing w:after="0" w:line="240" w:lineRule="auto"/>
              <w:ind w:right="113"/>
              <w:jc w:val="right"/>
              <w:rPr>
                <w:rFonts w:ascii="Times New Roman" w:hAnsi="Times New Roman"/>
              </w:rPr>
            </w:pPr>
            <w:r w:rsidRPr="00087D05">
              <w:rPr>
                <w:rFonts w:ascii="Times New Roman" w:hAnsi="Times New Roman"/>
              </w:rPr>
              <w:t>130 890,5</w:t>
            </w:r>
          </w:p>
        </w:tc>
        <w:tc>
          <w:tcPr>
            <w:tcW w:w="1294" w:type="dxa"/>
            <w:vAlign w:val="center"/>
          </w:tcPr>
          <w:p w:rsidR="00067149" w:rsidRPr="00087D05" w:rsidRDefault="00067149" w:rsidP="006E321F">
            <w:pPr>
              <w:spacing w:after="0" w:line="240" w:lineRule="auto"/>
              <w:ind w:right="113"/>
              <w:jc w:val="right"/>
              <w:rPr>
                <w:rFonts w:ascii="Times New Roman" w:hAnsi="Times New Roman"/>
                <w:i/>
              </w:rPr>
            </w:pPr>
            <w:r w:rsidRPr="00087D05">
              <w:rPr>
                <w:rFonts w:ascii="Times New Roman" w:hAnsi="Times New Roman"/>
                <w:i/>
              </w:rPr>
              <w:t>94,9</w:t>
            </w:r>
          </w:p>
        </w:tc>
      </w:tr>
    </w:tbl>
    <w:p w:rsidR="00067149" w:rsidRPr="00067149" w:rsidRDefault="00067149" w:rsidP="00067149">
      <w:pPr>
        <w:spacing w:after="0" w:line="240" w:lineRule="auto"/>
        <w:ind w:firstLine="709"/>
        <w:jc w:val="both"/>
        <w:rPr>
          <w:rFonts w:ascii="Times New Roman" w:hAnsi="Times New Roman"/>
          <w:sz w:val="10"/>
          <w:szCs w:val="10"/>
        </w:rPr>
      </w:pPr>
    </w:p>
    <w:p w:rsidR="00067149" w:rsidRPr="00087D05" w:rsidRDefault="00067149" w:rsidP="00067149">
      <w:pPr>
        <w:spacing w:after="0" w:line="240" w:lineRule="auto"/>
        <w:ind w:firstLine="709"/>
        <w:jc w:val="both"/>
        <w:rPr>
          <w:rFonts w:ascii="Times New Roman" w:hAnsi="Times New Roman"/>
          <w:sz w:val="24"/>
          <w:szCs w:val="24"/>
        </w:rPr>
      </w:pPr>
      <w:r w:rsidRPr="00087D05">
        <w:rPr>
          <w:rFonts w:ascii="Times New Roman" w:hAnsi="Times New Roman"/>
          <w:sz w:val="24"/>
          <w:szCs w:val="24"/>
        </w:rPr>
        <w:t xml:space="preserve">В 2016 году </w:t>
      </w:r>
      <w:r w:rsidRPr="00087D05">
        <w:rPr>
          <w:rFonts w:ascii="Times New Roman" w:hAnsi="Times New Roman"/>
          <w:b/>
          <w:i/>
          <w:sz w:val="24"/>
          <w:szCs w:val="24"/>
        </w:rPr>
        <w:t xml:space="preserve">электрическим транспортом, </w:t>
      </w:r>
      <w:r w:rsidRPr="00087D05">
        <w:rPr>
          <w:rFonts w:ascii="Times New Roman" w:hAnsi="Times New Roman"/>
          <w:sz w:val="24"/>
          <w:szCs w:val="24"/>
        </w:rPr>
        <w:t>действующим в двух городах республики (город Тирасполь, город Бендеры), перевезено 15,1 млн. пассажиров, что на 1,7% больше уровня 2015 года.</w:t>
      </w:r>
    </w:p>
    <w:p w:rsidR="00067149" w:rsidRPr="00087D05" w:rsidRDefault="00067149" w:rsidP="00067149">
      <w:pPr>
        <w:spacing w:after="0" w:line="240" w:lineRule="auto"/>
        <w:ind w:firstLine="709"/>
        <w:jc w:val="both"/>
        <w:rPr>
          <w:rFonts w:ascii="Times New Roman" w:hAnsi="Times New Roman"/>
          <w:spacing w:val="2"/>
          <w:sz w:val="24"/>
          <w:szCs w:val="24"/>
        </w:rPr>
      </w:pPr>
      <w:r w:rsidRPr="00087D05">
        <w:rPr>
          <w:rFonts w:ascii="Times New Roman" w:hAnsi="Times New Roman"/>
          <w:spacing w:val="2"/>
          <w:sz w:val="24"/>
          <w:szCs w:val="24"/>
        </w:rPr>
        <w:lastRenderedPageBreak/>
        <w:t>На фоне роста пассажиропотока в рассматриваемом периоде отмечается увеличение пассажирооборота электрического транспорта по отношению к 2015 году на 1,6% до 154,4</w:t>
      </w:r>
      <w:r>
        <w:rPr>
          <w:rFonts w:ascii="Times New Roman" w:hAnsi="Times New Roman"/>
          <w:spacing w:val="2"/>
          <w:sz w:val="24"/>
          <w:szCs w:val="24"/>
        </w:rPr>
        <w:t> </w:t>
      </w:r>
      <w:r w:rsidRPr="00087D05">
        <w:rPr>
          <w:rFonts w:ascii="Times New Roman" w:hAnsi="Times New Roman"/>
          <w:spacing w:val="2"/>
          <w:sz w:val="24"/>
          <w:szCs w:val="24"/>
        </w:rPr>
        <w:t xml:space="preserve">млн. пассажиро–километров, при этом доходы троллейбусных парков </w:t>
      </w:r>
      <w:r w:rsidRPr="00087D05">
        <w:rPr>
          <w:rFonts w:ascii="Times New Roman" w:hAnsi="Times New Roman"/>
          <w:sz w:val="24"/>
          <w:szCs w:val="24"/>
        </w:rPr>
        <w:t xml:space="preserve">от перевозки пассажиров и багажа </w:t>
      </w:r>
      <w:r w:rsidRPr="00087D05">
        <w:rPr>
          <w:rFonts w:ascii="Times New Roman" w:hAnsi="Times New Roman"/>
          <w:spacing w:val="2"/>
          <w:sz w:val="24"/>
          <w:szCs w:val="24"/>
        </w:rPr>
        <w:t>(включая трансферты на покрытие потерь от предоставления льгот)</w:t>
      </w:r>
      <w:r w:rsidRPr="00087D05">
        <w:rPr>
          <w:rFonts w:ascii="Times New Roman" w:hAnsi="Times New Roman"/>
          <w:sz w:val="24"/>
          <w:szCs w:val="24"/>
        </w:rPr>
        <w:t xml:space="preserve"> </w:t>
      </w:r>
      <w:r w:rsidRPr="00087D05">
        <w:rPr>
          <w:rFonts w:ascii="Times New Roman" w:hAnsi="Times New Roman"/>
          <w:spacing w:val="2"/>
          <w:sz w:val="24"/>
          <w:szCs w:val="24"/>
        </w:rPr>
        <w:t>возросли по отношению к базовому периоду на 2,2%, достигнув в стоимостном выражении 36,0 млн. руб.</w:t>
      </w:r>
    </w:p>
    <w:p w:rsidR="00067149" w:rsidRPr="00087D05" w:rsidRDefault="00067149" w:rsidP="00067149">
      <w:pPr>
        <w:spacing w:after="0" w:line="240" w:lineRule="auto"/>
        <w:ind w:firstLine="709"/>
        <w:jc w:val="both"/>
        <w:rPr>
          <w:rFonts w:ascii="Times New Roman" w:hAnsi="Times New Roman"/>
          <w:sz w:val="24"/>
          <w:szCs w:val="24"/>
        </w:rPr>
      </w:pPr>
      <w:r w:rsidRPr="00087D05">
        <w:rPr>
          <w:rFonts w:ascii="Times New Roman" w:hAnsi="Times New Roman"/>
          <w:b/>
          <w:i/>
          <w:sz w:val="24"/>
          <w:szCs w:val="24"/>
        </w:rPr>
        <w:t>Железнодорожный транспорт</w:t>
      </w:r>
      <w:r w:rsidRPr="00087D05">
        <w:rPr>
          <w:rFonts w:ascii="Times New Roman" w:hAnsi="Times New Roman"/>
          <w:sz w:val="24"/>
          <w:szCs w:val="24"/>
        </w:rPr>
        <w:t xml:space="preserve"> республики представлен ГУКП «Приднестровская железная дорога».</w:t>
      </w:r>
    </w:p>
    <w:p w:rsidR="00067149" w:rsidRPr="00087D05" w:rsidRDefault="00067149" w:rsidP="00067149">
      <w:pPr>
        <w:tabs>
          <w:tab w:val="left" w:pos="1080"/>
          <w:tab w:val="left" w:pos="1260"/>
        </w:tabs>
        <w:spacing w:after="0" w:line="240" w:lineRule="auto"/>
        <w:ind w:firstLine="709"/>
        <w:jc w:val="both"/>
        <w:rPr>
          <w:rFonts w:ascii="Times New Roman" w:hAnsi="Times New Roman"/>
          <w:spacing w:val="1"/>
          <w:sz w:val="24"/>
          <w:szCs w:val="24"/>
        </w:rPr>
      </w:pPr>
      <w:r w:rsidRPr="00087D05">
        <w:rPr>
          <w:rFonts w:ascii="Times New Roman" w:hAnsi="Times New Roman"/>
          <w:spacing w:val="1"/>
          <w:sz w:val="24"/>
          <w:szCs w:val="24"/>
        </w:rPr>
        <w:t>На фоне снижения объемов перевозок грузов в прямом и местном сообщении на 56,8% и транзита на 20,2% общий объем грузовых перевозок на ГУКП «Приднестровская железная дорога» в 2016 году сократился на 31,9% и составил 2 379,3 тыс. тонн.</w:t>
      </w:r>
    </w:p>
    <w:p w:rsidR="00067149" w:rsidRPr="00087D05" w:rsidRDefault="00067149" w:rsidP="00067149">
      <w:pPr>
        <w:tabs>
          <w:tab w:val="left" w:pos="1080"/>
          <w:tab w:val="left" w:pos="1260"/>
        </w:tabs>
        <w:spacing w:after="0" w:line="240" w:lineRule="auto"/>
        <w:ind w:firstLine="709"/>
        <w:jc w:val="both"/>
        <w:rPr>
          <w:rFonts w:ascii="Times New Roman" w:hAnsi="Times New Roman"/>
          <w:spacing w:val="1"/>
          <w:sz w:val="24"/>
          <w:szCs w:val="24"/>
        </w:rPr>
      </w:pPr>
      <w:r w:rsidRPr="00087D05">
        <w:rPr>
          <w:rFonts w:ascii="Times New Roman" w:hAnsi="Times New Roman"/>
          <w:spacing w:val="1"/>
          <w:sz w:val="24"/>
          <w:szCs w:val="24"/>
        </w:rPr>
        <w:t>В сложившихся социально-экономических условиях, когда блокируются логистически и экономически оправданные маршруты, что приводит к трудностям в сфере занятости, количество обслуженных пассажиров за 2016 год, снизилось по сравнению с  2015 годом на 25,9% и составило 18,9 тыс. человек. Данная ситуация обусловила снижение доходов от оказания услуг пассажирам в рассматриваемом периоде на 9,3% относительно 2015 года, достигнув в стоимостном выражении 772,9 тыс. руб. Общий объем реализованных предприятием услуг в денежном выражении составил в 2016 году 772,9</w:t>
      </w:r>
      <w:r>
        <w:rPr>
          <w:rFonts w:ascii="Times New Roman" w:hAnsi="Times New Roman"/>
          <w:spacing w:val="1"/>
          <w:sz w:val="24"/>
          <w:szCs w:val="24"/>
        </w:rPr>
        <w:t> </w:t>
      </w:r>
      <w:r w:rsidRPr="00087D05">
        <w:rPr>
          <w:rFonts w:ascii="Times New Roman" w:hAnsi="Times New Roman"/>
          <w:spacing w:val="1"/>
          <w:sz w:val="24"/>
          <w:szCs w:val="24"/>
        </w:rPr>
        <w:t>тыс.</w:t>
      </w:r>
      <w:r>
        <w:rPr>
          <w:rFonts w:ascii="Times New Roman" w:hAnsi="Times New Roman"/>
          <w:spacing w:val="1"/>
          <w:sz w:val="24"/>
          <w:szCs w:val="24"/>
        </w:rPr>
        <w:t> </w:t>
      </w:r>
      <w:r w:rsidRPr="00087D05">
        <w:rPr>
          <w:rFonts w:ascii="Times New Roman" w:hAnsi="Times New Roman"/>
          <w:spacing w:val="1"/>
          <w:sz w:val="24"/>
          <w:szCs w:val="24"/>
        </w:rPr>
        <w:t>руб., что ниже на 9,3% уровня 2015 года.</w:t>
      </w:r>
    </w:p>
    <w:p w:rsidR="00067149" w:rsidRPr="00087D05" w:rsidRDefault="00067149" w:rsidP="00067149">
      <w:pPr>
        <w:spacing w:after="0" w:line="240" w:lineRule="auto"/>
        <w:ind w:firstLine="709"/>
        <w:jc w:val="both"/>
        <w:rPr>
          <w:rFonts w:ascii="Times New Roman" w:hAnsi="Times New Roman"/>
          <w:spacing w:val="1"/>
          <w:sz w:val="24"/>
          <w:szCs w:val="24"/>
        </w:rPr>
      </w:pPr>
      <w:r w:rsidRPr="00087D05">
        <w:rPr>
          <w:rFonts w:ascii="Times New Roman" w:hAnsi="Times New Roman"/>
          <w:sz w:val="24"/>
          <w:szCs w:val="24"/>
        </w:rPr>
        <w:t xml:space="preserve">В 2016 году </w:t>
      </w:r>
      <w:r w:rsidRPr="00087D05">
        <w:rPr>
          <w:rFonts w:ascii="Times New Roman" w:hAnsi="Times New Roman"/>
          <w:spacing w:val="1"/>
          <w:sz w:val="24"/>
          <w:szCs w:val="24"/>
        </w:rPr>
        <w:t>после уплаты налогов ГУКП «Приднестровская железная дорога» получен отрицательный финансовый результат, что обусловлено снижением производительности труда, а также ростом затрат на 1 рубль реализованных услуг, в условиях сокращения объема оказанных предприятием услуг.</w:t>
      </w:r>
    </w:p>
    <w:p w:rsidR="00067149" w:rsidRPr="00087D05" w:rsidRDefault="00067149" w:rsidP="00067149">
      <w:pPr>
        <w:spacing w:after="0" w:line="240" w:lineRule="auto"/>
        <w:ind w:firstLine="709"/>
        <w:jc w:val="both"/>
        <w:rPr>
          <w:rFonts w:ascii="Times New Roman" w:hAnsi="Times New Roman"/>
          <w:sz w:val="24"/>
          <w:szCs w:val="24"/>
        </w:rPr>
      </w:pPr>
      <w:r w:rsidRPr="00087D05">
        <w:rPr>
          <w:rFonts w:ascii="Times New Roman" w:hAnsi="Times New Roman"/>
          <w:b/>
          <w:bCs/>
          <w:i/>
          <w:sz w:val="24"/>
          <w:szCs w:val="24"/>
        </w:rPr>
        <w:t>Внутренний водный (речной) транспорт</w:t>
      </w:r>
      <w:r w:rsidRPr="00087D05">
        <w:rPr>
          <w:rFonts w:ascii="Times New Roman" w:hAnsi="Times New Roman"/>
          <w:sz w:val="24"/>
          <w:szCs w:val="24"/>
        </w:rPr>
        <w:t xml:space="preserve"> республики представлен Рыбницким и Бендерским речными портами.</w:t>
      </w:r>
      <w:r w:rsidRPr="00087D05">
        <w:rPr>
          <w:rFonts w:ascii="Times New Roman" w:hAnsi="Times New Roman"/>
          <w:spacing w:val="1"/>
          <w:sz w:val="24"/>
          <w:szCs w:val="24"/>
        </w:rPr>
        <w:t xml:space="preserve"> </w:t>
      </w:r>
      <w:r w:rsidRPr="00087D05">
        <w:rPr>
          <w:rFonts w:ascii="Times New Roman" w:hAnsi="Times New Roman"/>
          <w:sz w:val="24"/>
          <w:szCs w:val="24"/>
        </w:rPr>
        <w:t>На фоне роста доходов от реализации песчано-гравийной смеси и проведения дноочистительных работ на 46,0%, за счет получения государственного заказа по очистке Набережной р. Днестр в г. Рыбница, а также увеличения доходов от услуг плавучего крана в 2,5 раза, на «ОАО Рыбницкий речной порт» в 2016 году после уплаты налогов получен положительный финансовый результат (133,1 тыс. руб.), что ниже величины 2015 года на 27,4%.</w:t>
      </w:r>
    </w:p>
    <w:p w:rsidR="00067149" w:rsidRPr="00087D05" w:rsidRDefault="00067149" w:rsidP="00067149">
      <w:pPr>
        <w:spacing w:after="0" w:line="240" w:lineRule="auto"/>
        <w:ind w:firstLine="709"/>
        <w:jc w:val="both"/>
        <w:rPr>
          <w:rFonts w:ascii="Times New Roman" w:hAnsi="Times New Roman"/>
          <w:spacing w:val="1"/>
          <w:sz w:val="24"/>
          <w:szCs w:val="24"/>
        </w:rPr>
      </w:pPr>
      <w:r w:rsidRPr="00087D05">
        <w:rPr>
          <w:rFonts w:ascii="Times New Roman" w:hAnsi="Times New Roman"/>
          <w:sz w:val="24"/>
          <w:szCs w:val="24"/>
        </w:rPr>
        <w:t>На ОАО «Бендерский речной порт» отмечен рост доходов от реализуемой песчано-гравийной смеси на 8,3%, обеспечив в структуре выручки предприятия в 2016 году 41,8% (против 53,3% в 2015 году). Однако в связи со снижением объема доходов от оказания услуг по пассажирским перевозкам на 37,0%, а также сокращения доходов получаемых от сдачи в аренду недвижимости на 20,0%, по итогам 2016 года на предприятии наблюдается отрицательное значение финансового результата до налогообложения в размере                 692,7 тыс. руб.</w:t>
      </w:r>
    </w:p>
    <w:p w:rsidR="00067149" w:rsidRPr="00087D05" w:rsidRDefault="00067149" w:rsidP="00067149">
      <w:pPr>
        <w:spacing w:after="0" w:line="240" w:lineRule="auto"/>
        <w:ind w:firstLine="709"/>
        <w:jc w:val="both"/>
        <w:rPr>
          <w:rFonts w:ascii="Times New Roman" w:hAnsi="Times New Roman"/>
          <w:sz w:val="24"/>
          <w:szCs w:val="24"/>
        </w:rPr>
      </w:pPr>
      <w:r w:rsidRPr="00087D05">
        <w:rPr>
          <w:rFonts w:ascii="Times New Roman" w:hAnsi="Times New Roman"/>
          <w:sz w:val="24"/>
          <w:szCs w:val="24"/>
        </w:rPr>
        <w:t>Наиболее значимыми негативными факторами, оказывающими влияние на результаты работы предприятий речного транспорта, являются:</w:t>
      </w:r>
    </w:p>
    <w:p w:rsidR="00067149" w:rsidRPr="00087D05" w:rsidRDefault="00067149" w:rsidP="00067149">
      <w:pPr>
        <w:spacing w:after="0" w:line="240" w:lineRule="auto"/>
        <w:ind w:firstLine="709"/>
        <w:jc w:val="both"/>
        <w:rPr>
          <w:rFonts w:ascii="Times New Roman" w:hAnsi="Times New Roman"/>
          <w:sz w:val="24"/>
          <w:szCs w:val="24"/>
        </w:rPr>
      </w:pPr>
      <w:r w:rsidRPr="00087D05">
        <w:rPr>
          <w:rFonts w:ascii="Times New Roman" w:hAnsi="Times New Roman"/>
          <w:sz w:val="24"/>
          <w:szCs w:val="24"/>
        </w:rPr>
        <w:t>- недостаток техники: погрузчики, самосвалы, оборудование по промывке песка;</w:t>
      </w:r>
    </w:p>
    <w:p w:rsidR="00067149" w:rsidRPr="00087D05" w:rsidRDefault="00067149" w:rsidP="00067149">
      <w:pPr>
        <w:spacing w:after="0" w:line="240" w:lineRule="auto"/>
        <w:ind w:firstLine="709"/>
        <w:jc w:val="both"/>
        <w:rPr>
          <w:rFonts w:ascii="Times New Roman" w:hAnsi="Times New Roman"/>
          <w:sz w:val="24"/>
          <w:szCs w:val="24"/>
        </w:rPr>
      </w:pPr>
      <w:r w:rsidRPr="00087D05">
        <w:rPr>
          <w:rFonts w:ascii="Times New Roman" w:hAnsi="Times New Roman"/>
          <w:sz w:val="24"/>
          <w:szCs w:val="24"/>
        </w:rPr>
        <w:t>- отсутствие инвесторов в части использования территории, зданий и сооружений прибрежной зоны р. Днестр в районе судоремонтного участка;</w:t>
      </w:r>
    </w:p>
    <w:p w:rsidR="00067149" w:rsidRPr="00087D05" w:rsidRDefault="00067149" w:rsidP="00067149">
      <w:pPr>
        <w:spacing w:after="0" w:line="240" w:lineRule="auto"/>
        <w:ind w:firstLine="709"/>
        <w:jc w:val="both"/>
        <w:rPr>
          <w:rFonts w:ascii="Times New Roman" w:hAnsi="Times New Roman"/>
          <w:sz w:val="24"/>
          <w:szCs w:val="24"/>
        </w:rPr>
      </w:pPr>
      <w:r w:rsidRPr="00087D05">
        <w:rPr>
          <w:rFonts w:ascii="Times New Roman" w:hAnsi="Times New Roman"/>
          <w:sz w:val="24"/>
          <w:szCs w:val="24"/>
        </w:rPr>
        <w:t>- пробелы в нормативно-правовой базе, регламентирующей деятельность в области внутреннего водного транспорта;</w:t>
      </w:r>
    </w:p>
    <w:p w:rsidR="00067149" w:rsidRPr="00087D05" w:rsidRDefault="00067149" w:rsidP="00067149">
      <w:pPr>
        <w:spacing w:after="0" w:line="240" w:lineRule="auto"/>
        <w:ind w:firstLine="709"/>
        <w:jc w:val="both"/>
        <w:rPr>
          <w:rFonts w:ascii="Times New Roman" w:hAnsi="Times New Roman"/>
          <w:sz w:val="24"/>
          <w:szCs w:val="24"/>
        </w:rPr>
      </w:pPr>
      <w:r w:rsidRPr="00087D05">
        <w:rPr>
          <w:rFonts w:ascii="Times New Roman" w:hAnsi="Times New Roman"/>
          <w:sz w:val="24"/>
          <w:szCs w:val="24"/>
        </w:rPr>
        <w:t>- неурегулированность межгосударственных отношений в сфере грузовых перевозок водным транспортом, а также таможенного оформления грузов;</w:t>
      </w:r>
    </w:p>
    <w:p w:rsidR="00067149" w:rsidRPr="00087D05" w:rsidRDefault="00067149" w:rsidP="00067149">
      <w:pPr>
        <w:spacing w:after="0" w:line="240" w:lineRule="auto"/>
        <w:ind w:firstLine="709"/>
        <w:jc w:val="both"/>
        <w:rPr>
          <w:rFonts w:ascii="Times New Roman" w:hAnsi="Times New Roman"/>
          <w:sz w:val="24"/>
          <w:szCs w:val="24"/>
        </w:rPr>
      </w:pPr>
      <w:r w:rsidRPr="00087D05">
        <w:rPr>
          <w:rFonts w:ascii="Times New Roman" w:hAnsi="Times New Roman"/>
          <w:sz w:val="24"/>
          <w:szCs w:val="24"/>
        </w:rPr>
        <w:t>- снижение пассажиропотока и падение спроса на прогулочные катания по реке;</w:t>
      </w:r>
    </w:p>
    <w:p w:rsidR="00067149" w:rsidRPr="00087D05" w:rsidRDefault="00067149" w:rsidP="00067149">
      <w:pPr>
        <w:spacing w:after="0" w:line="240" w:lineRule="auto"/>
        <w:ind w:firstLine="709"/>
        <w:jc w:val="both"/>
        <w:rPr>
          <w:rFonts w:ascii="Times New Roman" w:hAnsi="Times New Roman"/>
          <w:sz w:val="24"/>
          <w:szCs w:val="24"/>
        </w:rPr>
      </w:pPr>
      <w:r w:rsidRPr="00087D05">
        <w:rPr>
          <w:rFonts w:ascii="Times New Roman" w:hAnsi="Times New Roman"/>
          <w:sz w:val="24"/>
          <w:szCs w:val="24"/>
        </w:rPr>
        <w:t>- навигационная обстановка водных путей находится в критической ситуации, а именно, в настоящее время протяженность эксплуатируемых водных путей на р. Днестр сократилась до 170 км.</w:t>
      </w:r>
    </w:p>
    <w:p w:rsidR="00067149" w:rsidRPr="00087D05" w:rsidRDefault="00067149" w:rsidP="00067149">
      <w:pPr>
        <w:spacing w:after="0" w:line="240" w:lineRule="auto"/>
        <w:ind w:firstLine="709"/>
        <w:jc w:val="both"/>
        <w:rPr>
          <w:rFonts w:ascii="Times New Roman" w:hAnsi="Times New Roman"/>
          <w:sz w:val="24"/>
          <w:szCs w:val="24"/>
        </w:rPr>
      </w:pPr>
      <w:r w:rsidRPr="00087D05">
        <w:rPr>
          <w:rFonts w:ascii="Times New Roman" w:hAnsi="Times New Roman"/>
          <w:spacing w:val="6"/>
          <w:sz w:val="24"/>
          <w:szCs w:val="24"/>
        </w:rPr>
        <w:t xml:space="preserve">Принимая во внимание сложившуюся в транспортной сфере республики ситуацию, </w:t>
      </w:r>
      <w:r w:rsidRPr="00087D05">
        <w:rPr>
          <w:rFonts w:ascii="Times New Roman" w:hAnsi="Times New Roman"/>
          <w:b/>
          <w:i/>
          <w:spacing w:val="6"/>
          <w:sz w:val="24"/>
          <w:szCs w:val="24"/>
        </w:rPr>
        <w:t>государственная политика в области координации и развития транспорта</w:t>
      </w:r>
      <w:r w:rsidRPr="00087D05">
        <w:rPr>
          <w:rFonts w:ascii="Times New Roman" w:hAnsi="Times New Roman"/>
          <w:spacing w:val="6"/>
          <w:sz w:val="24"/>
          <w:szCs w:val="24"/>
        </w:rPr>
        <w:t xml:space="preserve"> </w:t>
      </w:r>
      <w:r w:rsidRPr="00087D05">
        <w:rPr>
          <w:rFonts w:ascii="Times New Roman" w:hAnsi="Times New Roman"/>
          <w:sz w:val="24"/>
          <w:szCs w:val="24"/>
        </w:rPr>
        <w:t>была</w:t>
      </w:r>
      <w:r w:rsidRPr="00087D05">
        <w:rPr>
          <w:rFonts w:ascii="Times New Roman" w:hAnsi="Times New Roman"/>
          <w:spacing w:val="6"/>
          <w:sz w:val="24"/>
          <w:szCs w:val="24"/>
        </w:rPr>
        <w:t xml:space="preserve"> направлена на </w:t>
      </w:r>
      <w:r w:rsidRPr="00087D05">
        <w:rPr>
          <w:rFonts w:ascii="Times New Roman" w:hAnsi="Times New Roman"/>
          <w:sz w:val="24"/>
          <w:szCs w:val="24"/>
        </w:rPr>
        <w:t xml:space="preserve">улучшение качества обслуживания пассажиров, рационального использования средств республиканского бюджета при финансировании </w:t>
      </w:r>
      <w:r w:rsidRPr="00087D05">
        <w:rPr>
          <w:rFonts w:ascii="Times New Roman" w:hAnsi="Times New Roman"/>
          <w:sz w:val="24"/>
          <w:szCs w:val="24"/>
        </w:rPr>
        <w:lastRenderedPageBreak/>
        <w:t>льготных категорий граждан</w:t>
      </w:r>
      <w:r w:rsidRPr="00087D05">
        <w:rPr>
          <w:rFonts w:ascii="Times New Roman" w:hAnsi="Times New Roman"/>
          <w:spacing w:val="6"/>
          <w:sz w:val="24"/>
          <w:szCs w:val="24"/>
        </w:rPr>
        <w:t>.</w:t>
      </w:r>
      <w:r w:rsidRPr="00087D05">
        <w:rPr>
          <w:rFonts w:ascii="Times New Roman" w:hAnsi="Times New Roman"/>
          <w:sz w:val="24"/>
          <w:szCs w:val="24"/>
        </w:rPr>
        <w:t xml:space="preserve"> В целях проведения контроля корректности предоставления транспортными организациями сумм потерь от перевозки льготных категорий граждан, представляемых к возмещению из Республиканского бюджета, Министерством регионального развития проводится аналитический учет информации об объемах оказанных услуг организациями-перевозчиками.</w:t>
      </w:r>
    </w:p>
    <w:p w:rsidR="00067149" w:rsidRPr="00087D05" w:rsidRDefault="00067149" w:rsidP="00067149">
      <w:pPr>
        <w:spacing w:after="0" w:line="240" w:lineRule="auto"/>
        <w:ind w:firstLine="709"/>
        <w:jc w:val="both"/>
        <w:rPr>
          <w:rFonts w:ascii="Times New Roman" w:hAnsi="Times New Roman"/>
          <w:sz w:val="24"/>
          <w:szCs w:val="24"/>
        </w:rPr>
      </w:pPr>
      <w:r w:rsidRPr="00087D05">
        <w:rPr>
          <w:rFonts w:ascii="Times New Roman" w:hAnsi="Times New Roman"/>
          <w:sz w:val="24"/>
          <w:szCs w:val="24"/>
        </w:rPr>
        <w:t xml:space="preserve">Для улучшения качества предоставляемых перевозчиками услуг проводится модернизация экспедиционной деятельности, транспортной безопасности и государственного международного контроля. </w:t>
      </w:r>
    </w:p>
    <w:p w:rsidR="00067149" w:rsidRPr="00DB04CC" w:rsidRDefault="00067149" w:rsidP="00067149">
      <w:pPr>
        <w:spacing w:after="0" w:line="240" w:lineRule="auto"/>
        <w:ind w:firstLine="709"/>
        <w:jc w:val="both"/>
        <w:rPr>
          <w:rFonts w:ascii="Times New Roman" w:hAnsi="Times New Roman"/>
          <w:sz w:val="24"/>
          <w:szCs w:val="24"/>
        </w:rPr>
      </w:pPr>
      <w:r w:rsidRPr="00087D05">
        <w:rPr>
          <w:rFonts w:ascii="Times New Roman" w:hAnsi="Times New Roman"/>
          <w:sz w:val="24"/>
          <w:szCs w:val="24"/>
        </w:rPr>
        <w:t>Таким образом, ряд сложностей, связанных с высоким тарифом на перевозку пассажиров транспортом общего пользования в сравнении с Республикой Молдова и Украиной, трудности с получением лицензий в Республике Молдова на осуществление регулярных перевозок пассажиров и багажа в пределах Республики Молдова и Украины, в совокупности с трудностями в функционировании как промышленных предприятий, так и экономики в целом, оказали определяющее влияние на итоги развития отрасли в                   2016 году.</w:t>
      </w:r>
    </w:p>
    <w:p w:rsidR="00BE4856" w:rsidRDefault="00BE4856" w:rsidP="00A53647">
      <w:pPr>
        <w:spacing w:after="0" w:line="240" w:lineRule="auto"/>
        <w:ind w:firstLine="709"/>
        <w:rPr>
          <w:rFonts w:ascii="Times New Roman" w:hAnsi="Times New Roman"/>
          <w:b/>
          <w:sz w:val="24"/>
          <w:szCs w:val="24"/>
        </w:rPr>
      </w:pPr>
    </w:p>
    <w:p w:rsidR="00BE4856" w:rsidRDefault="00BE4856" w:rsidP="00BE4856">
      <w:pPr>
        <w:widowControl w:val="0"/>
        <w:autoSpaceDE w:val="0"/>
        <w:autoSpaceDN w:val="0"/>
        <w:adjustRightInd w:val="0"/>
        <w:spacing w:after="0" w:line="240" w:lineRule="auto"/>
        <w:ind w:firstLine="709"/>
        <w:jc w:val="both"/>
        <w:rPr>
          <w:rFonts w:ascii="Times New Roman" w:hAnsi="Times New Roman"/>
          <w:b/>
          <w:sz w:val="24"/>
          <w:szCs w:val="24"/>
        </w:rPr>
      </w:pPr>
      <w:r w:rsidRPr="0080737A">
        <w:rPr>
          <w:rFonts w:ascii="Times New Roman" w:hAnsi="Times New Roman"/>
          <w:b/>
          <w:sz w:val="24"/>
          <w:szCs w:val="24"/>
        </w:rPr>
        <w:t>Связь</w:t>
      </w:r>
    </w:p>
    <w:p w:rsidR="00067149" w:rsidRPr="0080737A" w:rsidRDefault="00067149" w:rsidP="00BE4856">
      <w:pPr>
        <w:widowControl w:val="0"/>
        <w:autoSpaceDE w:val="0"/>
        <w:autoSpaceDN w:val="0"/>
        <w:adjustRightInd w:val="0"/>
        <w:spacing w:after="0" w:line="240" w:lineRule="auto"/>
        <w:ind w:firstLine="709"/>
        <w:jc w:val="both"/>
        <w:rPr>
          <w:rFonts w:ascii="Times New Roman" w:hAnsi="Times New Roman"/>
          <w:b/>
          <w:sz w:val="24"/>
          <w:szCs w:val="24"/>
        </w:rPr>
      </w:pPr>
    </w:p>
    <w:p w:rsidR="00BE4856" w:rsidRPr="0080737A" w:rsidRDefault="00BE4856" w:rsidP="00BE4856">
      <w:pPr>
        <w:spacing w:after="0" w:line="240" w:lineRule="auto"/>
        <w:ind w:firstLine="709"/>
        <w:jc w:val="both"/>
        <w:rPr>
          <w:rFonts w:ascii="Times New Roman" w:hAnsi="Times New Roman"/>
          <w:sz w:val="24"/>
          <w:szCs w:val="24"/>
        </w:rPr>
      </w:pPr>
      <w:r w:rsidRPr="008F3625">
        <w:rPr>
          <w:rFonts w:ascii="Times New Roman" w:hAnsi="Times New Roman"/>
          <w:sz w:val="24"/>
          <w:szCs w:val="24"/>
        </w:rPr>
        <w:t>Несмотря на то, что отрасль связи является одной из наиболее динамично развивающихся отраслей экономики, в условиях дестабилизирующего воздействия внешних и внутренних факторов, влияющих на развитие и деловую активность предприятий, темпы прироста суммарного дохода от предоставления услуг связи в 2016</w:t>
      </w:r>
      <w:r>
        <w:rPr>
          <w:rFonts w:ascii="Times New Roman" w:hAnsi="Times New Roman"/>
          <w:sz w:val="24"/>
          <w:szCs w:val="24"/>
        </w:rPr>
        <w:t> </w:t>
      </w:r>
      <w:r w:rsidRPr="008F3625">
        <w:rPr>
          <w:rFonts w:ascii="Times New Roman" w:hAnsi="Times New Roman"/>
          <w:sz w:val="24"/>
          <w:szCs w:val="24"/>
        </w:rPr>
        <w:t>год</w:t>
      </w:r>
      <w:r>
        <w:rPr>
          <w:rFonts w:ascii="Times New Roman" w:hAnsi="Times New Roman"/>
          <w:sz w:val="24"/>
          <w:szCs w:val="24"/>
        </w:rPr>
        <w:t>у</w:t>
      </w:r>
      <w:r w:rsidRPr="008F3625">
        <w:rPr>
          <w:rFonts w:ascii="Times New Roman" w:hAnsi="Times New Roman"/>
          <w:sz w:val="24"/>
          <w:szCs w:val="24"/>
        </w:rPr>
        <w:t xml:space="preserve"> в реальном выражении несколько замедлились. </w:t>
      </w:r>
      <w:r w:rsidRPr="004D0C4F">
        <w:rPr>
          <w:rFonts w:ascii="Times New Roman" w:hAnsi="Times New Roman"/>
          <w:sz w:val="24"/>
          <w:szCs w:val="24"/>
        </w:rPr>
        <w:t>Так, совокупный доход от основной деятельности организаций, предоставляющих услуги связи, сложились</w:t>
      </w:r>
      <w:r>
        <w:rPr>
          <w:rFonts w:ascii="Times New Roman" w:hAnsi="Times New Roman"/>
          <w:sz w:val="24"/>
          <w:szCs w:val="24"/>
        </w:rPr>
        <w:t xml:space="preserve"> в размере 716,7 млн. руб. (</w:t>
      </w:r>
      <w:r w:rsidRPr="004D0C4F">
        <w:rPr>
          <w:rFonts w:ascii="Times New Roman" w:hAnsi="Times New Roman"/>
        </w:rPr>
        <w:t>по данным Государственной службы связи ПМР</w:t>
      </w:r>
      <w:r>
        <w:rPr>
          <w:rFonts w:ascii="Times New Roman" w:hAnsi="Times New Roman"/>
        </w:rPr>
        <w:t>)</w:t>
      </w:r>
      <w:r>
        <w:rPr>
          <w:rFonts w:ascii="Times New Roman" w:hAnsi="Times New Roman"/>
          <w:sz w:val="24"/>
          <w:szCs w:val="24"/>
        </w:rPr>
        <w:t xml:space="preserve">, что </w:t>
      </w:r>
      <w:r w:rsidRPr="006512F0">
        <w:rPr>
          <w:rFonts w:ascii="Times New Roman" w:hAnsi="Times New Roman"/>
          <w:sz w:val="24"/>
          <w:szCs w:val="24"/>
        </w:rPr>
        <w:t xml:space="preserve">на </w:t>
      </w:r>
      <w:r>
        <w:rPr>
          <w:rFonts w:ascii="Times New Roman" w:hAnsi="Times New Roman"/>
          <w:sz w:val="24"/>
          <w:szCs w:val="24"/>
        </w:rPr>
        <w:t>3,2</w:t>
      </w:r>
      <w:r w:rsidRPr="006512F0">
        <w:rPr>
          <w:rFonts w:ascii="Times New Roman" w:hAnsi="Times New Roman"/>
          <w:sz w:val="24"/>
          <w:szCs w:val="24"/>
        </w:rPr>
        <w:t xml:space="preserve">% </w:t>
      </w:r>
      <w:r>
        <w:rPr>
          <w:rFonts w:ascii="Times New Roman" w:hAnsi="Times New Roman"/>
          <w:sz w:val="24"/>
          <w:szCs w:val="24"/>
        </w:rPr>
        <w:t>ниже сопоставимого значения</w:t>
      </w:r>
      <w:r w:rsidRPr="006512F0">
        <w:rPr>
          <w:rFonts w:ascii="Times New Roman" w:hAnsi="Times New Roman"/>
          <w:sz w:val="24"/>
          <w:szCs w:val="24"/>
        </w:rPr>
        <w:t xml:space="preserve"> </w:t>
      </w:r>
      <w:r>
        <w:rPr>
          <w:rFonts w:ascii="Times New Roman" w:hAnsi="Times New Roman"/>
          <w:sz w:val="24"/>
          <w:szCs w:val="24"/>
        </w:rPr>
        <w:t>2015 года.</w:t>
      </w:r>
      <w:r w:rsidRPr="0080737A">
        <w:rPr>
          <w:rFonts w:ascii="Times New Roman" w:hAnsi="Times New Roman"/>
          <w:sz w:val="24"/>
          <w:szCs w:val="24"/>
        </w:rPr>
        <w:t xml:space="preserve"> </w:t>
      </w:r>
      <w:r>
        <w:rPr>
          <w:rFonts w:ascii="Times New Roman" w:hAnsi="Times New Roman"/>
          <w:sz w:val="24"/>
          <w:szCs w:val="24"/>
        </w:rPr>
        <w:t>З</w:t>
      </w:r>
      <w:r w:rsidRPr="0080737A">
        <w:rPr>
          <w:rFonts w:ascii="Times New Roman" w:hAnsi="Times New Roman"/>
          <w:sz w:val="24"/>
          <w:szCs w:val="24"/>
        </w:rPr>
        <w:t>начительная</w:t>
      </w:r>
      <w:r>
        <w:rPr>
          <w:rFonts w:ascii="Times New Roman" w:hAnsi="Times New Roman"/>
          <w:sz w:val="24"/>
          <w:szCs w:val="24"/>
        </w:rPr>
        <w:t xml:space="preserve"> часть </w:t>
      </w:r>
      <w:r w:rsidRPr="0080737A">
        <w:rPr>
          <w:rFonts w:ascii="Times New Roman" w:hAnsi="Times New Roman"/>
          <w:sz w:val="24"/>
          <w:szCs w:val="24"/>
        </w:rPr>
        <w:t>полученн</w:t>
      </w:r>
      <w:r>
        <w:rPr>
          <w:rFonts w:ascii="Times New Roman" w:hAnsi="Times New Roman"/>
          <w:sz w:val="24"/>
          <w:szCs w:val="24"/>
        </w:rPr>
        <w:t>ых</w:t>
      </w:r>
      <w:r w:rsidRPr="0080737A">
        <w:rPr>
          <w:rFonts w:ascii="Times New Roman" w:hAnsi="Times New Roman"/>
          <w:sz w:val="24"/>
          <w:szCs w:val="24"/>
        </w:rPr>
        <w:t xml:space="preserve"> </w:t>
      </w:r>
      <w:r>
        <w:rPr>
          <w:rFonts w:ascii="Times New Roman" w:hAnsi="Times New Roman"/>
          <w:sz w:val="24"/>
          <w:szCs w:val="24"/>
        </w:rPr>
        <w:t>доходов</w:t>
      </w:r>
      <w:r w:rsidRPr="0080737A">
        <w:rPr>
          <w:rFonts w:ascii="Times New Roman" w:hAnsi="Times New Roman"/>
          <w:sz w:val="24"/>
          <w:szCs w:val="24"/>
        </w:rPr>
        <w:t xml:space="preserve"> приходится на услуги электросвязи (телекоммуникации) </w:t>
      </w:r>
      <w:r w:rsidRPr="004D0C4F">
        <w:rPr>
          <w:rFonts w:ascii="Times New Roman" w:hAnsi="Times New Roman"/>
          <w:sz w:val="24"/>
          <w:szCs w:val="24"/>
        </w:rPr>
        <w:t>- 99,1% или 710,3 млн. руб., доходы от услуг предоставления почтовой связи составляют лишь 0,9% или 6,4 млн. руб.</w:t>
      </w:r>
    </w:p>
    <w:p w:rsidR="00BE4856" w:rsidRDefault="00BE4856" w:rsidP="00BE4856">
      <w:pPr>
        <w:spacing w:after="0" w:line="240" w:lineRule="auto"/>
        <w:ind w:firstLine="709"/>
        <w:jc w:val="both"/>
        <w:rPr>
          <w:rFonts w:ascii="Times New Roman" w:hAnsi="Times New Roman"/>
          <w:sz w:val="24"/>
          <w:szCs w:val="24"/>
        </w:rPr>
      </w:pPr>
      <w:r w:rsidRPr="0080737A">
        <w:rPr>
          <w:rFonts w:ascii="Times New Roman" w:hAnsi="Times New Roman"/>
          <w:sz w:val="24"/>
          <w:szCs w:val="24"/>
        </w:rPr>
        <w:t>В анализируемом периоде существенное влияние на снижение совокупной величины доходов от предоставления услуг телекоммуникаций оказало уменьшение суммы доходов по таким подотраслям электросвязи как: фиксированная связь («-»</w:t>
      </w:r>
      <w:r>
        <w:rPr>
          <w:rFonts w:ascii="Times New Roman" w:hAnsi="Times New Roman"/>
          <w:sz w:val="24"/>
          <w:szCs w:val="24"/>
        </w:rPr>
        <w:t>8,9</w:t>
      </w:r>
      <w:r w:rsidRPr="0080737A">
        <w:rPr>
          <w:rFonts w:ascii="Times New Roman" w:hAnsi="Times New Roman"/>
          <w:sz w:val="24"/>
          <w:szCs w:val="24"/>
        </w:rPr>
        <w:t>%)</w:t>
      </w:r>
      <w:r>
        <w:rPr>
          <w:rFonts w:ascii="Times New Roman" w:hAnsi="Times New Roman"/>
          <w:sz w:val="24"/>
          <w:szCs w:val="24"/>
        </w:rPr>
        <w:t xml:space="preserve">, </w:t>
      </w:r>
      <w:r w:rsidRPr="0080737A">
        <w:rPr>
          <w:rFonts w:ascii="Times New Roman" w:hAnsi="Times New Roman"/>
          <w:sz w:val="24"/>
          <w:szCs w:val="24"/>
        </w:rPr>
        <w:t xml:space="preserve">мобильная связь </w:t>
      </w:r>
      <w:r w:rsidR="00067149">
        <w:rPr>
          <w:rFonts w:ascii="Times New Roman" w:hAnsi="Times New Roman"/>
          <w:sz w:val="24"/>
          <w:szCs w:val="24"/>
        </w:rPr>
        <w:br/>
      </w:r>
      <w:r w:rsidRPr="0080737A">
        <w:rPr>
          <w:rFonts w:ascii="Times New Roman" w:hAnsi="Times New Roman"/>
          <w:sz w:val="24"/>
          <w:szCs w:val="24"/>
        </w:rPr>
        <w:t>(«-»2,</w:t>
      </w:r>
      <w:r>
        <w:rPr>
          <w:rFonts w:ascii="Times New Roman" w:hAnsi="Times New Roman"/>
          <w:sz w:val="24"/>
          <w:szCs w:val="24"/>
        </w:rPr>
        <w:t>8</w:t>
      </w:r>
      <w:r w:rsidRPr="0080737A">
        <w:rPr>
          <w:rFonts w:ascii="Times New Roman" w:hAnsi="Times New Roman"/>
          <w:sz w:val="24"/>
          <w:szCs w:val="24"/>
        </w:rPr>
        <w:t>%)</w:t>
      </w:r>
      <w:r>
        <w:rPr>
          <w:rFonts w:ascii="Times New Roman" w:hAnsi="Times New Roman"/>
          <w:sz w:val="24"/>
          <w:szCs w:val="24"/>
        </w:rPr>
        <w:t>,</w:t>
      </w:r>
      <w:r w:rsidRPr="004F34C6">
        <w:rPr>
          <w:rFonts w:ascii="Times New Roman" w:hAnsi="Times New Roman"/>
          <w:sz w:val="24"/>
          <w:szCs w:val="24"/>
        </w:rPr>
        <w:t xml:space="preserve"> </w:t>
      </w:r>
      <w:r w:rsidRPr="0080737A">
        <w:rPr>
          <w:rFonts w:ascii="Times New Roman" w:hAnsi="Times New Roman"/>
          <w:sz w:val="24"/>
          <w:szCs w:val="24"/>
        </w:rPr>
        <w:t>передача данных и доступ к глобальной сети Интернет</w:t>
      </w:r>
      <w:r w:rsidR="00067149">
        <w:rPr>
          <w:rFonts w:ascii="Times New Roman" w:hAnsi="Times New Roman"/>
          <w:sz w:val="24"/>
          <w:szCs w:val="24"/>
        </w:rPr>
        <w:t xml:space="preserve"> </w:t>
      </w:r>
      <w:r w:rsidRPr="0080737A">
        <w:rPr>
          <w:rFonts w:ascii="Times New Roman" w:hAnsi="Times New Roman"/>
          <w:sz w:val="24"/>
          <w:szCs w:val="24"/>
        </w:rPr>
        <w:t>(«</w:t>
      </w:r>
      <w:r>
        <w:rPr>
          <w:rFonts w:ascii="Times New Roman" w:hAnsi="Times New Roman"/>
          <w:sz w:val="24"/>
          <w:szCs w:val="24"/>
        </w:rPr>
        <w:t>-</w:t>
      </w:r>
      <w:r w:rsidRPr="0080737A">
        <w:rPr>
          <w:rFonts w:ascii="Times New Roman" w:hAnsi="Times New Roman"/>
          <w:sz w:val="24"/>
          <w:szCs w:val="24"/>
        </w:rPr>
        <w:t>»1,</w:t>
      </w:r>
      <w:r>
        <w:rPr>
          <w:rFonts w:ascii="Times New Roman" w:hAnsi="Times New Roman"/>
          <w:sz w:val="24"/>
          <w:szCs w:val="24"/>
        </w:rPr>
        <w:t>1</w:t>
      </w:r>
      <w:r w:rsidRPr="0080737A">
        <w:rPr>
          <w:rFonts w:ascii="Times New Roman" w:hAnsi="Times New Roman"/>
          <w:sz w:val="24"/>
          <w:szCs w:val="24"/>
        </w:rPr>
        <w:t>%).</w:t>
      </w:r>
      <w:r>
        <w:rPr>
          <w:rFonts w:ascii="Times New Roman" w:hAnsi="Times New Roman"/>
          <w:sz w:val="24"/>
          <w:szCs w:val="24"/>
        </w:rPr>
        <w:t xml:space="preserve"> В </w:t>
      </w:r>
      <w:r w:rsidRPr="0080737A">
        <w:rPr>
          <w:rFonts w:ascii="Times New Roman" w:hAnsi="Times New Roman"/>
          <w:sz w:val="24"/>
          <w:szCs w:val="24"/>
        </w:rPr>
        <w:t>подотрасл</w:t>
      </w:r>
      <w:r>
        <w:rPr>
          <w:rFonts w:ascii="Times New Roman" w:hAnsi="Times New Roman"/>
          <w:sz w:val="24"/>
          <w:szCs w:val="24"/>
        </w:rPr>
        <w:t>и</w:t>
      </w:r>
      <w:r w:rsidRPr="0080737A">
        <w:rPr>
          <w:rFonts w:ascii="Times New Roman" w:hAnsi="Times New Roman"/>
          <w:sz w:val="24"/>
          <w:szCs w:val="24"/>
        </w:rPr>
        <w:t xml:space="preserve"> телевизионное вещание, радиовещание</w:t>
      </w:r>
      <w:r>
        <w:rPr>
          <w:rFonts w:ascii="Times New Roman" w:hAnsi="Times New Roman"/>
          <w:sz w:val="24"/>
          <w:szCs w:val="24"/>
        </w:rPr>
        <w:t xml:space="preserve"> и </w:t>
      </w:r>
      <w:r w:rsidRPr="0080737A">
        <w:rPr>
          <w:rFonts w:ascii="Times New Roman" w:hAnsi="Times New Roman"/>
          <w:sz w:val="24"/>
          <w:szCs w:val="24"/>
        </w:rPr>
        <w:t>телеграфная связь зафиксирован прирост</w:t>
      </w:r>
      <w:r>
        <w:rPr>
          <w:rFonts w:ascii="Times New Roman" w:hAnsi="Times New Roman"/>
          <w:sz w:val="24"/>
          <w:szCs w:val="24"/>
        </w:rPr>
        <w:t xml:space="preserve"> на 0,6%, 6,1% и 31,6% соответственно.</w:t>
      </w:r>
    </w:p>
    <w:p w:rsidR="00A61AFF" w:rsidRPr="00A61AFF" w:rsidRDefault="00A61AFF" w:rsidP="00BE4856">
      <w:pPr>
        <w:spacing w:after="0" w:line="240" w:lineRule="auto"/>
        <w:ind w:firstLine="709"/>
        <w:jc w:val="both"/>
        <w:rPr>
          <w:rFonts w:ascii="Times New Roman" w:hAnsi="Times New Roman"/>
          <w:sz w:val="10"/>
          <w:szCs w:val="10"/>
        </w:rPr>
      </w:pPr>
    </w:p>
    <w:p w:rsidR="00BE4856" w:rsidRDefault="00267046" w:rsidP="00267046">
      <w:pPr>
        <w:spacing w:after="0" w:line="240" w:lineRule="auto"/>
        <w:rPr>
          <w:rFonts w:ascii="Times New Roman" w:hAnsi="Times New Roman"/>
          <w:b/>
          <w:sz w:val="24"/>
          <w:szCs w:val="24"/>
        </w:rPr>
      </w:pPr>
      <w:r w:rsidRPr="00267046">
        <w:rPr>
          <w:rFonts w:ascii="Times New Roman" w:hAnsi="Times New Roman"/>
          <w:b/>
          <w:noProof/>
          <w:sz w:val="24"/>
          <w:szCs w:val="24"/>
        </w:rPr>
        <w:drawing>
          <wp:inline distT="0" distB="0" distL="0" distR="0">
            <wp:extent cx="6181725" cy="3286125"/>
            <wp:effectExtent l="0" t="0" r="0" b="0"/>
            <wp:docPr id="4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B2AA5" w:rsidRPr="006B4909" w:rsidRDefault="009B2AA5" w:rsidP="00267046">
      <w:pPr>
        <w:spacing w:after="0" w:line="240" w:lineRule="auto"/>
        <w:rPr>
          <w:rFonts w:ascii="Times New Roman" w:hAnsi="Times New Roman"/>
          <w:b/>
          <w:sz w:val="10"/>
          <w:szCs w:val="10"/>
        </w:rPr>
      </w:pPr>
    </w:p>
    <w:p w:rsidR="00267046" w:rsidRPr="0080737A" w:rsidRDefault="00267046" w:rsidP="00267046">
      <w:pPr>
        <w:spacing w:after="0" w:line="240" w:lineRule="auto"/>
        <w:ind w:right="-1" w:firstLine="709"/>
        <w:jc w:val="both"/>
        <w:rPr>
          <w:rFonts w:ascii="Times New Roman" w:hAnsi="Times New Roman"/>
          <w:bCs/>
          <w:sz w:val="24"/>
          <w:szCs w:val="24"/>
        </w:rPr>
      </w:pPr>
      <w:r>
        <w:rPr>
          <w:rFonts w:ascii="Times New Roman" w:hAnsi="Times New Roman"/>
          <w:sz w:val="24"/>
          <w:szCs w:val="24"/>
        </w:rPr>
        <w:lastRenderedPageBreak/>
        <w:t>В рассматриваемом периоде п</w:t>
      </w:r>
      <w:r w:rsidRPr="0080737A">
        <w:rPr>
          <w:rFonts w:ascii="Times New Roman" w:hAnsi="Times New Roman"/>
          <w:sz w:val="24"/>
          <w:szCs w:val="24"/>
        </w:rPr>
        <w:t xml:space="preserve">овышенный потребительский спрос на более доступные и высокотехнологичные услуги на базе IP технологий, </w:t>
      </w:r>
      <w:r>
        <w:rPr>
          <w:rFonts w:ascii="Times New Roman" w:hAnsi="Times New Roman"/>
          <w:sz w:val="24"/>
          <w:szCs w:val="24"/>
        </w:rPr>
        <w:t>послужил</w:t>
      </w:r>
      <w:r w:rsidRPr="0080737A">
        <w:rPr>
          <w:rFonts w:ascii="Times New Roman" w:hAnsi="Times New Roman"/>
          <w:sz w:val="24"/>
          <w:szCs w:val="24"/>
        </w:rPr>
        <w:t xml:space="preserve"> причиной сокращения количества зарегистрированных абонентов </w:t>
      </w:r>
      <w:r w:rsidRPr="0080737A">
        <w:rPr>
          <w:rFonts w:ascii="Times New Roman" w:hAnsi="Times New Roman"/>
          <w:sz w:val="24"/>
          <w:szCs w:val="24"/>
          <w:u w:val="single"/>
        </w:rPr>
        <w:t>фиксированной электросвязи</w:t>
      </w:r>
      <w:r w:rsidRPr="0080737A">
        <w:rPr>
          <w:rFonts w:ascii="Times New Roman" w:hAnsi="Times New Roman"/>
          <w:sz w:val="24"/>
          <w:szCs w:val="24"/>
        </w:rPr>
        <w:t xml:space="preserve"> к уровню </w:t>
      </w:r>
      <w:r w:rsidRPr="000A1D4A">
        <w:rPr>
          <w:rFonts w:ascii="Times New Roman" w:hAnsi="Times New Roman"/>
          <w:sz w:val="24"/>
          <w:szCs w:val="24"/>
        </w:rPr>
        <w:t>базового периода 2015</w:t>
      </w:r>
      <w:r>
        <w:rPr>
          <w:rFonts w:ascii="Times New Roman" w:hAnsi="Times New Roman"/>
          <w:sz w:val="24"/>
          <w:szCs w:val="24"/>
        </w:rPr>
        <w:t xml:space="preserve"> </w:t>
      </w:r>
      <w:r w:rsidRPr="000A1D4A">
        <w:rPr>
          <w:rFonts w:ascii="Times New Roman" w:hAnsi="Times New Roman"/>
          <w:sz w:val="24"/>
          <w:szCs w:val="24"/>
        </w:rPr>
        <w:t xml:space="preserve">года на </w:t>
      </w:r>
      <w:r>
        <w:rPr>
          <w:rFonts w:ascii="Times New Roman" w:hAnsi="Times New Roman"/>
          <w:bCs/>
          <w:sz w:val="24"/>
          <w:szCs w:val="24"/>
        </w:rPr>
        <w:t>3,3%</w:t>
      </w:r>
      <w:r w:rsidRPr="000A1D4A">
        <w:rPr>
          <w:rFonts w:ascii="Times New Roman" w:hAnsi="Times New Roman"/>
          <w:bCs/>
          <w:sz w:val="24"/>
          <w:szCs w:val="24"/>
        </w:rPr>
        <w:t xml:space="preserve">, составив 188 404 абонента, из которых 145 833 (77,4%) </w:t>
      </w:r>
      <w:r w:rsidRPr="000A1D4A">
        <w:rPr>
          <w:rFonts w:ascii="Times New Roman" w:hAnsi="Times New Roman"/>
          <w:sz w:val="24"/>
          <w:szCs w:val="24"/>
        </w:rPr>
        <w:t>проживают в городских населенных пунктах, а 42 571 (22,6%)</w:t>
      </w:r>
      <w:r w:rsidRPr="0080737A">
        <w:rPr>
          <w:rFonts w:ascii="Times New Roman" w:hAnsi="Times New Roman"/>
          <w:sz w:val="24"/>
          <w:szCs w:val="24"/>
        </w:rPr>
        <w:t xml:space="preserve"> - в сельских.</w:t>
      </w:r>
    </w:p>
    <w:p w:rsidR="00267046" w:rsidRPr="0080737A" w:rsidRDefault="00267046" w:rsidP="00267046">
      <w:pPr>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 xml:space="preserve">В голосовом исходящем трафике фиксированной </w:t>
      </w:r>
      <w:r>
        <w:rPr>
          <w:rFonts w:ascii="Times New Roman" w:hAnsi="Times New Roman"/>
          <w:sz w:val="24"/>
          <w:szCs w:val="24"/>
        </w:rPr>
        <w:t xml:space="preserve">телефонной </w:t>
      </w:r>
      <w:r w:rsidRPr="0080737A">
        <w:rPr>
          <w:rFonts w:ascii="Times New Roman" w:hAnsi="Times New Roman"/>
          <w:sz w:val="24"/>
          <w:szCs w:val="24"/>
        </w:rPr>
        <w:t xml:space="preserve">связи наибольший удельный вес принадлежит трафику </w:t>
      </w:r>
      <w:r>
        <w:rPr>
          <w:rFonts w:ascii="Times New Roman" w:hAnsi="Times New Roman"/>
          <w:sz w:val="24"/>
          <w:szCs w:val="24"/>
        </w:rPr>
        <w:t>на</w:t>
      </w:r>
      <w:r w:rsidRPr="0080737A">
        <w:rPr>
          <w:rFonts w:ascii="Times New Roman" w:hAnsi="Times New Roman"/>
          <w:sz w:val="24"/>
          <w:szCs w:val="24"/>
        </w:rPr>
        <w:t xml:space="preserve"> местных </w:t>
      </w:r>
      <w:r>
        <w:rPr>
          <w:rFonts w:ascii="Times New Roman" w:hAnsi="Times New Roman"/>
          <w:sz w:val="24"/>
          <w:szCs w:val="24"/>
        </w:rPr>
        <w:t xml:space="preserve">телефонных сетях </w:t>
      </w:r>
      <w:r w:rsidRPr="0080737A">
        <w:rPr>
          <w:rFonts w:ascii="Times New Roman" w:hAnsi="Times New Roman"/>
          <w:sz w:val="24"/>
          <w:szCs w:val="24"/>
        </w:rPr>
        <w:t>- 74,</w:t>
      </w:r>
      <w:r>
        <w:rPr>
          <w:rFonts w:ascii="Times New Roman" w:hAnsi="Times New Roman"/>
          <w:sz w:val="24"/>
          <w:szCs w:val="24"/>
        </w:rPr>
        <w:t>7</w:t>
      </w:r>
      <w:r w:rsidRPr="0080737A">
        <w:rPr>
          <w:rFonts w:ascii="Times New Roman" w:hAnsi="Times New Roman"/>
          <w:sz w:val="24"/>
          <w:szCs w:val="24"/>
        </w:rPr>
        <w:t>%, соединения с абонентами сотовой мобильной связью составляют 15,</w:t>
      </w:r>
      <w:r>
        <w:rPr>
          <w:rFonts w:ascii="Times New Roman" w:hAnsi="Times New Roman"/>
          <w:sz w:val="24"/>
          <w:szCs w:val="24"/>
        </w:rPr>
        <w:t>7</w:t>
      </w:r>
      <w:r w:rsidRPr="0080737A">
        <w:rPr>
          <w:rFonts w:ascii="Times New Roman" w:hAnsi="Times New Roman"/>
          <w:sz w:val="24"/>
          <w:szCs w:val="24"/>
        </w:rPr>
        <w:t xml:space="preserve">%, трафик к междугородным и международным сетям составляет </w:t>
      </w:r>
      <w:r>
        <w:rPr>
          <w:rFonts w:ascii="Times New Roman" w:hAnsi="Times New Roman"/>
          <w:sz w:val="24"/>
          <w:szCs w:val="24"/>
        </w:rPr>
        <w:t>5,6</w:t>
      </w:r>
      <w:r w:rsidRPr="0080737A">
        <w:rPr>
          <w:rFonts w:ascii="Times New Roman" w:hAnsi="Times New Roman"/>
          <w:sz w:val="24"/>
          <w:szCs w:val="24"/>
        </w:rPr>
        <w:t>% и 3,9%</w:t>
      </w:r>
      <w:r>
        <w:rPr>
          <w:rFonts w:ascii="Times New Roman" w:hAnsi="Times New Roman"/>
          <w:sz w:val="24"/>
          <w:szCs w:val="24"/>
        </w:rPr>
        <w:t xml:space="preserve"> </w:t>
      </w:r>
      <w:r w:rsidRPr="0080737A">
        <w:rPr>
          <w:rFonts w:ascii="Times New Roman" w:hAnsi="Times New Roman"/>
          <w:sz w:val="24"/>
          <w:szCs w:val="24"/>
        </w:rPr>
        <w:t>соответственно.</w:t>
      </w:r>
    </w:p>
    <w:p w:rsidR="00267046" w:rsidRDefault="00267046" w:rsidP="00267046">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Ч</w:t>
      </w:r>
      <w:r w:rsidRPr="0080737A">
        <w:rPr>
          <w:rFonts w:ascii="Times New Roman" w:hAnsi="Times New Roman"/>
          <w:sz w:val="24"/>
          <w:szCs w:val="24"/>
        </w:rPr>
        <w:t xml:space="preserve">исленность исходящих местных телефонных соединений по городской и сельской телефонной сети </w:t>
      </w:r>
      <w:r>
        <w:rPr>
          <w:rFonts w:ascii="Times New Roman" w:hAnsi="Times New Roman"/>
          <w:sz w:val="24"/>
          <w:szCs w:val="24"/>
        </w:rPr>
        <w:t xml:space="preserve">в 2016 году </w:t>
      </w:r>
      <w:r w:rsidRPr="0080737A">
        <w:rPr>
          <w:rFonts w:ascii="Times New Roman" w:hAnsi="Times New Roman"/>
          <w:sz w:val="24"/>
          <w:szCs w:val="24"/>
        </w:rPr>
        <w:t xml:space="preserve">уменьшилась на </w:t>
      </w:r>
      <w:r>
        <w:rPr>
          <w:rFonts w:ascii="Times New Roman" w:hAnsi="Times New Roman"/>
          <w:sz w:val="24"/>
          <w:szCs w:val="24"/>
        </w:rPr>
        <w:t>5,6</w:t>
      </w:r>
      <w:r w:rsidRPr="0080737A">
        <w:rPr>
          <w:rFonts w:ascii="Times New Roman" w:hAnsi="Times New Roman"/>
          <w:sz w:val="24"/>
          <w:szCs w:val="24"/>
        </w:rPr>
        <w:t xml:space="preserve">% или на </w:t>
      </w:r>
      <w:r>
        <w:rPr>
          <w:rFonts w:ascii="Times New Roman" w:hAnsi="Times New Roman"/>
          <w:sz w:val="24"/>
          <w:szCs w:val="24"/>
        </w:rPr>
        <w:t>6</w:t>
      </w:r>
      <w:r w:rsidRPr="0080737A">
        <w:rPr>
          <w:rFonts w:ascii="Times New Roman" w:hAnsi="Times New Roman"/>
          <w:sz w:val="24"/>
          <w:szCs w:val="24"/>
        </w:rPr>
        <w:t> </w:t>
      </w:r>
      <w:r>
        <w:rPr>
          <w:rFonts w:ascii="Times New Roman" w:hAnsi="Times New Roman"/>
          <w:sz w:val="24"/>
          <w:szCs w:val="24"/>
        </w:rPr>
        <w:t>264</w:t>
      </w:r>
      <w:r w:rsidRPr="0080737A">
        <w:rPr>
          <w:rFonts w:ascii="Times New Roman" w:hAnsi="Times New Roman"/>
          <w:sz w:val="24"/>
          <w:szCs w:val="24"/>
        </w:rPr>
        <w:t xml:space="preserve">,5 тыс. звонков и составила </w:t>
      </w:r>
      <w:r>
        <w:rPr>
          <w:rFonts w:ascii="Times New Roman" w:hAnsi="Times New Roman"/>
          <w:sz w:val="24"/>
          <w:szCs w:val="24"/>
        </w:rPr>
        <w:t>105</w:t>
      </w:r>
      <w:r w:rsidRPr="0080737A">
        <w:rPr>
          <w:rFonts w:ascii="Times New Roman" w:hAnsi="Times New Roman"/>
          <w:sz w:val="24"/>
          <w:szCs w:val="24"/>
        </w:rPr>
        <w:t> </w:t>
      </w:r>
      <w:r>
        <w:rPr>
          <w:rFonts w:ascii="Times New Roman" w:hAnsi="Times New Roman"/>
          <w:sz w:val="24"/>
          <w:szCs w:val="24"/>
        </w:rPr>
        <w:t>355</w:t>
      </w:r>
      <w:r w:rsidRPr="0080737A">
        <w:rPr>
          <w:rFonts w:ascii="Times New Roman" w:hAnsi="Times New Roman"/>
          <w:sz w:val="24"/>
          <w:szCs w:val="24"/>
        </w:rPr>
        <w:t>,</w:t>
      </w:r>
      <w:r>
        <w:rPr>
          <w:rFonts w:ascii="Times New Roman" w:hAnsi="Times New Roman"/>
          <w:sz w:val="24"/>
          <w:szCs w:val="24"/>
        </w:rPr>
        <w:t>4</w:t>
      </w:r>
      <w:r w:rsidRPr="0080737A">
        <w:rPr>
          <w:rFonts w:ascii="Times New Roman" w:hAnsi="Times New Roman"/>
          <w:sz w:val="24"/>
          <w:szCs w:val="24"/>
        </w:rPr>
        <w:t xml:space="preserve"> тыс. соединений. Продолжительность местных телефонных соединений (исходящий трафик) снизилась на </w:t>
      </w:r>
      <w:r>
        <w:rPr>
          <w:rFonts w:ascii="Times New Roman" w:hAnsi="Times New Roman"/>
          <w:sz w:val="24"/>
          <w:szCs w:val="24"/>
        </w:rPr>
        <w:t>6,4</w:t>
      </w:r>
      <w:r w:rsidRPr="0080737A">
        <w:rPr>
          <w:rFonts w:ascii="Times New Roman" w:hAnsi="Times New Roman"/>
          <w:sz w:val="24"/>
          <w:szCs w:val="24"/>
        </w:rPr>
        <w:t xml:space="preserve">% до </w:t>
      </w:r>
      <w:r>
        <w:rPr>
          <w:rFonts w:ascii="Times New Roman" w:hAnsi="Times New Roman"/>
          <w:sz w:val="24"/>
          <w:szCs w:val="24"/>
        </w:rPr>
        <w:t>224 625,2</w:t>
      </w:r>
      <w:r w:rsidRPr="0080737A">
        <w:rPr>
          <w:rFonts w:ascii="Times New Roman" w:hAnsi="Times New Roman"/>
          <w:sz w:val="24"/>
          <w:szCs w:val="24"/>
        </w:rPr>
        <w:t xml:space="preserve"> тыс. минут. Длительность одного среднестатистического исходящего разговора абонента местной телефонной сети составила 2,1 минуты.</w:t>
      </w:r>
    </w:p>
    <w:p w:rsidR="00267046" w:rsidRPr="0080737A" w:rsidRDefault="00267046" w:rsidP="00267046">
      <w:pPr>
        <w:spacing w:after="0" w:line="240" w:lineRule="auto"/>
        <w:ind w:firstLine="720"/>
        <w:jc w:val="both"/>
        <w:rPr>
          <w:rFonts w:ascii="Times New Roman" w:hAnsi="Times New Roman"/>
          <w:sz w:val="24"/>
          <w:szCs w:val="24"/>
        </w:rPr>
      </w:pPr>
      <w:r w:rsidRPr="0080737A">
        <w:rPr>
          <w:rFonts w:ascii="Times New Roman" w:hAnsi="Times New Roman"/>
          <w:sz w:val="24"/>
          <w:szCs w:val="24"/>
        </w:rPr>
        <w:t xml:space="preserve">Количество исходящих местных телефонных соединений с абонентами сети сотовой мобильной связи уменьшилось на </w:t>
      </w:r>
      <w:r>
        <w:rPr>
          <w:rFonts w:ascii="Times New Roman" w:hAnsi="Times New Roman"/>
          <w:sz w:val="24"/>
          <w:szCs w:val="24"/>
        </w:rPr>
        <w:t>3,1% до</w:t>
      </w:r>
      <w:r w:rsidRPr="0080737A">
        <w:rPr>
          <w:rFonts w:ascii="Times New Roman" w:hAnsi="Times New Roman"/>
          <w:sz w:val="24"/>
          <w:szCs w:val="24"/>
        </w:rPr>
        <w:t xml:space="preserve"> </w:t>
      </w:r>
      <w:r>
        <w:rPr>
          <w:rFonts w:ascii="Times New Roman" w:hAnsi="Times New Roman"/>
          <w:sz w:val="24"/>
          <w:szCs w:val="24"/>
        </w:rPr>
        <w:t>40</w:t>
      </w:r>
      <w:r w:rsidRPr="0080737A">
        <w:rPr>
          <w:rFonts w:ascii="Times New Roman" w:hAnsi="Times New Roman"/>
          <w:sz w:val="24"/>
          <w:szCs w:val="24"/>
        </w:rPr>
        <w:t> </w:t>
      </w:r>
      <w:r>
        <w:rPr>
          <w:rFonts w:ascii="Times New Roman" w:hAnsi="Times New Roman"/>
          <w:sz w:val="24"/>
          <w:szCs w:val="24"/>
        </w:rPr>
        <w:t>725</w:t>
      </w:r>
      <w:r w:rsidRPr="0080737A">
        <w:rPr>
          <w:rFonts w:ascii="Times New Roman" w:hAnsi="Times New Roman"/>
          <w:sz w:val="24"/>
          <w:szCs w:val="24"/>
        </w:rPr>
        <w:t>,</w:t>
      </w:r>
      <w:r>
        <w:rPr>
          <w:rFonts w:ascii="Times New Roman" w:hAnsi="Times New Roman"/>
          <w:sz w:val="24"/>
          <w:szCs w:val="24"/>
        </w:rPr>
        <w:t>5</w:t>
      </w:r>
      <w:r w:rsidRPr="0080737A">
        <w:rPr>
          <w:rFonts w:ascii="Times New Roman" w:hAnsi="Times New Roman"/>
          <w:sz w:val="24"/>
          <w:szCs w:val="24"/>
        </w:rPr>
        <w:t xml:space="preserve"> тыс. соединений</w:t>
      </w:r>
      <w:r>
        <w:rPr>
          <w:rFonts w:ascii="Times New Roman" w:hAnsi="Times New Roman"/>
          <w:sz w:val="24"/>
          <w:szCs w:val="24"/>
        </w:rPr>
        <w:t xml:space="preserve"> со</w:t>
      </w:r>
      <w:r w:rsidRPr="0080737A">
        <w:rPr>
          <w:rFonts w:ascii="Times New Roman" w:hAnsi="Times New Roman"/>
          <w:sz w:val="24"/>
          <w:szCs w:val="24"/>
        </w:rPr>
        <w:t xml:space="preserve"> среднестатистическо</w:t>
      </w:r>
      <w:r>
        <w:rPr>
          <w:rFonts w:ascii="Times New Roman" w:hAnsi="Times New Roman"/>
          <w:sz w:val="24"/>
          <w:szCs w:val="24"/>
        </w:rPr>
        <w:t>й</w:t>
      </w:r>
      <w:r w:rsidRPr="0080737A">
        <w:rPr>
          <w:rFonts w:ascii="Times New Roman" w:hAnsi="Times New Roman"/>
          <w:sz w:val="24"/>
          <w:szCs w:val="24"/>
        </w:rPr>
        <w:t xml:space="preserve"> </w:t>
      </w:r>
      <w:r>
        <w:rPr>
          <w:rFonts w:ascii="Times New Roman" w:hAnsi="Times New Roman"/>
          <w:sz w:val="24"/>
          <w:szCs w:val="24"/>
        </w:rPr>
        <w:t>п</w:t>
      </w:r>
      <w:r w:rsidRPr="0080737A">
        <w:rPr>
          <w:rFonts w:ascii="Times New Roman" w:hAnsi="Times New Roman"/>
          <w:sz w:val="24"/>
          <w:szCs w:val="24"/>
        </w:rPr>
        <w:t>родолжительность</w:t>
      </w:r>
      <w:r>
        <w:rPr>
          <w:rFonts w:ascii="Times New Roman" w:hAnsi="Times New Roman"/>
          <w:sz w:val="24"/>
          <w:szCs w:val="24"/>
        </w:rPr>
        <w:t>ю</w:t>
      </w:r>
      <w:r w:rsidRPr="0080737A">
        <w:rPr>
          <w:rFonts w:ascii="Times New Roman" w:hAnsi="Times New Roman"/>
          <w:sz w:val="24"/>
          <w:szCs w:val="24"/>
        </w:rPr>
        <w:t xml:space="preserve"> одного исходящего разговора</w:t>
      </w:r>
      <w:r>
        <w:rPr>
          <w:rFonts w:ascii="Times New Roman" w:hAnsi="Times New Roman"/>
          <w:sz w:val="24"/>
          <w:szCs w:val="24"/>
        </w:rPr>
        <w:t xml:space="preserve"> - </w:t>
      </w:r>
      <w:r w:rsidRPr="0080737A">
        <w:rPr>
          <w:rFonts w:ascii="Times New Roman" w:hAnsi="Times New Roman"/>
          <w:sz w:val="24"/>
          <w:szCs w:val="24"/>
        </w:rPr>
        <w:t xml:space="preserve">1,16 минуты. </w:t>
      </w:r>
    </w:p>
    <w:p w:rsidR="00267046" w:rsidRPr="0080737A" w:rsidRDefault="00267046" w:rsidP="00267046">
      <w:pPr>
        <w:spacing w:after="0" w:line="240" w:lineRule="auto"/>
        <w:ind w:firstLine="709"/>
        <w:jc w:val="both"/>
        <w:rPr>
          <w:rFonts w:ascii="Times New Roman" w:hAnsi="Times New Roman"/>
          <w:bCs/>
          <w:sz w:val="24"/>
          <w:szCs w:val="24"/>
        </w:rPr>
      </w:pPr>
      <w:r>
        <w:rPr>
          <w:rFonts w:ascii="Times New Roman" w:hAnsi="Times New Roman"/>
          <w:bCs/>
          <w:sz w:val="24"/>
          <w:szCs w:val="24"/>
        </w:rPr>
        <w:t>В 2016 году ч</w:t>
      </w:r>
      <w:r w:rsidRPr="0080737A">
        <w:rPr>
          <w:rFonts w:ascii="Times New Roman" w:hAnsi="Times New Roman"/>
          <w:bCs/>
          <w:sz w:val="24"/>
          <w:szCs w:val="24"/>
        </w:rPr>
        <w:t xml:space="preserve">исло абонентов </w:t>
      </w:r>
      <w:r w:rsidRPr="00120BAB">
        <w:rPr>
          <w:rFonts w:ascii="Times New Roman" w:hAnsi="Times New Roman"/>
          <w:bCs/>
          <w:sz w:val="24"/>
          <w:szCs w:val="24"/>
          <w:u w:val="single"/>
        </w:rPr>
        <w:t>мобильной сотовой связи</w:t>
      </w:r>
      <w:r w:rsidRPr="0080737A">
        <w:rPr>
          <w:rFonts w:ascii="Times New Roman" w:hAnsi="Times New Roman"/>
          <w:bCs/>
          <w:sz w:val="24"/>
          <w:szCs w:val="24"/>
        </w:rPr>
        <w:t xml:space="preserve"> </w:t>
      </w:r>
      <w:r>
        <w:rPr>
          <w:rFonts w:ascii="Times New Roman" w:hAnsi="Times New Roman"/>
          <w:bCs/>
          <w:sz w:val="24"/>
          <w:szCs w:val="24"/>
        </w:rPr>
        <w:t xml:space="preserve">в республике </w:t>
      </w:r>
      <w:r w:rsidRPr="0080737A">
        <w:rPr>
          <w:rFonts w:ascii="Times New Roman" w:hAnsi="Times New Roman"/>
          <w:bCs/>
          <w:sz w:val="24"/>
          <w:szCs w:val="24"/>
        </w:rPr>
        <w:t>составл</w:t>
      </w:r>
      <w:r>
        <w:rPr>
          <w:rFonts w:ascii="Times New Roman" w:hAnsi="Times New Roman"/>
          <w:bCs/>
          <w:sz w:val="24"/>
          <w:szCs w:val="24"/>
        </w:rPr>
        <w:t>яло</w:t>
      </w:r>
      <w:r w:rsidRPr="0080737A">
        <w:rPr>
          <w:rFonts w:ascii="Times New Roman" w:hAnsi="Times New Roman"/>
          <w:bCs/>
          <w:sz w:val="24"/>
          <w:szCs w:val="24"/>
        </w:rPr>
        <w:t xml:space="preserve"> 32</w:t>
      </w:r>
      <w:r>
        <w:rPr>
          <w:rFonts w:ascii="Times New Roman" w:hAnsi="Times New Roman"/>
          <w:bCs/>
          <w:sz w:val="24"/>
          <w:szCs w:val="24"/>
        </w:rPr>
        <w:t>8</w:t>
      </w:r>
      <w:r w:rsidRPr="0080737A">
        <w:rPr>
          <w:rFonts w:ascii="Times New Roman" w:hAnsi="Times New Roman"/>
          <w:bCs/>
          <w:sz w:val="24"/>
          <w:szCs w:val="24"/>
        </w:rPr>
        <w:t> </w:t>
      </w:r>
      <w:r>
        <w:rPr>
          <w:rFonts w:ascii="Times New Roman" w:hAnsi="Times New Roman"/>
          <w:bCs/>
          <w:sz w:val="24"/>
          <w:szCs w:val="24"/>
        </w:rPr>
        <w:t>069</w:t>
      </w:r>
      <w:r w:rsidRPr="0080737A">
        <w:rPr>
          <w:rFonts w:ascii="Times New Roman" w:hAnsi="Times New Roman"/>
          <w:bCs/>
          <w:sz w:val="24"/>
          <w:szCs w:val="24"/>
        </w:rPr>
        <w:t xml:space="preserve">, что на </w:t>
      </w:r>
      <w:r>
        <w:rPr>
          <w:rFonts w:ascii="Times New Roman" w:hAnsi="Times New Roman"/>
          <w:bCs/>
          <w:sz w:val="24"/>
          <w:szCs w:val="24"/>
        </w:rPr>
        <w:t>3,3</w:t>
      </w:r>
      <w:r w:rsidRPr="0080737A">
        <w:rPr>
          <w:rFonts w:ascii="Times New Roman" w:hAnsi="Times New Roman"/>
          <w:bCs/>
          <w:sz w:val="24"/>
          <w:szCs w:val="24"/>
        </w:rPr>
        <w:t>% меньше базового уровня 2015 года. О</w:t>
      </w:r>
      <w:r w:rsidRPr="0080737A">
        <w:rPr>
          <w:rFonts w:ascii="Times New Roman" w:hAnsi="Times New Roman"/>
          <w:sz w:val="24"/>
          <w:szCs w:val="24"/>
        </w:rPr>
        <w:t xml:space="preserve">бщий объем голосового трафика (исходящего и входящего) в мобильных сетях составил </w:t>
      </w:r>
      <w:r>
        <w:rPr>
          <w:rFonts w:ascii="Times New Roman" w:hAnsi="Times New Roman"/>
          <w:sz w:val="24"/>
          <w:szCs w:val="24"/>
        </w:rPr>
        <w:t>684</w:t>
      </w:r>
      <w:r w:rsidRPr="0080737A">
        <w:rPr>
          <w:rFonts w:ascii="Times New Roman" w:hAnsi="Times New Roman"/>
          <w:sz w:val="24"/>
          <w:szCs w:val="24"/>
        </w:rPr>
        <w:t> </w:t>
      </w:r>
      <w:r>
        <w:rPr>
          <w:rFonts w:ascii="Times New Roman" w:hAnsi="Times New Roman"/>
          <w:sz w:val="24"/>
          <w:szCs w:val="24"/>
        </w:rPr>
        <w:t>809</w:t>
      </w:r>
      <w:r w:rsidRPr="0080737A">
        <w:rPr>
          <w:rFonts w:ascii="Times New Roman" w:hAnsi="Times New Roman"/>
          <w:sz w:val="24"/>
          <w:szCs w:val="24"/>
        </w:rPr>
        <w:t>,</w:t>
      </w:r>
      <w:r>
        <w:rPr>
          <w:rFonts w:ascii="Times New Roman" w:hAnsi="Times New Roman"/>
          <w:sz w:val="24"/>
          <w:szCs w:val="24"/>
        </w:rPr>
        <w:t>4</w:t>
      </w:r>
      <w:r w:rsidRPr="0080737A">
        <w:rPr>
          <w:rFonts w:ascii="Times New Roman" w:hAnsi="Times New Roman"/>
          <w:sz w:val="24"/>
          <w:szCs w:val="24"/>
        </w:rPr>
        <w:t xml:space="preserve"> тыс. минут (</w:t>
      </w:r>
      <w:r>
        <w:rPr>
          <w:rFonts w:ascii="Times New Roman" w:hAnsi="Times New Roman"/>
          <w:sz w:val="24"/>
          <w:szCs w:val="24"/>
        </w:rPr>
        <w:t>11</w:t>
      </w:r>
      <w:r w:rsidRPr="0080737A">
        <w:rPr>
          <w:rFonts w:ascii="Times New Roman" w:hAnsi="Times New Roman"/>
          <w:sz w:val="24"/>
          <w:szCs w:val="24"/>
        </w:rPr>
        <w:t> </w:t>
      </w:r>
      <w:r>
        <w:rPr>
          <w:rFonts w:ascii="Times New Roman" w:hAnsi="Times New Roman"/>
          <w:sz w:val="24"/>
          <w:szCs w:val="24"/>
        </w:rPr>
        <w:t>413</w:t>
      </w:r>
      <w:r w:rsidRPr="0080737A">
        <w:rPr>
          <w:rFonts w:ascii="Times New Roman" w:hAnsi="Times New Roman"/>
          <w:sz w:val="24"/>
          <w:szCs w:val="24"/>
        </w:rPr>
        <w:t>,</w:t>
      </w:r>
      <w:r>
        <w:rPr>
          <w:rFonts w:ascii="Times New Roman" w:hAnsi="Times New Roman"/>
          <w:sz w:val="24"/>
          <w:szCs w:val="24"/>
        </w:rPr>
        <w:t>5</w:t>
      </w:r>
      <w:r w:rsidR="006B4909">
        <w:rPr>
          <w:rFonts w:ascii="Times New Roman" w:hAnsi="Times New Roman"/>
          <w:sz w:val="24"/>
          <w:szCs w:val="24"/>
        </w:rPr>
        <w:t> </w:t>
      </w:r>
      <w:r w:rsidRPr="0080737A">
        <w:rPr>
          <w:rFonts w:ascii="Times New Roman" w:hAnsi="Times New Roman"/>
          <w:sz w:val="24"/>
          <w:szCs w:val="24"/>
        </w:rPr>
        <w:t>тыс.</w:t>
      </w:r>
      <w:r w:rsidR="006B4909">
        <w:rPr>
          <w:rFonts w:ascii="Times New Roman" w:hAnsi="Times New Roman"/>
          <w:sz w:val="24"/>
          <w:szCs w:val="24"/>
        </w:rPr>
        <w:t> </w:t>
      </w:r>
      <w:r w:rsidRPr="0080737A">
        <w:rPr>
          <w:rFonts w:ascii="Times New Roman" w:hAnsi="Times New Roman"/>
          <w:sz w:val="24"/>
          <w:szCs w:val="24"/>
        </w:rPr>
        <w:t xml:space="preserve">часов) и уменьшился по сравнению с аналогичным периодом прошлого года на </w:t>
      </w:r>
      <w:r>
        <w:rPr>
          <w:rFonts w:ascii="Times New Roman" w:hAnsi="Times New Roman"/>
          <w:sz w:val="24"/>
          <w:szCs w:val="24"/>
        </w:rPr>
        <w:t>5,9</w:t>
      </w:r>
      <w:r w:rsidRPr="0080737A">
        <w:rPr>
          <w:rFonts w:ascii="Times New Roman" w:hAnsi="Times New Roman"/>
          <w:sz w:val="24"/>
          <w:szCs w:val="24"/>
        </w:rPr>
        <w:t>%.</w:t>
      </w:r>
    </w:p>
    <w:p w:rsidR="00267046" w:rsidRDefault="00267046" w:rsidP="00267046">
      <w:pPr>
        <w:spacing w:after="0" w:line="240" w:lineRule="auto"/>
        <w:ind w:firstLine="709"/>
        <w:jc w:val="both"/>
        <w:rPr>
          <w:rFonts w:ascii="Times New Roman" w:hAnsi="Times New Roman"/>
          <w:sz w:val="24"/>
          <w:szCs w:val="24"/>
        </w:rPr>
      </w:pPr>
      <w:r w:rsidRPr="0080737A">
        <w:rPr>
          <w:rFonts w:ascii="Times New Roman" w:hAnsi="Times New Roman"/>
          <w:sz w:val="24"/>
          <w:szCs w:val="24"/>
        </w:rPr>
        <w:t>Среднемесячное количество минут (исходящих и входящих), потребленных одним пользователем в мобильных сетях (показатель MОU), в анализируемом периоде составляет 16</w:t>
      </w:r>
      <w:r>
        <w:rPr>
          <w:rFonts w:ascii="Times New Roman" w:hAnsi="Times New Roman"/>
          <w:sz w:val="24"/>
          <w:szCs w:val="24"/>
        </w:rPr>
        <w:t>2,6</w:t>
      </w:r>
      <w:r w:rsidRPr="0080737A">
        <w:rPr>
          <w:rFonts w:ascii="Times New Roman" w:hAnsi="Times New Roman"/>
          <w:sz w:val="24"/>
          <w:szCs w:val="24"/>
        </w:rPr>
        <w:t xml:space="preserve"> минут (2,7</w:t>
      </w:r>
      <w:r>
        <w:rPr>
          <w:rFonts w:ascii="Times New Roman" w:hAnsi="Times New Roman"/>
          <w:sz w:val="24"/>
          <w:szCs w:val="24"/>
        </w:rPr>
        <w:t>1</w:t>
      </w:r>
      <w:r w:rsidRPr="0080737A">
        <w:rPr>
          <w:rFonts w:ascii="Times New Roman" w:hAnsi="Times New Roman"/>
          <w:sz w:val="24"/>
          <w:szCs w:val="24"/>
        </w:rPr>
        <w:t xml:space="preserve"> часа) в месяц, сократившись к аналогичн</w:t>
      </w:r>
      <w:r>
        <w:rPr>
          <w:rFonts w:ascii="Times New Roman" w:hAnsi="Times New Roman"/>
          <w:sz w:val="24"/>
          <w:szCs w:val="24"/>
        </w:rPr>
        <w:t>ому периоду прошлого года на 9,2</w:t>
      </w:r>
      <w:r w:rsidRPr="0080737A">
        <w:rPr>
          <w:rFonts w:ascii="Times New Roman" w:hAnsi="Times New Roman"/>
          <w:sz w:val="24"/>
          <w:szCs w:val="24"/>
        </w:rPr>
        <w:t xml:space="preserve">%. Из общего количества потребленных минут одним пользователем в мобильных сетях соединений по территории </w:t>
      </w:r>
      <w:r>
        <w:rPr>
          <w:rFonts w:ascii="Times New Roman" w:hAnsi="Times New Roman"/>
          <w:sz w:val="24"/>
          <w:szCs w:val="24"/>
        </w:rPr>
        <w:t>р</w:t>
      </w:r>
      <w:r w:rsidRPr="0080737A">
        <w:rPr>
          <w:rFonts w:ascii="Times New Roman" w:hAnsi="Times New Roman"/>
          <w:sz w:val="24"/>
          <w:szCs w:val="24"/>
        </w:rPr>
        <w:t>еспублики составляет 1</w:t>
      </w:r>
      <w:r>
        <w:rPr>
          <w:rFonts w:ascii="Times New Roman" w:hAnsi="Times New Roman"/>
          <w:sz w:val="24"/>
          <w:szCs w:val="24"/>
        </w:rPr>
        <w:t>58 минут</w:t>
      </w:r>
      <w:r w:rsidRPr="0080737A">
        <w:rPr>
          <w:rFonts w:ascii="Times New Roman" w:hAnsi="Times New Roman"/>
          <w:sz w:val="24"/>
          <w:szCs w:val="24"/>
        </w:rPr>
        <w:t xml:space="preserve">. </w:t>
      </w:r>
    </w:p>
    <w:p w:rsidR="00267046" w:rsidRPr="00975071" w:rsidRDefault="00267046" w:rsidP="00267046">
      <w:pPr>
        <w:spacing w:after="0" w:line="240" w:lineRule="auto"/>
        <w:ind w:firstLine="709"/>
        <w:jc w:val="both"/>
        <w:rPr>
          <w:rFonts w:ascii="Times New Roman" w:hAnsi="Times New Roman"/>
          <w:sz w:val="24"/>
          <w:szCs w:val="24"/>
        </w:rPr>
      </w:pPr>
      <w:r>
        <w:rPr>
          <w:rFonts w:ascii="Times New Roman" w:hAnsi="Times New Roman"/>
          <w:sz w:val="24"/>
          <w:szCs w:val="24"/>
        </w:rPr>
        <w:t>Объем продаж услуг мобильных коммуникаций в 2016 году по сравнению с 2015 годом снизился на 2,8%, составив 265,1 млн. руб., при этом показатель ARPU (среднемесячный доход на одного пользователя) поставщика больных коммуникаций составил 67,3 руб. в месяц, что на 0,5% превышает базовый уровень минувшего года.</w:t>
      </w:r>
    </w:p>
    <w:p w:rsidR="00267046" w:rsidRPr="0080737A" w:rsidRDefault="00267046" w:rsidP="00267046">
      <w:pPr>
        <w:spacing w:after="0" w:line="240" w:lineRule="auto"/>
        <w:ind w:firstLine="709"/>
        <w:jc w:val="both"/>
        <w:rPr>
          <w:rFonts w:ascii="Times New Roman" w:hAnsi="Times New Roman"/>
          <w:sz w:val="24"/>
          <w:szCs w:val="24"/>
        </w:rPr>
      </w:pPr>
      <w:r w:rsidRPr="0080737A">
        <w:rPr>
          <w:rFonts w:ascii="Times New Roman" w:hAnsi="Times New Roman"/>
          <w:sz w:val="24"/>
          <w:szCs w:val="24"/>
        </w:rPr>
        <w:t>Для абонентов сотовой мобильной связи обеспечена услуга международного роуминга более чем с 200 странами, также предоставлена возможность высокоскоростного доступа к глобальной сети Интернет, услуги мобильного телевидения.</w:t>
      </w:r>
    </w:p>
    <w:p w:rsidR="00267046" w:rsidRDefault="00267046" w:rsidP="00267046">
      <w:pPr>
        <w:spacing w:after="0" w:line="240" w:lineRule="auto"/>
        <w:ind w:firstLine="709"/>
        <w:jc w:val="both"/>
        <w:rPr>
          <w:rFonts w:ascii="Times New Roman" w:hAnsi="Times New Roman"/>
          <w:sz w:val="24"/>
          <w:szCs w:val="24"/>
        </w:rPr>
      </w:pPr>
      <w:r w:rsidRPr="0080737A">
        <w:rPr>
          <w:rFonts w:ascii="Times New Roman" w:hAnsi="Times New Roman"/>
          <w:sz w:val="24"/>
          <w:szCs w:val="24"/>
        </w:rPr>
        <w:t>Построение на всей территории Приднестровья мультисервисной транспортной высокоскоростной сети на базе технологии IP, позволяющей передавать трафик любого типа, дало возможность обеспечить широкополосный доступ в Интернет, радиовещание, доступ к информационным серверам, аудио архивам.</w:t>
      </w:r>
    </w:p>
    <w:p w:rsidR="00267046" w:rsidRDefault="00267046" w:rsidP="00267046">
      <w:pPr>
        <w:spacing w:after="0" w:line="240" w:lineRule="auto"/>
        <w:ind w:firstLine="709"/>
        <w:jc w:val="both"/>
        <w:rPr>
          <w:rFonts w:ascii="Times New Roman" w:hAnsi="Times New Roman"/>
          <w:sz w:val="24"/>
          <w:szCs w:val="24"/>
        </w:rPr>
      </w:pPr>
      <w:r>
        <w:rPr>
          <w:rFonts w:ascii="Times New Roman" w:hAnsi="Times New Roman"/>
          <w:sz w:val="24"/>
          <w:szCs w:val="24"/>
        </w:rPr>
        <w:t>Так, в</w:t>
      </w:r>
      <w:r w:rsidRPr="0080737A">
        <w:rPr>
          <w:rFonts w:ascii="Times New Roman" w:hAnsi="Times New Roman"/>
          <w:sz w:val="24"/>
          <w:szCs w:val="24"/>
        </w:rPr>
        <w:t xml:space="preserve"> январе-</w:t>
      </w:r>
      <w:r>
        <w:rPr>
          <w:rFonts w:ascii="Times New Roman" w:hAnsi="Times New Roman"/>
          <w:sz w:val="24"/>
          <w:szCs w:val="24"/>
        </w:rPr>
        <w:t>декабре</w:t>
      </w:r>
      <w:r w:rsidRPr="0080737A">
        <w:rPr>
          <w:rFonts w:ascii="Times New Roman" w:hAnsi="Times New Roman"/>
          <w:sz w:val="24"/>
          <w:szCs w:val="24"/>
        </w:rPr>
        <w:t xml:space="preserve"> 2016 года численность абонентов, подключенных к </w:t>
      </w:r>
      <w:r w:rsidRPr="0080737A">
        <w:rPr>
          <w:rFonts w:ascii="Times New Roman" w:hAnsi="Times New Roman"/>
          <w:sz w:val="24"/>
          <w:szCs w:val="24"/>
          <w:u w:val="single"/>
        </w:rPr>
        <w:t>глобальной сети Интернет</w:t>
      </w:r>
      <w:r w:rsidRPr="0080737A">
        <w:rPr>
          <w:rFonts w:ascii="Times New Roman" w:hAnsi="Times New Roman"/>
          <w:sz w:val="24"/>
          <w:szCs w:val="24"/>
        </w:rPr>
        <w:t xml:space="preserve"> (кроме сетей мобильной связи) составила </w:t>
      </w:r>
      <w:r>
        <w:rPr>
          <w:rFonts w:ascii="Times New Roman" w:hAnsi="Times New Roman"/>
          <w:sz w:val="24"/>
          <w:szCs w:val="24"/>
        </w:rPr>
        <w:t>112 369</w:t>
      </w:r>
      <w:r w:rsidRPr="0080737A">
        <w:rPr>
          <w:rFonts w:ascii="Times New Roman" w:hAnsi="Times New Roman"/>
          <w:sz w:val="24"/>
          <w:szCs w:val="24"/>
        </w:rPr>
        <w:t xml:space="preserve"> абонентов, из которых: 97,</w:t>
      </w:r>
      <w:r>
        <w:rPr>
          <w:rFonts w:ascii="Times New Roman" w:hAnsi="Times New Roman"/>
          <w:sz w:val="24"/>
          <w:szCs w:val="24"/>
        </w:rPr>
        <w:t>6</w:t>
      </w:r>
      <w:r w:rsidRPr="0080737A">
        <w:rPr>
          <w:rFonts w:ascii="Times New Roman" w:hAnsi="Times New Roman"/>
          <w:sz w:val="24"/>
          <w:szCs w:val="24"/>
        </w:rPr>
        <w:t>% или 10</w:t>
      </w:r>
      <w:r>
        <w:rPr>
          <w:rFonts w:ascii="Times New Roman" w:hAnsi="Times New Roman"/>
          <w:sz w:val="24"/>
          <w:szCs w:val="24"/>
        </w:rPr>
        <w:t>9</w:t>
      </w:r>
      <w:r w:rsidRPr="0080737A">
        <w:rPr>
          <w:rFonts w:ascii="Times New Roman" w:hAnsi="Times New Roman"/>
          <w:sz w:val="24"/>
          <w:szCs w:val="24"/>
        </w:rPr>
        <w:t> </w:t>
      </w:r>
      <w:r>
        <w:rPr>
          <w:rFonts w:ascii="Times New Roman" w:hAnsi="Times New Roman"/>
          <w:sz w:val="24"/>
          <w:szCs w:val="24"/>
        </w:rPr>
        <w:t>717</w:t>
      </w:r>
      <w:r w:rsidRPr="0080737A">
        <w:rPr>
          <w:rFonts w:ascii="Times New Roman" w:hAnsi="Times New Roman"/>
          <w:sz w:val="24"/>
          <w:szCs w:val="24"/>
        </w:rPr>
        <w:t xml:space="preserve"> абонентов физические лица, а </w:t>
      </w:r>
      <w:r>
        <w:rPr>
          <w:rFonts w:ascii="Times New Roman" w:hAnsi="Times New Roman"/>
          <w:sz w:val="24"/>
          <w:szCs w:val="24"/>
        </w:rPr>
        <w:t>2,4</w:t>
      </w:r>
      <w:r w:rsidRPr="0080737A">
        <w:rPr>
          <w:rFonts w:ascii="Times New Roman" w:hAnsi="Times New Roman"/>
          <w:sz w:val="24"/>
          <w:szCs w:val="24"/>
        </w:rPr>
        <w:t xml:space="preserve">% или </w:t>
      </w:r>
      <w:r>
        <w:rPr>
          <w:rFonts w:ascii="Times New Roman" w:hAnsi="Times New Roman"/>
          <w:sz w:val="24"/>
          <w:szCs w:val="24"/>
        </w:rPr>
        <w:t>2 652</w:t>
      </w:r>
      <w:r w:rsidRPr="0080737A">
        <w:rPr>
          <w:rFonts w:ascii="Times New Roman" w:hAnsi="Times New Roman"/>
          <w:sz w:val="24"/>
          <w:szCs w:val="24"/>
        </w:rPr>
        <w:t xml:space="preserve"> абонент</w:t>
      </w:r>
      <w:r>
        <w:rPr>
          <w:rFonts w:ascii="Times New Roman" w:hAnsi="Times New Roman"/>
          <w:sz w:val="24"/>
          <w:szCs w:val="24"/>
        </w:rPr>
        <w:t>а</w:t>
      </w:r>
      <w:r w:rsidRPr="0080737A">
        <w:rPr>
          <w:rFonts w:ascii="Times New Roman" w:hAnsi="Times New Roman"/>
          <w:sz w:val="24"/>
          <w:szCs w:val="24"/>
        </w:rPr>
        <w:t xml:space="preserve"> – юридические лица. </w:t>
      </w:r>
      <w:r>
        <w:rPr>
          <w:rFonts w:ascii="Times New Roman" w:hAnsi="Times New Roman"/>
          <w:sz w:val="24"/>
          <w:szCs w:val="24"/>
        </w:rPr>
        <w:t>Уровень проникновения услуг широкополосного доступа в фиксированных точках составляет 23,6%.</w:t>
      </w:r>
    </w:p>
    <w:p w:rsidR="00267046" w:rsidRDefault="00267046" w:rsidP="00267046">
      <w:pPr>
        <w:autoSpaceDE w:val="0"/>
        <w:autoSpaceDN w:val="0"/>
        <w:adjustRightInd w:val="0"/>
        <w:spacing w:after="0" w:line="240" w:lineRule="auto"/>
        <w:ind w:firstLine="720"/>
        <w:jc w:val="both"/>
        <w:rPr>
          <w:rFonts w:ascii="Times New Roman" w:hAnsi="Times New Roman"/>
          <w:sz w:val="24"/>
          <w:szCs w:val="24"/>
        </w:rPr>
      </w:pPr>
      <w:r w:rsidRPr="0080737A">
        <w:rPr>
          <w:rFonts w:ascii="Times New Roman" w:hAnsi="Times New Roman"/>
          <w:sz w:val="24"/>
          <w:szCs w:val="24"/>
        </w:rPr>
        <w:t xml:space="preserve">Производственно-технологический комплекс технических и транспортных средств, обеспечивающий прием, обработку, перевозку, доставку (вручение) почтовых отправлений, а также осуществляющий переводы денежных средств, представлен государственным унитарным предприятием </w:t>
      </w:r>
      <w:r w:rsidRPr="0080737A">
        <w:rPr>
          <w:rFonts w:ascii="Times New Roman" w:hAnsi="Times New Roman"/>
          <w:sz w:val="24"/>
          <w:szCs w:val="24"/>
          <w:u w:val="single"/>
        </w:rPr>
        <w:t>почтовой связи</w:t>
      </w:r>
      <w:r w:rsidRPr="0080737A">
        <w:rPr>
          <w:rFonts w:ascii="Times New Roman" w:hAnsi="Times New Roman"/>
          <w:sz w:val="24"/>
          <w:szCs w:val="24"/>
        </w:rPr>
        <w:t xml:space="preserve"> ГУП «Почта Приднестровья», (в состав которого входят 6 дочерних предприятий), а также предприятиями негосударственной формы собственности: ООО «СПН», ООО «Деливири Интернет Парсел», ООО «Авиаэкспресс»</w:t>
      </w:r>
      <w:r>
        <w:rPr>
          <w:rFonts w:ascii="Times New Roman" w:hAnsi="Times New Roman"/>
          <w:sz w:val="24"/>
          <w:szCs w:val="24"/>
        </w:rPr>
        <w:t>, ООО «Экспресс-Курьер и Компания»</w:t>
      </w:r>
      <w:r w:rsidRPr="0080737A">
        <w:rPr>
          <w:rFonts w:ascii="Times New Roman" w:hAnsi="Times New Roman"/>
          <w:sz w:val="24"/>
          <w:szCs w:val="24"/>
        </w:rPr>
        <w:t>.</w:t>
      </w:r>
    </w:p>
    <w:p w:rsidR="00656A17" w:rsidRDefault="00656A17" w:rsidP="00267046">
      <w:pPr>
        <w:autoSpaceDE w:val="0"/>
        <w:autoSpaceDN w:val="0"/>
        <w:adjustRightInd w:val="0"/>
        <w:spacing w:after="0" w:line="240" w:lineRule="auto"/>
        <w:ind w:firstLine="720"/>
        <w:jc w:val="both"/>
        <w:rPr>
          <w:rFonts w:ascii="Times New Roman" w:hAnsi="Times New Roman"/>
          <w:sz w:val="24"/>
          <w:szCs w:val="24"/>
        </w:rPr>
      </w:pPr>
    </w:p>
    <w:p w:rsidR="00656A17" w:rsidRDefault="00656A17" w:rsidP="00267046">
      <w:pPr>
        <w:autoSpaceDE w:val="0"/>
        <w:autoSpaceDN w:val="0"/>
        <w:adjustRightInd w:val="0"/>
        <w:spacing w:after="0" w:line="240" w:lineRule="auto"/>
        <w:ind w:firstLine="720"/>
        <w:jc w:val="both"/>
        <w:rPr>
          <w:rFonts w:ascii="Times New Roman" w:hAnsi="Times New Roman"/>
          <w:sz w:val="24"/>
          <w:szCs w:val="24"/>
        </w:rPr>
      </w:pPr>
    </w:p>
    <w:p w:rsidR="00656A17" w:rsidRDefault="00656A17" w:rsidP="00267046">
      <w:pPr>
        <w:autoSpaceDE w:val="0"/>
        <w:autoSpaceDN w:val="0"/>
        <w:adjustRightInd w:val="0"/>
        <w:spacing w:after="0" w:line="240" w:lineRule="auto"/>
        <w:ind w:firstLine="720"/>
        <w:jc w:val="both"/>
        <w:rPr>
          <w:rFonts w:ascii="Times New Roman" w:hAnsi="Times New Roman"/>
          <w:sz w:val="24"/>
          <w:szCs w:val="24"/>
        </w:rPr>
      </w:pPr>
    </w:p>
    <w:p w:rsidR="00267046" w:rsidRPr="00C760C2" w:rsidRDefault="00267046" w:rsidP="00267046">
      <w:pPr>
        <w:spacing w:after="0" w:line="240" w:lineRule="auto"/>
        <w:ind w:firstLine="709"/>
        <w:jc w:val="center"/>
        <w:rPr>
          <w:rFonts w:ascii="Times New Roman" w:hAnsi="Times New Roman"/>
          <w:b/>
          <w:sz w:val="4"/>
          <w:szCs w:val="4"/>
        </w:rPr>
      </w:pPr>
    </w:p>
    <w:p w:rsidR="00267046" w:rsidRDefault="00267046" w:rsidP="00267046">
      <w:pPr>
        <w:spacing w:after="0" w:line="240" w:lineRule="auto"/>
        <w:ind w:firstLine="709"/>
        <w:jc w:val="center"/>
        <w:rPr>
          <w:rFonts w:ascii="Times New Roman" w:hAnsi="Times New Roman"/>
          <w:b/>
          <w:sz w:val="24"/>
          <w:szCs w:val="24"/>
        </w:rPr>
      </w:pPr>
      <w:r w:rsidRPr="00FA327D">
        <w:rPr>
          <w:rFonts w:ascii="Times New Roman" w:hAnsi="Times New Roman"/>
          <w:b/>
          <w:sz w:val="24"/>
          <w:szCs w:val="24"/>
        </w:rPr>
        <w:lastRenderedPageBreak/>
        <w:t xml:space="preserve">Структура доходов от основной деятельности в разрезе </w:t>
      </w:r>
    </w:p>
    <w:p w:rsidR="00267046" w:rsidRDefault="00267046" w:rsidP="00267046">
      <w:pPr>
        <w:spacing w:after="0" w:line="240" w:lineRule="auto"/>
        <w:ind w:firstLine="709"/>
        <w:jc w:val="center"/>
        <w:rPr>
          <w:rFonts w:ascii="Times New Roman" w:hAnsi="Times New Roman"/>
          <w:b/>
          <w:sz w:val="24"/>
          <w:szCs w:val="24"/>
        </w:rPr>
      </w:pPr>
      <w:r w:rsidRPr="00FA327D">
        <w:rPr>
          <w:rFonts w:ascii="Times New Roman" w:hAnsi="Times New Roman"/>
          <w:b/>
          <w:sz w:val="24"/>
          <w:szCs w:val="24"/>
        </w:rPr>
        <w:t>предприятий почтовой связи за 2015 - 2016 г.г.</w:t>
      </w:r>
    </w:p>
    <w:p w:rsidR="00267046" w:rsidRPr="007A5FF6" w:rsidRDefault="00267046" w:rsidP="00267046">
      <w:pPr>
        <w:spacing w:after="0" w:line="240" w:lineRule="auto"/>
        <w:ind w:left="1415" w:firstLine="709"/>
        <w:rPr>
          <w:rFonts w:ascii="Times New Roman" w:hAnsi="Times New Roman"/>
          <w:i/>
          <w:sz w:val="24"/>
          <w:szCs w:val="24"/>
        </w:rPr>
      </w:pPr>
      <w:r>
        <w:rPr>
          <w:rFonts w:ascii="Times New Roman" w:hAnsi="Times New Roman"/>
          <w:i/>
          <w:sz w:val="24"/>
          <w:szCs w:val="24"/>
          <w:u w:val="single"/>
        </w:rPr>
        <w:t xml:space="preserve">2015 </w:t>
      </w:r>
      <w:r w:rsidRPr="00392B2D">
        <w:rPr>
          <w:rFonts w:ascii="Times New Roman" w:hAnsi="Times New Roman"/>
          <w:i/>
          <w:sz w:val="24"/>
          <w:szCs w:val="24"/>
          <w:u w:val="single"/>
        </w:rPr>
        <w:t>год</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Pr="00392B2D">
        <w:rPr>
          <w:rFonts w:ascii="Times New Roman" w:hAnsi="Times New Roman"/>
          <w:i/>
          <w:sz w:val="24"/>
          <w:szCs w:val="24"/>
          <w:u w:val="single"/>
        </w:rPr>
        <w:t>2016 год</w:t>
      </w:r>
    </w:p>
    <w:p w:rsidR="009303BE" w:rsidRDefault="00267046" w:rsidP="009303BE">
      <w:pPr>
        <w:ind w:hanging="284"/>
        <w:rPr>
          <w:rFonts w:eastAsia="Calibri"/>
        </w:rPr>
      </w:pPr>
      <w:r w:rsidRPr="00267046">
        <w:rPr>
          <w:rFonts w:eastAsia="Calibri"/>
          <w:noProof/>
        </w:rPr>
        <w:drawing>
          <wp:inline distT="0" distB="0" distL="0" distR="0">
            <wp:extent cx="3308985" cy="2200275"/>
            <wp:effectExtent l="19050" t="0" r="5715" b="0"/>
            <wp:docPr id="4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267046">
        <w:rPr>
          <w:rFonts w:eastAsia="Calibri"/>
          <w:noProof/>
        </w:rPr>
        <w:drawing>
          <wp:inline distT="0" distB="0" distL="0" distR="0">
            <wp:extent cx="2743200" cy="2352675"/>
            <wp:effectExtent l="0" t="0" r="0" b="0"/>
            <wp:docPr id="4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67149" w:rsidRDefault="00267046" w:rsidP="00267046">
      <w:pPr>
        <w:spacing w:after="0" w:line="240" w:lineRule="auto"/>
        <w:ind w:firstLine="709"/>
        <w:jc w:val="both"/>
        <w:rPr>
          <w:rFonts w:ascii="Times New Roman" w:hAnsi="Times New Roman"/>
          <w:sz w:val="24"/>
          <w:szCs w:val="24"/>
        </w:rPr>
      </w:pPr>
      <w:r>
        <w:rPr>
          <w:rFonts w:ascii="Times New Roman" w:hAnsi="Times New Roman"/>
          <w:sz w:val="24"/>
          <w:szCs w:val="24"/>
        </w:rPr>
        <w:t>В 2016 году доходы</w:t>
      </w:r>
      <w:r w:rsidRPr="0080737A">
        <w:rPr>
          <w:rFonts w:ascii="Times New Roman" w:hAnsi="Times New Roman"/>
          <w:sz w:val="24"/>
          <w:szCs w:val="24"/>
        </w:rPr>
        <w:t xml:space="preserve"> от основной деятельности, полученные всеми предприятиями почтовой связи, </w:t>
      </w:r>
      <w:r>
        <w:rPr>
          <w:rFonts w:ascii="Times New Roman" w:hAnsi="Times New Roman"/>
          <w:sz w:val="24"/>
          <w:szCs w:val="24"/>
        </w:rPr>
        <w:t xml:space="preserve">остались практически на уровне 2015 года </w:t>
      </w:r>
      <w:r w:rsidRPr="00681BD7">
        <w:rPr>
          <w:rFonts w:ascii="Times New Roman" w:hAnsi="Times New Roman"/>
          <w:sz w:val="24"/>
          <w:szCs w:val="24"/>
        </w:rPr>
        <w:t>(«+» 0,7%), составив 6 41</w:t>
      </w:r>
      <w:r>
        <w:rPr>
          <w:rFonts w:ascii="Times New Roman" w:hAnsi="Times New Roman"/>
          <w:sz w:val="24"/>
          <w:szCs w:val="24"/>
        </w:rPr>
        <w:t>3</w:t>
      </w:r>
      <w:r w:rsidRPr="00681BD7">
        <w:rPr>
          <w:rFonts w:ascii="Times New Roman" w:hAnsi="Times New Roman"/>
          <w:sz w:val="24"/>
          <w:szCs w:val="24"/>
        </w:rPr>
        <w:t>,</w:t>
      </w:r>
      <w:r>
        <w:rPr>
          <w:rFonts w:ascii="Times New Roman" w:hAnsi="Times New Roman"/>
          <w:sz w:val="24"/>
          <w:szCs w:val="24"/>
        </w:rPr>
        <w:t>7</w:t>
      </w:r>
      <w:r w:rsidRPr="00681BD7">
        <w:rPr>
          <w:rFonts w:ascii="Times New Roman" w:hAnsi="Times New Roman"/>
          <w:sz w:val="24"/>
          <w:szCs w:val="24"/>
        </w:rPr>
        <w:t> тыс. руб.</w:t>
      </w:r>
    </w:p>
    <w:p w:rsidR="00267046" w:rsidRDefault="00267046" w:rsidP="00267046">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рассматриваемом периоде </w:t>
      </w:r>
      <w:r w:rsidRPr="0080737A">
        <w:rPr>
          <w:rFonts w:ascii="Times New Roman" w:hAnsi="Times New Roman"/>
          <w:sz w:val="24"/>
          <w:szCs w:val="24"/>
        </w:rPr>
        <w:t>тарифы на пересылку по всем видам услуг почтовой связи оста</w:t>
      </w:r>
      <w:r>
        <w:rPr>
          <w:rFonts w:ascii="Times New Roman" w:hAnsi="Times New Roman"/>
          <w:sz w:val="24"/>
          <w:szCs w:val="24"/>
        </w:rPr>
        <w:t>вались</w:t>
      </w:r>
      <w:r w:rsidRPr="0080737A">
        <w:rPr>
          <w:rFonts w:ascii="Times New Roman" w:hAnsi="Times New Roman"/>
          <w:sz w:val="24"/>
          <w:szCs w:val="24"/>
        </w:rPr>
        <w:t xml:space="preserve"> на уровне минувшего года, </w:t>
      </w:r>
      <w:r>
        <w:rPr>
          <w:rFonts w:ascii="Times New Roman" w:hAnsi="Times New Roman"/>
          <w:sz w:val="24"/>
          <w:szCs w:val="24"/>
        </w:rPr>
        <w:t>а увеличение</w:t>
      </w:r>
      <w:r w:rsidRPr="0080737A">
        <w:rPr>
          <w:rFonts w:ascii="Times New Roman" w:hAnsi="Times New Roman"/>
          <w:sz w:val="24"/>
          <w:szCs w:val="24"/>
        </w:rPr>
        <w:t xml:space="preserve"> исходящего почтового обмена</w:t>
      </w:r>
      <w:r>
        <w:rPr>
          <w:rFonts w:ascii="Times New Roman" w:hAnsi="Times New Roman"/>
          <w:sz w:val="24"/>
          <w:szCs w:val="24"/>
        </w:rPr>
        <w:t xml:space="preserve"> обеспечило прирост </w:t>
      </w:r>
      <w:r w:rsidRPr="0080737A">
        <w:rPr>
          <w:rFonts w:ascii="Times New Roman" w:hAnsi="Times New Roman"/>
          <w:sz w:val="24"/>
          <w:szCs w:val="24"/>
        </w:rPr>
        <w:t>совокупн</w:t>
      </w:r>
      <w:r>
        <w:rPr>
          <w:rFonts w:ascii="Times New Roman" w:hAnsi="Times New Roman"/>
          <w:sz w:val="24"/>
          <w:szCs w:val="24"/>
        </w:rPr>
        <w:t>ой</w:t>
      </w:r>
      <w:r w:rsidRPr="0080737A">
        <w:rPr>
          <w:rFonts w:ascii="Times New Roman" w:hAnsi="Times New Roman"/>
          <w:sz w:val="24"/>
          <w:szCs w:val="24"/>
        </w:rPr>
        <w:t xml:space="preserve"> величин</w:t>
      </w:r>
      <w:r>
        <w:rPr>
          <w:rFonts w:ascii="Times New Roman" w:hAnsi="Times New Roman"/>
          <w:sz w:val="24"/>
          <w:szCs w:val="24"/>
        </w:rPr>
        <w:t>ы</w:t>
      </w:r>
      <w:r w:rsidRPr="0080737A">
        <w:rPr>
          <w:rFonts w:ascii="Times New Roman" w:hAnsi="Times New Roman"/>
          <w:sz w:val="24"/>
          <w:szCs w:val="24"/>
        </w:rPr>
        <w:t xml:space="preserve"> доходов от основной деятельности </w:t>
      </w:r>
      <w:r w:rsidRPr="00681BD7">
        <w:rPr>
          <w:rFonts w:ascii="Times New Roman" w:hAnsi="Times New Roman"/>
          <w:b/>
          <w:i/>
          <w:sz w:val="24"/>
          <w:szCs w:val="24"/>
          <w:u w:val="single"/>
        </w:rPr>
        <w:t>государственных предприятий почтовой связи</w:t>
      </w:r>
      <w:r>
        <w:rPr>
          <w:rFonts w:ascii="Times New Roman" w:hAnsi="Times New Roman"/>
          <w:i/>
          <w:sz w:val="24"/>
          <w:szCs w:val="24"/>
        </w:rPr>
        <w:t xml:space="preserve"> </w:t>
      </w:r>
      <w:r>
        <w:rPr>
          <w:rFonts w:ascii="Times New Roman" w:hAnsi="Times New Roman"/>
          <w:sz w:val="24"/>
          <w:szCs w:val="24"/>
        </w:rPr>
        <w:t xml:space="preserve">на </w:t>
      </w:r>
      <w:r w:rsidRPr="00F66430">
        <w:rPr>
          <w:rFonts w:ascii="Times New Roman" w:hAnsi="Times New Roman"/>
          <w:sz w:val="24"/>
          <w:szCs w:val="24"/>
        </w:rPr>
        <w:t>1,1%</w:t>
      </w:r>
      <w:r>
        <w:rPr>
          <w:rFonts w:ascii="Times New Roman" w:hAnsi="Times New Roman"/>
          <w:sz w:val="24"/>
          <w:szCs w:val="24"/>
        </w:rPr>
        <w:t xml:space="preserve"> до 5 339,4 тыс. руб. </w:t>
      </w:r>
    </w:p>
    <w:p w:rsidR="006B4909" w:rsidRPr="006B4909" w:rsidRDefault="006B4909" w:rsidP="00267046">
      <w:pPr>
        <w:spacing w:after="0" w:line="240" w:lineRule="auto"/>
        <w:ind w:firstLine="709"/>
        <w:jc w:val="both"/>
        <w:rPr>
          <w:rFonts w:ascii="Times New Roman" w:hAnsi="Times New Roman"/>
          <w:sz w:val="10"/>
          <w:szCs w:val="10"/>
        </w:rPr>
      </w:pPr>
    </w:p>
    <w:p w:rsidR="00267046" w:rsidRDefault="00267046" w:rsidP="009303BE">
      <w:pPr>
        <w:ind w:hanging="284"/>
        <w:rPr>
          <w:rFonts w:eastAsia="Calibri"/>
        </w:rPr>
      </w:pPr>
      <w:r w:rsidRPr="00267046">
        <w:rPr>
          <w:rFonts w:eastAsia="Calibri"/>
          <w:noProof/>
        </w:rPr>
        <w:drawing>
          <wp:inline distT="0" distB="0" distL="0" distR="0">
            <wp:extent cx="6343650" cy="1838325"/>
            <wp:effectExtent l="19050" t="0" r="0" b="0"/>
            <wp:docPr id="4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67046" w:rsidRPr="0080737A" w:rsidRDefault="00267046" w:rsidP="00267046">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При этом,</w:t>
      </w:r>
      <w:r w:rsidRPr="0080737A">
        <w:rPr>
          <w:rFonts w:ascii="Times New Roman" w:hAnsi="Times New Roman"/>
          <w:sz w:val="24"/>
          <w:szCs w:val="24"/>
        </w:rPr>
        <w:t xml:space="preserve"> суммарная величина доходов </w:t>
      </w:r>
      <w:r>
        <w:rPr>
          <w:rFonts w:ascii="Times New Roman" w:hAnsi="Times New Roman"/>
          <w:sz w:val="24"/>
          <w:szCs w:val="24"/>
        </w:rPr>
        <w:t xml:space="preserve">государственных </w:t>
      </w:r>
      <w:r w:rsidRPr="0080737A">
        <w:rPr>
          <w:rFonts w:ascii="Times New Roman" w:hAnsi="Times New Roman"/>
          <w:sz w:val="24"/>
          <w:szCs w:val="24"/>
        </w:rPr>
        <w:t xml:space="preserve">организаций почтовой связи (без учета стоимости товаров по цене поставщика), включающая в себя как доходы от основной, так и от непрофильной и торговой деятельности, снизилась на </w:t>
      </w:r>
      <w:r>
        <w:rPr>
          <w:rFonts w:ascii="Times New Roman" w:hAnsi="Times New Roman"/>
          <w:sz w:val="24"/>
          <w:szCs w:val="24"/>
        </w:rPr>
        <w:t>1,6</w:t>
      </w:r>
      <w:r w:rsidRPr="0080737A">
        <w:rPr>
          <w:rFonts w:ascii="Times New Roman" w:hAnsi="Times New Roman"/>
          <w:sz w:val="24"/>
          <w:szCs w:val="24"/>
        </w:rPr>
        <w:t>%</w:t>
      </w:r>
      <w:r>
        <w:rPr>
          <w:rFonts w:ascii="Times New Roman" w:hAnsi="Times New Roman"/>
          <w:sz w:val="24"/>
          <w:szCs w:val="24"/>
        </w:rPr>
        <w:t>,</w:t>
      </w:r>
      <w:r w:rsidRPr="0080737A">
        <w:rPr>
          <w:rFonts w:ascii="Times New Roman" w:hAnsi="Times New Roman"/>
          <w:sz w:val="24"/>
          <w:szCs w:val="24"/>
        </w:rPr>
        <w:t xml:space="preserve"> состави</w:t>
      </w:r>
      <w:r>
        <w:rPr>
          <w:rFonts w:ascii="Times New Roman" w:hAnsi="Times New Roman"/>
          <w:sz w:val="24"/>
          <w:szCs w:val="24"/>
        </w:rPr>
        <w:t>в 9 806,0 </w:t>
      </w:r>
      <w:r w:rsidRPr="0080737A">
        <w:rPr>
          <w:rFonts w:ascii="Times New Roman" w:hAnsi="Times New Roman"/>
          <w:sz w:val="24"/>
          <w:szCs w:val="24"/>
        </w:rPr>
        <w:t>тыс.</w:t>
      </w:r>
      <w:r>
        <w:rPr>
          <w:rFonts w:ascii="Times New Roman" w:hAnsi="Times New Roman"/>
          <w:sz w:val="24"/>
          <w:szCs w:val="24"/>
        </w:rPr>
        <w:t> </w:t>
      </w:r>
      <w:r w:rsidRPr="0080737A">
        <w:rPr>
          <w:rFonts w:ascii="Times New Roman" w:hAnsi="Times New Roman"/>
          <w:sz w:val="24"/>
          <w:szCs w:val="24"/>
        </w:rPr>
        <w:t>руб</w:t>
      </w:r>
      <w:r>
        <w:rPr>
          <w:rFonts w:ascii="Times New Roman" w:hAnsi="Times New Roman"/>
          <w:sz w:val="24"/>
          <w:szCs w:val="24"/>
        </w:rPr>
        <w:t>.</w:t>
      </w:r>
      <w:r w:rsidRPr="0080737A">
        <w:rPr>
          <w:rFonts w:ascii="Times New Roman" w:hAnsi="Times New Roman"/>
          <w:sz w:val="24"/>
          <w:szCs w:val="24"/>
        </w:rPr>
        <w:t>, из нее:</w:t>
      </w:r>
    </w:p>
    <w:p w:rsidR="00267046" w:rsidRPr="0080737A" w:rsidRDefault="00267046" w:rsidP="00267046">
      <w:pPr>
        <w:tabs>
          <w:tab w:val="left" w:pos="993"/>
        </w:tabs>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w:t>
      </w:r>
      <w:r w:rsidRPr="0080737A">
        <w:rPr>
          <w:rFonts w:ascii="Times New Roman" w:hAnsi="Times New Roman"/>
          <w:sz w:val="24"/>
          <w:szCs w:val="24"/>
        </w:rPr>
        <w:tab/>
        <w:t xml:space="preserve">доходы от непрофильной деятельности (прием коммунальных платежей, платежей за оказание услуг связи, ксерокопирование) </w:t>
      </w:r>
      <w:r>
        <w:rPr>
          <w:rFonts w:ascii="Times New Roman" w:hAnsi="Times New Roman"/>
          <w:sz w:val="24"/>
          <w:szCs w:val="24"/>
        </w:rPr>
        <w:t>сократились</w:t>
      </w:r>
      <w:r w:rsidRPr="0080737A">
        <w:rPr>
          <w:rFonts w:ascii="Times New Roman" w:hAnsi="Times New Roman"/>
          <w:sz w:val="24"/>
          <w:szCs w:val="24"/>
        </w:rPr>
        <w:t xml:space="preserve"> на </w:t>
      </w:r>
      <w:r>
        <w:rPr>
          <w:rFonts w:ascii="Times New Roman" w:hAnsi="Times New Roman"/>
          <w:sz w:val="24"/>
          <w:szCs w:val="24"/>
        </w:rPr>
        <w:t>6,2</w:t>
      </w:r>
      <w:r w:rsidRPr="0080737A">
        <w:rPr>
          <w:rFonts w:ascii="Times New Roman" w:hAnsi="Times New Roman"/>
          <w:sz w:val="24"/>
          <w:szCs w:val="24"/>
        </w:rPr>
        <w:t xml:space="preserve">% до </w:t>
      </w:r>
      <w:r>
        <w:rPr>
          <w:rFonts w:ascii="Times New Roman" w:hAnsi="Times New Roman"/>
          <w:sz w:val="24"/>
          <w:szCs w:val="24"/>
        </w:rPr>
        <w:t>2 928,8</w:t>
      </w:r>
      <w:r w:rsidRPr="0080737A">
        <w:rPr>
          <w:rFonts w:ascii="Times New Roman" w:hAnsi="Times New Roman"/>
          <w:sz w:val="24"/>
          <w:szCs w:val="24"/>
        </w:rPr>
        <w:t xml:space="preserve"> тыс. руб.;</w:t>
      </w:r>
    </w:p>
    <w:p w:rsidR="00267046" w:rsidRPr="0080737A" w:rsidRDefault="00267046" w:rsidP="00267046">
      <w:pPr>
        <w:tabs>
          <w:tab w:val="left" w:pos="993"/>
        </w:tabs>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w:t>
      </w:r>
      <w:r w:rsidRPr="0080737A">
        <w:rPr>
          <w:rFonts w:ascii="Times New Roman" w:hAnsi="Times New Roman"/>
          <w:sz w:val="24"/>
          <w:szCs w:val="24"/>
        </w:rPr>
        <w:tab/>
        <w:t xml:space="preserve">доходы от торговой деятельности сократились на </w:t>
      </w:r>
      <w:r>
        <w:rPr>
          <w:rFonts w:ascii="Times New Roman" w:hAnsi="Times New Roman"/>
          <w:sz w:val="24"/>
          <w:szCs w:val="24"/>
        </w:rPr>
        <w:t>1,4</w:t>
      </w:r>
      <w:r w:rsidRPr="0080737A">
        <w:rPr>
          <w:rFonts w:ascii="Times New Roman" w:hAnsi="Times New Roman"/>
          <w:sz w:val="24"/>
          <w:szCs w:val="24"/>
        </w:rPr>
        <w:t xml:space="preserve">% до </w:t>
      </w:r>
      <w:r>
        <w:rPr>
          <w:rFonts w:ascii="Times New Roman" w:hAnsi="Times New Roman"/>
          <w:sz w:val="24"/>
          <w:szCs w:val="24"/>
        </w:rPr>
        <w:t>1 537,8</w:t>
      </w:r>
      <w:r w:rsidRPr="0080737A">
        <w:rPr>
          <w:rFonts w:ascii="Times New Roman" w:hAnsi="Times New Roman"/>
          <w:sz w:val="24"/>
          <w:szCs w:val="24"/>
        </w:rPr>
        <w:t xml:space="preserve"> тыс. руб.</w:t>
      </w:r>
    </w:p>
    <w:p w:rsidR="00267046" w:rsidRPr="0080737A" w:rsidRDefault="00267046" w:rsidP="00267046">
      <w:pPr>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Также</w:t>
      </w:r>
      <w:r>
        <w:rPr>
          <w:rFonts w:ascii="Times New Roman" w:hAnsi="Times New Roman"/>
          <w:sz w:val="24"/>
          <w:szCs w:val="24"/>
        </w:rPr>
        <w:t>,</w:t>
      </w:r>
      <w:r w:rsidRPr="0080737A">
        <w:rPr>
          <w:rFonts w:ascii="Times New Roman" w:hAnsi="Times New Roman"/>
          <w:sz w:val="24"/>
          <w:szCs w:val="24"/>
        </w:rPr>
        <w:t xml:space="preserve"> дополнительным источником пополнения оборотных средств являются доходы</w:t>
      </w:r>
      <w:r>
        <w:rPr>
          <w:rFonts w:ascii="Times New Roman" w:hAnsi="Times New Roman"/>
          <w:sz w:val="24"/>
          <w:szCs w:val="24"/>
        </w:rPr>
        <w:t xml:space="preserve"> </w:t>
      </w:r>
      <w:r w:rsidRPr="0080737A">
        <w:rPr>
          <w:rFonts w:ascii="Times New Roman" w:hAnsi="Times New Roman"/>
          <w:sz w:val="24"/>
          <w:szCs w:val="24"/>
        </w:rPr>
        <w:t xml:space="preserve">от сдачи имущества в аренду, суммарная величина которых </w:t>
      </w:r>
      <w:r>
        <w:rPr>
          <w:rFonts w:ascii="Times New Roman" w:hAnsi="Times New Roman"/>
          <w:sz w:val="24"/>
          <w:szCs w:val="24"/>
        </w:rPr>
        <w:t>в</w:t>
      </w:r>
      <w:r w:rsidRPr="0080737A">
        <w:rPr>
          <w:rFonts w:ascii="Times New Roman" w:hAnsi="Times New Roman"/>
          <w:sz w:val="24"/>
          <w:szCs w:val="24"/>
        </w:rPr>
        <w:t xml:space="preserve"> 2016 год</w:t>
      </w:r>
      <w:r>
        <w:rPr>
          <w:rFonts w:ascii="Times New Roman" w:hAnsi="Times New Roman"/>
          <w:sz w:val="24"/>
          <w:szCs w:val="24"/>
        </w:rPr>
        <w:t>у</w:t>
      </w:r>
      <w:r w:rsidRPr="0080737A">
        <w:rPr>
          <w:rFonts w:ascii="Times New Roman" w:hAnsi="Times New Roman"/>
          <w:sz w:val="24"/>
          <w:szCs w:val="24"/>
        </w:rPr>
        <w:t xml:space="preserve"> составила </w:t>
      </w:r>
      <w:r>
        <w:rPr>
          <w:rFonts w:ascii="Times New Roman" w:hAnsi="Times New Roman"/>
          <w:sz w:val="24"/>
          <w:szCs w:val="24"/>
        </w:rPr>
        <w:t>269,9</w:t>
      </w:r>
      <w:r w:rsidRPr="0080737A">
        <w:rPr>
          <w:rFonts w:ascii="Times New Roman" w:hAnsi="Times New Roman"/>
          <w:sz w:val="24"/>
          <w:szCs w:val="24"/>
        </w:rPr>
        <w:t xml:space="preserve"> тыс. руб., </w:t>
      </w:r>
      <w:r>
        <w:rPr>
          <w:rFonts w:ascii="Times New Roman" w:hAnsi="Times New Roman"/>
          <w:sz w:val="24"/>
          <w:szCs w:val="24"/>
        </w:rPr>
        <w:t>что на 39,9</w:t>
      </w:r>
      <w:r w:rsidRPr="0080737A">
        <w:rPr>
          <w:rFonts w:ascii="Times New Roman" w:hAnsi="Times New Roman"/>
          <w:sz w:val="24"/>
          <w:szCs w:val="24"/>
        </w:rPr>
        <w:t>%</w:t>
      </w:r>
      <w:r>
        <w:rPr>
          <w:rFonts w:ascii="Times New Roman" w:hAnsi="Times New Roman"/>
          <w:sz w:val="24"/>
          <w:szCs w:val="24"/>
        </w:rPr>
        <w:t xml:space="preserve"> ниже сопоставимого значения 2015 года.</w:t>
      </w:r>
    </w:p>
    <w:p w:rsidR="00267046" w:rsidRDefault="00267046" w:rsidP="00267046">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рассматриваемом периоде текущие затраты государственных предприятий почтовой связи по основным видам деятельности </w:t>
      </w:r>
      <w:r>
        <w:rPr>
          <w:rFonts w:ascii="Times New Roman" w:hAnsi="Times New Roman"/>
          <w:sz w:val="24"/>
          <w:szCs w:val="24"/>
        </w:rPr>
        <w:t>возросли на 0,4% к</w:t>
      </w:r>
      <w:r w:rsidRPr="0080737A">
        <w:rPr>
          <w:rFonts w:ascii="Times New Roman" w:hAnsi="Times New Roman"/>
          <w:sz w:val="24"/>
          <w:szCs w:val="24"/>
        </w:rPr>
        <w:t xml:space="preserve"> </w:t>
      </w:r>
      <w:r>
        <w:rPr>
          <w:rFonts w:ascii="Times New Roman" w:hAnsi="Times New Roman"/>
          <w:sz w:val="24"/>
          <w:szCs w:val="24"/>
        </w:rPr>
        <w:t>у</w:t>
      </w:r>
      <w:r w:rsidRPr="0080737A">
        <w:rPr>
          <w:rFonts w:ascii="Times New Roman" w:hAnsi="Times New Roman"/>
          <w:sz w:val="24"/>
          <w:szCs w:val="24"/>
        </w:rPr>
        <w:t>ровн</w:t>
      </w:r>
      <w:r>
        <w:rPr>
          <w:rFonts w:ascii="Times New Roman" w:hAnsi="Times New Roman"/>
          <w:sz w:val="24"/>
          <w:szCs w:val="24"/>
        </w:rPr>
        <w:t>ю</w:t>
      </w:r>
      <w:r w:rsidRPr="0080737A">
        <w:rPr>
          <w:rFonts w:ascii="Times New Roman" w:hAnsi="Times New Roman"/>
          <w:sz w:val="24"/>
          <w:szCs w:val="24"/>
        </w:rPr>
        <w:t xml:space="preserve"> базового показ</w:t>
      </w:r>
      <w:r>
        <w:rPr>
          <w:rFonts w:ascii="Times New Roman" w:hAnsi="Times New Roman"/>
          <w:sz w:val="24"/>
          <w:szCs w:val="24"/>
        </w:rPr>
        <w:t>ателя минувшего года, составив 23</w:t>
      </w:r>
      <w:r w:rsidRPr="0080737A">
        <w:rPr>
          <w:rFonts w:ascii="Times New Roman" w:hAnsi="Times New Roman"/>
          <w:sz w:val="24"/>
          <w:szCs w:val="24"/>
        </w:rPr>
        <w:t> </w:t>
      </w:r>
      <w:r>
        <w:rPr>
          <w:rFonts w:ascii="Times New Roman" w:hAnsi="Times New Roman"/>
          <w:sz w:val="24"/>
          <w:szCs w:val="24"/>
        </w:rPr>
        <w:t>307</w:t>
      </w:r>
      <w:r w:rsidRPr="0080737A">
        <w:rPr>
          <w:rFonts w:ascii="Times New Roman" w:hAnsi="Times New Roman"/>
          <w:sz w:val="24"/>
          <w:szCs w:val="24"/>
        </w:rPr>
        <w:t xml:space="preserve">,0 тыс. руб. </w:t>
      </w:r>
    </w:p>
    <w:p w:rsidR="00267046" w:rsidRDefault="00267046" w:rsidP="00267046">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структуре текущих расходов </w:t>
      </w:r>
      <w:r>
        <w:rPr>
          <w:rFonts w:ascii="Times New Roman" w:hAnsi="Times New Roman"/>
          <w:sz w:val="24"/>
          <w:szCs w:val="24"/>
        </w:rPr>
        <w:t>83,4</w:t>
      </w:r>
      <w:r w:rsidRPr="0080737A">
        <w:rPr>
          <w:rFonts w:ascii="Times New Roman" w:hAnsi="Times New Roman"/>
          <w:sz w:val="24"/>
          <w:szCs w:val="24"/>
        </w:rPr>
        <w:t xml:space="preserve">% или </w:t>
      </w:r>
      <w:r>
        <w:rPr>
          <w:rFonts w:ascii="Times New Roman" w:hAnsi="Times New Roman"/>
          <w:sz w:val="24"/>
          <w:szCs w:val="24"/>
        </w:rPr>
        <w:t>19 442,0</w:t>
      </w:r>
      <w:r w:rsidRPr="0080737A">
        <w:rPr>
          <w:rFonts w:ascii="Times New Roman" w:hAnsi="Times New Roman"/>
          <w:sz w:val="24"/>
          <w:szCs w:val="24"/>
        </w:rPr>
        <w:t xml:space="preserve"> тыс. руб.</w:t>
      </w:r>
      <w:r>
        <w:rPr>
          <w:rFonts w:ascii="Times New Roman" w:hAnsi="Times New Roman"/>
          <w:sz w:val="24"/>
          <w:szCs w:val="24"/>
        </w:rPr>
        <w:t xml:space="preserve"> </w:t>
      </w:r>
      <w:r w:rsidRPr="0080737A">
        <w:rPr>
          <w:rFonts w:ascii="Times New Roman" w:hAnsi="Times New Roman"/>
          <w:sz w:val="24"/>
          <w:szCs w:val="24"/>
        </w:rPr>
        <w:t xml:space="preserve">пришлось на оплату труда работников и уплату единого социального налога (ЕСН), абсолютная величина которых снизилась на </w:t>
      </w:r>
      <w:r>
        <w:rPr>
          <w:rFonts w:ascii="Times New Roman" w:hAnsi="Times New Roman"/>
          <w:sz w:val="24"/>
          <w:szCs w:val="24"/>
        </w:rPr>
        <w:t>0,3</w:t>
      </w:r>
      <w:r w:rsidRPr="0080737A">
        <w:rPr>
          <w:rFonts w:ascii="Times New Roman" w:hAnsi="Times New Roman"/>
          <w:sz w:val="24"/>
          <w:szCs w:val="24"/>
        </w:rPr>
        <w:t>%</w:t>
      </w:r>
      <w:r>
        <w:rPr>
          <w:rFonts w:ascii="Times New Roman" w:hAnsi="Times New Roman"/>
          <w:sz w:val="24"/>
          <w:szCs w:val="24"/>
        </w:rPr>
        <w:t>.</w:t>
      </w:r>
    </w:p>
    <w:p w:rsidR="00267046" w:rsidRDefault="00267046" w:rsidP="00267046">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Кредиторская задолженность по оплате труда и единому социальному налогу по состоянию на 01 </w:t>
      </w:r>
      <w:r>
        <w:rPr>
          <w:rFonts w:ascii="Times New Roman" w:hAnsi="Times New Roman"/>
          <w:sz w:val="24"/>
          <w:szCs w:val="24"/>
        </w:rPr>
        <w:t>января</w:t>
      </w:r>
      <w:r w:rsidRPr="0080737A">
        <w:rPr>
          <w:rFonts w:ascii="Times New Roman" w:hAnsi="Times New Roman"/>
          <w:sz w:val="24"/>
          <w:szCs w:val="24"/>
        </w:rPr>
        <w:t xml:space="preserve"> 201</w:t>
      </w:r>
      <w:r>
        <w:rPr>
          <w:rFonts w:ascii="Times New Roman" w:hAnsi="Times New Roman"/>
          <w:sz w:val="24"/>
          <w:szCs w:val="24"/>
        </w:rPr>
        <w:t>7</w:t>
      </w:r>
      <w:r w:rsidRPr="0080737A">
        <w:rPr>
          <w:rFonts w:ascii="Times New Roman" w:hAnsi="Times New Roman"/>
          <w:sz w:val="24"/>
          <w:szCs w:val="24"/>
        </w:rPr>
        <w:t xml:space="preserve"> года, после предоставления дотаций из республиканского </w:t>
      </w:r>
      <w:r w:rsidRPr="0080737A">
        <w:rPr>
          <w:rFonts w:ascii="Times New Roman" w:hAnsi="Times New Roman"/>
          <w:sz w:val="24"/>
          <w:szCs w:val="24"/>
        </w:rPr>
        <w:lastRenderedPageBreak/>
        <w:t xml:space="preserve">бюджета в сумме </w:t>
      </w:r>
      <w:r>
        <w:rPr>
          <w:rFonts w:ascii="Times New Roman" w:hAnsi="Times New Roman"/>
          <w:sz w:val="24"/>
          <w:szCs w:val="24"/>
        </w:rPr>
        <w:t>20 285</w:t>
      </w:r>
      <w:r w:rsidRPr="0080737A">
        <w:rPr>
          <w:rFonts w:ascii="Times New Roman" w:hAnsi="Times New Roman"/>
          <w:sz w:val="24"/>
          <w:szCs w:val="24"/>
        </w:rPr>
        <w:t xml:space="preserve"> тыс. руб., составила 1</w:t>
      </w:r>
      <w:r>
        <w:rPr>
          <w:rFonts w:ascii="Times New Roman" w:hAnsi="Times New Roman"/>
          <w:sz w:val="24"/>
          <w:szCs w:val="24"/>
        </w:rPr>
        <w:t> 409,7</w:t>
      </w:r>
      <w:r w:rsidRPr="0080737A">
        <w:rPr>
          <w:rFonts w:ascii="Times New Roman" w:hAnsi="Times New Roman"/>
          <w:sz w:val="24"/>
          <w:szCs w:val="24"/>
        </w:rPr>
        <w:t xml:space="preserve"> тыс. руб., общая сумма кредиторской задолженности сократилась на </w:t>
      </w:r>
      <w:r>
        <w:rPr>
          <w:rFonts w:ascii="Times New Roman" w:hAnsi="Times New Roman"/>
          <w:sz w:val="24"/>
          <w:szCs w:val="24"/>
        </w:rPr>
        <w:t>41,6</w:t>
      </w:r>
      <w:r w:rsidRPr="0080737A">
        <w:rPr>
          <w:rFonts w:ascii="Times New Roman" w:hAnsi="Times New Roman"/>
          <w:sz w:val="24"/>
          <w:szCs w:val="24"/>
        </w:rPr>
        <w:t xml:space="preserve">% до </w:t>
      </w:r>
      <w:r>
        <w:rPr>
          <w:rFonts w:ascii="Times New Roman" w:hAnsi="Times New Roman"/>
          <w:sz w:val="24"/>
          <w:szCs w:val="24"/>
        </w:rPr>
        <w:t>5 515,0</w:t>
      </w:r>
      <w:r w:rsidRPr="0080737A">
        <w:rPr>
          <w:rFonts w:ascii="Times New Roman" w:hAnsi="Times New Roman"/>
          <w:sz w:val="24"/>
          <w:szCs w:val="24"/>
        </w:rPr>
        <w:t xml:space="preserve"> тыс. руб. </w:t>
      </w:r>
    </w:p>
    <w:p w:rsidR="00267046" w:rsidRPr="0080737A" w:rsidRDefault="00267046" w:rsidP="00267046">
      <w:pPr>
        <w:spacing w:after="0" w:line="240" w:lineRule="auto"/>
        <w:ind w:firstLine="709"/>
        <w:jc w:val="both"/>
        <w:rPr>
          <w:rFonts w:ascii="Times New Roman" w:hAnsi="Times New Roman"/>
          <w:sz w:val="24"/>
          <w:szCs w:val="24"/>
        </w:rPr>
      </w:pPr>
      <w:r w:rsidRPr="0080737A">
        <w:rPr>
          <w:rFonts w:ascii="Times New Roman" w:hAnsi="Times New Roman"/>
          <w:sz w:val="24"/>
          <w:szCs w:val="24"/>
        </w:rPr>
        <w:t>Несмотря на то, что отрасль связи является неотъемлемой частью производственной и социальной инфраструктуры государства, предназначенн</w:t>
      </w:r>
      <w:r>
        <w:rPr>
          <w:rFonts w:ascii="Times New Roman" w:hAnsi="Times New Roman"/>
          <w:sz w:val="24"/>
          <w:szCs w:val="24"/>
        </w:rPr>
        <w:t>ой</w:t>
      </w:r>
      <w:r w:rsidRPr="0080737A">
        <w:rPr>
          <w:rFonts w:ascii="Times New Roman" w:hAnsi="Times New Roman"/>
          <w:sz w:val="24"/>
          <w:szCs w:val="24"/>
        </w:rPr>
        <w:t xml:space="preserve"> для удовлетворения нужд граждан, органов государственной власти, обороны и безопасности</w:t>
      </w:r>
      <w:r>
        <w:rPr>
          <w:rFonts w:ascii="Times New Roman" w:hAnsi="Times New Roman"/>
          <w:sz w:val="24"/>
          <w:szCs w:val="24"/>
        </w:rPr>
        <w:t xml:space="preserve"> республики</w:t>
      </w:r>
      <w:r w:rsidRPr="0080737A">
        <w:rPr>
          <w:rFonts w:ascii="Times New Roman" w:hAnsi="Times New Roman"/>
          <w:sz w:val="24"/>
          <w:szCs w:val="24"/>
        </w:rPr>
        <w:t xml:space="preserve">, </w:t>
      </w:r>
      <w:r>
        <w:rPr>
          <w:rFonts w:ascii="Times New Roman" w:hAnsi="Times New Roman"/>
          <w:sz w:val="24"/>
          <w:szCs w:val="24"/>
        </w:rPr>
        <w:t xml:space="preserve">поступающие дотации из республиканского бюджета для компенсации убытков от предоставления универсальных услуг по тарифам не покрывающим затраты на их производство, направляется только на возмещение затрат по заработной плате, </w:t>
      </w:r>
      <w:r w:rsidRPr="0080737A">
        <w:rPr>
          <w:rFonts w:ascii="Times New Roman" w:hAnsi="Times New Roman"/>
          <w:sz w:val="24"/>
          <w:szCs w:val="24"/>
        </w:rPr>
        <w:t>основной проблемой государственных предприятий почтовой связи по-прежнему остается необходим</w:t>
      </w:r>
      <w:r>
        <w:rPr>
          <w:rFonts w:ascii="Times New Roman" w:hAnsi="Times New Roman"/>
          <w:sz w:val="24"/>
          <w:szCs w:val="24"/>
        </w:rPr>
        <w:t>ость</w:t>
      </w:r>
      <w:r w:rsidRPr="0080737A">
        <w:rPr>
          <w:rFonts w:ascii="Times New Roman" w:hAnsi="Times New Roman"/>
          <w:sz w:val="24"/>
          <w:szCs w:val="24"/>
        </w:rPr>
        <w:t xml:space="preserve"> осуществления работ по реконструкции и капитальному ремонту, приобретению автотранспорт</w:t>
      </w:r>
      <w:r>
        <w:rPr>
          <w:rFonts w:ascii="Times New Roman" w:hAnsi="Times New Roman"/>
          <w:sz w:val="24"/>
          <w:szCs w:val="24"/>
        </w:rPr>
        <w:t xml:space="preserve">а и техническому перевооружению. </w:t>
      </w:r>
    </w:p>
    <w:p w:rsidR="00770A9A" w:rsidRDefault="00770A9A" w:rsidP="00770A9A">
      <w:pPr>
        <w:spacing w:after="0" w:line="240" w:lineRule="auto"/>
        <w:ind w:firstLine="709"/>
        <w:rPr>
          <w:rFonts w:ascii="Times New Roman" w:hAnsi="Times New Roman"/>
          <w:b/>
          <w:sz w:val="24"/>
          <w:szCs w:val="24"/>
        </w:rPr>
      </w:pPr>
    </w:p>
    <w:p w:rsidR="00770A9A" w:rsidRPr="0080737A" w:rsidRDefault="00770A9A" w:rsidP="00770A9A">
      <w:pPr>
        <w:spacing w:after="0" w:line="240" w:lineRule="auto"/>
        <w:ind w:firstLine="709"/>
        <w:rPr>
          <w:rFonts w:ascii="Times New Roman" w:hAnsi="Times New Roman"/>
          <w:b/>
          <w:sz w:val="24"/>
          <w:szCs w:val="24"/>
        </w:rPr>
      </w:pPr>
      <w:r w:rsidRPr="0080737A">
        <w:rPr>
          <w:rFonts w:ascii="Times New Roman" w:hAnsi="Times New Roman"/>
          <w:b/>
          <w:sz w:val="24"/>
          <w:szCs w:val="24"/>
        </w:rPr>
        <w:t>Потребительский рынок</w:t>
      </w:r>
    </w:p>
    <w:p w:rsidR="002D049B" w:rsidRDefault="002D049B" w:rsidP="00770A9A">
      <w:pPr>
        <w:spacing w:after="0" w:line="240" w:lineRule="auto"/>
        <w:ind w:firstLine="709"/>
        <w:jc w:val="both"/>
        <w:rPr>
          <w:rFonts w:ascii="Times New Roman" w:eastAsia="Times New Roman" w:hAnsi="Times New Roman" w:cs="Times New Roman"/>
          <w:sz w:val="24"/>
          <w:szCs w:val="24"/>
        </w:rPr>
      </w:pPr>
    </w:p>
    <w:p w:rsidR="00770A9A" w:rsidRPr="005039FB" w:rsidRDefault="00770A9A" w:rsidP="00770A9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Потребительский рынок</w:t>
      </w:r>
      <w:r w:rsidRPr="008C7C8B">
        <w:rPr>
          <w:rFonts w:ascii="Times New Roman" w:eastAsia="Times New Roman" w:hAnsi="Times New Roman" w:cs="Times New Roman"/>
          <w:sz w:val="24"/>
          <w:szCs w:val="24"/>
        </w:rPr>
        <w:t xml:space="preserve"> </w:t>
      </w:r>
      <w:r w:rsidRPr="00524CE8">
        <w:rPr>
          <w:rFonts w:ascii="Times New Roman" w:eastAsia="Times New Roman" w:hAnsi="Times New Roman" w:cs="Times New Roman"/>
          <w:sz w:val="24"/>
          <w:szCs w:val="24"/>
        </w:rPr>
        <w:t xml:space="preserve">в </w:t>
      </w:r>
      <w:r w:rsidRPr="008C7C8B">
        <w:rPr>
          <w:rFonts w:ascii="Times New Roman" w:eastAsia="Times New Roman" w:hAnsi="Times New Roman" w:cs="Times New Roman"/>
          <w:sz w:val="24"/>
          <w:szCs w:val="24"/>
        </w:rPr>
        <w:t>2016 году</w:t>
      </w:r>
      <w:r w:rsidRPr="00524CE8">
        <w:rPr>
          <w:rFonts w:ascii="Times New Roman" w:eastAsia="Times New Roman" w:hAnsi="Times New Roman" w:cs="Times New Roman"/>
          <w:sz w:val="24"/>
          <w:szCs w:val="24"/>
        </w:rPr>
        <w:t xml:space="preserve"> функционировал в условиях </w:t>
      </w:r>
      <w:r w:rsidRPr="008C7C8B">
        <w:rPr>
          <w:rFonts w:ascii="Times New Roman" w:eastAsia="Times New Roman" w:hAnsi="Times New Roman" w:cs="Times New Roman"/>
          <w:sz w:val="24"/>
          <w:szCs w:val="24"/>
        </w:rPr>
        <w:t xml:space="preserve">скрытой девальвации на валютном рынке и </w:t>
      </w:r>
      <w:r w:rsidRPr="008C7C8B">
        <w:rPr>
          <w:rFonts w:ascii="Times New Roman" w:hAnsi="Times New Roman" w:cs="Times New Roman"/>
          <w:sz w:val="24"/>
          <w:szCs w:val="24"/>
        </w:rPr>
        <w:t>усугубления ситуации в сфере доходов населения</w:t>
      </w:r>
      <w:r>
        <w:rPr>
          <w:rFonts w:ascii="Times New Roman" w:hAnsi="Times New Roman" w:cs="Times New Roman"/>
          <w:sz w:val="24"/>
          <w:szCs w:val="24"/>
        </w:rPr>
        <w:t xml:space="preserve">, что выразилось в </w:t>
      </w:r>
      <w:r w:rsidRPr="008C7C8B">
        <w:rPr>
          <w:rFonts w:ascii="Times New Roman" w:eastAsia="Times New Roman" w:hAnsi="Times New Roman" w:cs="Times New Roman"/>
          <w:sz w:val="24"/>
          <w:szCs w:val="24"/>
        </w:rPr>
        <w:t>сдержанно</w:t>
      </w:r>
      <w:r>
        <w:rPr>
          <w:rFonts w:ascii="Times New Roman" w:eastAsia="Times New Roman" w:hAnsi="Times New Roman" w:cs="Times New Roman"/>
          <w:sz w:val="24"/>
          <w:szCs w:val="24"/>
        </w:rPr>
        <w:t>м</w:t>
      </w:r>
      <w:r w:rsidRPr="008C7C8B">
        <w:rPr>
          <w:rFonts w:ascii="Times New Roman" w:eastAsia="Times New Roman" w:hAnsi="Times New Roman" w:cs="Times New Roman"/>
          <w:sz w:val="24"/>
          <w:szCs w:val="24"/>
        </w:rPr>
        <w:t xml:space="preserve"> поведени</w:t>
      </w:r>
      <w:r>
        <w:rPr>
          <w:rFonts w:ascii="Times New Roman" w:eastAsia="Times New Roman" w:hAnsi="Times New Roman" w:cs="Times New Roman"/>
          <w:sz w:val="24"/>
          <w:szCs w:val="24"/>
        </w:rPr>
        <w:t>и</w:t>
      </w:r>
      <w:r w:rsidRPr="008C7C8B">
        <w:rPr>
          <w:rFonts w:ascii="Times New Roman" w:eastAsia="Times New Roman" w:hAnsi="Times New Roman" w:cs="Times New Roman"/>
          <w:sz w:val="24"/>
          <w:szCs w:val="24"/>
        </w:rPr>
        <w:t xml:space="preserve"> потребителей в сфере розничных продаж и в меньшей степени </w:t>
      </w:r>
      <w:r w:rsidRPr="005039FB">
        <w:rPr>
          <w:rFonts w:ascii="Times New Roman" w:eastAsia="Times New Roman" w:hAnsi="Times New Roman" w:cs="Times New Roman"/>
          <w:sz w:val="24"/>
          <w:szCs w:val="24"/>
        </w:rPr>
        <w:t xml:space="preserve">на </w:t>
      </w:r>
      <w:r w:rsidRPr="008C7C8B">
        <w:rPr>
          <w:rFonts w:ascii="Times New Roman" w:eastAsia="Times New Roman" w:hAnsi="Times New Roman" w:cs="Times New Roman"/>
          <w:sz w:val="24"/>
          <w:szCs w:val="24"/>
        </w:rPr>
        <w:t xml:space="preserve">потреблении </w:t>
      </w:r>
      <w:r w:rsidRPr="005039FB">
        <w:rPr>
          <w:rFonts w:ascii="Times New Roman" w:eastAsia="Times New Roman" w:hAnsi="Times New Roman" w:cs="Times New Roman"/>
          <w:sz w:val="24"/>
          <w:szCs w:val="24"/>
        </w:rPr>
        <w:t>платных услуг</w:t>
      </w:r>
      <w:r w:rsidRPr="008C7C8B">
        <w:rPr>
          <w:rFonts w:ascii="Times New Roman" w:eastAsia="Times New Roman" w:hAnsi="Times New Roman" w:cs="Times New Roman"/>
          <w:sz w:val="24"/>
          <w:szCs w:val="24"/>
        </w:rPr>
        <w:t>.</w:t>
      </w:r>
    </w:p>
    <w:p w:rsidR="00770A9A" w:rsidRPr="00DD11B1" w:rsidRDefault="00770A9A" w:rsidP="00770A9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складывающихся условиях совокупная </w:t>
      </w:r>
      <w:r w:rsidRPr="0080737A">
        <w:rPr>
          <w:rFonts w:ascii="Times New Roman" w:hAnsi="Times New Roman"/>
          <w:sz w:val="24"/>
          <w:szCs w:val="24"/>
        </w:rPr>
        <w:t>ёмкость потребительского рынка</w:t>
      </w:r>
      <w:r>
        <w:rPr>
          <w:rFonts w:ascii="Times New Roman" w:hAnsi="Times New Roman"/>
          <w:sz w:val="24"/>
          <w:szCs w:val="24"/>
        </w:rPr>
        <w:t>, включая</w:t>
      </w:r>
      <w:r>
        <w:rPr>
          <w:rFonts w:ascii="Times New Roman" w:eastAsia="Times New Roman" w:hAnsi="Times New Roman" w:cs="Times New Roman"/>
          <w:sz w:val="24"/>
          <w:szCs w:val="24"/>
        </w:rPr>
        <w:t xml:space="preserve"> оборот розничных продаж и общественного питания, а также объем услуг, оказанных населению по итогам 2016 года по оценке составил 99,8% к уровню базового показателя 2015 года или 7 748,1 млн. руб. </w:t>
      </w:r>
      <w:r w:rsidRPr="00DD11B1">
        <w:rPr>
          <w:rFonts w:ascii="Times New Roman" w:eastAsia="Times New Roman" w:hAnsi="Times New Roman" w:cs="Times New Roman"/>
          <w:sz w:val="24"/>
          <w:szCs w:val="24"/>
        </w:rPr>
        <w:t>При</w:t>
      </w:r>
      <w:r w:rsidRPr="00CC0D7D">
        <w:rPr>
          <w:rFonts w:ascii="Times New Roman" w:eastAsia="Times New Roman" w:hAnsi="Times New Roman" w:cs="Times New Roman"/>
          <w:sz w:val="24"/>
          <w:szCs w:val="24"/>
        </w:rPr>
        <w:t xml:space="preserve"> </w:t>
      </w:r>
      <w:r w:rsidRPr="00DD11B1">
        <w:rPr>
          <w:rFonts w:ascii="Times New Roman" w:eastAsia="Times New Roman" w:hAnsi="Times New Roman" w:cs="Times New Roman"/>
          <w:sz w:val="24"/>
          <w:szCs w:val="24"/>
        </w:rPr>
        <w:t>этом</w:t>
      </w:r>
      <w:r w:rsidRPr="00CC0D7D">
        <w:rPr>
          <w:rFonts w:ascii="Times New Roman" w:eastAsia="Times New Roman" w:hAnsi="Times New Roman" w:cs="Times New Roman"/>
          <w:sz w:val="24"/>
          <w:szCs w:val="24"/>
        </w:rPr>
        <w:t xml:space="preserve"> </w:t>
      </w:r>
      <w:r w:rsidRPr="00DD11B1">
        <w:rPr>
          <w:rFonts w:ascii="Times New Roman" w:eastAsia="Times New Roman" w:hAnsi="Times New Roman" w:cs="Times New Roman"/>
          <w:sz w:val="24"/>
          <w:szCs w:val="24"/>
        </w:rPr>
        <w:t>розничный</w:t>
      </w:r>
      <w:r w:rsidRPr="00CC0D7D">
        <w:rPr>
          <w:rFonts w:ascii="Times New Roman" w:eastAsia="Times New Roman" w:hAnsi="Times New Roman" w:cs="Times New Roman"/>
          <w:sz w:val="24"/>
          <w:szCs w:val="24"/>
        </w:rPr>
        <w:t xml:space="preserve"> </w:t>
      </w:r>
      <w:r w:rsidRPr="00DD11B1">
        <w:rPr>
          <w:rFonts w:ascii="Times New Roman" w:eastAsia="Times New Roman" w:hAnsi="Times New Roman" w:cs="Times New Roman"/>
          <w:sz w:val="24"/>
          <w:szCs w:val="24"/>
        </w:rPr>
        <w:t>товарооборот</w:t>
      </w:r>
      <w:r>
        <w:rPr>
          <w:rFonts w:ascii="Times New Roman" w:eastAsia="Times New Roman" w:hAnsi="Times New Roman" w:cs="Times New Roman"/>
          <w:sz w:val="24"/>
          <w:szCs w:val="24"/>
        </w:rPr>
        <w:t>, включая общественное питание</w:t>
      </w:r>
      <w:r w:rsidRPr="00CC0D7D">
        <w:rPr>
          <w:rFonts w:ascii="Times New Roman" w:eastAsia="Times New Roman" w:hAnsi="Times New Roman" w:cs="Times New Roman"/>
          <w:sz w:val="24"/>
          <w:szCs w:val="24"/>
        </w:rPr>
        <w:t xml:space="preserve"> </w:t>
      </w:r>
      <w:r w:rsidRPr="00DD11B1">
        <w:rPr>
          <w:rFonts w:ascii="Times New Roman" w:eastAsia="Times New Roman" w:hAnsi="Times New Roman" w:cs="Times New Roman"/>
          <w:sz w:val="24"/>
          <w:szCs w:val="24"/>
        </w:rPr>
        <w:t>уступил</w:t>
      </w:r>
      <w:r w:rsidRPr="00CC0D7D">
        <w:rPr>
          <w:rFonts w:ascii="Times New Roman" w:eastAsia="Times New Roman" w:hAnsi="Times New Roman" w:cs="Times New Roman"/>
          <w:sz w:val="24"/>
          <w:szCs w:val="24"/>
        </w:rPr>
        <w:t xml:space="preserve"> </w:t>
      </w:r>
      <w:r w:rsidRPr="00DD11B1">
        <w:rPr>
          <w:rFonts w:ascii="Times New Roman" w:eastAsia="Times New Roman" w:hAnsi="Times New Roman" w:cs="Times New Roman"/>
          <w:sz w:val="24"/>
          <w:szCs w:val="24"/>
        </w:rPr>
        <w:t>уровню</w:t>
      </w:r>
      <w:r w:rsidRPr="00CC0D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показателя 2015</w:t>
      </w:r>
      <w:r w:rsidRPr="00CC0D7D">
        <w:rPr>
          <w:rFonts w:ascii="Times New Roman" w:eastAsia="Times New Roman" w:hAnsi="Times New Roman" w:cs="Times New Roman"/>
          <w:sz w:val="24"/>
          <w:szCs w:val="24"/>
        </w:rPr>
        <w:t xml:space="preserve"> </w:t>
      </w:r>
      <w:r w:rsidRPr="00DD11B1">
        <w:rPr>
          <w:rFonts w:ascii="Times New Roman" w:eastAsia="Times New Roman" w:hAnsi="Times New Roman" w:cs="Times New Roman"/>
          <w:sz w:val="24"/>
          <w:szCs w:val="24"/>
        </w:rPr>
        <w:t>года</w:t>
      </w:r>
      <w:r w:rsidRPr="00CC0D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0,6</w:t>
      </w:r>
      <w:r w:rsidRPr="00DD11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сопоставимых ценах), составив</w:t>
      </w:r>
      <w:r w:rsidRPr="00CC0D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5 546,1</w:t>
      </w:r>
      <w:r w:rsidRPr="00DD11B1">
        <w:rPr>
          <w:rFonts w:ascii="Times New Roman" w:eastAsia="Times New Roman" w:hAnsi="Times New Roman" w:cs="Times New Roman"/>
          <w:sz w:val="24"/>
          <w:szCs w:val="24"/>
        </w:rPr>
        <w:t xml:space="preserve"> млн</w:t>
      </w:r>
      <w:r>
        <w:rPr>
          <w:rFonts w:ascii="Times New Roman" w:eastAsia="Times New Roman" w:hAnsi="Times New Roman" w:cs="Times New Roman"/>
          <w:sz w:val="24"/>
          <w:szCs w:val="24"/>
        </w:rPr>
        <w:t>.</w:t>
      </w:r>
      <w:r w:rsidRPr="00CC0D7D">
        <w:rPr>
          <w:rFonts w:ascii="Times New Roman" w:eastAsia="Times New Roman" w:hAnsi="Times New Roman" w:cs="Times New Roman"/>
          <w:sz w:val="24"/>
          <w:szCs w:val="24"/>
        </w:rPr>
        <w:t xml:space="preserve"> </w:t>
      </w:r>
      <w:r w:rsidRPr="00DD11B1">
        <w:rPr>
          <w:rFonts w:ascii="Times New Roman" w:eastAsia="Times New Roman" w:hAnsi="Times New Roman" w:cs="Times New Roman"/>
          <w:sz w:val="24"/>
          <w:szCs w:val="24"/>
        </w:rPr>
        <w:t>руб.</w:t>
      </w:r>
      <w:r>
        <w:rPr>
          <w:rFonts w:ascii="Times New Roman" w:eastAsia="Times New Roman" w:hAnsi="Times New Roman" w:cs="Times New Roman"/>
          <w:sz w:val="24"/>
          <w:szCs w:val="24"/>
        </w:rPr>
        <w:t>, потребление услуг населением практически соответствовало базовому показателю, составив 101,0% в сопоставимой оценке или 2</w:t>
      </w:r>
      <w:r>
        <w:rPr>
          <w:rFonts w:ascii="Times New Roman" w:hAnsi="Times New Roman"/>
          <w:sz w:val="24"/>
          <w:szCs w:val="24"/>
        </w:rPr>
        <w:t> 201,9 млн. руб.</w:t>
      </w:r>
      <w:r>
        <w:rPr>
          <w:rFonts w:ascii="Times New Roman" w:eastAsia="Times New Roman" w:hAnsi="Times New Roman" w:cs="Times New Roman"/>
          <w:sz w:val="24"/>
          <w:szCs w:val="24"/>
        </w:rPr>
        <w:t xml:space="preserve"> </w:t>
      </w:r>
    </w:p>
    <w:p w:rsidR="00770A9A" w:rsidRDefault="00770A9A" w:rsidP="00770A9A">
      <w:pPr>
        <w:spacing w:after="0" w:line="240" w:lineRule="auto"/>
        <w:ind w:firstLine="709"/>
        <w:jc w:val="both"/>
        <w:rPr>
          <w:rFonts w:ascii="Times New Roman" w:eastAsia="Times New Roman" w:hAnsi="Times New Roman" w:cs="Times New Roman"/>
          <w:b/>
          <w:sz w:val="24"/>
          <w:szCs w:val="24"/>
        </w:rPr>
      </w:pPr>
    </w:p>
    <w:p w:rsidR="00770A9A" w:rsidRPr="00B5791E" w:rsidRDefault="00770A9A" w:rsidP="00770A9A">
      <w:pPr>
        <w:spacing w:after="0" w:line="240" w:lineRule="auto"/>
        <w:ind w:firstLine="709"/>
        <w:jc w:val="both"/>
        <w:rPr>
          <w:rFonts w:ascii="Times New Roman" w:eastAsia="Times New Roman" w:hAnsi="Times New Roman" w:cs="Times New Roman"/>
          <w:b/>
          <w:sz w:val="24"/>
          <w:szCs w:val="24"/>
        </w:rPr>
      </w:pPr>
      <w:r w:rsidRPr="00B5791E">
        <w:rPr>
          <w:rFonts w:ascii="Times New Roman" w:eastAsia="Times New Roman" w:hAnsi="Times New Roman" w:cs="Times New Roman"/>
          <w:b/>
          <w:sz w:val="24"/>
          <w:szCs w:val="24"/>
        </w:rPr>
        <w:t>Розничная торговля</w:t>
      </w:r>
    </w:p>
    <w:p w:rsidR="00770A9A" w:rsidRPr="00895AAA" w:rsidRDefault="00770A9A" w:rsidP="00770A9A">
      <w:pPr>
        <w:spacing w:after="0" w:line="240" w:lineRule="auto"/>
        <w:ind w:firstLine="709"/>
        <w:jc w:val="both"/>
        <w:rPr>
          <w:rFonts w:ascii="Times New Roman" w:eastAsia="Times New Roman" w:hAnsi="Times New Roman" w:cs="Times New Roman"/>
          <w:sz w:val="24"/>
          <w:szCs w:val="24"/>
        </w:rPr>
      </w:pPr>
      <w:r w:rsidRPr="00895AAA">
        <w:rPr>
          <w:rFonts w:ascii="Times New Roman" w:eastAsia="Calibri" w:hAnsi="Times New Roman" w:cs="Times New Roman"/>
          <w:sz w:val="24"/>
          <w:szCs w:val="24"/>
          <w:lang w:eastAsia="en-US"/>
        </w:rPr>
        <w:t xml:space="preserve">Сфера розничной торговли </w:t>
      </w:r>
      <w:r w:rsidRPr="00895AAA">
        <w:rPr>
          <w:rFonts w:ascii="Times New Roman" w:hAnsi="Times New Roman" w:cs="Times New Roman"/>
          <w:sz w:val="24"/>
          <w:szCs w:val="24"/>
        </w:rPr>
        <w:t>в 2016 году</w:t>
      </w:r>
      <w:r w:rsidRPr="00895AAA">
        <w:rPr>
          <w:rFonts w:ascii="Times New Roman" w:eastAsia="Calibri" w:hAnsi="Times New Roman" w:cs="Times New Roman"/>
          <w:sz w:val="24"/>
          <w:szCs w:val="24"/>
          <w:lang w:eastAsia="en-US"/>
        </w:rPr>
        <w:t xml:space="preserve"> под воздействием </w:t>
      </w:r>
      <w:r w:rsidRPr="00895AAA">
        <w:rPr>
          <w:rFonts w:ascii="Times New Roman" w:hAnsi="Times New Roman" w:cs="Times New Roman"/>
          <w:sz w:val="24"/>
          <w:szCs w:val="24"/>
        </w:rPr>
        <w:t>группы факторов, связанных с углублением структурных деформаций в реальном секторе экономики и в сфере финансов, несмотря на сумму выплаченной задолженности по заработной плате, работникам бюджетной сферы, демонстрировала сдержанное потребительское поведение населения и</w:t>
      </w:r>
      <w:r w:rsidRPr="00895AAA">
        <w:rPr>
          <w:rFonts w:ascii="Times New Roman" w:eastAsia="Calibri" w:hAnsi="Times New Roman" w:cs="Times New Roman"/>
          <w:sz w:val="24"/>
          <w:szCs w:val="24"/>
          <w:lang w:eastAsia="en-US"/>
        </w:rPr>
        <w:t xml:space="preserve"> не </w:t>
      </w:r>
      <w:r w:rsidRPr="00895AAA">
        <w:rPr>
          <w:rFonts w:ascii="Times New Roman" w:eastAsia="Times New Roman" w:hAnsi="Times New Roman" w:cs="Times New Roman"/>
          <w:sz w:val="24"/>
          <w:szCs w:val="24"/>
        </w:rPr>
        <w:t xml:space="preserve">способствовала формированию предпосылок </w:t>
      </w:r>
      <w:r>
        <w:rPr>
          <w:rFonts w:ascii="Times New Roman" w:eastAsia="Times New Roman" w:hAnsi="Times New Roman" w:cs="Times New Roman"/>
          <w:sz w:val="24"/>
          <w:szCs w:val="24"/>
        </w:rPr>
        <w:t xml:space="preserve">существенного </w:t>
      </w:r>
      <w:r w:rsidRPr="00895AAA">
        <w:rPr>
          <w:rFonts w:ascii="Times New Roman" w:eastAsia="Times New Roman" w:hAnsi="Times New Roman" w:cs="Times New Roman"/>
          <w:sz w:val="24"/>
          <w:szCs w:val="24"/>
        </w:rPr>
        <w:t>роста потребительской активности</w:t>
      </w:r>
      <w:r>
        <w:rPr>
          <w:rFonts w:ascii="Times New Roman" w:eastAsia="Times New Roman" w:hAnsi="Times New Roman" w:cs="Times New Roman"/>
          <w:sz w:val="24"/>
          <w:szCs w:val="24"/>
        </w:rPr>
        <w:t xml:space="preserve">, </w:t>
      </w:r>
      <w:r>
        <w:rPr>
          <w:rFonts w:ascii="Times New Roman" w:eastAsia="Calibri" w:hAnsi="Times New Roman" w:cs="Times New Roman"/>
          <w:sz w:val="24"/>
          <w:szCs w:val="24"/>
          <w:lang w:eastAsia="en-US"/>
        </w:rPr>
        <w:t xml:space="preserve">сохранив разнонаправленную динамику </w:t>
      </w:r>
      <w:r w:rsidRPr="00863FC5">
        <w:rPr>
          <w:rFonts w:ascii="Times New Roman" w:eastAsia="Calibri" w:hAnsi="Times New Roman" w:cs="Times New Roman"/>
          <w:sz w:val="24"/>
          <w:szCs w:val="24"/>
          <w:lang w:eastAsia="en-US"/>
        </w:rPr>
        <w:t>показателей, характеризующих данную сферу</w:t>
      </w:r>
      <w:r>
        <w:rPr>
          <w:rFonts w:ascii="Times New Roman" w:hAnsi="Times New Roman"/>
          <w:sz w:val="24"/>
          <w:szCs w:val="24"/>
        </w:rPr>
        <w:t xml:space="preserve">. </w:t>
      </w:r>
    </w:p>
    <w:p w:rsidR="00770A9A" w:rsidRDefault="00770A9A" w:rsidP="00770A9A">
      <w:pPr>
        <w:spacing w:after="0" w:line="240" w:lineRule="auto"/>
        <w:ind w:firstLine="709"/>
        <w:jc w:val="both"/>
        <w:rPr>
          <w:rFonts w:ascii="Times New Roman" w:eastAsia="Calibri" w:hAnsi="Times New Roman" w:cs="Times New Roman"/>
          <w:sz w:val="24"/>
          <w:szCs w:val="24"/>
          <w:lang w:eastAsia="en-US"/>
        </w:rPr>
      </w:pPr>
      <w:r w:rsidRPr="00B5791E">
        <w:rPr>
          <w:rFonts w:ascii="Times New Roman" w:eastAsia="Calibri" w:hAnsi="Times New Roman" w:cs="Times New Roman"/>
          <w:sz w:val="24"/>
          <w:szCs w:val="24"/>
          <w:lang w:eastAsia="en-US"/>
        </w:rPr>
        <w:t xml:space="preserve">Так, суммарная стоимость приобретённых населением товаров по итогам </w:t>
      </w:r>
      <w:r>
        <w:rPr>
          <w:rFonts w:ascii="Times New Roman" w:eastAsia="Calibri" w:hAnsi="Times New Roman"/>
          <w:sz w:val="24"/>
          <w:szCs w:val="24"/>
          <w:lang w:eastAsia="en-US"/>
        </w:rPr>
        <w:t>2016 года</w:t>
      </w:r>
      <w:r w:rsidRPr="00B5791E">
        <w:rPr>
          <w:rFonts w:ascii="Times New Roman" w:eastAsia="Calibri" w:hAnsi="Times New Roman" w:cs="Times New Roman"/>
          <w:sz w:val="24"/>
          <w:szCs w:val="24"/>
          <w:lang w:eastAsia="en-US"/>
        </w:rPr>
        <w:t xml:space="preserve"> в текущих ценах </w:t>
      </w:r>
      <w:r>
        <w:rPr>
          <w:rFonts w:ascii="Times New Roman" w:eastAsia="Calibri" w:hAnsi="Times New Roman" w:cs="Times New Roman"/>
          <w:sz w:val="24"/>
          <w:szCs w:val="24"/>
          <w:lang w:eastAsia="en-US"/>
        </w:rPr>
        <w:t xml:space="preserve">по оценке составила 5 375,7 млн. руб., превысив </w:t>
      </w:r>
      <w:r w:rsidRPr="00B5791E">
        <w:rPr>
          <w:rFonts w:ascii="Times New Roman" w:eastAsia="Calibri" w:hAnsi="Times New Roman" w:cs="Times New Roman"/>
          <w:sz w:val="24"/>
          <w:szCs w:val="24"/>
          <w:lang w:eastAsia="en-US"/>
        </w:rPr>
        <w:t>базов</w:t>
      </w:r>
      <w:r>
        <w:rPr>
          <w:rFonts w:ascii="Times New Roman" w:eastAsia="Calibri" w:hAnsi="Times New Roman" w:cs="Times New Roman"/>
          <w:sz w:val="24"/>
          <w:szCs w:val="24"/>
          <w:lang w:eastAsia="en-US"/>
        </w:rPr>
        <w:t>ый</w:t>
      </w:r>
      <w:r w:rsidRPr="00B5791E">
        <w:rPr>
          <w:rFonts w:ascii="Times New Roman" w:eastAsia="Calibri" w:hAnsi="Times New Roman" w:cs="Times New Roman"/>
          <w:sz w:val="24"/>
          <w:szCs w:val="24"/>
          <w:lang w:eastAsia="en-US"/>
        </w:rPr>
        <w:t xml:space="preserve"> показател</w:t>
      </w:r>
      <w:r>
        <w:rPr>
          <w:rFonts w:ascii="Times New Roman" w:eastAsia="Calibri" w:hAnsi="Times New Roman" w:cs="Times New Roman"/>
          <w:sz w:val="24"/>
          <w:szCs w:val="24"/>
          <w:lang w:eastAsia="en-US"/>
        </w:rPr>
        <w:t>ь</w:t>
      </w:r>
      <w:r w:rsidRPr="00B5791E">
        <w:rPr>
          <w:rFonts w:ascii="Times New Roman" w:eastAsia="Calibri" w:hAnsi="Times New Roman" w:cs="Times New Roman"/>
          <w:sz w:val="24"/>
          <w:szCs w:val="24"/>
          <w:lang w:eastAsia="en-US"/>
        </w:rPr>
        <w:t xml:space="preserve"> 201</w:t>
      </w:r>
      <w:r>
        <w:rPr>
          <w:rFonts w:ascii="Times New Roman" w:eastAsia="Calibri" w:hAnsi="Times New Roman"/>
          <w:sz w:val="24"/>
          <w:szCs w:val="24"/>
          <w:lang w:eastAsia="en-US"/>
        </w:rPr>
        <w:t>5</w:t>
      </w:r>
      <w:r w:rsidR="00DC2B8A">
        <w:rPr>
          <w:rFonts w:ascii="Times New Roman" w:eastAsia="Calibri" w:hAnsi="Times New Roman" w:cs="Times New Roman"/>
          <w:sz w:val="24"/>
          <w:szCs w:val="24"/>
          <w:lang w:eastAsia="en-US"/>
        </w:rPr>
        <w:t> </w:t>
      </w:r>
      <w:r w:rsidRPr="00B5791E">
        <w:rPr>
          <w:rFonts w:ascii="Times New Roman" w:eastAsia="Calibri" w:hAnsi="Times New Roman" w:cs="Times New Roman"/>
          <w:sz w:val="24"/>
          <w:szCs w:val="24"/>
          <w:lang w:eastAsia="en-US"/>
        </w:rPr>
        <w:t>года</w:t>
      </w:r>
      <w:r>
        <w:rPr>
          <w:rFonts w:ascii="Times New Roman" w:eastAsia="Calibri" w:hAnsi="Times New Roman" w:cs="Times New Roman"/>
          <w:sz w:val="24"/>
          <w:szCs w:val="24"/>
          <w:lang w:eastAsia="en-US"/>
        </w:rPr>
        <w:t xml:space="preserve"> на 0,3%,</w:t>
      </w:r>
      <w:r w:rsidRPr="00B5791E">
        <w:rPr>
          <w:rFonts w:ascii="Times New Roman" w:eastAsia="Calibri" w:hAnsi="Times New Roman" w:cs="Times New Roman"/>
          <w:sz w:val="24"/>
          <w:szCs w:val="24"/>
          <w:lang w:eastAsia="en-US"/>
        </w:rPr>
        <w:t xml:space="preserve"> а с учетом уравновешивания</w:t>
      </w:r>
      <w:r>
        <w:rPr>
          <w:rFonts w:ascii="Times New Roman" w:eastAsia="Calibri" w:hAnsi="Times New Roman" w:cs="Times New Roman"/>
          <w:sz w:val="24"/>
          <w:szCs w:val="24"/>
          <w:lang w:eastAsia="en-US"/>
        </w:rPr>
        <w:t xml:space="preserve"> показателя на</w:t>
      </w:r>
      <w:r w:rsidRPr="00B5791E">
        <w:rPr>
          <w:rFonts w:ascii="Times New Roman" w:eastAsia="Calibri" w:hAnsi="Times New Roman" w:cs="Times New Roman"/>
          <w:sz w:val="24"/>
          <w:szCs w:val="24"/>
          <w:lang w:eastAsia="en-US"/>
        </w:rPr>
        <w:t xml:space="preserve"> цен</w:t>
      </w:r>
      <w:r>
        <w:rPr>
          <w:rFonts w:ascii="Times New Roman" w:eastAsia="Calibri" w:hAnsi="Times New Roman" w:cs="Times New Roman"/>
          <w:sz w:val="24"/>
          <w:szCs w:val="24"/>
          <w:lang w:eastAsia="en-US"/>
        </w:rPr>
        <w:t>овой фактор</w:t>
      </w:r>
      <w:r w:rsidRPr="00B5791E">
        <w:rPr>
          <w:rFonts w:ascii="Times New Roman" w:eastAsia="Calibri" w:hAnsi="Times New Roman" w:cs="Times New Roman"/>
          <w:sz w:val="24"/>
          <w:szCs w:val="24"/>
          <w:lang w:eastAsia="en-US"/>
        </w:rPr>
        <w:t xml:space="preserve"> (в сопоставимых ценах) </w:t>
      </w:r>
      <w:r>
        <w:rPr>
          <w:rFonts w:ascii="Times New Roman" w:eastAsia="Calibri" w:hAnsi="Times New Roman" w:cs="Times New Roman"/>
          <w:sz w:val="24"/>
          <w:szCs w:val="24"/>
          <w:lang w:eastAsia="en-US"/>
        </w:rPr>
        <w:t>сократилась на 0,6%</w:t>
      </w:r>
      <w:r w:rsidRPr="00B5791E">
        <w:rPr>
          <w:rFonts w:ascii="Times New Roman" w:eastAsia="Calibri" w:hAnsi="Times New Roman" w:cs="Times New Roman"/>
          <w:sz w:val="24"/>
          <w:szCs w:val="24"/>
          <w:lang w:eastAsia="en-US"/>
        </w:rPr>
        <w:t xml:space="preserve">. </w:t>
      </w:r>
    </w:p>
    <w:p w:rsidR="00A61AFF" w:rsidRPr="00A61AFF" w:rsidRDefault="00A61AFF" w:rsidP="00770A9A">
      <w:pPr>
        <w:spacing w:after="0" w:line="240" w:lineRule="auto"/>
        <w:ind w:firstLine="709"/>
        <w:jc w:val="both"/>
        <w:rPr>
          <w:rFonts w:ascii="Times New Roman" w:eastAsia="Calibri" w:hAnsi="Times New Roman" w:cs="Times New Roman"/>
          <w:sz w:val="10"/>
          <w:szCs w:val="10"/>
          <w:lang w:eastAsia="en-US"/>
        </w:rPr>
      </w:pPr>
    </w:p>
    <w:p w:rsidR="00770A9A" w:rsidRPr="0034065A" w:rsidRDefault="00770A9A" w:rsidP="00770A9A">
      <w:pPr>
        <w:spacing w:after="0"/>
        <w:jc w:val="center"/>
        <w:rPr>
          <w:rFonts w:ascii="Times New Roman" w:hAnsi="Times New Roman" w:cs="Times New Roman"/>
          <w:b/>
          <w:sz w:val="24"/>
          <w:szCs w:val="24"/>
        </w:rPr>
      </w:pPr>
      <w:r w:rsidRPr="00CA0186">
        <w:rPr>
          <w:rFonts w:ascii="Times New Roman" w:hAnsi="Times New Roman" w:cs="Times New Roman"/>
          <w:b/>
          <w:sz w:val="24"/>
          <w:szCs w:val="24"/>
        </w:rPr>
        <w:t>Динамика розничного товарооборота,</w:t>
      </w:r>
      <w:r w:rsidR="006E321F">
        <w:rPr>
          <w:rFonts w:ascii="Times New Roman" w:hAnsi="Times New Roman" w:cs="Times New Roman"/>
          <w:b/>
          <w:sz w:val="24"/>
          <w:szCs w:val="24"/>
        </w:rPr>
        <w:t xml:space="preserve"> </w:t>
      </w:r>
      <w:r w:rsidRPr="00CA0186">
        <w:rPr>
          <w:rFonts w:ascii="Times New Roman" w:hAnsi="Times New Roman" w:cs="Times New Roman"/>
          <w:b/>
          <w:sz w:val="24"/>
          <w:szCs w:val="24"/>
        </w:rPr>
        <w:t>%</w:t>
      </w:r>
    </w:p>
    <w:p w:rsidR="00770A9A" w:rsidRDefault="00770A9A" w:rsidP="00770A9A">
      <w:pPr>
        <w:spacing w:after="0" w:line="240" w:lineRule="auto"/>
        <w:jc w:val="both"/>
        <w:rPr>
          <w:rFonts w:ascii="Times New Roman" w:eastAsia="Times New Roman" w:hAnsi="Times New Roman" w:cs="Times New Roman"/>
          <w:b/>
          <w:sz w:val="24"/>
          <w:szCs w:val="24"/>
        </w:rPr>
      </w:pPr>
      <w:r w:rsidRPr="008F5B1A">
        <w:rPr>
          <w:rFonts w:ascii="Times New Roman" w:eastAsia="Times New Roman" w:hAnsi="Times New Roman" w:cs="Times New Roman"/>
          <w:b/>
          <w:noProof/>
          <w:sz w:val="24"/>
          <w:szCs w:val="24"/>
        </w:rPr>
        <w:drawing>
          <wp:inline distT="0" distB="0" distL="0" distR="0">
            <wp:extent cx="5838825" cy="2009775"/>
            <wp:effectExtent l="19050" t="0" r="0" b="0"/>
            <wp:docPr id="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70A9A" w:rsidRPr="00FF460B" w:rsidRDefault="00770A9A" w:rsidP="00770A9A">
      <w:pPr>
        <w:spacing w:after="0" w:line="240" w:lineRule="auto"/>
        <w:ind w:firstLine="709"/>
        <w:jc w:val="both"/>
        <w:rPr>
          <w:rFonts w:ascii="Times New Roman" w:eastAsiaTheme="minorHAnsi" w:hAnsi="Times New Roman" w:cs="Times New Roman"/>
          <w:sz w:val="24"/>
          <w:szCs w:val="24"/>
          <w:lang w:eastAsia="en-US"/>
        </w:rPr>
      </w:pPr>
      <w:r w:rsidRPr="00F624AE">
        <w:rPr>
          <w:rFonts w:ascii="Times New Roman" w:eastAsia="Times New Roman" w:hAnsi="Times New Roman" w:cs="Times New Roman"/>
          <w:sz w:val="24"/>
          <w:szCs w:val="24"/>
        </w:rPr>
        <w:t xml:space="preserve">В товарной структуре розничных продаж стоимость расходов на приобретение населением </w:t>
      </w:r>
      <w:r w:rsidRPr="00F624AE">
        <w:rPr>
          <w:rFonts w:ascii="Times New Roman" w:eastAsia="Calibri" w:hAnsi="Times New Roman"/>
          <w:sz w:val="24"/>
          <w:szCs w:val="24"/>
          <w:lang w:eastAsia="en-US"/>
        </w:rPr>
        <w:t xml:space="preserve">товаров длительного пользования (непродовольственные товары) </w:t>
      </w:r>
      <w:r w:rsidRPr="00F624AE">
        <w:rPr>
          <w:rFonts w:ascii="Times New Roman" w:eastAsia="Times New Roman" w:hAnsi="Times New Roman" w:cs="Times New Roman"/>
          <w:sz w:val="24"/>
          <w:szCs w:val="24"/>
        </w:rPr>
        <w:t>сократил</w:t>
      </w:r>
      <w:r>
        <w:rPr>
          <w:rFonts w:ascii="Times New Roman" w:eastAsia="Times New Roman" w:hAnsi="Times New Roman" w:cs="Times New Roman"/>
          <w:sz w:val="24"/>
          <w:szCs w:val="24"/>
        </w:rPr>
        <w:t>а</w:t>
      </w:r>
      <w:r w:rsidRPr="00F624AE">
        <w:rPr>
          <w:rFonts w:ascii="Times New Roman" w:eastAsia="Times New Roman" w:hAnsi="Times New Roman" w:cs="Times New Roman"/>
          <w:sz w:val="24"/>
          <w:szCs w:val="24"/>
        </w:rPr>
        <w:t xml:space="preserve">сь до 54,3% («-»1,0 процентных пункта), что в абсолютном выражении по оценке соответствует </w:t>
      </w:r>
      <w:r w:rsidRPr="00F624AE">
        <w:rPr>
          <w:rFonts w:ascii="Times New Roman" w:eastAsia="Times New Roman" w:hAnsi="Times New Roman" w:cs="Times New Roman"/>
          <w:sz w:val="24"/>
          <w:szCs w:val="24"/>
        </w:rPr>
        <w:lastRenderedPageBreak/>
        <w:t>2 920,0 млн. руб. («-»2,9% в сопоставимых ценах). Вместе с этим</w:t>
      </w:r>
      <w:r w:rsidRPr="00F624AE">
        <w:rPr>
          <w:rFonts w:ascii="Times New Roman" w:eastAsia="Calibri" w:hAnsi="Times New Roman"/>
          <w:noProof/>
          <w:sz w:val="24"/>
          <w:szCs w:val="24"/>
          <w:lang w:eastAsia="en-US"/>
        </w:rPr>
        <w:t xml:space="preserve"> нестабильная ситуация в сфере финасов</w:t>
      </w:r>
      <w:r w:rsidRPr="00F624AE">
        <w:rPr>
          <w:rFonts w:ascii="Times New Roman" w:eastAsia="Times New Roman" w:hAnsi="Times New Roman" w:cs="Times New Roman"/>
          <w:sz w:val="24"/>
          <w:szCs w:val="24"/>
        </w:rPr>
        <w:t xml:space="preserve"> и незначительные ценовые колебания на рынке продуктов питания предопределили повышение реализации продовольственных товаров на 2,2% до 2 455,7 млн. руб. и соответственно расширили представительство </w:t>
      </w:r>
      <w:r>
        <w:rPr>
          <w:rFonts w:ascii="Times New Roman" w:eastAsia="Times New Roman" w:hAnsi="Times New Roman" w:cs="Times New Roman"/>
          <w:sz w:val="24"/>
          <w:szCs w:val="24"/>
        </w:rPr>
        <w:t xml:space="preserve">в </w:t>
      </w:r>
      <w:r w:rsidRPr="00F624AE">
        <w:rPr>
          <w:rFonts w:ascii="Times New Roman" w:eastAsia="Calibri" w:hAnsi="Times New Roman"/>
          <w:sz w:val="24"/>
          <w:szCs w:val="24"/>
          <w:lang w:eastAsia="en-US"/>
        </w:rPr>
        <w:t>совокупной емкости товарного рынка</w:t>
      </w:r>
      <w:r w:rsidRPr="00F624AE">
        <w:rPr>
          <w:rFonts w:ascii="Times New Roman" w:eastAsia="Times New Roman" w:hAnsi="Times New Roman" w:cs="Times New Roman"/>
          <w:sz w:val="24"/>
          <w:szCs w:val="24"/>
        </w:rPr>
        <w:t xml:space="preserve"> до 45,7%.</w:t>
      </w:r>
    </w:p>
    <w:p w:rsidR="00770A9A" w:rsidRPr="006E321F" w:rsidRDefault="00770A9A" w:rsidP="00770A9A">
      <w:pPr>
        <w:rPr>
          <w:sz w:val="10"/>
          <w:szCs w:val="10"/>
        </w:rPr>
      </w:pPr>
      <w:r w:rsidRPr="00CA0186">
        <w:rPr>
          <w:noProof/>
        </w:rPr>
        <w:drawing>
          <wp:inline distT="0" distB="0" distL="0" distR="0">
            <wp:extent cx="6105525" cy="1828800"/>
            <wp:effectExtent l="0" t="0" r="0" b="0"/>
            <wp:docPr id="4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70A9A" w:rsidRPr="00B5791E" w:rsidRDefault="00770A9A" w:rsidP="00770A9A">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О</w:t>
      </w:r>
      <w:r w:rsidRPr="00B5791E">
        <w:rPr>
          <w:rFonts w:ascii="Times New Roman" w:eastAsia="Calibri" w:hAnsi="Times New Roman"/>
          <w:sz w:val="24"/>
          <w:szCs w:val="24"/>
          <w:lang w:eastAsia="en-US"/>
        </w:rPr>
        <w:t>сновная часть товарооборота (98,</w:t>
      </w:r>
      <w:r>
        <w:rPr>
          <w:rFonts w:ascii="Times New Roman" w:eastAsia="Calibri" w:hAnsi="Times New Roman"/>
          <w:sz w:val="24"/>
          <w:szCs w:val="24"/>
          <w:lang w:eastAsia="en-US"/>
        </w:rPr>
        <w:t>9</w:t>
      </w:r>
      <w:r w:rsidRPr="00B5791E">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в 2016 году </w:t>
      </w:r>
      <w:r w:rsidRPr="00B5791E">
        <w:rPr>
          <w:rFonts w:ascii="Times New Roman" w:eastAsia="Calibri" w:hAnsi="Times New Roman"/>
          <w:sz w:val="24"/>
          <w:szCs w:val="24"/>
          <w:lang w:eastAsia="en-US"/>
        </w:rPr>
        <w:t xml:space="preserve">была сформирована негосударственными организациями, включая физических лиц, в том числе на субъекты предпринимательства приходилось по оценке порядка </w:t>
      </w:r>
      <w:r>
        <w:rPr>
          <w:rFonts w:ascii="Times New Roman" w:eastAsia="Calibri" w:hAnsi="Times New Roman"/>
          <w:sz w:val="24"/>
          <w:szCs w:val="24"/>
          <w:lang w:eastAsia="en-US"/>
        </w:rPr>
        <w:t>14,7</w:t>
      </w:r>
      <w:r w:rsidRPr="00B5791E">
        <w:rPr>
          <w:rFonts w:ascii="Times New Roman" w:eastAsia="Calibri" w:hAnsi="Times New Roman"/>
          <w:sz w:val="24"/>
          <w:szCs w:val="24"/>
          <w:lang w:eastAsia="en-US"/>
        </w:rPr>
        <w:t>% от общего объема розничных продаж.</w:t>
      </w:r>
    </w:p>
    <w:p w:rsidR="00770A9A" w:rsidRPr="002E6A89" w:rsidRDefault="00770A9A" w:rsidP="00770A9A">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Деятельность организаций </w:t>
      </w:r>
      <w:r w:rsidRPr="002E6A89">
        <w:rPr>
          <w:rFonts w:ascii="Times New Roman" w:eastAsia="Calibri" w:hAnsi="Times New Roman"/>
          <w:sz w:val="24"/>
          <w:szCs w:val="24"/>
          <w:lang w:eastAsia="en-US"/>
        </w:rPr>
        <w:t xml:space="preserve">общественного питания </w:t>
      </w:r>
      <w:r>
        <w:rPr>
          <w:rFonts w:ascii="Times New Roman" w:eastAsia="Calibri" w:hAnsi="Times New Roman"/>
          <w:sz w:val="24"/>
          <w:szCs w:val="24"/>
          <w:lang w:eastAsia="en-US"/>
        </w:rPr>
        <w:t>в 2016 году также характеризовалась</w:t>
      </w:r>
      <w:r w:rsidRPr="002E6A89">
        <w:rPr>
          <w:rFonts w:ascii="Times New Roman" w:eastAsia="Calibri" w:hAnsi="Times New Roman"/>
          <w:sz w:val="24"/>
          <w:szCs w:val="24"/>
          <w:lang w:eastAsia="en-US"/>
        </w:rPr>
        <w:t xml:space="preserve"> сужени</w:t>
      </w:r>
      <w:r>
        <w:rPr>
          <w:rFonts w:ascii="Times New Roman" w:eastAsia="Calibri" w:hAnsi="Times New Roman"/>
          <w:sz w:val="24"/>
          <w:szCs w:val="24"/>
          <w:lang w:eastAsia="en-US"/>
        </w:rPr>
        <w:t>ем</w:t>
      </w:r>
      <w:r w:rsidRPr="002E6A89">
        <w:rPr>
          <w:rFonts w:ascii="Times New Roman" w:eastAsia="Calibri" w:hAnsi="Times New Roman"/>
          <w:sz w:val="24"/>
          <w:szCs w:val="24"/>
          <w:lang w:eastAsia="en-US"/>
        </w:rPr>
        <w:t xml:space="preserve"> спроса на услуги </w:t>
      </w:r>
      <w:r>
        <w:rPr>
          <w:rFonts w:ascii="Times New Roman" w:eastAsia="Calibri" w:hAnsi="Times New Roman"/>
          <w:sz w:val="24"/>
          <w:szCs w:val="24"/>
          <w:lang w:eastAsia="en-US"/>
        </w:rPr>
        <w:t>данного сегмента рынка</w:t>
      </w:r>
      <w:r w:rsidRPr="002E6A89">
        <w:rPr>
          <w:rFonts w:ascii="Times New Roman" w:eastAsia="Calibri" w:hAnsi="Times New Roman"/>
          <w:sz w:val="24"/>
          <w:szCs w:val="24"/>
          <w:lang w:eastAsia="en-US"/>
        </w:rPr>
        <w:t xml:space="preserve">. </w:t>
      </w:r>
      <w:r>
        <w:rPr>
          <w:rFonts w:ascii="Times New Roman" w:eastAsia="Calibri" w:hAnsi="Times New Roman"/>
          <w:sz w:val="24"/>
          <w:szCs w:val="24"/>
          <w:lang w:eastAsia="en-US"/>
        </w:rPr>
        <w:t>В результате</w:t>
      </w:r>
      <w:r w:rsidRPr="002E6A89">
        <w:rPr>
          <w:rFonts w:ascii="Times New Roman" w:eastAsia="Calibri" w:hAnsi="Times New Roman"/>
          <w:sz w:val="24"/>
          <w:szCs w:val="24"/>
          <w:lang w:eastAsia="en-US"/>
        </w:rPr>
        <w:t xml:space="preserve">, абсолютная величина выручки </w:t>
      </w:r>
      <w:r w:rsidRPr="002E6A89">
        <w:rPr>
          <w:rFonts w:ascii="Times New Roman" w:eastAsia="Calibri" w:hAnsi="Times New Roman"/>
          <w:b/>
          <w:sz w:val="24"/>
          <w:szCs w:val="24"/>
          <w:lang w:eastAsia="en-US"/>
        </w:rPr>
        <w:t>организаций</w:t>
      </w:r>
      <w:r w:rsidRPr="002E6A89">
        <w:rPr>
          <w:rFonts w:ascii="Sylfaen" w:eastAsia="Calibri" w:hAnsi="Sylfaen"/>
          <w:b/>
          <w:sz w:val="24"/>
          <w:szCs w:val="24"/>
          <w:lang w:eastAsia="en-US"/>
        </w:rPr>
        <w:t xml:space="preserve"> </w:t>
      </w:r>
      <w:r w:rsidRPr="002E6A89">
        <w:rPr>
          <w:rFonts w:ascii="Times New Roman" w:eastAsia="Calibri" w:hAnsi="Times New Roman"/>
          <w:b/>
          <w:sz w:val="24"/>
          <w:szCs w:val="24"/>
          <w:lang w:eastAsia="en-US"/>
        </w:rPr>
        <w:t>общественного питания</w:t>
      </w:r>
      <w:r w:rsidRPr="002E6A89">
        <w:rPr>
          <w:rFonts w:ascii="Times New Roman" w:eastAsia="Calibri" w:hAnsi="Times New Roman"/>
          <w:sz w:val="24"/>
          <w:szCs w:val="24"/>
          <w:lang w:eastAsia="en-US"/>
        </w:rPr>
        <w:t xml:space="preserve"> </w:t>
      </w:r>
      <w:r>
        <w:rPr>
          <w:rFonts w:ascii="Times New Roman" w:eastAsia="Calibri" w:hAnsi="Times New Roman"/>
          <w:sz w:val="24"/>
          <w:szCs w:val="24"/>
          <w:lang w:eastAsia="en-US"/>
        </w:rPr>
        <w:t>по итогам</w:t>
      </w:r>
      <w:r w:rsidRPr="002E6A89">
        <w:rPr>
          <w:rFonts w:ascii="Times New Roman" w:eastAsia="Calibri" w:hAnsi="Times New Roman"/>
          <w:sz w:val="24"/>
          <w:szCs w:val="24"/>
          <w:lang w:eastAsia="en-US"/>
        </w:rPr>
        <w:t xml:space="preserve"> </w:t>
      </w:r>
      <w:r>
        <w:rPr>
          <w:rFonts w:ascii="Times New Roman" w:eastAsia="Calibri" w:hAnsi="Times New Roman"/>
          <w:sz w:val="24"/>
          <w:szCs w:val="24"/>
          <w:lang w:eastAsia="en-US"/>
        </w:rPr>
        <w:br/>
      </w:r>
      <w:r w:rsidRPr="002E6A89">
        <w:rPr>
          <w:rFonts w:ascii="Times New Roman" w:eastAsia="Calibri" w:hAnsi="Times New Roman"/>
          <w:sz w:val="24"/>
          <w:szCs w:val="24"/>
          <w:lang w:eastAsia="en-US"/>
        </w:rPr>
        <w:t>201</w:t>
      </w:r>
      <w:r>
        <w:rPr>
          <w:rFonts w:ascii="Times New Roman" w:eastAsia="Calibri" w:hAnsi="Times New Roman"/>
          <w:sz w:val="24"/>
          <w:szCs w:val="24"/>
          <w:lang w:eastAsia="en-US"/>
        </w:rPr>
        <w:t>6</w:t>
      </w:r>
      <w:r w:rsidRPr="002E6A89">
        <w:rPr>
          <w:rFonts w:ascii="Times New Roman" w:eastAsia="Calibri" w:hAnsi="Times New Roman"/>
          <w:sz w:val="24"/>
          <w:szCs w:val="24"/>
          <w:lang w:eastAsia="en-US"/>
        </w:rPr>
        <w:t xml:space="preserve"> года составила </w:t>
      </w:r>
      <w:r>
        <w:rPr>
          <w:rFonts w:ascii="Times New Roman" w:eastAsia="Calibri" w:hAnsi="Times New Roman"/>
          <w:sz w:val="24"/>
          <w:szCs w:val="24"/>
          <w:lang w:eastAsia="en-US"/>
        </w:rPr>
        <w:t>170,4</w:t>
      </w:r>
      <w:r w:rsidRPr="002E6A89">
        <w:rPr>
          <w:rFonts w:ascii="Times New Roman" w:eastAsia="Calibri" w:hAnsi="Times New Roman"/>
          <w:sz w:val="24"/>
          <w:szCs w:val="24"/>
          <w:lang w:eastAsia="en-US"/>
        </w:rPr>
        <w:t xml:space="preserve"> млн. руб. («-»</w:t>
      </w:r>
      <w:r>
        <w:rPr>
          <w:rFonts w:ascii="Times New Roman" w:eastAsia="Calibri" w:hAnsi="Times New Roman"/>
          <w:sz w:val="24"/>
          <w:szCs w:val="24"/>
          <w:lang w:eastAsia="en-US"/>
        </w:rPr>
        <w:t>0,3</w:t>
      </w:r>
      <w:r w:rsidRPr="002E6A89">
        <w:rPr>
          <w:rFonts w:ascii="Times New Roman" w:eastAsia="Calibri" w:hAnsi="Times New Roman"/>
          <w:sz w:val="24"/>
          <w:szCs w:val="24"/>
          <w:lang w:eastAsia="en-US"/>
        </w:rPr>
        <w:t xml:space="preserve">% в сопоставимых ценах). </w:t>
      </w:r>
      <w:r>
        <w:rPr>
          <w:rFonts w:ascii="Times New Roman" w:eastAsia="Calibri" w:hAnsi="Times New Roman"/>
          <w:sz w:val="24"/>
          <w:szCs w:val="24"/>
          <w:lang w:eastAsia="en-US"/>
        </w:rPr>
        <w:t xml:space="preserve">Преобладающая доля (78,5%) </w:t>
      </w:r>
      <w:r w:rsidRPr="002E6A89">
        <w:rPr>
          <w:rFonts w:ascii="Times New Roman" w:eastAsia="Calibri" w:hAnsi="Times New Roman"/>
          <w:sz w:val="24"/>
          <w:szCs w:val="24"/>
          <w:lang w:eastAsia="en-US"/>
        </w:rPr>
        <w:t>оборота организаций общественного питания</w:t>
      </w:r>
      <w:r>
        <w:rPr>
          <w:rFonts w:ascii="Times New Roman" w:eastAsia="Calibri" w:hAnsi="Times New Roman"/>
          <w:sz w:val="24"/>
          <w:szCs w:val="24"/>
          <w:lang w:eastAsia="en-US"/>
        </w:rPr>
        <w:t xml:space="preserve"> пришлась на </w:t>
      </w:r>
      <w:r w:rsidRPr="002E6A89">
        <w:rPr>
          <w:rFonts w:ascii="Times New Roman" w:eastAsia="Calibri" w:hAnsi="Times New Roman"/>
          <w:sz w:val="24"/>
          <w:szCs w:val="24"/>
          <w:lang w:eastAsia="en-US"/>
        </w:rPr>
        <w:t>организаци</w:t>
      </w:r>
      <w:r>
        <w:rPr>
          <w:rFonts w:ascii="Times New Roman" w:eastAsia="Calibri" w:hAnsi="Times New Roman"/>
          <w:sz w:val="24"/>
          <w:szCs w:val="24"/>
          <w:lang w:eastAsia="en-US"/>
        </w:rPr>
        <w:t>и</w:t>
      </w:r>
      <w:r w:rsidRPr="002E6A89">
        <w:rPr>
          <w:rFonts w:ascii="Times New Roman" w:eastAsia="Calibri" w:hAnsi="Times New Roman"/>
          <w:sz w:val="24"/>
          <w:szCs w:val="24"/>
          <w:lang w:eastAsia="en-US"/>
        </w:rPr>
        <w:t xml:space="preserve"> негосударственной формы собственности,</w:t>
      </w:r>
      <w:r w:rsidRPr="00B144AD">
        <w:rPr>
          <w:rFonts w:ascii="Times New Roman" w:eastAsia="Calibri" w:hAnsi="Times New Roman"/>
          <w:sz w:val="24"/>
          <w:szCs w:val="24"/>
          <w:lang w:eastAsia="en-US"/>
        </w:rPr>
        <w:t xml:space="preserve"> </w:t>
      </w:r>
      <w:r>
        <w:rPr>
          <w:rFonts w:ascii="Times New Roman" w:eastAsia="Calibri" w:hAnsi="Times New Roman"/>
          <w:sz w:val="24"/>
          <w:szCs w:val="24"/>
          <w:lang w:eastAsia="en-US"/>
        </w:rPr>
        <w:t>расширившие объем розничных продаж по итогам 2016 года относительно показателя 2015 года на 0,2%.</w:t>
      </w:r>
      <w:r w:rsidRPr="00571032">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При этом, </w:t>
      </w:r>
      <w:r w:rsidRPr="002E6A89">
        <w:rPr>
          <w:rFonts w:ascii="Times New Roman" w:eastAsia="Calibri" w:hAnsi="Times New Roman"/>
          <w:sz w:val="24"/>
          <w:szCs w:val="24"/>
          <w:lang w:eastAsia="en-US"/>
        </w:rPr>
        <w:t>организация</w:t>
      </w:r>
      <w:r>
        <w:rPr>
          <w:rFonts w:ascii="Times New Roman" w:eastAsia="Calibri" w:hAnsi="Times New Roman"/>
          <w:sz w:val="24"/>
          <w:szCs w:val="24"/>
          <w:lang w:eastAsia="en-US"/>
        </w:rPr>
        <w:t>ми</w:t>
      </w:r>
      <w:r w:rsidRPr="002E6A89">
        <w:rPr>
          <w:rFonts w:ascii="Times New Roman" w:eastAsia="Calibri" w:hAnsi="Times New Roman"/>
          <w:sz w:val="24"/>
          <w:szCs w:val="24"/>
          <w:lang w:eastAsia="en-US"/>
        </w:rPr>
        <w:t xml:space="preserve"> государственной </w:t>
      </w:r>
      <w:r>
        <w:rPr>
          <w:rFonts w:ascii="Times New Roman" w:eastAsia="Calibri" w:hAnsi="Times New Roman"/>
          <w:sz w:val="24"/>
          <w:szCs w:val="24"/>
          <w:lang w:eastAsia="en-US"/>
        </w:rPr>
        <w:t xml:space="preserve">и муниципальной </w:t>
      </w:r>
      <w:r w:rsidRPr="002E6A89">
        <w:rPr>
          <w:rFonts w:ascii="Times New Roman" w:eastAsia="Calibri" w:hAnsi="Times New Roman"/>
          <w:sz w:val="24"/>
          <w:szCs w:val="24"/>
          <w:lang w:eastAsia="en-US"/>
        </w:rPr>
        <w:t>формы собственности</w:t>
      </w:r>
      <w:r>
        <w:rPr>
          <w:rFonts w:ascii="Times New Roman" w:eastAsia="Calibri" w:hAnsi="Times New Roman"/>
          <w:sz w:val="24"/>
          <w:szCs w:val="24"/>
          <w:lang w:eastAsia="en-US"/>
        </w:rPr>
        <w:t xml:space="preserve"> было сформировано 21,5%</w:t>
      </w:r>
      <w:r w:rsidRPr="003E40F0">
        <w:rPr>
          <w:rFonts w:ascii="Times New Roman" w:eastAsia="Calibri" w:hAnsi="Times New Roman"/>
          <w:sz w:val="24"/>
          <w:szCs w:val="24"/>
          <w:lang w:eastAsia="en-US"/>
        </w:rPr>
        <w:t xml:space="preserve"> </w:t>
      </w:r>
      <w:r w:rsidRPr="002E6A89">
        <w:rPr>
          <w:rFonts w:ascii="Times New Roman" w:eastAsia="Calibri" w:hAnsi="Times New Roman"/>
          <w:sz w:val="24"/>
          <w:szCs w:val="24"/>
          <w:lang w:eastAsia="en-US"/>
        </w:rPr>
        <w:t>емкости оборота общественного питания</w:t>
      </w:r>
      <w:r w:rsidRPr="003E40F0">
        <w:rPr>
          <w:rFonts w:ascii="Times New Roman" w:eastAsia="Calibri" w:hAnsi="Times New Roman"/>
          <w:sz w:val="24"/>
          <w:szCs w:val="24"/>
          <w:lang w:eastAsia="en-US"/>
        </w:rPr>
        <w:t xml:space="preserve"> </w:t>
      </w:r>
      <w:r w:rsidRPr="002E6A89">
        <w:rPr>
          <w:rFonts w:ascii="Times New Roman" w:eastAsia="Calibri" w:hAnsi="Times New Roman"/>
          <w:sz w:val="24"/>
          <w:szCs w:val="24"/>
          <w:lang w:eastAsia="en-US"/>
        </w:rPr>
        <w:t>с сокращением объема</w:t>
      </w:r>
      <w:r>
        <w:rPr>
          <w:rFonts w:ascii="Times New Roman" w:eastAsia="Calibri" w:hAnsi="Times New Roman"/>
          <w:sz w:val="24"/>
          <w:szCs w:val="24"/>
          <w:lang w:eastAsia="en-US"/>
        </w:rPr>
        <w:t xml:space="preserve"> по отношению к базовому показателю 2015 года на 0,9%.</w:t>
      </w:r>
    </w:p>
    <w:p w:rsidR="00770A9A" w:rsidRPr="006E321F" w:rsidRDefault="00770A9A" w:rsidP="006E321F">
      <w:pPr>
        <w:pStyle w:val="3"/>
        <w:spacing w:after="0"/>
        <w:ind w:firstLine="708"/>
        <w:rPr>
          <w:rFonts w:ascii="Times New Roman" w:hAnsi="Times New Roman"/>
          <w:b/>
          <w:sz w:val="24"/>
          <w:szCs w:val="24"/>
        </w:rPr>
      </w:pPr>
    </w:p>
    <w:p w:rsidR="00770A9A" w:rsidRDefault="00770A9A" w:rsidP="006E321F">
      <w:pPr>
        <w:spacing w:after="0" w:line="240" w:lineRule="auto"/>
        <w:ind w:firstLine="708"/>
        <w:rPr>
          <w:rFonts w:ascii="Times New Roman" w:eastAsia="Times New Roman" w:hAnsi="Times New Roman" w:cs="Times New Roman"/>
          <w:b/>
          <w:sz w:val="24"/>
          <w:szCs w:val="24"/>
        </w:rPr>
      </w:pPr>
      <w:r w:rsidRPr="00D752D1">
        <w:rPr>
          <w:rFonts w:ascii="Times New Roman" w:eastAsia="Times New Roman" w:hAnsi="Times New Roman" w:cs="Times New Roman"/>
          <w:b/>
          <w:sz w:val="24"/>
          <w:szCs w:val="24"/>
        </w:rPr>
        <w:t>Рынок платных услуг населению</w:t>
      </w:r>
    </w:p>
    <w:p w:rsidR="00770A9A" w:rsidRDefault="00770A9A" w:rsidP="006E321F">
      <w:pPr>
        <w:spacing w:after="0" w:line="240" w:lineRule="auto"/>
        <w:ind w:firstLine="709"/>
        <w:jc w:val="both"/>
        <w:rPr>
          <w:rFonts w:ascii="Times New Roman" w:eastAsia="Times New Roman" w:hAnsi="Times New Roman" w:cs="Times New Roman"/>
          <w:sz w:val="24"/>
          <w:szCs w:val="24"/>
        </w:rPr>
      </w:pPr>
      <w:r w:rsidRPr="004D1327">
        <w:rPr>
          <w:rFonts w:ascii="Times New Roman" w:eastAsia="Times New Roman" w:hAnsi="Times New Roman" w:cs="Times New Roman"/>
          <w:sz w:val="24"/>
          <w:szCs w:val="24"/>
        </w:rPr>
        <w:t>Абсолютная стоимость услуг, оказанных населению через все каналы реализации</w:t>
      </w:r>
      <w:r w:rsidR="001E7C5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 итогам 2016 года увеличилась</w:t>
      </w:r>
      <w:r w:rsidRPr="004D1327">
        <w:rPr>
          <w:rFonts w:ascii="Times New Roman" w:eastAsia="Times New Roman" w:hAnsi="Times New Roman" w:cs="Times New Roman"/>
          <w:sz w:val="24"/>
          <w:szCs w:val="24"/>
        </w:rPr>
        <w:t xml:space="preserve"> по отношению к сопоставимому показателю 2015 года на 1,</w:t>
      </w:r>
      <w:r>
        <w:rPr>
          <w:rFonts w:ascii="Times New Roman" w:eastAsia="Times New Roman" w:hAnsi="Times New Roman" w:cs="Times New Roman"/>
          <w:sz w:val="24"/>
          <w:szCs w:val="24"/>
        </w:rPr>
        <w:t>5</w:t>
      </w:r>
      <w:r w:rsidRPr="004D1327">
        <w:rPr>
          <w:rFonts w:ascii="Times New Roman" w:eastAsia="Times New Roman" w:hAnsi="Times New Roman" w:cs="Times New Roman"/>
          <w:sz w:val="24"/>
          <w:szCs w:val="24"/>
        </w:rPr>
        <w:t xml:space="preserve">% (в текущих ценах) до </w:t>
      </w:r>
      <w:r>
        <w:rPr>
          <w:rFonts w:ascii="Times New Roman" w:eastAsia="Times New Roman" w:hAnsi="Times New Roman" w:cs="Times New Roman"/>
          <w:sz w:val="24"/>
          <w:szCs w:val="24"/>
        </w:rPr>
        <w:t>2 201,9</w:t>
      </w:r>
      <w:r w:rsidRPr="004D1327">
        <w:rPr>
          <w:rFonts w:ascii="Times New Roman" w:eastAsia="Times New Roman" w:hAnsi="Times New Roman" w:cs="Times New Roman"/>
          <w:sz w:val="24"/>
          <w:szCs w:val="24"/>
        </w:rPr>
        <w:t xml:space="preserve"> млн. руб. При этом с учетом уравновешивания динамики цен объем платных услуг населению (в сопоставимых ценах) </w:t>
      </w:r>
      <w:r>
        <w:rPr>
          <w:rFonts w:ascii="Times New Roman" w:eastAsia="Times New Roman" w:hAnsi="Times New Roman" w:cs="Times New Roman"/>
          <w:sz w:val="24"/>
          <w:szCs w:val="24"/>
        </w:rPr>
        <w:t>вырос</w:t>
      </w:r>
      <w:r w:rsidRPr="004D1327">
        <w:rPr>
          <w:rFonts w:ascii="Times New Roman" w:eastAsia="Times New Roman" w:hAnsi="Times New Roman" w:cs="Times New Roman"/>
          <w:sz w:val="24"/>
          <w:szCs w:val="24"/>
        </w:rPr>
        <w:t xml:space="preserve"> на </w:t>
      </w:r>
      <w:r>
        <w:rPr>
          <w:rFonts w:ascii="Times New Roman" w:eastAsia="Times New Roman" w:hAnsi="Times New Roman" w:cs="Times New Roman"/>
          <w:sz w:val="24"/>
          <w:szCs w:val="24"/>
        </w:rPr>
        <w:t>1,0</w:t>
      </w:r>
      <w:r w:rsidRPr="004D1327">
        <w:rPr>
          <w:rFonts w:ascii="Times New Roman" w:eastAsia="Times New Roman" w:hAnsi="Times New Roman" w:cs="Times New Roman"/>
          <w:sz w:val="24"/>
          <w:szCs w:val="24"/>
        </w:rPr>
        <w:t>%.</w:t>
      </w:r>
    </w:p>
    <w:p w:rsidR="00A61AFF" w:rsidRPr="00A61AFF" w:rsidRDefault="00A61AFF" w:rsidP="006E321F">
      <w:pPr>
        <w:spacing w:after="0" w:line="240" w:lineRule="auto"/>
        <w:ind w:firstLine="709"/>
        <w:jc w:val="both"/>
        <w:rPr>
          <w:rFonts w:ascii="Times New Roman" w:eastAsia="Times New Roman" w:hAnsi="Times New Roman" w:cs="Times New Roman"/>
          <w:sz w:val="10"/>
          <w:szCs w:val="10"/>
        </w:rPr>
      </w:pPr>
    </w:p>
    <w:p w:rsidR="00770A9A" w:rsidRPr="00814D11" w:rsidRDefault="00770A9A" w:rsidP="00770A9A">
      <w:pPr>
        <w:jc w:val="center"/>
        <w:rPr>
          <w:rFonts w:ascii="Times New Roman" w:hAnsi="Times New Roman" w:cs="Times New Roman"/>
          <w:b/>
          <w:sz w:val="24"/>
          <w:szCs w:val="24"/>
        </w:rPr>
      </w:pPr>
      <w:r w:rsidRPr="00814D11">
        <w:rPr>
          <w:rFonts w:ascii="Times New Roman" w:hAnsi="Times New Roman" w:cs="Times New Roman"/>
          <w:b/>
          <w:sz w:val="24"/>
          <w:szCs w:val="24"/>
        </w:rPr>
        <w:t>Динамика платных услуг населению (в процентах к предыдущему году)</w:t>
      </w:r>
    </w:p>
    <w:p w:rsidR="00770A9A" w:rsidRDefault="00770A9A" w:rsidP="00770A9A">
      <w:r w:rsidRPr="00D752D1">
        <w:rPr>
          <w:noProof/>
        </w:rPr>
        <w:drawing>
          <wp:inline distT="0" distB="0" distL="0" distR="0">
            <wp:extent cx="6086475" cy="1771650"/>
            <wp:effectExtent l="19050" t="0" r="0" b="0"/>
            <wp:docPr id="4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70A9A" w:rsidRDefault="00770A9A" w:rsidP="00770A9A">
      <w:pPr>
        <w:spacing w:after="0" w:line="240" w:lineRule="auto"/>
        <w:ind w:firstLine="709"/>
        <w:jc w:val="both"/>
        <w:rPr>
          <w:rFonts w:ascii="Times New Roman" w:eastAsia="Calibri" w:hAnsi="Times New Roman"/>
          <w:sz w:val="24"/>
          <w:szCs w:val="24"/>
          <w:lang w:eastAsia="en-US"/>
        </w:rPr>
      </w:pPr>
      <w:r w:rsidRPr="00A856BB">
        <w:rPr>
          <w:rFonts w:ascii="Times New Roman" w:eastAsia="Calibri" w:hAnsi="Times New Roman"/>
          <w:sz w:val="24"/>
          <w:szCs w:val="24"/>
          <w:lang w:eastAsia="en-US"/>
        </w:rPr>
        <w:t>Частными организациями в 2016 год</w:t>
      </w:r>
      <w:r>
        <w:rPr>
          <w:rFonts w:ascii="Times New Roman" w:eastAsia="Calibri" w:hAnsi="Times New Roman"/>
          <w:sz w:val="24"/>
          <w:szCs w:val="24"/>
          <w:lang w:eastAsia="en-US"/>
        </w:rPr>
        <w:t>у</w:t>
      </w:r>
      <w:r w:rsidRPr="00A856BB">
        <w:rPr>
          <w:rFonts w:ascii="Times New Roman" w:eastAsia="Calibri" w:hAnsi="Times New Roman"/>
          <w:sz w:val="24"/>
          <w:szCs w:val="24"/>
          <w:lang w:eastAsia="en-US"/>
        </w:rPr>
        <w:t xml:space="preserve"> по оценке оказано 45,</w:t>
      </w:r>
      <w:r>
        <w:rPr>
          <w:rFonts w:ascii="Times New Roman" w:eastAsia="Calibri" w:hAnsi="Times New Roman"/>
          <w:sz w:val="24"/>
          <w:szCs w:val="24"/>
          <w:lang w:eastAsia="en-US"/>
        </w:rPr>
        <w:t>4</w:t>
      </w:r>
      <w:r w:rsidRPr="00A856BB">
        <w:rPr>
          <w:rFonts w:ascii="Times New Roman" w:eastAsia="Calibri" w:hAnsi="Times New Roman"/>
          <w:sz w:val="24"/>
          <w:szCs w:val="24"/>
          <w:lang w:eastAsia="en-US"/>
        </w:rPr>
        <w:t>% общего объема услуг.</w:t>
      </w:r>
      <w:r>
        <w:rPr>
          <w:rFonts w:ascii="Times New Roman" w:eastAsia="Calibri" w:hAnsi="Times New Roman"/>
          <w:sz w:val="24"/>
          <w:szCs w:val="24"/>
          <w:lang w:eastAsia="en-US"/>
        </w:rPr>
        <w:t xml:space="preserve"> </w:t>
      </w:r>
      <w:r w:rsidRPr="002E6A89">
        <w:rPr>
          <w:rFonts w:ascii="Times New Roman" w:eastAsia="Calibri" w:hAnsi="Times New Roman"/>
          <w:sz w:val="24"/>
          <w:szCs w:val="24"/>
          <w:lang w:eastAsia="en-US"/>
        </w:rPr>
        <w:t xml:space="preserve">На долю государственных и муниципальных организаций в рассматриваемом периоде приходилось </w:t>
      </w:r>
      <w:r>
        <w:rPr>
          <w:rFonts w:ascii="Times New Roman" w:eastAsia="Calibri" w:hAnsi="Times New Roman"/>
          <w:sz w:val="24"/>
          <w:szCs w:val="24"/>
          <w:lang w:eastAsia="en-US"/>
        </w:rPr>
        <w:t xml:space="preserve">54,6% общего объема платных услуг населению. </w:t>
      </w:r>
    </w:p>
    <w:p w:rsidR="00656A17" w:rsidRDefault="00656A17" w:rsidP="00770A9A">
      <w:pPr>
        <w:spacing w:after="0" w:line="240" w:lineRule="auto"/>
        <w:ind w:firstLine="709"/>
        <w:jc w:val="both"/>
        <w:rPr>
          <w:rFonts w:ascii="Times New Roman" w:eastAsia="Calibri" w:hAnsi="Times New Roman"/>
          <w:sz w:val="24"/>
          <w:szCs w:val="24"/>
          <w:lang w:eastAsia="en-US"/>
        </w:rPr>
      </w:pPr>
    </w:p>
    <w:p w:rsidR="00656A17" w:rsidRDefault="00656A17" w:rsidP="00770A9A">
      <w:pPr>
        <w:spacing w:after="0" w:line="240" w:lineRule="auto"/>
        <w:ind w:firstLine="709"/>
        <w:jc w:val="both"/>
        <w:rPr>
          <w:rFonts w:ascii="Times New Roman" w:eastAsia="Calibri" w:hAnsi="Times New Roman"/>
          <w:sz w:val="24"/>
          <w:szCs w:val="24"/>
          <w:lang w:eastAsia="en-US"/>
        </w:rPr>
      </w:pPr>
    </w:p>
    <w:p w:rsidR="00770A9A" w:rsidRDefault="00770A9A" w:rsidP="00770A9A">
      <w:pPr>
        <w:widowControl w:val="0"/>
        <w:spacing w:after="0" w:line="240" w:lineRule="auto"/>
        <w:ind w:firstLine="720"/>
        <w:jc w:val="center"/>
        <w:rPr>
          <w:rFonts w:ascii="Times New Roman" w:eastAsia="Calibri" w:hAnsi="Times New Roman"/>
          <w:b/>
          <w:sz w:val="24"/>
          <w:szCs w:val="24"/>
          <w:lang w:eastAsia="en-US"/>
        </w:rPr>
      </w:pPr>
      <w:r w:rsidRPr="00B5791E">
        <w:rPr>
          <w:rFonts w:ascii="Times New Roman" w:eastAsia="Calibri" w:hAnsi="Times New Roman"/>
          <w:b/>
          <w:sz w:val="24"/>
          <w:szCs w:val="24"/>
          <w:lang w:eastAsia="en-US"/>
        </w:rPr>
        <w:lastRenderedPageBreak/>
        <w:t>Структура потребительских услуг по формам собственности, %</w:t>
      </w:r>
    </w:p>
    <w:p w:rsidR="00770A9A" w:rsidRDefault="00770A9A" w:rsidP="00770A9A">
      <w:pPr>
        <w:widowControl w:val="0"/>
        <w:spacing w:after="0" w:line="240" w:lineRule="auto"/>
        <w:rPr>
          <w:rFonts w:ascii="Times New Roman" w:eastAsia="Calibri" w:hAnsi="Times New Roman"/>
          <w:b/>
          <w:sz w:val="24"/>
          <w:szCs w:val="24"/>
          <w:lang w:eastAsia="en-US"/>
        </w:rPr>
      </w:pPr>
      <w:r w:rsidRPr="004D1327">
        <w:rPr>
          <w:rFonts w:ascii="Times New Roman" w:eastAsia="Calibri" w:hAnsi="Times New Roman"/>
          <w:b/>
          <w:noProof/>
          <w:sz w:val="24"/>
          <w:szCs w:val="24"/>
        </w:rPr>
        <w:drawing>
          <wp:inline distT="0" distB="0" distL="0" distR="0">
            <wp:extent cx="2771775" cy="1371600"/>
            <wp:effectExtent l="19050" t="0" r="0" b="0"/>
            <wp:docPr id="5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4D1327">
        <w:rPr>
          <w:rFonts w:ascii="Times New Roman" w:eastAsia="Calibri" w:hAnsi="Times New Roman"/>
          <w:b/>
          <w:noProof/>
          <w:sz w:val="24"/>
          <w:szCs w:val="24"/>
        </w:rPr>
        <w:drawing>
          <wp:inline distT="0" distB="0" distL="0" distR="0">
            <wp:extent cx="3086100" cy="1314450"/>
            <wp:effectExtent l="19050" t="0" r="0" b="0"/>
            <wp:docPr id="5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70A9A" w:rsidRDefault="00770A9A" w:rsidP="00770A9A">
      <w:pPr>
        <w:widowControl w:val="0"/>
        <w:tabs>
          <w:tab w:val="left" w:pos="7088"/>
        </w:tabs>
        <w:spacing w:after="0" w:line="240" w:lineRule="auto"/>
        <w:ind w:firstLine="720"/>
        <w:jc w:val="both"/>
        <w:rPr>
          <w:rFonts w:ascii="Times New Roman" w:hAnsi="Times New Roman"/>
          <w:sz w:val="24"/>
          <w:szCs w:val="24"/>
        </w:rPr>
      </w:pPr>
    </w:p>
    <w:p w:rsidR="00770A9A" w:rsidRPr="004C53B1" w:rsidRDefault="00770A9A" w:rsidP="00770A9A">
      <w:pPr>
        <w:widowControl w:val="0"/>
        <w:tabs>
          <w:tab w:val="left" w:pos="7088"/>
        </w:tabs>
        <w:spacing w:after="0" w:line="240" w:lineRule="auto"/>
        <w:ind w:firstLine="720"/>
        <w:jc w:val="both"/>
        <w:rPr>
          <w:rFonts w:ascii="Times New Roman" w:hAnsi="Times New Roman"/>
          <w:sz w:val="24"/>
          <w:szCs w:val="24"/>
        </w:rPr>
      </w:pPr>
      <w:r w:rsidRPr="004C53B1">
        <w:rPr>
          <w:rFonts w:ascii="Times New Roman" w:hAnsi="Times New Roman"/>
          <w:sz w:val="24"/>
          <w:szCs w:val="24"/>
        </w:rPr>
        <w:t xml:space="preserve">Потребительский спрос населения к потреблению отдельных видов бытовых услуг в 2016 году, предопределил сокращение их совокупного объема на 6,7% (в сопоставимых ценах) до 75,4 млн. руб., обеспечив при этом долевое участие в структуре потребительского рынка на уровне 3,4%. </w:t>
      </w:r>
    </w:p>
    <w:p w:rsidR="00770A9A" w:rsidRPr="000751E6" w:rsidRDefault="00770A9A" w:rsidP="00770A9A">
      <w:pPr>
        <w:widowControl w:val="0"/>
        <w:spacing w:after="0" w:line="240" w:lineRule="auto"/>
        <w:ind w:firstLine="720"/>
        <w:jc w:val="both"/>
        <w:rPr>
          <w:rFonts w:ascii="Times New Roman" w:eastAsia="Calibri" w:hAnsi="Times New Roman"/>
          <w:sz w:val="24"/>
          <w:szCs w:val="24"/>
          <w:lang w:eastAsia="en-US"/>
        </w:rPr>
      </w:pPr>
      <w:r w:rsidRPr="004C53B1">
        <w:rPr>
          <w:rFonts w:ascii="Times New Roman" w:eastAsia="Calibri" w:hAnsi="Times New Roman"/>
          <w:sz w:val="24"/>
          <w:szCs w:val="24"/>
          <w:lang w:eastAsia="en-US"/>
        </w:rPr>
        <w:t xml:space="preserve">Таким образом, </w:t>
      </w:r>
      <w:r w:rsidRPr="004C53B1">
        <w:rPr>
          <w:rFonts w:ascii="Times New Roman" w:hAnsi="Times New Roman"/>
          <w:sz w:val="24"/>
          <w:szCs w:val="24"/>
        </w:rPr>
        <w:t>нестабильная конъюнктурная ситуация в совокупности с углублением структурных деформаций реального сектора экономики и нестабильной ситуацией на валютном рынке, отражаются на потребительском поведении населения и сказываются на динамике развития потребительского рынка в целом.</w:t>
      </w:r>
      <w:r w:rsidRPr="00B5791E">
        <w:rPr>
          <w:rFonts w:ascii="Times New Roman" w:hAnsi="Times New Roman"/>
          <w:sz w:val="24"/>
          <w:szCs w:val="24"/>
        </w:rPr>
        <w:t xml:space="preserve"> </w:t>
      </w:r>
    </w:p>
    <w:p w:rsidR="00770A9A" w:rsidRDefault="00770A9A" w:rsidP="00770A9A">
      <w:pPr>
        <w:spacing w:after="0" w:line="240" w:lineRule="auto"/>
        <w:ind w:firstLine="709"/>
        <w:contextualSpacing/>
        <w:rPr>
          <w:rFonts w:ascii="Times New Roman" w:hAnsi="Times New Roman"/>
          <w:b/>
          <w:sz w:val="24"/>
          <w:szCs w:val="24"/>
        </w:rPr>
      </w:pPr>
    </w:p>
    <w:p w:rsidR="00770A9A" w:rsidRPr="0080737A" w:rsidRDefault="00770A9A" w:rsidP="00770A9A">
      <w:pPr>
        <w:spacing w:after="0" w:line="240" w:lineRule="auto"/>
        <w:ind w:firstLine="709"/>
        <w:contextualSpacing/>
        <w:rPr>
          <w:rFonts w:ascii="Times New Roman" w:hAnsi="Times New Roman"/>
          <w:b/>
          <w:sz w:val="24"/>
          <w:szCs w:val="24"/>
        </w:rPr>
      </w:pPr>
      <w:r w:rsidRPr="0080737A">
        <w:rPr>
          <w:rFonts w:ascii="Times New Roman" w:hAnsi="Times New Roman"/>
          <w:b/>
          <w:sz w:val="24"/>
          <w:szCs w:val="24"/>
        </w:rPr>
        <w:t>Ценовая и тарифная политика</w:t>
      </w:r>
    </w:p>
    <w:p w:rsidR="00205273" w:rsidRDefault="00205273" w:rsidP="00770A9A">
      <w:pPr>
        <w:spacing w:after="0" w:line="240" w:lineRule="auto"/>
        <w:ind w:firstLine="709"/>
        <w:contextualSpacing/>
        <w:rPr>
          <w:rFonts w:ascii="Times New Roman" w:hAnsi="Times New Roman"/>
          <w:b/>
          <w:sz w:val="24"/>
          <w:szCs w:val="24"/>
        </w:rPr>
      </w:pPr>
    </w:p>
    <w:p w:rsidR="00770A9A" w:rsidRPr="0080737A" w:rsidRDefault="00770A9A" w:rsidP="00770A9A">
      <w:pPr>
        <w:spacing w:after="0" w:line="240" w:lineRule="auto"/>
        <w:ind w:firstLine="709"/>
        <w:contextualSpacing/>
        <w:rPr>
          <w:rFonts w:ascii="Times New Roman" w:hAnsi="Times New Roman"/>
          <w:b/>
          <w:sz w:val="24"/>
          <w:szCs w:val="24"/>
        </w:rPr>
      </w:pPr>
      <w:r w:rsidRPr="0080737A">
        <w:rPr>
          <w:rFonts w:ascii="Times New Roman" w:hAnsi="Times New Roman"/>
          <w:b/>
          <w:sz w:val="24"/>
          <w:szCs w:val="24"/>
        </w:rPr>
        <w:t>Тарифная политика в сфере естественных монополий</w:t>
      </w:r>
    </w:p>
    <w:p w:rsidR="00770A9A" w:rsidRPr="00C90DDF" w:rsidRDefault="00770A9A" w:rsidP="00770A9A">
      <w:pPr>
        <w:spacing w:after="0" w:line="240" w:lineRule="auto"/>
        <w:ind w:firstLine="709"/>
        <w:jc w:val="both"/>
        <w:rPr>
          <w:rFonts w:ascii="Times New Roman" w:hAnsi="Times New Roman"/>
          <w:bCs/>
          <w:sz w:val="24"/>
          <w:szCs w:val="24"/>
        </w:rPr>
      </w:pPr>
      <w:r w:rsidRPr="00C90DDF">
        <w:rPr>
          <w:rFonts w:ascii="Times New Roman" w:hAnsi="Times New Roman"/>
          <w:bCs/>
          <w:sz w:val="24"/>
          <w:szCs w:val="24"/>
        </w:rPr>
        <w:t>Предельные уровни тарифов на услуги, оказываемые в сфере естественных монополий, сформированы на 2016 год с учетом норм действующего законодательства в области ценообразования, а также следующих факторов:</w:t>
      </w:r>
    </w:p>
    <w:p w:rsidR="00770A9A" w:rsidRPr="00C90DDF" w:rsidRDefault="00770A9A" w:rsidP="00770A9A">
      <w:pPr>
        <w:spacing w:after="0" w:line="240" w:lineRule="auto"/>
        <w:ind w:firstLine="709"/>
        <w:jc w:val="both"/>
        <w:rPr>
          <w:rFonts w:ascii="Times New Roman" w:hAnsi="Times New Roman"/>
          <w:bCs/>
          <w:sz w:val="24"/>
          <w:szCs w:val="24"/>
        </w:rPr>
      </w:pPr>
      <w:r w:rsidRPr="00C90DDF">
        <w:rPr>
          <w:rFonts w:ascii="Times New Roman" w:hAnsi="Times New Roman"/>
          <w:bCs/>
          <w:sz w:val="24"/>
          <w:szCs w:val="24"/>
        </w:rPr>
        <w:t>а) изменения цен на сырье и материалы, тарифов на энергоносители;</w:t>
      </w:r>
    </w:p>
    <w:p w:rsidR="00770A9A" w:rsidRPr="00C90DDF" w:rsidRDefault="00770A9A" w:rsidP="00770A9A">
      <w:pPr>
        <w:spacing w:after="0" w:line="240" w:lineRule="auto"/>
        <w:ind w:firstLine="709"/>
        <w:jc w:val="both"/>
        <w:rPr>
          <w:rFonts w:ascii="Times New Roman" w:hAnsi="Times New Roman"/>
          <w:bCs/>
          <w:sz w:val="24"/>
          <w:szCs w:val="24"/>
        </w:rPr>
      </w:pPr>
      <w:r w:rsidRPr="00C90DDF">
        <w:rPr>
          <w:rFonts w:ascii="Times New Roman" w:hAnsi="Times New Roman"/>
          <w:bCs/>
          <w:sz w:val="24"/>
          <w:szCs w:val="24"/>
        </w:rPr>
        <w:t>б) влияния прогнозируемой инфляции;</w:t>
      </w:r>
    </w:p>
    <w:p w:rsidR="00770A9A" w:rsidRPr="00C90DDF" w:rsidRDefault="00770A9A" w:rsidP="00770A9A">
      <w:pPr>
        <w:spacing w:after="0" w:line="240" w:lineRule="auto"/>
        <w:ind w:firstLine="709"/>
        <w:jc w:val="both"/>
        <w:rPr>
          <w:rFonts w:ascii="Times New Roman" w:hAnsi="Times New Roman"/>
          <w:bCs/>
          <w:sz w:val="24"/>
          <w:szCs w:val="24"/>
        </w:rPr>
      </w:pPr>
      <w:r w:rsidRPr="00C90DDF">
        <w:rPr>
          <w:rFonts w:ascii="Times New Roman" w:hAnsi="Times New Roman"/>
          <w:bCs/>
          <w:sz w:val="24"/>
          <w:szCs w:val="24"/>
        </w:rPr>
        <w:t>в) фактических результатов деятельности субъектов естественных монополий по итогам работы за прошедший расчетный период регулирования;</w:t>
      </w:r>
    </w:p>
    <w:p w:rsidR="00770A9A" w:rsidRPr="00C90DDF" w:rsidRDefault="00770A9A" w:rsidP="00770A9A">
      <w:pPr>
        <w:spacing w:after="0" w:line="240" w:lineRule="auto"/>
        <w:ind w:firstLine="709"/>
        <w:jc w:val="both"/>
        <w:rPr>
          <w:rFonts w:ascii="Times New Roman" w:hAnsi="Times New Roman"/>
          <w:bCs/>
          <w:sz w:val="24"/>
          <w:szCs w:val="24"/>
        </w:rPr>
      </w:pPr>
      <w:r w:rsidRPr="00C90DDF">
        <w:rPr>
          <w:rFonts w:ascii="Times New Roman" w:hAnsi="Times New Roman"/>
          <w:bCs/>
          <w:sz w:val="24"/>
          <w:szCs w:val="24"/>
        </w:rPr>
        <w:t>г) сокращения разницы между контрактной ценой приобретения природного газа и ценой природного газа, учитываемой для внутреннего рынка Приднестровской Молдавской Республики.</w:t>
      </w:r>
    </w:p>
    <w:p w:rsidR="00770A9A" w:rsidRPr="00C90DDF" w:rsidRDefault="00770A9A" w:rsidP="00770A9A">
      <w:pPr>
        <w:tabs>
          <w:tab w:val="left" w:pos="993"/>
        </w:tabs>
        <w:spacing w:after="0" w:line="240" w:lineRule="auto"/>
        <w:ind w:firstLine="709"/>
        <w:jc w:val="both"/>
        <w:rPr>
          <w:rFonts w:ascii="Times New Roman" w:hAnsi="Times New Roman"/>
          <w:bCs/>
          <w:sz w:val="24"/>
          <w:szCs w:val="24"/>
        </w:rPr>
      </w:pPr>
      <w:r w:rsidRPr="00C90DDF">
        <w:rPr>
          <w:rFonts w:ascii="Times New Roman" w:hAnsi="Times New Roman"/>
          <w:bCs/>
          <w:sz w:val="24"/>
          <w:szCs w:val="24"/>
        </w:rPr>
        <w:t>В целях поддержания платежеспособности населения республики предельные уровни тарифов на услуги газоснабжения, электроснабжения, водоснабжения и водоотведения, а также на услуги теплоснабжения для социальной категории населения на 2016 год установлены на уровне предельных тарифов, действовавших в 2015 году.</w:t>
      </w:r>
    </w:p>
    <w:p w:rsidR="00770A9A" w:rsidRDefault="00770A9A" w:rsidP="00770A9A">
      <w:pPr>
        <w:spacing w:after="0" w:line="240" w:lineRule="auto"/>
        <w:ind w:firstLine="709"/>
        <w:jc w:val="both"/>
        <w:rPr>
          <w:rFonts w:ascii="Times New Roman" w:hAnsi="Times New Roman"/>
          <w:bCs/>
          <w:sz w:val="24"/>
          <w:szCs w:val="24"/>
        </w:rPr>
      </w:pPr>
      <w:r w:rsidRPr="00C90DDF">
        <w:rPr>
          <w:rFonts w:ascii="Times New Roman" w:hAnsi="Times New Roman"/>
          <w:bCs/>
          <w:sz w:val="24"/>
          <w:szCs w:val="24"/>
        </w:rPr>
        <w:t>С 1 марта 2016 года в целях оказания дополнительной государственной поддержки отечественным производителям основных продуктов питания (мяса, молока, куриных яиц), улучшения условий для выпуска конкурентоспособной продукци</w:t>
      </w:r>
      <w:r>
        <w:rPr>
          <w:rFonts w:ascii="Times New Roman" w:hAnsi="Times New Roman"/>
          <w:bCs/>
          <w:sz w:val="24"/>
          <w:szCs w:val="24"/>
        </w:rPr>
        <w:t>и</w:t>
      </w:r>
      <w:r w:rsidRPr="00C90DDF">
        <w:rPr>
          <w:rFonts w:ascii="Times New Roman" w:hAnsi="Times New Roman"/>
          <w:bCs/>
          <w:sz w:val="24"/>
          <w:szCs w:val="24"/>
        </w:rPr>
        <w:t xml:space="preserve"> с учетом девальвации национальной валюты в сопредельных государствах и сохранения рабочих мест введена новая категория потребителей услуг газоснабжения и услуг в сфере электроэнергетики «</w:t>
      </w:r>
      <w:r w:rsidRPr="00C90DDF">
        <w:rPr>
          <w:rFonts w:ascii="Times New Roman" w:hAnsi="Times New Roman"/>
          <w:sz w:val="24"/>
          <w:szCs w:val="24"/>
        </w:rPr>
        <w:t>организации, осуществляющие производство мяса</w:t>
      </w:r>
      <w:r>
        <w:rPr>
          <w:rFonts w:ascii="Times New Roman" w:hAnsi="Times New Roman"/>
          <w:sz w:val="24"/>
          <w:szCs w:val="24"/>
        </w:rPr>
        <w:t>,</w:t>
      </w:r>
      <w:r w:rsidRPr="00C90DDF">
        <w:rPr>
          <w:rFonts w:ascii="Times New Roman" w:hAnsi="Times New Roman"/>
          <w:sz w:val="24"/>
          <w:szCs w:val="24"/>
        </w:rPr>
        <w:t xml:space="preserve"> молока, куриных яиц, переработку мясомолочного сырья, в общем объеме дохода от продаж (выручки) </w:t>
      </w:r>
      <w:r>
        <w:rPr>
          <w:rFonts w:ascii="Times New Roman" w:hAnsi="Times New Roman"/>
          <w:sz w:val="24"/>
          <w:szCs w:val="24"/>
        </w:rPr>
        <w:t>или в общем объеме произведенной продукции которых доля дохода от продаж (выручки) или доля объема произведенной продукции собственного производства по итогам последнего отчетного периода составляет не менее 50%».</w:t>
      </w:r>
    </w:p>
    <w:p w:rsidR="00770A9A" w:rsidRPr="00C90DDF" w:rsidRDefault="00770A9A" w:rsidP="00770A9A">
      <w:pPr>
        <w:spacing w:after="0" w:line="240" w:lineRule="auto"/>
        <w:ind w:firstLine="709"/>
        <w:contextualSpacing/>
        <w:jc w:val="both"/>
        <w:rPr>
          <w:rFonts w:ascii="Times New Roman" w:hAnsi="Times New Roman"/>
          <w:sz w:val="24"/>
          <w:szCs w:val="24"/>
          <w:lang w:eastAsia="en-US"/>
        </w:rPr>
      </w:pPr>
      <w:r w:rsidRPr="00C90DDF">
        <w:rPr>
          <w:rFonts w:ascii="Times New Roman" w:hAnsi="Times New Roman"/>
          <w:sz w:val="24"/>
          <w:szCs w:val="24"/>
          <w:lang w:eastAsia="en-US"/>
        </w:rPr>
        <w:t>С целью создания условий повышения привлекательности сельских населенных пунктов (сельских поселений) и приостановления оттока населения из сельских населенных пунктов  (сельских поселений) с 1 мая 2016 года снижены предельные уровни тарифов на услуги газоснабжения (на 18,36%) за объем, потребленный в пределах установленного лимита, и электроэнергии (на 17,5%) за объ</w:t>
      </w:r>
      <w:r w:rsidR="00DC2B8A">
        <w:rPr>
          <w:rFonts w:ascii="Times New Roman" w:hAnsi="Times New Roman"/>
          <w:sz w:val="24"/>
          <w:szCs w:val="24"/>
          <w:lang w:eastAsia="en-US"/>
        </w:rPr>
        <w:t xml:space="preserve">ем, потребленный до </w:t>
      </w:r>
      <w:r w:rsidRPr="00C90DDF">
        <w:rPr>
          <w:rFonts w:ascii="Times New Roman" w:hAnsi="Times New Roman"/>
          <w:sz w:val="24"/>
          <w:szCs w:val="24"/>
          <w:lang w:eastAsia="en-US"/>
        </w:rPr>
        <w:t>150 кВт.ч.</w:t>
      </w:r>
    </w:p>
    <w:p w:rsidR="00770A9A" w:rsidRDefault="00770A9A" w:rsidP="00770A9A">
      <w:pPr>
        <w:spacing w:after="0" w:line="240" w:lineRule="auto"/>
        <w:ind w:firstLine="567"/>
        <w:jc w:val="both"/>
        <w:rPr>
          <w:rFonts w:ascii="Times New Roman" w:hAnsi="Times New Roman"/>
          <w:bCs/>
          <w:sz w:val="24"/>
          <w:szCs w:val="24"/>
        </w:rPr>
      </w:pPr>
      <w:r w:rsidRPr="00C90DDF">
        <w:rPr>
          <w:rFonts w:ascii="Times New Roman" w:hAnsi="Times New Roman"/>
          <w:bCs/>
          <w:sz w:val="24"/>
          <w:szCs w:val="24"/>
        </w:rPr>
        <w:t xml:space="preserve">В 2016 году тарифы на услуги газоснабжения, электроэнергетики для всего населения, а также на услуги по снабжению тепловой энергией (отопление и подогрев воды) для социальной категории населения </w:t>
      </w:r>
      <w:r>
        <w:rPr>
          <w:rFonts w:ascii="Times New Roman" w:hAnsi="Times New Roman"/>
          <w:bCs/>
          <w:sz w:val="24"/>
          <w:szCs w:val="24"/>
        </w:rPr>
        <w:t xml:space="preserve">были </w:t>
      </w:r>
      <w:r w:rsidRPr="00C90DDF">
        <w:rPr>
          <w:rFonts w:ascii="Times New Roman" w:hAnsi="Times New Roman"/>
          <w:bCs/>
          <w:sz w:val="24"/>
          <w:szCs w:val="24"/>
        </w:rPr>
        <w:t xml:space="preserve">снижены на 7%. </w:t>
      </w:r>
    </w:p>
    <w:p w:rsidR="00A61AFF" w:rsidRPr="00C90DDF" w:rsidRDefault="00A61AFF" w:rsidP="00770A9A">
      <w:pPr>
        <w:spacing w:after="0" w:line="240" w:lineRule="auto"/>
        <w:ind w:firstLine="567"/>
        <w:jc w:val="both"/>
        <w:rPr>
          <w:rFonts w:ascii="Times New Roman" w:hAnsi="Times New Roman"/>
          <w:bCs/>
          <w:sz w:val="24"/>
          <w:szCs w:val="24"/>
        </w:rPr>
      </w:pPr>
    </w:p>
    <w:p w:rsidR="00770A9A" w:rsidRPr="004F2770" w:rsidRDefault="00770A9A" w:rsidP="00ED22F4">
      <w:pPr>
        <w:pStyle w:val="a5"/>
        <w:numPr>
          <w:ilvl w:val="0"/>
          <w:numId w:val="4"/>
        </w:numPr>
        <w:tabs>
          <w:tab w:val="left" w:pos="709"/>
          <w:tab w:val="left" w:pos="851"/>
          <w:tab w:val="left" w:pos="993"/>
          <w:tab w:val="left" w:pos="3540"/>
          <w:tab w:val="left" w:pos="4248"/>
          <w:tab w:val="left" w:pos="4956"/>
          <w:tab w:val="left" w:pos="5664"/>
          <w:tab w:val="left" w:pos="6372"/>
          <w:tab w:val="left" w:pos="7080"/>
          <w:tab w:val="left" w:pos="7788"/>
          <w:tab w:val="left" w:pos="8735"/>
        </w:tabs>
        <w:spacing w:after="0" w:line="240" w:lineRule="auto"/>
        <w:ind w:left="709" w:firstLine="0"/>
        <w:jc w:val="both"/>
        <w:rPr>
          <w:rFonts w:ascii="Times New Roman" w:hAnsi="Times New Roman"/>
          <w:b/>
          <w:sz w:val="24"/>
          <w:szCs w:val="24"/>
        </w:rPr>
      </w:pPr>
      <w:r w:rsidRPr="004F2770">
        <w:rPr>
          <w:rFonts w:ascii="Times New Roman" w:hAnsi="Times New Roman"/>
          <w:b/>
          <w:sz w:val="24"/>
          <w:szCs w:val="24"/>
        </w:rPr>
        <w:lastRenderedPageBreak/>
        <w:t>Услуги газоснабжения</w:t>
      </w:r>
    </w:p>
    <w:p w:rsidR="00770A9A" w:rsidRPr="00C90DDF" w:rsidRDefault="00770A9A" w:rsidP="00DC2B8A">
      <w:pPr>
        <w:tabs>
          <w:tab w:val="left" w:pos="567"/>
          <w:tab w:val="left" w:pos="709"/>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sidRPr="00190486">
        <w:rPr>
          <w:rFonts w:ascii="Times New Roman" w:hAnsi="Times New Roman"/>
          <w:sz w:val="24"/>
          <w:szCs w:val="24"/>
          <w:u w:val="single"/>
        </w:rPr>
        <w:t>Тарифы на природный газ, транспортируемый по магистральным трубопроводам, распределительным сетям,</w:t>
      </w:r>
      <w:r w:rsidRPr="00C90DDF">
        <w:rPr>
          <w:rFonts w:ascii="Times New Roman" w:hAnsi="Times New Roman"/>
          <w:sz w:val="24"/>
          <w:szCs w:val="24"/>
        </w:rPr>
        <w:t xml:space="preserve"> по </w:t>
      </w:r>
      <w:r>
        <w:rPr>
          <w:rFonts w:ascii="Times New Roman" w:hAnsi="Times New Roman"/>
          <w:sz w:val="24"/>
          <w:szCs w:val="24"/>
        </w:rPr>
        <w:t xml:space="preserve">следующим </w:t>
      </w:r>
      <w:r w:rsidRPr="00C90DDF">
        <w:rPr>
          <w:rFonts w:ascii="Times New Roman" w:hAnsi="Times New Roman"/>
          <w:sz w:val="24"/>
          <w:szCs w:val="24"/>
        </w:rPr>
        <w:t>категориям потребителей были снижены</w:t>
      </w:r>
      <w:r>
        <w:rPr>
          <w:rFonts w:ascii="Times New Roman" w:hAnsi="Times New Roman"/>
          <w:sz w:val="24"/>
          <w:szCs w:val="24"/>
        </w:rPr>
        <w:t xml:space="preserve">: </w:t>
      </w:r>
    </w:p>
    <w:p w:rsidR="00770A9A" w:rsidRPr="00C90DDF" w:rsidRDefault="00770A9A" w:rsidP="00DC2B8A">
      <w:pPr>
        <w:tabs>
          <w:tab w:val="left" w:pos="567"/>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sidRPr="00C90DDF">
        <w:rPr>
          <w:rFonts w:ascii="Times New Roman" w:hAnsi="Times New Roman"/>
          <w:sz w:val="24"/>
          <w:szCs w:val="24"/>
        </w:rPr>
        <w:t>а) бытовые потребители сельских населенных пунктов (сельских поселений) за объем природного газа, потребленный в пределах лимита – с</w:t>
      </w:r>
      <w:r w:rsidR="00DC2B8A">
        <w:rPr>
          <w:rFonts w:ascii="Times New Roman" w:hAnsi="Times New Roman"/>
          <w:sz w:val="24"/>
          <w:szCs w:val="24"/>
        </w:rPr>
        <w:t xml:space="preserve"> 0,81 руб. за куб. м до </w:t>
      </w:r>
      <w:r w:rsidRPr="00C90DDF">
        <w:rPr>
          <w:rFonts w:ascii="Times New Roman" w:hAnsi="Times New Roman"/>
          <w:sz w:val="24"/>
          <w:szCs w:val="24"/>
        </w:rPr>
        <w:t>0,65 руб. за куб. м (снижение на 19,75%);</w:t>
      </w:r>
    </w:p>
    <w:p w:rsidR="00770A9A"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sidRPr="00C90DDF">
        <w:rPr>
          <w:rFonts w:ascii="Times New Roman" w:hAnsi="Times New Roman"/>
          <w:sz w:val="24"/>
          <w:szCs w:val="24"/>
        </w:rPr>
        <w:t>б) организации, осуществляющие производство мяса</w:t>
      </w:r>
      <w:r>
        <w:rPr>
          <w:rFonts w:ascii="Times New Roman" w:hAnsi="Times New Roman"/>
          <w:sz w:val="24"/>
          <w:szCs w:val="24"/>
        </w:rPr>
        <w:t>,</w:t>
      </w:r>
      <w:r w:rsidRPr="00C90DDF">
        <w:rPr>
          <w:rFonts w:ascii="Times New Roman" w:hAnsi="Times New Roman"/>
          <w:sz w:val="24"/>
          <w:szCs w:val="24"/>
        </w:rPr>
        <w:t xml:space="preserve"> молока, куриных яиц, переработку мясомолочного сырья, в общем объеме дохода от продаж (выручки) </w:t>
      </w:r>
      <w:r>
        <w:rPr>
          <w:rFonts w:ascii="Times New Roman" w:hAnsi="Times New Roman"/>
          <w:sz w:val="24"/>
          <w:szCs w:val="24"/>
        </w:rPr>
        <w:t xml:space="preserve">или в общем объеме произведенной продукции которых доля дохода от продаж (выручки) или доля объема произведенной продукции собственного производства по итогам последнего отчетного периода составляет не менее 50% </w:t>
      </w:r>
      <w:r w:rsidRPr="00C90DDF">
        <w:rPr>
          <w:rFonts w:ascii="Times New Roman" w:hAnsi="Times New Roman"/>
          <w:sz w:val="24"/>
          <w:szCs w:val="24"/>
        </w:rPr>
        <w:t xml:space="preserve">– </w:t>
      </w:r>
      <w:r>
        <w:rPr>
          <w:rFonts w:ascii="Times New Roman" w:hAnsi="Times New Roman"/>
          <w:sz w:val="24"/>
          <w:szCs w:val="24"/>
        </w:rPr>
        <w:t xml:space="preserve">с </w:t>
      </w:r>
      <w:r w:rsidRPr="00C90DDF">
        <w:rPr>
          <w:rFonts w:ascii="Times New Roman" w:hAnsi="Times New Roman"/>
          <w:sz w:val="24"/>
          <w:szCs w:val="24"/>
        </w:rPr>
        <w:t>1 717,16 руб. за 1 тыс. куб. м до 1 308,75 руб. за 1 тыс. куб. м (снижение на 23,78%);</w:t>
      </w:r>
    </w:p>
    <w:p w:rsidR="00770A9A"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sidRPr="00C90DDF">
        <w:rPr>
          <w:rFonts w:ascii="Times New Roman" w:hAnsi="Times New Roman"/>
          <w:sz w:val="24"/>
          <w:szCs w:val="24"/>
        </w:rPr>
        <w:t xml:space="preserve">в) прочие потребители, зарегистрированные в сельском населенном пункте (сельском поселении) и осуществляющие потребление природного газа исключительно в сельском населенном пункте (сельском поселении) – с 2 329,78 руб. за 1 тыс. куб. м </w:t>
      </w:r>
      <w:r>
        <w:rPr>
          <w:rFonts w:ascii="Times New Roman" w:hAnsi="Times New Roman"/>
          <w:sz w:val="24"/>
          <w:szCs w:val="24"/>
        </w:rPr>
        <w:t>до</w:t>
      </w:r>
      <w:r w:rsidRPr="00C90DDF">
        <w:rPr>
          <w:rFonts w:ascii="Times New Roman" w:hAnsi="Times New Roman"/>
          <w:sz w:val="24"/>
          <w:szCs w:val="24"/>
        </w:rPr>
        <w:t xml:space="preserve"> 1 855,69 руб. за 1 тыс. куб. м (снижение на 20,35%).</w:t>
      </w:r>
    </w:p>
    <w:p w:rsidR="00770A9A" w:rsidRDefault="00770A9A" w:rsidP="00DC2B8A">
      <w:pPr>
        <w:tabs>
          <w:tab w:val="left" w:pos="567"/>
          <w:tab w:val="left" w:pos="709"/>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Pr>
          <w:rFonts w:ascii="Times New Roman" w:hAnsi="Times New Roman"/>
          <w:sz w:val="24"/>
          <w:szCs w:val="24"/>
        </w:rPr>
        <w:t xml:space="preserve">По остальным категориям потребителей тарифы на </w:t>
      </w:r>
      <w:r w:rsidRPr="00C90DDF">
        <w:rPr>
          <w:rFonts w:ascii="Times New Roman" w:hAnsi="Times New Roman"/>
          <w:sz w:val="24"/>
          <w:szCs w:val="24"/>
        </w:rPr>
        <w:t xml:space="preserve">природный газ, транспортируемый по магистральным трубопроводам, распределительным сетям, </w:t>
      </w:r>
      <w:r>
        <w:rPr>
          <w:rFonts w:ascii="Times New Roman" w:hAnsi="Times New Roman"/>
          <w:sz w:val="24"/>
          <w:szCs w:val="24"/>
        </w:rPr>
        <w:t>по сравнению с 2015 годом либо не менялись, либо изменились не более, чем на 1%.</w:t>
      </w:r>
    </w:p>
    <w:p w:rsidR="00770A9A" w:rsidRPr="00C90DDF"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b/>
          <w:sz w:val="24"/>
          <w:szCs w:val="24"/>
        </w:rPr>
      </w:pPr>
      <w:r w:rsidRPr="00137213">
        <w:rPr>
          <w:rFonts w:ascii="Times New Roman" w:hAnsi="Times New Roman"/>
          <w:b/>
          <w:sz w:val="24"/>
          <w:szCs w:val="24"/>
        </w:rPr>
        <w:t>2. Услуги в сфере электроэнергетики</w:t>
      </w:r>
    </w:p>
    <w:p w:rsidR="00770A9A" w:rsidRPr="00C90DDF"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sidRPr="00AF482B">
        <w:rPr>
          <w:rFonts w:ascii="Times New Roman" w:hAnsi="Times New Roman"/>
          <w:sz w:val="24"/>
          <w:szCs w:val="24"/>
          <w:u w:val="single"/>
        </w:rPr>
        <w:t>Тарифы на услуги в сфере электроэнергетики</w:t>
      </w:r>
      <w:r w:rsidRPr="00C90DDF">
        <w:rPr>
          <w:rFonts w:ascii="Times New Roman" w:hAnsi="Times New Roman"/>
          <w:sz w:val="24"/>
          <w:szCs w:val="24"/>
        </w:rPr>
        <w:t xml:space="preserve"> по к</w:t>
      </w:r>
      <w:r w:rsidR="00DC2B8A">
        <w:rPr>
          <w:rFonts w:ascii="Times New Roman" w:hAnsi="Times New Roman"/>
          <w:sz w:val="24"/>
          <w:szCs w:val="24"/>
        </w:rPr>
        <w:t xml:space="preserve">атегориям потребителей в </w:t>
      </w:r>
      <w:r w:rsidRPr="00C90DDF">
        <w:rPr>
          <w:rFonts w:ascii="Times New Roman" w:hAnsi="Times New Roman"/>
          <w:sz w:val="24"/>
          <w:szCs w:val="24"/>
        </w:rPr>
        <w:t>2016 году установлены в следующих размерах:</w:t>
      </w:r>
    </w:p>
    <w:p w:rsidR="00770A9A" w:rsidRPr="009C2E5C"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i/>
          <w:sz w:val="24"/>
          <w:szCs w:val="24"/>
        </w:rPr>
      </w:pPr>
      <w:r w:rsidRPr="009C2E5C">
        <w:rPr>
          <w:rFonts w:ascii="Times New Roman" w:hAnsi="Times New Roman"/>
          <w:i/>
          <w:sz w:val="24"/>
          <w:szCs w:val="24"/>
        </w:rPr>
        <w:t>а) организации, осуществляющие производство промышленной и сельскохозяйственной продукции:</w:t>
      </w:r>
    </w:p>
    <w:p w:rsidR="00770A9A" w:rsidRPr="009C2E5C"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sidRPr="00D43CA3">
        <w:rPr>
          <w:rFonts w:ascii="Times New Roman" w:hAnsi="Times New Roman"/>
          <w:sz w:val="24"/>
          <w:szCs w:val="24"/>
        </w:rPr>
        <w:t>- </w:t>
      </w:r>
      <w:r w:rsidRPr="009C2E5C">
        <w:rPr>
          <w:rFonts w:ascii="Times New Roman" w:hAnsi="Times New Roman"/>
          <w:sz w:val="24"/>
          <w:szCs w:val="24"/>
        </w:rPr>
        <w:t xml:space="preserve">присоединенные к передающим </w:t>
      </w:r>
      <w:r>
        <w:rPr>
          <w:rFonts w:ascii="Times New Roman" w:hAnsi="Times New Roman"/>
          <w:sz w:val="24"/>
          <w:szCs w:val="24"/>
        </w:rPr>
        <w:t>и распределите</w:t>
      </w:r>
      <w:r w:rsidR="00DC2B8A">
        <w:rPr>
          <w:rFonts w:ascii="Times New Roman" w:hAnsi="Times New Roman"/>
          <w:sz w:val="24"/>
          <w:szCs w:val="24"/>
        </w:rPr>
        <w:t xml:space="preserve">льным сетям соответственно </w:t>
      </w:r>
      <w:r w:rsidRPr="009C2E5C">
        <w:rPr>
          <w:rFonts w:ascii="Times New Roman" w:hAnsi="Times New Roman"/>
          <w:sz w:val="24"/>
          <w:szCs w:val="24"/>
        </w:rPr>
        <w:t>0,73 руб.</w:t>
      </w:r>
      <w:r>
        <w:rPr>
          <w:rFonts w:ascii="Times New Roman" w:hAnsi="Times New Roman"/>
          <w:sz w:val="24"/>
          <w:szCs w:val="24"/>
        </w:rPr>
        <w:t xml:space="preserve"> и 0,99 руб.</w:t>
      </w:r>
      <w:r w:rsidRPr="009C2E5C">
        <w:rPr>
          <w:rFonts w:ascii="Times New Roman" w:hAnsi="Times New Roman"/>
          <w:sz w:val="24"/>
          <w:szCs w:val="24"/>
        </w:rPr>
        <w:t xml:space="preserve"> за 1 кВт.ч</w:t>
      </w:r>
      <w:r>
        <w:rPr>
          <w:rFonts w:ascii="Times New Roman" w:hAnsi="Times New Roman"/>
          <w:sz w:val="24"/>
          <w:szCs w:val="24"/>
        </w:rPr>
        <w:t xml:space="preserve"> (сохранились на уровне  2015 года)</w:t>
      </w:r>
      <w:r w:rsidRPr="009C2E5C">
        <w:rPr>
          <w:rFonts w:ascii="Times New Roman" w:hAnsi="Times New Roman"/>
          <w:sz w:val="24"/>
          <w:szCs w:val="24"/>
        </w:rPr>
        <w:t>;</w:t>
      </w:r>
    </w:p>
    <w:p w:rsidR="00770A9A" w:rsidRPr="009C2E5C"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i/>
          <w:sz w:val="24"/>
          <w:szCs w:val="24"/>
        </w:rPr>
      </w:pPr>
      <w:r w:rsidRPr="009C2E5C">
        <w:rPr>
          <w:rFonts w:ascii="Times New Roman" w:hAnsi="Times New Roman"/>
          <w:i/>
          <w:sz w:val="24"/>
          <w:szCs w:val="24"/>
        </w:rPr>
        <w:t>б) организации, осуществляющие производство мяса, молока, куриных яиц, и переработку мясомолочного сырья:</w:t>
      </w:r>
    </w:p>
    <w:p w:rsidR="00770A9A" w:rsidRPr="00C90DDF"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Pr>
          <w:rFonts w:ascii="Times New Roman" w:hAnsi="Times New Roman"/>
          <w:sz w:val="24"/>
          <w:szCs w:val="24"/>
        </w:rPr>
        <w:t>-</w:t>
      </w:r>
      <w:r w:rsidRPr="00C90DDF">
        <w:rPr>
          <w:rFonts w:ascii="Times New Roman" w:hAnsi="Times New Roman"/>
          <w:sz w:val="24"/>
          <w:szCs w:val="24"/>
        </w:rPr>
        <w:t xml:space="preserve"> присоединенные к передающим </w:t>
      </w:r>
      <w:r>
        <w:rPr>
          <w:rFonts w:ascii="Times New Roman" w:hAnsi="Times New Roman"/>
          <w:sz w:val="24"/>
          <w:szCs w:val="24"/>
        </w:rPr>
        <w:t xml:space="preserve">и распределительным </w:t>
      </w:r>
      <w:r w:rsidRPr="00C90DDF">
        <w:rPr>
          <w:rFonts w:ascii="Times New Roman" w:hAnsi="Times New Roman"/>
          <w:sz w:val="24"/>
          <w:szCs w:val="24"/>
        </w:rPr>
        <w:t>сетям</w:t>
      </w:r>
      <w:r>
        <w:rPr>
          <w:rFonts w:ascii="Times New Roman" w:hAnsi="Times New Roman"/>
          <w:sz w:val="24"/>
          <w:szCs w:val="24"/>
        </w:rPr>
        <w:t xml:space="preserve"> </w:t>
      </w:r>
      <w:r w:rsidRPr="00C90DDF">
        <w:rPr>
          <w:rFonts w:ascii="Times New Roman" w:hAnsi="Times New Roman"/>
          <w:sz w:val="24"/>
          <w:szCs w:val="24"/>
        </w:rPr>
        <w:t>0,</w:t>
      </w:r>
      <w:r>
        <w:rPr>
          <w:rFonts w:ascii="Times New Roman" w:hAnsi="Times New Roman"/>
          <w:sz w:val="24"/>
          <w:szCs w:val="24"/>
        </w:rPr>
        <w:t>60</w:t>
      </w:r>
      <w:r w:rsidRPr="00C90DDF">
        <w:rPr>
          <w:rFonts w:ascii="Times New Roman" w:hAnsi="Times New Roman"/>
          <w:sz w:val="24"/>
          <w:szCs w:val="24"/>
        </w:rPr>
        <w:t xml:space="preserve"> руб. </w:t>
      </w:r>
      <w:r>
        <w:rPr>
          <w:rFonts w:ascii="Times New Roman" w:hAnsi="Times New Roman"/>
          <w:sz w:val="24"/>
          <w:szCs w:val="24"/>
        </w:rPr>
        <w:t xml:space="preserve">и 0,86 руб. </w:t>
      </w:r>
      <w:r w:rsidRPr="00C90DDF">
        <w:rPr>
          <w:rFonts w:ascii="Times New Roman" w:hAnsi="Times New Roman"/>
          <w:sz w:val="24"/>
          <w:szCs w:val="24"/>
        </w:rPr>
        <w:t>за 1</w:t>
      </w:r>
      <w:r w:rsidR="00DC2B8A">
        <w:rPr>
          <w:rFonts w:ascii="Times New Roman" w:hAnsi="Times New Roman"/>
          <w:sz w:val="24"/>
          <w:szCs w:val="24"/>
        </w:rPr>
        <w:t> </w:t>
      </w:r>
      <w:r w:rsidRPr="00C90DDF">
        <w:rPr>
          <w:rFonts w:ascii="Times New Roman" w:hAnsi="Times New Roman"/>
          <w:sz w:val="24"/>
          <w:szCs w:val="24"/>
        </w:rPr>
        <w:t>кВт.ч</w:t>
      </w:r>
      <w:r>
        <w:rPr>
          <w:rFonts w:ascii="Times New Roman" w:hAnsi="Times New Roman"/>
          <w:sz w:val="24"/>
          <w:szCs w:val="24"/>
        </w:rPr>
        <w:t xml:space="preserve"> (снижение на 20,0% и на 14,0% соответственно)</w:t>
      </w:r>
      <w:r w:rsidRPr="00C90DDF">
        <w:rPr>
          <w:rFonts w:ascii="Times New Roman" w:hAnsi="Times New Roman"/>
          <w:sz w:val="24"/>
          <w:szCs w:val="24"/>
        </w:rPr>
        <w:t>;</w:t>
      </w:r>
    </w:p>
    <w:p w:rsidR="00770A9A"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i/>
          <w:sz w:val="24"/>
          <w:szCs w:val="24"/>
        </w:rPr>
      </w:pPr>
      <w:r w:rsidRPr="00B144D7">
        <w:rPr>
          <w:rFonts w:ascii="Times New Roman" w:hAnsi="Times New Roman"/>
          <w:i/>
          <w:sz w:val="24"/>
          <w:szCs w:val="24"/>
        </w:rPr>
        <w:t>в) </w:t>
      </w:r>
      <w:r>
        <w:rPr>
          <w:rFonts w:ascii="Times New Roman" w:hAnsi="Times New Roman"/>
          <w:i/>
          <w:sz w:val="24"/>
          <w:szCs w:val="24"/>
        </w:rPr>
        <w:t xml:space="preserve">государственные </w:t>
      </w:r>
      <w:r w:rsidRPr="00B144D7">
        <w:rPr>
          <w:rFonts w:ascii="Times New Roman" w:hAnsi="Times New Roman"/>
          <w:i/>
          <w:sz w:val="24"/>
          <w:szCs w:val="24"/>
        </w:rPr>
        <w:t>коммерческие организации:</w:t>
      </w:r>
    </w:p>
    <w:p w:rsidR="00770A9A" w:rsidRPr="00C90DDF"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Pr>
          <w:rFonts w:ascii="Times New Roman" w:hAnsi="Times New Roman"/>
          <w:sz w:val="24"/>
          <w:szCs w:val="24"/>
        </w:rPr>
        <w:t>-</w:t>
      </w:r>
      <w:r w:rsidRPr="00C90DDF">
        <w:rPr>
          <w:rFonts w:ascii="Times New Roman" w:hAnsi="Times New Roman"/>
          <w:sz w:val="24"/>
          <w:szCs w:val="24"/>
        </w:rPr>
        <w:t> присоединенные к передающим</w:t>
      </w:r>
      <w:r>
        <w:rPr>
          <w:rFonts w:ascii="Times New Roman" w:hAnsi="Times New Roman"/>
          <w:sz w:val="24"/>
          <w:szCs w:val="24"/>
        </w:rPr>
        <w:t xml:space="preserve"> и распределительным </w:t>
      </w:r>
      <w:r w:rsidRPr="00C90DDF">
        <w:rPr>
          <w:rFonts w:ascii="Times New Roman" w:hAnsi="Times New Roman"/>
          <w:sz w:val="24"/>
          <w:szCs w:val="24"/>
        </w:rPr>
        <w:t xml:space="preserve">сетям </w:t>
      </w:r>
      <w:r w:rsidR="00DC2B8A">
        <w:rPr>
          <w:rFonts w:ascii="Times New Roman" w:hAnsi="Times New Roman"/>
          <w:sz w:val="24"/>
          <w:szCs w:val="24"/>
        </w:rPr>
        <w:t xml:space="preserve">соответственно </w:t>
      </w:r>
      <w:r w:rsidRPr="00C90DDF">
        <w:rPr>
          <w:rFonts w:ascii="Times New Roman" w:hAnsi="Times New Roman"/>
          <w:sz w:val="24"/>
          <w:szCs w:val="24"/>
        </w:rPr>
        <w:t>0,</w:t>
      </w:r>
      <w:r>
        <w:rPr>
          <w:rFonts w:ascii="Times New Roman" w:hAnsi="Times New Roman"/>
          <w:sz w:val="24"/>
          <w:szCs w:val="24"/>
        </w:rPr>
        <w:t>66</w:t>
      </w:r>
      <w:r w:rsidRPr="00C90DDF">
        <w:rPr>
          <w:rFonts w:ascii="Times New Roman" w:hAnsi="Times New Roman"/>
          <w:sz w:val="24"/>
          <w:szCs w:val="24"/>
        </w:rPr>
        <w:t xml:space="preserve"> руб. </w:t>
      </w:r>
      <w:r>
        <w:rPr>
          <w:rFonts w:ascii="Times New Roman" w:hAnsi="Times New Roman"/>
          <w:sz w:val="24"/>
          <w:szCs w:val="24"/>
        </w:rPr>
        <w:t xml:space="preserve"> и 0,92 руб. </w:t>
      </w:r>
      <w:r w:rsidRPr="00C90DDF">
        <w:rPr>
          <w:rFonts w:ascii="Times New Roman" w:hAnsi="Times New Roman"/>
          <w:sz w:val="24"/>
          <w:szCs w:val="24"/>
        </w:rPr>
        <w:t>за 1 кВт.ч</w:t>
      </w:r>
      <w:r>
        <w:rPr>
          <w:rFonts w:ascii="Times New Roman" w:hAnsi="Times New Roman"/>
          <w:sz w:val="24"/>
          <w:szCs w:val="24"/>
        </w:rPr>
        <w:t xml:space="preserve"> (сохранились на уровне  2015 года)</w:t>
      </w:r>
      <w:r w:rsidRPr="009C2E5C">
        <w:rPr>
          <w:rFonts w:ascii="Times New Roman" w:hAnsi="Times New Roman"/>
          <w:sz w:val="24"/>
          <w:szCs w:val="24"/>
        </w:rPr>
        <w:t>;</w:t>
      </w:r>
    </w:p>
    <w:p w:rsidR="00770A9A"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i/>
          <w:sz w:val="24"/>
          <w:szCs w:val="24"/>
        </w:rPr>
      </w:pPr>
      <w:r w:rsidRPr="00B144D7">
        <w:rPr>
          <w:rFonts w:ascii="Times New Roman" w:hAnsi="Times New Roman"/>
          <w:i/>
          <w:sz w:val="24"/>
          <w:szCs w:val="24"/>
        </w:rPr>
        <w:t>г) </w:t>
      </w:r>
      <w:r>
        <w:rPr>
          <w:rFonts w:ascii="Times New Roman" w:hAnsi="Times New Roman"/>
          <w:i/>
          <w:sz w:val="24"/>
          <w:szCs w:val="24"/>
        </w:rPr>
        <w:t>муниципальные коммерческие организации:</w:t>
      </w:r>
    </w:p>
    <w:p w:rsidR="00770A9A" w:rsidRPr="00C90DDF"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Pr>
          <w:rFonts w:ascii="Times New Roman" w:hAnsi="Times New Roman"/>
          <w:i/>
          <w:sz w:val="24"/>
          <w:szCs w:val="24"/>
        </w:rPr>
        <w:t>-</w:t>
      </w:r>
      <w:r w:rsidRPr="00C90DDF">
        <w:rPr>
          <w:rFonts w:ascii="Times New Roman" w:hAnsi="Times New Roman"/>
          <w:sz w:val="24"/>
          <w:szCs w:val="24"/>
        </w:rPr>
        <w:t xml:space="preserve"> присоединенные к передающим </w:t>
      </w:r>
      <w:r>
        <w:rPr>
          <w:rFonts w:ascii="Times New Roman" w:hAnsi="Times New Roman"/>
          <w:sz w:val="24"/>
          <w:szCs w:val="24"/>
        </w:rPr>
        <w:t xml:space="preserve">и распределительным </w:t>
      </w:r>
      <w:r w:rsidRPr="00C90DDF">
        <w:rPr>
          <w:rFonts w:ascii="Times New Roman" w:hAnsi="Times New Roman"/>
          <w:sz w:val="24"/>
          <w:szCs w:val="24"/>
        </w:rPr>
        <w:t xml:space="preserve">сетям </w:t>
      </w:r>
      <w:r w:rsidR="00DC2B8A">
        <w:rPr>
          <w:rFonts w:ascii="Times New Roman" w:hAnsi="Times New Roman"/>
          <w:sz w:val="24"/>
          <w:szCs w:val="24"/>
        </w:rPr>
        <w:t>соответственно</w:t>
      </w:r>
      <w:r>
        <w:rPr>
          <w:rFonts w:ascii="Times New Roman" w:hAnsi="Times New Roman"/>
          <w:sz w:val="24"/>
          <w:szCs w:val="24"/>
        </w:rPr>
        <w:t xml:space="preserve"> </w:t>
      </w:r>
      <w:r w:rsidRPr="00C90DDF">
        <w:rPr>
          <w:rFonts w:ascii="Times New Roman" w:hAnsi="Times New Roman"/>
          <w:sz w:val="24"/>
          <w:szCs w:val="24"/>
        </w:rPr>
        <w:t>0,</w:t>
      </w:r>
      <w:r>
        <w:rPr>
          <w:rFonts w:ascii="Times New Roman" w:hAnsi="Times New Roman"/>
          <w:sz w:val="24"/>
          <w:szCs w:val="24"/>
        </w:rPr>
        <w:t>75</w:t>
      </w:r>
      <w:r w:rsidRPr="00C90DDF">
        <w:rPr>
          <w:rFonts w:ascii="Times New Roman" w:hAnsi="Times New Roman"/>
          <w:sz w:val="24"/>
          <w:szCs w:val="24"/>
        </w:rPr>
        <w:t xml:space="preserve"> руб. </w:t>
      </w:r>
      <w:r>
        <w:rPr>
          <w:rFonts w:ascii="Times New Roman" w:hAnsi="Times New Roman"/>
          <w:sz w:val="24"/>
          <w:szCs w:val="24"/>
        </w:rPr>
        <w:t xml:space="preserve"> и 1,01 руб. з</w:t>
      </w:r>
      <w:r w:rsidRPr="00C90DDF">
        <w:rPr>
          <w:rFonts w:ascii="Times New Roman" w:hAnsi="Times New Roman"/>
          <w:sz w:val="24"/>
          <w:szCs w:val="24"/>
        </w:rPr>
        <w:t>а 1 кВт.ч</w:t>
      </w:r>
      <w:r>
        <w:rPr>
          <w:rFonts w:ascii="Times New Roman" w:hAnsi="Times New Roman"/>
          <w:sz w:val="24"/>
          <w:szCs w:val="24"/>
        </w:rPr>
        <w:t xml:space="preserve"> (сохранились на уровне 2015 года)</w:t>
      </w:r>
      <w:r w:rsidRPr="00C90DDF">
        <w:rPr>
          <w:rFonts w:ascii="Times New Roman" w:hAnsi="Times New Roman"/>
          <w:sz w:val="24"/>
          <w:szCs w:val="24"/>
        </w:rPr>
        <w:t>;</w:t>
      </w:r>
    </w:p>
    <w:p w:rsidR="00770A9A" w:rsidRPr="00C90DDF"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sidRPr="00366957">
        <w:rPr>
          <w:rFonts w:ascii="Times New Roman" w:hAnsi="Times New Roman"/>
          <w:i/>
          <w:sz w:val="24"/>
          <w:szCs w:val="24"/>
        </w:rPr>
        <w:t>д)</w:t>
      </w:r>
      <w:r>
        <w:rPr>
          <w:rFonts w:ascii="Times New Roman" w:hAnsi="Times New Roman"/>
          <w:sz w:val="24"/>
          <w:szCs w:val="24"/>
        </w:rPr>
        <w:t xml:space="preserve"> </w:t>
      </w:r>
      <w:r w:rsidRPr="00B144D7">
        <w:rPr>
          <w:rFonts w:ascii="Times New Roman" w:hAnsi="Times New Roman"/>
          <w:i/>
          <w:sz w:val="24"/>
          <w:szCs w:val="24"/>
        </w:rPr>
        <w:t> организации и учреждения, финансируемые из бюджетов всех уровней</w:t>
      </w:r>
      <w:r w:rsidRPr="00C90DDF">
        <w:rPr>
          <w:rFonts w:ascii="Times New Roman" w:hAnsi="Times New Roman"/>
          <w:sz w:val="24"/>
          <w:szCs w:val="24"/>
        </w:rPr>
        <w:t xml:space="preserve"> – 0,57 руб. за 1 кВт.ч</w:t>
      </w:r>
      <w:r>
        <w:rPr>
          <w:rFonts w:ascii="Times New Roman" w:hAnsi="Times New Roman"/>
          <w:sz w:val="24"/>
          <w:szCs w:val="24"/>
        </w:rPr>
        <w:t xml:space="preserve"> (сохранились на уровне 2015 года)</w:t>
      </w:r>
      <w:r w:rsidRPr="00C90DDF">
        <w:rPr>
          <w:rFonts w:ascii="Times New Roman" w:hAnsi="Times New Roman"/>
          <w:sz w:val="24"/>
          <w:szCs w:val="24"/>
        </w:rPr>
        <w:t>;</w:t>
      </w:r>
    </w:p>
    <w:p w:rsidR="00770A9A" w:rsidRPr="00C90DDF"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sidRPr="000260E0">
        <w:rPr>
          <w:rFonts w:ascii="Times New Roman" w:hAnsi="Times New Roman"/>
          <w:i/>
          <w:sz w:val="24"/>
          <w:szCs w:val="24"/>
        </w:rPr>
        <w:t>е) организации городского электрического транспорта</w:t>
      </w:r>
      <w:r w:rsidRPr="000260E0">
        <w:rPr>
          <w:rFonts w:ascii="Times New Roman" w:hAnsi="Times New Roman"/>
          <w:sz w:val="24"/>
          <w:szCs w:val="24"/>
        </w:rPr>
        <w:t xml:space="preserve"> – 0,58 руб. за 1 кВт.ч</w:t>
      </w:r>
      <w:r>
        <w:rPr>
          <w:rFonts w:ascii="Times New Roman" w:hAnsi="Times New Roman"/>
          <w:sz w:val="24"/>
          <w:szCs w:val="24"/>
        </w:rPr>
        <w:t xml:space="preserve"> (сохранились на уровне 2015 года)</w:t>
      </w:r>
      <w:r w:rsidRPr="000260E0">
        <w:rPr>
          <w:rFonts w:ascii="Times New Roman" w:hAnsi="Times New Roman"/>
          <w:sz w:val="24"/>
          <w:szCs w:val="24"/>
        </w:rPr>
        <w:t>;</w:t>
      </w:r>
    </w:p>
    <w:p w:rsidR="00770A9A" w:rsidRPr="0000128E"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i/>
          <w:sz w:val="24"/>
          <w:szCs w:val="24"/>
        </w:rPr>
      </w:pPr>
      <w:r w:rsidRPr="0000128E">
        <w:rPr>
          <w:rFonts w:ascii="Times New Roman" w:hAnsi="Times New Roman"/>
          <w:i/>
          <w:sz w:val="24"/>
          <w:szCs w:val="24"/>
        </w:rPr>
        <w:t>ж) население на бытовые нужды:</w:t>
      </w:r>
    </w:p>
    <w:p w:rsidR="00770A9A" w:rsidRPr="00C90DDF"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sidRPr="00C90DDF">
        <w:rPr>
          <w:rFonts w:ascii="Times New Roman" w:hAnsi="Times New Roman"/>
          <w:sz w:val="24"/>
          <w:szCs w:val="24"/>
        </w:rPr>
        <w:t xml:space="preserve">1) за объем электрической энергии, потребленный в пределах установленного лимита в месяц </w:t>
      </w:r>
      <w:r>
        <w:rPr>
          <w:rFonts w:ascii="Times New Roman" w:hAnsi="Times New Roman"/>
          <w:sz w:val="24"/>
          <w:szCs w:val="24"/>
        </w:rPr>
        <w:t xml:space="preserve">в сельских населенных пунктах </w:t>
      </w:r>
      <w:r w:rsidRPr="00C90DDF">
        <w:rPr>
          <w:rFonts w:ascii="Times New Roman" w:hAnsi="Times New Roman"/>
          <w:sz w:val="24"/>
          <w:szCs w:val="24"/>
        </w:rPr>
        <w:t>0,46 руб. за 1 кВт.ч</w:t>
      </w:r>
      <w:r w:rsidR="00DC2B8A">
        <w:rPr>
          <w:rFonts w:ascii="Times New Roman" w:hAnsi="Times New Roman"/>
          <w:sz w:val="24"/>
          <w:szCs w:val="24"/>
        </w:rPr>
        <w:t xml:space="preserve"> (снижение на 13,2%), </w:t>
      </w:r>
      <w:r>
        <w:rPr>
          <w:rFonts w:ascii="Times New Roman" w:hAnsi="Times New Roman"/>
          <w:sz w:val="24"/>
          <w:szCs w:val="24"/>
        </w:rPr>
        <w:t xml:space="preserve">в городских населенных пунктах </w:t>
      </w:r>
      <w:r w:rsidRPr="00C90DDF">
        <w:rPr>
          <w:rFonts w:ascii="Times New Roman" w:hAnsi="Times New Roman"/>
          <w:sz w:val="24"/>
          <w:szCs w:val="24"/>
        </w:rPr>
        <w:t>0,53 руб. за 1 кВт.ч</w:t>
      </w:r>
      <w:r>
        <w:rPr>
          <w:rFonts w:ascii="Times New Roman" w:hAnsi="Times New Roman"/>
          <w:sz w:val="24"/>
          <w:szCs w:val="24"/>
        </w:rPr>
        <w:t xml:space="preserve"> (сохранились на уровне 2015 года)</w:t>
      </w:r>
      <w:r w:rsidRPr="00C90DDF">
        <w:rPr>
          <w:rFonts w:ascii="Times New Roman" w:hAnsi="Times New Roman"/>
          <w:sz w:val="24"/>
          <w:szCs w:val="24"/>
        </w:rPr>
        <w:t>;</w:t>
      </w:r>
    </w:p>
    <w:p w:rsidR="00770A9A" w:rsidRPr="00C90DDF"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sidRPr="00C90DDF">
        <w:rPr>
          <w:rFonts w:ascii="Times New Roman" w:hAnsi="Times New Roman"/>
          <w:sz w:val="24"/>
          <w:szCs w:val="24"/>
        </w:rPr>
        <w:t>2) за объем электрической энергии, потребленный свыше установленного лимита –  0,72 руб. за 1 кВт.ч;</w:t>
      </w:r>
    </w:p>
    <w:p w:rsidR="00770A9A" w:rsidRPr="00C90DDF"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sidRPr="00F123EB">
        <w:rPr>
          <w:rFonts w:ascii="Times New Roman" w:hAnsi="Times New Roman"/>
          <w:i/>
          <w:sz w:val="24"/>
          <w:szCs w:val="24"/>
        </w:rPr>
        <w:t>з)</w:t>
      </w:r>
      <w:r w:rsidRPr="006563F4">
        <w:rPr>
          <w:rFonts w:ascii="Times New Roman" w:hAnsi="Times New Roman"/>
          <w:i/>
          <w:sz w:val="24"/>
          <w:szCs w:val="24"/>
        </w:rPr>
        <w:t> организации, осуществляющие управление многоквартирным жилым домом (общежитием), товарищества собственников жилья, жилищные и жилищно-строительные кооперативы (на общедомовые нужды в жилищном фонде</w:t>
      </w:r>
      <w:r w:rsidRPr="00C90DDF">
        <w:rPr>
          <w:rFonts w:ascii="Times New Roman" w:hAnsi="Times New Roman"/>
          <w:sz w:val="24"/>
          <w:szCs w:val="24"/>
        </w:rPr>
        <w:t>) – 0,72 руб. за 1</w:t>
      </w:r>
      <w:r w:rsidR="00DC2B8A">
        <w:rPr>
          <w:rFonts w:ascii="Times New Roman" w:hAnsi="Times New Roman"/>
          <w:sz w:val="24"/>
          <w:szCs w:val="24"/>
        </w:rPr>
        <w:t> </w:t>
      </w:r>
      <w:r w:rsidRPr="00C90DDF">
        <w:rPr>
          <w:rFonts w:ascii="Times New Roman" w:hAnsi="Times New Roman"/>
          <w:sz w:val="24"/>
          <w:szCs w:val="24"/>
        </w:rPr>
        <w:t>кВт.ч</w:t>
      </w:r>
      <w:r>
        <w:rPr>
          <w:rFonts w:ascii="Times New Roman" w:hAnsi="Times New Roman"/>
          <w:sz w:val="24"/>
          <w:szCs w:val="24"/>
        </w:rPr>
        <w:t xml:space="preserve"> (сохранились на уровне 2015 года)</w:t>
      </w:r>
      <w:r w:rsidRPr="00C90DDF">
        <w:rPr>
          <w:rFonts w:ascii="Times New Roman" w:hAnsi="Times New Roman"/>
          <w:sz w:val="24"/>
          <w:szCs w:val="24"/>
        </w:rPr>
        <w:t>;</w:t>
      </w:r>
    </w:p>
    <w:p w:rsidR="00770A9A" w:rsidRPr="00C90DDF"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Pr>
          <w:rFonts w:ascii="Times New Roman" w:hAnsi="Times New Roman"/>
          <w:sz w:val="24"/>
          <w:szCs w:val="24"/>
        </w:rPr>
        <w:t>и</w:t>
      </w:r>
      <w:r w:rsidRPr="006563F4">
        <w:rPr>
          <w:rFonts w:ascii="Times New Roman" w:hAnsi="Times New Roman"/>
          <w:i/>
          <w:sz w:val="24"/>
          <w:szCs w:val="24"/>
        </w:rPr>
        <w:t>)</w:t>
      </w:r>
      <w:r w:rsidR="00DC2B8A">
        <w:rPr>
          <w:rFonts w:ascii="Times New Roman" w:hAnsi="Times New Roman"/>
          <w:i/>
          <w:sz w:val="24"/>
          <w:szCs w:val="24"/>
        </w:rPr>
        <w:t xml:space="preserve"> </w:t>
      </w:r>
      <w:r w:rsidRPr="006563F4">
        <w:rPr>
          <w:rFonts w:ascii="Times New Roman" w:hAnsi="Times New Roman"/>
          <w:i/>
          <w:sz w:val="24"/>
          <w:szCs w:val="24"/>
        </w:rPr>
        <w:t>прочие потребители</w:t>
      </w:r>
      <w:r>
        <w:rPr>
          <w:rFonts w:ascii="Times New Roman" w:hAnsi="Times New Roman"/>
          <w:i/>
          <w:sz w:val="24"/>
          <w:szCs w:val="24"/>
        </w:rPr>
        <w:t xml:space="preserve"> сельских населенных пунктов</w:t>
      </w:r>
      <w:r w:rsidRPr="00C90DDF">
        <w:rPr>
          <w:rFonts w:ascii="Times New Roman" w:hAnsi="Times New Roman"/>
          <w:sz w:val="24"/>
          <w:szCs w:val="24"/>
        </w:rPr>
        <w:t>:</w:t>
      </w:r>
    </w:p>
    <w:p w:rsidR="00770A9A" w:rsidRPr="00C90DDF"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Pr>
          <w:rFonts w:ascii="Times New Roman" w:hAnsi="Times New Roman"/>
          <w:sz w:val="24"/>
          <w:szCs w:val="24"/>
        </w:rPr>
        <w:t>-</w:t>
      </w:r>
      <w:r w:rsidR="00DC2B8A">
        <w:rPr>
          <w:rFonts w:ascii="Times New Roman" w:hAnsi="Times New Roman"/>
          <w:sz w:val="24"/>
          <w:szCs w:val="24"/>
        </w:rPr>
        <w:t xml:space="preserve"> </w:t>
      </w:r>
      <w:r w:rsidRPr="00C90DDF">
        <w:rPr>
          <w:rFonts w:ascii="Times New Roman" w:hAnsi="Times New Roman"/>
          <w:sz w:val="24"/>
          <w:szCs w:val="24"/>
        </w:rPr>
        <w:t xml:space="preserve">присоединенные к передающим </w:t>
      </w:r>
      <w:r>
        <w:rPr>
          <w:rFonts w:ascii="Times New Roman" w:hAnsi="Times New Roman"/>
          <w:sz w:val="24"/>
          <w:szCs w:val="24"/>
        </w:rPr>
        <w:t xml:space="preserve">и распределительным </w:t>
      </w:r>
      <w:r w:rsidRPr="00C90DDF">
        <w:rPr>
          <w:rFonts w:ascii="Times New Roman" w:hAnsi="Times New Roman"/>
          <w:sz w:val="24"/>
          <w:szCs w:val="24"/>
        </w:rPr>
        <w:t>сетям</w:t>
      </w:r>
      <w:r>
        <w:rPr>
          <w:rFonts w:ascii="Times New Roman" w:hAnsi="Times New Roman"/>
          <w:sz w:val="24"/>
          <w:szCs w:val="24"/>
        </w:rPr>
        <w:t xml:space="preserve"> </w:t>
      </w:r>
      <w:r w:rsidRPr="00C90DDF">
        <w:rPr>
          <w:rFonts w:ascii="Times New Roman" w:hAnsi="Times New Roman"/>
          <w:sz w:val="24"/>
          <w:szCs w:val="24"/>
        </w:rPr>
        <w:t>0,59 руб.</w:t>
      </w:r>
      <w:r>
        <w:rPr>
          <w:rFonts w:ascii="Times New Roman" w:hAnsi="Times New Roman"/>
          <w:sz w:val="24"/>
          <w:szCs w:val="24"/>
        </w:rPr>
        <w:t xml:space="preserve"> и 0,85 руб. </w:t>
      </w:r>
      <w:r w:rsidRPr="00C90DDF">
        <w:rPr>
          <w:rFonts w:ascii="Times New Roman" w:hAnsi="Times New Roman"/>
          <w:sz w:val="24"/>
          <w:szCs w:val="24"/>
        </w:rPr>
        <w:t>за 1</w:t>
      </w:r>
      <w:r w:rsidR="00DC2B8A">
        <w:rPr>
          <w:rFonts w:ascii="Times New Roman" w:hAnsi="Times New Roman"/>
          <w:sz w:val="24"/>
          <w:szCs w:val="24"/>
        </w:rPr>
        <w:t> </w:t>
      </w:r>
      <w:r w:rsidRPr="00C90DDF">
        <w:rPr>
          <w:rFonts w:ascii="Times New Roman" w:hAnsi="Times New Roman"/>
          <w:sz w:val="24"/>
          <w:szCs w:val="24"/>
        </w:rPr>
        <w:t>кВт.ч</w:t>
      </w:r>
      <w:r>
        <w:rPr>
          <w:rFonts w:ascii="Times New Roman" w:hAnsi="Times New Roman"/>
          <w:sz w:val="24"/>
          <w:szCs w:val="24"/>
        </w:rPr>
        <w:t xml:space="preserve"> (снижение на 37,0% и на 28,0% соответственно)</w:t>
      </w:r>
      <w:r w:rsidRPr="00C90DDF">
        <w:rPr>
          <w:rFonts w:ascii="Times New Roman" w:hAnsi="Times New Roman"/>
          <w:sz w:val="24"/>
          <w:szCs w:val="24"/>
        </w:rPr>
        <w:t>;</w:t>
      </w:r>
    </w:p>
    <w:p w:rsidR="00770A9A"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Pr>
          <w:rFonts w:ascii="Times New Roman" w:hAnsi="Times New Roman"/>
          <w:sz w:val="24"/>
          <w:szCs w:val="24"/>
        </w:rPr>
        <w:t>к)</w:t>
      </w:r>
      <w:r w:rsidRPr="00C90DDF">
        <w:rPr>
          <w:rFonts w:ascii="Times New Roman" w:hAnsi="Times New Roman"/>
          <w:sz w:val="24"/>
          <w:szCs w:val="24"/>
        </w:rPr>
        <w:t xml:space="preserve"> </w:t>
      </w:r>
      <w:r w:rsidRPr="006563F4">
        <w:rPr>
          <w:rFonts w:ascii="Times New Roman" w:hAnsi="Times New Roman"/>
          <w:i/>
          <w:sz w:val="24"/>
          <w:szCs w:val="24"/>
        </w:rPr>
        <w:t>прочие потребители</w:t>
      </w:r>
      <w:r>
        <w:rPr>
          <w:rFonts w:ascii="Times New Roman" w:hAnsi="Times New Roman"/>
          <w:i/>
          <w:sz w:val="24"/>
          <w:szCs w:val="24"/>
        </w:rPr>
        <w:t>:</w:t>
      </w:r>
    </w:p>
    <w:p w:rsidR="00770A9A" w:rsidRPr="00C90DDF" w:rsidRDefault="00770A9A" w:rsidP="00DC2B8A">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w:t>
      </w:r>
      <w:r w:rsidR="00DC2B8A">
        <w:rPr>
          <w:rFonts w:ascii="Times New Roman" w:hAnsi="Times New Roman"/>
          <w:sz w:val="24"/>
          <w:szCs w:val="24"/>
        </w:rPr>
        <w:t xml:space="preserve"> </w:t>
      </w:r>
      <w:r w:rsidRPr="00C90DDF">
        <w:rPr>
          <w:rFonts w:ascii="Times New Roman" w:hAnsi="Times New Roman"/>
          <w:sz w:val="24"/>
          <w:szCs w:val="24"/>
        </w:rPr>
        <w:t xml:space="preserve">присоединенные к передающим </w:t>
      </w:r>
      <w:r>
        <w:rPr>
          <w:rFonts w:ascii="Times New Roman" w:hAnsi="Times New Roman"/>
          <w:sz w:val="24"/>
          <w:szCs w:val="24"/>
        </w:rPr>
        <w:t xml:space="preserve">и распределительным </w:t>
      </w:r>
      <w:r w:rsidRPr="00C90DDF">
        <w:rPr>
          <w:rFonts w:ascii="Times New Roman" w:hAnsi="Times New Roman"/>
          <w:sz w:val="24"/>
          <w:szCs w:val="24"/>
        </w:rPr>
        <w:t>сетям 0,</w:t>
      </w:r>
      <w:r>
        <w:rPr>
          <w:rFonts w:ascii="Times New Roman" w:hAnsi="Times New Roman"/>
          <w:sz w:val="24"/>
          <w:szCs w:val="24"/>
        </w:rPr>
        <w:t>80</w:t>
      </w:r>
      <w:r w:rsidRPr="00C90DDF">
        <w:rPr>
          <w:rFonts w:ascii="Times New Roman" w:hAnsi="Times New Roman"/>
          <w:sz w:val="24"/>
          <w:szCs w:val="24"/>
        </w:rPr>
        <w:t xml:space="preserve"> руб.</w:t>
      </w:r>
      <w:r>
        <w:rPr>
          <w:rFonts w:ascii="Times New Roman" w:hAnsi="Times New Roman"/>
          <w:sz w:val="24"/>
          <w:szCs w:val="24"/>
        </w:rPr>
        <w:t xml:space="preserve"> и 1,06 руб.</w:t>
      </w:r>
      <w:r w:rsidRPr="00C90DDF">
        <w:rPr>
          <w:rFonts w:ascii="Times New Roman" w:hAnsi="Times New Roman"/>
          <w:sz w:val="24"/>
          <w:szCs w:val="24"/>
        </w:rPr>
        <w:t xml:space="preserve"> за 1</w:t>
      </w:r>
      <w:r w:rsidR="00DC2B8A">
        <w:rPr>
          <w:rFonts w:ascii="Times New Roman" w:hAnsi="Times New Roman"/>
          <w:sz w:val="24"/>
          <w:szCs w:val="24"/>
        </w:rPr>
        <w:t> </w:t>
      </w:r>
      <w:r w:rsidRPr="00C90DDF">
        <w:rPr>
          <w:rFonts w:ascii="Times New Roman" w:hAnsi="Times New Roman"/>
          <w:sz w:val="24"/>
          <w:szCs w:val="24"/>
        </w:rPr>
        <w:t>кВт.ч</w:t>
      </w:r>
      <w:r>
        <w:rPr>
          <w:rFonts w:ascii="Times New Roman" w:hAnsi="Times New Roman"/>
          <w:sz w:val="24"/>
          <w:szCs w:val="24"/>
        </w:rPr>
        <w:t xml:space="preserve"> (снижение на 15,0% и на 11,0% соответственно).</w:t>
      </w:r>
    </w:p>
    <w:p w:rsidR="00770A9A" w:rsidRPr="002C0EF6" w:rsidRDefault="00DC2B8A" w:rsidP="00DC2B8A">
      <w:pPr>
        <w:tabs>
          <w:tab w:val="left" w:pos="567"/>
          <w:tab w:val="left" w:pos="993"/>
          <w:tab w:val="left" w:pos="1276"/>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b/>
          <w:sz w:val="24"/>
          <w:szCs w:val="24"/>
        </w:rPr>
      </w:pPr>
      <w:r>
        <w:rPr>
          <w:rFonts w:ascii="Times New Roman" w:hAnsi="Times New Roman"/>
          <w:b/>
          <w:sz w:val="24"/>
          <w:szCs w:val="24"/>
        </w:rPr>
        <w:t>3. У</w:t>
      </w:r>
      <w:r w:rsidR="00770A9A" w:rsidRPr="005765A7">
        <w:rPr>
          <w:rFonts w:ascii="Times New Roman" w:hAnsi="Times New Roman"/>
          <w:b/>
          <w:sz w:val="24"/>
          <w:szCs w:val="24"/>
        </w:rPr>
        <w:t>слуги</w:t>
      </w:r>
      <w:r w:rsidR="00770A9A" w:rsidRPr="002C0EF6">
        <w:rPr>
          <w:rFonts w:ascii="Times New Roman" w:hAnsi="Times New Roman"/>
          <w:b/>
          <w:sz w:val="24"/>
          <w:szCs w:val="24"/>
        </w:rPr>
        <w:t xml:space="preserve"> по снабжению тепловой энергией (отопление и подогрев воды)</w:t>
      </w:r>
    </w:p>
    <w:p w:rsidR="00770A9A" w:rsidRPr="00ED5180" w:rsidRDefault="00770A9A" w:rsidP="00770A9A">
      <w:pPr>
        <w:widowControl w:val="0"/>
        <w:spacing w:after="0" w:line="240" w:lineRule="auto"/>
        <w:ind w:firstLine="567"/>
        <w:jc w:val="both"/>
        <w:rPr>
          <w:rFonts w:ascii="Times New Roman" w:hAnsi="Times New Roman"/>
          <w:sz w:val="24"/>
          <w:szCs w:val="24"/>
        </w:rPr>
      </w:pPr>
      <w:r w:rsidRPr="00F93E24">
        <w:rPr>
          <w:rFonts w:ascii="Times New Roman" w:hAnsi="Times New Roman"/>
          <w:sz w:val="24"/>
          <w:szCs w:val="24"/>
          <w:u w:val="single"/>
        </w:rPr>
        <w:t>Тарифы на услуги по снабжению тепловой энергией (отопление и подогрев воды)</w:t>
      </w:r>
      <w:r w:rsidRPr="00C90DDF">
        <w:rPr>
          <w:rFonts w:ascii="Times New Roman" w:hAnsi="Times New Roman"/>
          <w:sz w:val="24"/>
          <w:szCs w:val="24"/>
        </w:rPr>
        <w:t xml:space="preserve"> в течение 2016 года не изменялись. При этом указанные </w:t>
      </w:r>
      <w:r w:rsidRPr="00ED5180">
        <w:rPr>
          <w:rFonts w:ascii="Times New Roman" w:hAnsi="Times New Roman"/>
          <w:i/>
          <w:sz w:val="24"/>
          <w:szCs w:val="24"/>
        </w:rPr>
        <w:t xml:space="preserve">тарифы для населения всех городов и районов Приднестровской Молдавской Республики (за исключением потребителей г. Днестровск и с. Незавертайловка) </w:t>
      </w:r>
      <w:r w:rsidRPr="00ED5180">
        <w:rPr>
          <w:rFonts w:ascii="Times New Roman" w:hAnsi="Times New Roman"/>
          <w:sz w:val="24"/>
          <w:szCs w:val="24"/>
        </w:rPr>
        <w:t>сохранились на уровне тарифов, действующих в 2015</w:t>
      </w:r>
      <w:r w:rsidR="00DC2B8A">
        <w:rPr>
          <w:rFonts w:ascii="Times New Roman" w:hAnsi="Times New Roman"/>
          <w:sz w:val="24"/>
          <w:szCs w:val="24"/>
        </w:rPr>
        <w:t> </w:t>
      </w:r>
      <w:r w:rsidRPr="00ED5180">
        <w:rPr>
          <w:rFonts w:ascii="Times New Roman" w:hAnsi="Times New Roman"/>
          <w:sz w:val="24"/>
          <w:szCs w:val="24"/>
        </w:rPr>
        <w:t>году.</w:t>
      </w:r>
    </w:p>
    <w:p w:rsidR="00770A9A" w:rsidRPr="00555719" w:rsidRDefault="00770A9A" w:rsidP="00770A9A">
      <w:pPr>
        <w:widowControl w:val="0"/>
        <w:spacing w:after="0" w:line="240" w:lineRule="auto"/>
        <w:ind w:firstLine="567"/>
        <w:jc w:val="both"/>
        <w:rPr>
          <w:rFonts w:ascii="Times New Roman" w:hAnsi="Times New Roman"/>
          <w:sz w:val="24"/>
          <w:szCs w:val="24"/>
        </w:rPr>
      </w:pPr>
      <w:r w:rsidRPr="00DE382A">
        <w:rPr>
          <w:rFonts w:ascii="Times New Roman" w:hAnsi="Times New Roman"/>
          <w:i/>
          <w:sz w:val="24"/>
          <w:szCs w:val="24"/>
        </w:rPr>
        <w:t xml:space="preserve">По остальным категориям потребителей (кроме населения) по всем городам и районам Приднестровской Молдавской Республики (за исключением потребителей г. Бендеры, г. Днестровск и с. Незавертайловка) </w:t>
      </w:r>
      <w:r w:rsidRPr="00555719">
        <w:rPr>
          <w:rFonts w:ascii="Times New Roman" w:hAnsi="Times New Roman"/>
          <w:sz w:val="24"/>
          <w:szCs w:val="24"/>
        </w:rPr>
        <w:t>в 2016 году по сравнению с 2015 годом тарифы изменились следующим образом:</w:t>
      </w:r>
    </w:p>
    <w:p w:rsidR="00770A9A" w:rsidRPr="00C90DDF" w:rsidRDefault="00770A9A" w:rsidP="00770A9A">
      <w:pPr>
        <w:widowControl w:val="0"/>
        <w:spacing w:after="0" w:line="240" w:lineRule="auto"/>
        <w:ind w:firstLine="567"/>
        <w:jc w:val="both"/>
        <w:rPr>
          <w:rFonts w:ascii="Times New Roman" w:hAnsi="Times New Roman"/>
          <w:sz w:val="24"/>
          <w:szCs w:val="24"/>
        </w:rPr>
      </w:pPr>
      <w:r w:rsidRPr="00C90DDF">
        <w:rPr>
          <w:rFonts w:ascii="Times New Roman" w:hAnsi="Times New Roman"/>
          <w:sz w:val="24"/>
          <w:szCs w:val="24"/>
        </w:rPr>
        <w:t>а) по промышленным и прочим потребителям – с 590,65 руб. за 1 Гкал до 600,43 руб. за 1 Гкал (увеличение на 1,66%);</w:t>
      </w:r>
    </w:p>
    <w:p w:rsidR="00770A9A" w:rsidRPr="00C90DDF" w:rsidRDefault="00770A9A" w:rsidP="00770A9A">
      <w:pPr>
        <w:widowControl w:val="0"/>
        <w:spacing w:after="0" w:line="240" w:lineRule="auto"/>
        <w:ind w:firstLine="567"/>
        <w:jc w:val="both"/>
        <w:rPr>
          <w:rFonts w:ascii="Times New Roman" w:hAnsi="Times New Roman"/>
          <w:sz w:val="24"/>
          <w:szCs w:val="24"/>
        </w:rPr>
      </w:pPr>
      <w:r w:rsidRPr="00C90DDF">
        <w:rPr>
          <w:rFonts w:ascii="Times New Roman" w:hAnsi="Times New Roman"/>
          <w:sz w:val="24"/>
          <w:szCs w:val="24"/>
        </w:rPr>
        <w:t xml:space="preserve">б) по бюджетным организациям </w:t>
      </w:r>
      <w:r w:rsidRPr="00C90DDF">
        <w:rPr>
          <w:rFonts w:ascii="Times New Roman" w:hAnsi="Times New Roman"/>
          <w:sz w:val="24"/>
          <w:szCs w:val="24"/>
        </w:rPr>
        <w:noBreakHyphen/>
        <w:t xml:space="preserve"> с 575,22 руб. за 1 Гкал до 573,81 руб. за 1 Гкал (снижение на 0,25%).</w:t>
      </w:r>
    </w:p>
    <w:p w:rsidR="00770A9A" w:rsidRPr="00DE382A" w:rsidRDefault="00770A9A" w:rsidP="00770A9A">
      <w:pPr>
        <w:widowControl w:val="0"/>
        <w:spacing w:after="0" w:line="240" w:lineRule="auto"/>
        <w:ind w:firstLine="567"/>
        <w:jc w:val="both"/>
        <w:rPr>
          <w:rFonts w:ascii="Times New Roman" w:hAnsi="Times New Roman"/>
          <w:i/>
          <w:sz w:val="24"/>
          <w:szCs w:val="24"/>
        </w:rPr>
      </w:pPr>
      <w:r w:rsidRPr="00DE382A">
        <w:rPr>
          <w:rFonts w:ascii="Times New Roman" w:hAnsi="Times New Roman"/>
          <w:i/>
          <w:sz w:val="24"/>
          <w:szCs w:val="24"/>
        </w:rPr>
        <w:t xml:space="preserve">По г. Бендеры </w:t>
      </w:r>
      <w:r w:rsidRPr="005535A6">
        <w:rPr>
          <w:rFonts w:ascii="Times New Roman" w:hAnsi="Times New Roman"/>
          <w:sz w:val="24"/>
          <w:szCs w:val="24"/>
        </w:rPr>
        <w:t>в 2016 году по сравнению с 2015 годом тарифы изменились по следующим категориям:</w:t>
      </w:r>
    </w:p>
    <w:p w:rsidR="00770A9A" w:rsidRPr="00C90DDF" w:rsidRDefault="00770A9A" w:rsidP="00770A9A">
      <w:pPr>
        <w:widowControl w:val="0"/>
        <w:spacing w:after="0" w:line="240" w:lineRule="auto"/>
        <w:ind w:firstLine="567"/>
        <w:jc w:val="both"/>
        <w:rPr>
          <w:rFonts w:ascii="Times New Roman" w:hAnsi="Times New Roman"/>
          <w:sz w:val="24"/>
          <w:szCs w:val="24"/>
        </w:rPr>
      </w:pPr>
      <w:r w:rsidRPr="00C90DDF">
        <w:rPr>
          <w:rFonts w:ascii="Times New Roman" w:hAnsi="Times New Roman"/>
          <w:sz w:val="24"/>
          <w:szCs w:val="24"/>
        </w:rPr>
        <w:t>а) по промышленным и прочим потребителям – с 596,35 руб. за 1 Гкал до 589,85 руб. за 1 Гкал (снижение на 1,09 %);</w:t>
      </w:r>
    </w:p>
    <w:p w:rsidR="00770A9A" w:rsidRPr="00C90DDF" w:rsidRDefault="00770A9A" w:rsidP="00770A9A">
      <w:pPr>
        <w:widowControl w:val="0"/>
        <w:spacing w:after="0" w:line="240" w:lineRule="auto"/>
        <w:ind w:firstLine="567"/>
        <w:jc w:val="both"/>
        <w:rPr>
          <w:rFonts w:ascii="Times New Roman" w:hAnsi="Times New Roman"/>
          <w:sz w:val="24"/>
          <w:szCs w:val="24"/>
        </w:rPr>
      </w:pPr>
      <w:r w:rsidRPr="00C90DDF">
        <w:rPr>
          <w:rFonts w:ascii="Times New Roman" w:hAnsi="Times New Roman"/>
          <w:sz w:val="24"/>
          <w:szCs w:val="24"/>
        </w:rPr>
        <w:t xml:space="preserve">б) по бюджетным организациям </w:t>
      </w:r>
      <w:r w:rsidRPr="00C90DDF">
        <w:rPr>
          <w:rFonts w:ascii="Times New Roman" w:hAnsi="Times New Roman"/>
          <w:sz w:val="24"/>
          <w:szCs w:val="24"/>
        </w:rPr>
        <w:noBreakHyphen/>
        <w:t xml:space="preserve"> с 580,42 руб. за 1 Гкал до 578,59 руб. за 1 Гкал (снижение на 0,32%).</w:t>
      </w:r>
    </w:p>
    <w:p w:rsidR="00770A9A" w:rsidRPr="005535A6" w:rsidRDefault="00770A9A" w:rsidP="00770A9A">
      <w:pPr>
        <w:widowControl w:val="0"/>
        <w:spacing w:after="0" w:line="240" w:lineRule="auto"/>
        <w:ind w:firstLine="567"/>
        <w:jc w:val="both"/>
        <w:rPr>
          <w:rFonts w:ascii="Times New Roman" w:hAnsi="Times New Roman"/>
          <w:sz w:val="24"/>
          <w:szCs w:val="24"/>
        </w:rPr>
      </w:pPr>
      <w:r w:rsidRPr="00DE382A">
        <w:rPr>
          <w:rFonts w:ascii="Times New Roman" w:hAnsi="Times New Roman"/>
          <w:i/>
          <w:sz w:val="24"/>
          <w:szCs w:val="24"/>
        </w:rPr>
        <w:t xml:space="preserve">По потребителям г. Днестровск и с. Незавертайловка </w:t>
      </w:r>
      <w:r w:rsidRPr="005535A6">
        <w:rPr>
          <w:rFonts w:ascii="Times New Roman" w:hAnsi="Times New Roman"/>
          <w:sz w:val="24"/>
          <w:szCs w:val="24"/>
        </w:rPr>
        <w:t>в 2016 году по сравнению с 2015</w:t>
      </w:r>
      <w:r w:rsidR="00DC2B8A">
        <w:rPr>
          <w:rFonts w:ascii="Times New Roman" w:hAnsi="Times New Roman"/>
          <w:sz w:val="24"/>
          <w:szCs w:val="24"/>
        </w:rPr>
        <w:t> </w:t>
      </w:r>
      <w:r w:rsidRPr="005535A6">
        <w:rPr>
          <w:rFonts w:ascii="Times New Roman" w:hAnsi="Times New Roman"/>
          <w:sz w:val="24"/>
          <w:szCs w:val="24"/>
        </w:rPr>
        <w:t>годом тарифы изменились по следующим категориям:</w:t>
      </w:r>
    </w:p>
    <w:p w:rsidR="00770A9A" w:rsidRPr="00C90DDF" w:rsidRDefault="00770A9A" w:rsidP="00770A9A">
      <w:pPr>
        <w:widowControl w:val="0"/>
        <w:spacing w:after="0" w:line="240" w:lineRule="auto"/>
        <w:ind w:firstLine="567"/>
        <w:jc w:val="both"/>
        <w:rPr>
          <w:rFonts w:ascii="Times New Roman" w:hAnsi="Times New Roman"/>
          <w:sz w:val="24"/>
          <w:szCs w:val="24"/>
        </w:rPr>
      </w:pPr>
      <w:r w:rsidRPr="00C90DDF">
        <w:rPr>
          <w:rFonts w:ascii="Times New Roman" w:hAnsi="Times New Roman"/>
          <w:sz w:val="24"/>
          <w:szCs w:val="24"/>
        </w:rPr>
        <w:t xml:space="preserve">а) «иные физические лица» </w:t>
      </w:r>
      <w:r w:rsidRPr="00C90DDF">
        <w:rPr>
          <w:rFonts w:ascii="Times New Roman" w:hAnsi="Times New Roman"/>
          <w:sz w:val="24"/>
          <w:szCs w:val="24"/>
        </w:rPr>
        <w:noBreakHyphen/>
        <w:t xml:space="preserve"> с 334,48 руб. за 1 Гкал до 337,69 руб. за 1 Гкал (увеличение на 0,96%);</w:t>
      </w:r>
    </w:p>
    <w:p w:rsidR="00770A9A" w:rsidRPr="00C90DDF" w:rsidRDefault="00770A9A" w:rsidP="00770A9A">
      <w:pPr>
        <w:widowControl w:val="0"/>
        <w:spacing w:after="0" w:line="240" w:lineRule="auto"/>
        <w:ind w:firstLine="567"/>
        <w:jc w:val="both"/>
        <w:rPr>
          <w:rFonts w:ascii="Times New Roman" w:hAnsi="Times New Roman"/>
          <w:sz w:val="24"/>
          <w:szCs w:val="24"/>
        </w:rPr>
      </w:pPr>
      <w:r w:rsidRPr="00C90DDF">
        <w:rPr>
          <w:rFonts w:ascii="Times New Roman" w:hAnsi="Times New Roman"/>
          <w:sz w:val="24"/>
          <w:szCs w:val="24"/>
        </w:rPr>
        <w:t>б) по промышленным и прочим потребителям – с 5</w:t>
      </w:r>
      <w:r w:rsidR="00DC2B8A">
        <w:rPr>
          <w:rFonts w:ascii="Times New Roman" w:hAnsi="Times New Roman"/>
          <w:sz w:val="24"/>
          <w:szCs w:val="24"/>
        </w:rPr>
        <w:t xml:space="preserve">96,35 руб. за 1 Гкал до </w:t>
      </w:r>
      <w:r w:rsidRPr="00C90DDF">
        <w:rPr>
          <w:rFonts w:ascii="Times New Roman" w:hAnsi="Times New Roman"/>
          <w:sz w:val="24"/>
          <w:szCs w:val="24"/>
        </w:rPr>
        <w:t>667,52</w:t>
      </w:r>
      <w:r w:rsidRPr="00C90DDF">
        <w:rPr>
          <w:rFonts w:ascii="Times New Roman" w:hAnsi="Times New Roman"/>
          <w:color w:val="000000"/>
          <w:sz w:val="24"/>
          <w:szCs w:val="24"/>
        </w:rPr>
        <w:t xml:space="preserve"> </w:t>
      </w:r>
      <w:r w:rsidRPr="00C90DDF">
        <w:rPr>
          <w:rFonts w:ascii="Times New Roman" w:hAnsi="Times New Roman"/>
          <w:sz w:val="24"/>
          <w:szCs w:val="24"/>
        </w:rPr>
        <w:t>руб. за 1 Гкал (увеличение на 11,9</w:t>
      </w:r>
      <w:r>
        <w:rPr>
          <w:rFonts w:ascii="Times New Roman" w:hAnsi="Times New Roman"/>
          <w:sz w:val="24"/>
          <w:szCs w:val="24"/>
        </w:rPr>
        <w:t>3</w:t>
      </w:r>
      <w:r w:rsidRPr="00C90DDF">
        <w:rPr>
          <w:rFonts w:ascii="Times New Roman" w:hAnsi="Times New Roman"/>
          <w:sz w:val="24"/>
          <w:szCs w:val="24"/>
        </w:rPr>
        <w:t>%);</w:t>
      </w:r>
    </w:p>
    <w:p w:rsidR="00770A9A" w:rsidRDefault="00770A9A" w:rsidP="00770A9A">
      <w:pPr>
        <w:widowControl w:val="0"/>
        <w:spacing w:after="0" w:line="240" w:lineRule="auto"/>
        <w:ind w:firstLine="567"/>
        <w:jc w:val="both"/>
        <w:rPr>
          <w:rFonts w:ascii="Times New Roman" w:hAnsi="Times New Roman"/>
          <w:sz w:val="24"/>
          <w:szCs w:val="24"/>
        </w:rPr>
      </w:pPr>
      <w:r w:rsidRPr="00C90DDF">
        <w:rPr>
          <w:rFonts w:ascii="Times New Roman" w:hAnsi="Times New Roman"/>
          <w:sz w:val="24"/>
          <w:szCs w:val="24"/>
        </w:rPr>
        <w:t xml:space="preserve">в) по бюджетным организациям </w:t>
      </w:r>
      <w:r w:rsidRPr="00C90DDF">
        <w:rPr>
          <w:rFonts w:ascii="Times New Roman" w:hAnsi="Times New Roman"/>
          <w:sz w:val="24"/>
          <w:szCs w:val="24"/>
        </w:rPr>
        <w:noBreakHyphen/>
        <w:t xml:space="preserve"> с 580,42 руб. за 1 Гкал до 648,15 руб. за 1 Гкал (увеличение на 11,67%).</w:t>
      </w:r>
    </w:p>
    <w:p w:rsidR="00770A9A" w:rsidRPr="006F0021" w:rsidRDefault="00770A9A" w:rsidP="00DC2B8A">
      <w:pPr>
        <w:widowControl w:val="0"/>
        <w:spacing w:after="0" w:line="240" w:lineRule="auto"/>
        <w:ind w:firstLine="709"/>
        <w:jc w:val="both"/>
        <w:rPr>
          <w:rFonts w:ascii="Times New Roman" w:hAnsi="Times New Roman"/>
          <w:b/>
          <w:sz w:val="24"/>
          <w:szCs w:val="24"/>
        </w:rPr>
      </w:pPr>
      <w:r w:rsidRPr="007754B4">
        <w:rPr>
          <w:rFonts w:ascii="Times New Roman" w:hAnsi="Times New Roman"/>
          <w:b/>
          <w:sz w:val="24"/>
          <w:szCs w:val="24"/>
        </w:rPr>
        <w:t>4</w:t>
      </w:r>
      <w:r>
        <w:rPr>
          <w:rFonts w:ascii="Times New Roman" w:hAnsi="Times New Roman"/>
          <w:sz w:val="24"/>
          <w:szCs w:val="24"/>
        </w:rPr>
        <w:t xml:space="preserve">. </w:t>
      </w:r>
      <w:r w:rsidRPr="006F0021">
        <w:rPr>
          <w:rFonts w:ascii="Times New Roman" w:hAnsi="Times New Roman"/>
          <w:b/>
          <w:sz w:val="24"/>
          <w:szCs w:val="24"/>
        </w:rPr>
        <w:t>Услуги водоснабжения и водоотведения (канализация)</w:t>
      </w:r>
    </w:p>
    <w:p w:rsidR="00770A9A" w:rsidRPr="00C90DDF" w:rsidRDefault="00770A9A" w:rsidP="00770A9A">
      <w:pPr>
        <w:widowControl w:val="0"/>
        <w:spacing w:after="0" w:line="240" w:lineRule="auto"/>
        <w:ind w:firstLine="708"/>
        <w:jc w:val="both"/>
        <w:rPr>
          <w:rFonts w:ascii="Times New Roman" w:hAnsi="Times New Roman"/>
          <w:sz w:val="24"/>
          <w:szCs w:val="24"/>
        </w:rPr>
      </w:pPr>
      <w:r w:rsidRPr="00E34329">
        <w:rPr>
          <w:rFonts w:ascii="Times New Roman" w:hAnsi="Times New Roman"/>
          <w:i/>
          <w:sz w:val="24"/>
          <w:szCs w:val="24"/>
        </w:rPr>
        <w:t>Тарифы на услуги водоснабжения и водоотведения (канализация)</w:t>
      </w:r>
      <w:r w:rsidR="00DC2B8A">
        <w:rPr>
          <w:rFonts w:ascii="Times New Roman" w:hAnsi="Times New Roman"/>
          <w:sz w:val="24"/>
          <w:szCs w:val="24"/>
        </w:rPr>
        <w:t xml:space="preserve"> в течение </w:t>
      </w:r>
      <w:r w:rsidRPr="00C90DDF">
        <w:rPr>
          <w:rFonts w:ascii="Times New Roman" w:hAnsi="Times New Roman"/>
          <w:sz w:val="24"/>
          <w:szCs w:val="24"/>
        </w:rPr>
        <w:t>2016 года сохранялись для населения и организаций и учреждений, финансируемых из бюджетов всех уровней, на уровне 4,52 руб. за 1 куб. м и 3,89 руб. за 1 куб. м, соответственно</w:t>
      </w:r>
      <w:r>
        <w:rPr>
          <w:rFonts w:ascii="Times New Roman" w:hAnsi="Times New Roman"/>
          <w:sz w:val="24"/>
          <w:szCs w:val="24"/>
        </w:rPr>
        <w:t xml:space="preserve"> (сохранились на уровне 2015 года)</w:t>
      </w:r>
      <w:r w:rsidRPr="00C90DDF">
        <w:rPr>
          <w:rFonts w:ascii="Times New Roman" w:hAnsi="Times New Roman"/>
          <w:sz w:val="24"/>
          <w:szCs w:val="24"/>
        </w:rPr>
        <w:t xml:space="preserve">. </w:t>
      </w:r>
    </w:p>
    <w:p w:rsidR="00770A9A" w:rsidRDefault="00770A9A" w:rsidP="00770A9A">
      <w:pPr>
        <w:widowControl w:val="0"/>
        <w:spacing w:after="0" w:line="240" w:lineRule="auto"/>
        <w:ind w:firstLine="708"/>
        <w:jc w:val="both"/>
        <w:rPr>
          <w:rFonts w:ascii="Times New Roman" w:hAnsi="Times New Roman"/>
          <w:sz w:val="24"/>
          <w:szCs w:val="24"/>
        </w:rPr>
      </w:pPr>
      <w:r w:rsidRPr="00E34329">
        <w:rPr>
          <w:rFonts w:ascii="Times New Roman" w:hAnsi="Times New Roman"/>
          <w:i/>
          <w:sz w:val="24"/>
          <w:szCs w:val="24"/>
        </w:rPr>
        <w:t>Для промышленных и прочих потребителей тарифы на услуги водоснабжения и водоотведения (канализация),</w:t>
      </w:r>
      <w:r w:rsidRPr="00C90DDF">
        <w:rPr>
          <w:rFonts w:ascii="Times New Roman" w:hAnsi="Times New Roman"/>
          <w:sz w:val="24"/>
          <w:szCs w:val="24"/>
        </w:rPr>
        <w:t xml:space="preserve"> установленные на уровне 5,52 руб. за 1 куб. м и 4,86 руб. за 1</w:t>
      </w:r>
      <w:r w:rsidR="00DC2B8A">
        <w:rPr>
          <w:rFonts w:ascii="Times New Roman" w:hAnsi="Times New Roman"/>
          <w:sz w:val="24"/>
          <w:szCs w:val="24"/>
        </w:rPr>
        <w:t> </w:t>
      </w:r>
      <w:r w:rsidRPr="00C90DDF">
        <w:rPr>
          <w:rFonts w:ascii="Times New Roman" w:hAnsi="Times New Roman"/>
          <w:sz w:val="24"/>
          <w:szCs w:val="24"/>
        </w:rPr>
        <w:t xml:space="preserve">куб. м </w:t>
      </w:r>
      <w:r>
        <w:rPr>
          <w:rFonts w:ascii="Times New Roman" w:hAnsi="Times New Roman"/>
          <w:sz w:val="24"/>
          <w:szCs w:val="24"/>
        </w:rPr>
        <w:t xml:space="preserve">(увеличение на 22,1% и на 24,9% </w:t>
      </w:r>
      <w:r w:rsidRPr="00C90DDF">
        <w:rPr>
          <w:rFonts w:ascii="Times New Roman" w:hAnsi="Times New Roman"/>
          <w:sz w:val="24"/>
          <w:szCs w:val="24"/>
        </w:rPr>
        <w:t>соответственно</w:t>
      </w:r>
      <w:r>
        <w:rPr>
          <w:rFonts w:ascii="Times New Roman" w:hAnsi="Times New Roman"/>
          <w:sz w:val="24"/>
          <w:szCs w:val="24"/>
        </w:rPr>
        <w:t>)</w:t>
      </w:r>
      <w:r w:rsidRPr="00C90DDF">
        <w:rPr>
          <w:rFonts w:ascii="Times New Roman" w:hAnsi="Times New Roman"/>
          <w:sz w:val="24"/>
          <w:szCs w:val="24"/>
        </w:rPr>
        <w:t>.</w:t>
      </w:r>
    </w:p>
    <w:p w:rsidR="00770A9A" w:rsidRPr="003E0A79" w:rsidRDefault="00770A9A" w:rsidP="00770A9A">
      <w:pPr>
        <w:widowControl w:val="0"/>
        <w:spacing w:after="0" w:line="240" w:lineRule="auto"/>
        <w:ind w:firstLine="708"/>
        <w:jc w:val="both"/>
        <w:rPr>
          <w:rFonts w:ascii="Times New Roman" w:hAnsi="Times New Roman"/>
          <w:b/>
          <w:sz w:val="24"/>
          <w:szCs w:val="24"/>
        </w:rPr>
      </w:pPr>
      <w:r w:rsidRPr="00174F00">
        <w:rPr>
          <w:rFonts w:ascii="Times New Roman" w:hAnsi="Times New Roman"/>
          <w:b/>
          <w:sz w:val="24"/>
          <w:szCs w:val="24"/>
        </w:rPr>
        <w:t>5.</w:t>
      </w:r>
      <w:r>
        <w:rPr>
          <w:rFonts w:ascii="Times New Roman" w:hAnsi="Times New Roman"/>
          <w:sz w:val="24"/>
          <w:szCs w:val="24"/>
        </w:rPr>
        <w:t xml:space="preserve"> У</w:t>
      </w:r>
      <w:r w:rsidRPr="003E0A79">
        <w:rPr>
          <w:rFonts w:ascii="Times New Roman" w:hAnsi="Times New Roman"/>
          <w:b/>
          <w:sz w:val="24"/>
          <w:szCs w:val="24"/>
        </w:rPr>
        <w:t>слуги на перевозку пассажиров электрическим транспортом и услуги железнодорожного транспорта в местном сообщении</w:t>
      </w:r>
    </w:p>
    <w:p w:rsidR="00770A9A" w:rsidRPr="00C90DDF" w:rsidRDefault="00770A9A" w:rsidP="00770A9A">
      <w:pPr>
        <w:spacing w:after="0" w:line="240" w:lineRule="auto"/>
        <w:ind w:firstLine="708"/>
        <w:jc w:val="both"/>
        <w:rPr>
          <w:rFonts w:ascii="Times New Roman" w:hAnsi="Times New Roman"/>
          <w:sz w:val="24"/>
          <w:szCs w:val="24"/>
        </w:rPr>
      </w:pPr>
      <w:r w:rsidRPr="00C90DDF">
        <w:rPr>
          <w:rFonts w:ascii="Times New Roman" w:hAnsi="Times New Roman"/>
          <w:sz w:val="24"/>
          <w:szCs w:val="24"/>
        </w:rPr>
        <w:t xml:space="preserve">В 2016 году МУП «Бендерское троллейбусное управление» и МУП «Тираспольское троллейбусное управление» применялись тарифы на перевозку пассажиров электрическим транспортом на уровне тарифов, действующих в 2015 году. Так, стоимость перевозки пассажиров электрическим транспортом составила: </w:t>
      </w:r>
    </w:p>
    <w:p w:rsidR="00770A9A" w:rsidRPr="00C90DDF" w:rsidRDefault="00770A9A" w:rsidP="00770A9A">
      <w:pPr>
        <w:spacing w:after="0" w:line="240" w:lineRule="auto"/>
        <w:ind w:firstLine="708"/>
        <w:jc w:val="both"/>
        <w:rPr>
          <w:rFonts w:ascii="Times New Roman" w:hAnsi="Times New Roman"/>
          <w:sz w:val="24"/>
          <w:szCs w:val="24"/>
        </w:rPr>
      </w:pPr>
      <w:r w:rsidRPr="00C90DDF">
        <w:rPr>
          <w:rFonts w:ascii="Times New Roman" w:hAnsi="Times New Roman"/>
          <w:sz w:val="24"/>
          <w:szCs w:val="24"/>
        </w:rPr>
        <w:t>–</w:t>
      </w:r>
      <w:r w:rsidRPr="00C90DDF">
        <w:rPr>
          <w:rFonts w:ascii="Times New Roman" w:hAnsi="Times New Roman"/>
          <w:sz w:val="24"/>
          <w:szCs w:val="24"/>
          <w:lang w:val="en-US"/>
        </w:rPr>
        <w:t> </w:t>
      </w:r>
      <w:r w:rsidRPr="00C90DDF">
        <w:rPr>
          <w:rFonts w:ascii="Times New Roman" w:hAnsi="Times New Roman"/>
          <w:sz w:val="24"/>
          <w:szCs w:val="24"/>
        </w:rPr>
        <w:t>на перевозку пассажиров электрическим транспортом, за исключением троллейбусов пассажирских низкопольной модели, на регулярно действующих городских маршрутах 2,00 руб. ПМР;</w:t>
      </w:r>
    </w:p>
    <w:p w:rsidR="00770A9A" w:rsidRPr="00C90DDF" w:rsidRDefault="00770A9A" w:rsidP="00770A9A">
      <w:pPr>
        <w:spacing w:after="0" w:line="240" w:lineRule="auto"/>
        <w:ind w:firstLine="708"/>
        <w:jc w:val="both"/>
        <w:rPr>
          <w:rFonts w:ascii="Times New Roman" w:hAnsi="Times New Roman"/>
          <w:sz w:val="24"/>
          <w:szCs w:val="24"/>
        </w:rPr>
      </w:pPr>
      <w:r w:rsidRPr="00C90DDF">
        <w:rPr>
          <w:rFonts w:ascii="Times New Roman" w:hAnsi="Times New Roman"/>
          <w:sz w:val="24"/>
          <w:szCs w:val="24"/>
        </w:rPr>
        <w:t>– на перевозку пассажиров троллейбусами пассажирскими низкопольной модели на регулярно действующих городских маршрутах 2,50 руб. ПМР;</w:t>
      </w:r>
    </w:p>
    <w:p w:rsidR="00770A9A" w:rsidRPr="00C90DDF" w:rsidRDefault="00770A9A" w:rsidP="00770A9A">
      <w:pPr>
        <w:spacing w:after="0" w:line="240" w:lineRule="auto"/>
        <w:ind w:firstLine="708"/>
        <w:jc w:val="both"/>
        <w:rPr>
          <w:rFonts w:ascii="Times New Roman" w:hAnsi="Times New Roman"/>
          <w:sz w:val="24"/>
          <w:szCs w:val="24"/>
        </w:rPr>
      </w:pPr>
      <w:r w:rsidRPr="00C90DDF">
        <w:rPr>
          <w:rFonts w:ascii="Times New Roman" w:hAnsi="Times New Roman"/>
          <w:sz w:val="24"/>
          <w:szCs w:val="24"/>
        </w:rPr>
        <w:t>– на перевозку пассажиров электрическим транспортом, за исключением троллейбусов пассажирских низкопольной модели, на маршрутах Тирасполь-Бендеры и Бендеры-Тирасполь 2,50 руб. ПМР;</w:t>
      </w:r>
    </w:p>
    <w:p w:rsidR="00770A9A" w:rsidRPr="00C90DDF" w:rsidRDefault="00770A9A" w:rsidP="00770A9A">
      <w:pPr>
        <w:spacing w:after="0" w:line="240" w:lineRule="auto"/>
        <w:ind w:firstLine="708"/>
        <w:jc w:val="both"/>
        <w:rPr>
          <w:rFonts w:ascii="Times New Roman" w:hAnsi="Times New Roman"/>
          <w:sz w:val="24"/>
          <w:szCs w:val="24"/>
        </w:rPr>
      </w:pPr>
      <w:r w:rsidRPr="00C90DDF">
        <w:rPr>
          <w:rFonts w:ascii="Times New Roman" w:hAnsi="Times New Roman"/>
          <w:sz w:val="24"/>
          <w:szCs w:val="24"/>
        </w:rPr>
        <w:t>– на перевозку пассажиров троллейбусами пассажирскими низкопольной модели на маршрутах Тирасполь-Бендеры и Бендеры-Тирасполь 3,00 руб. ПМР.</w:t>
      </w:r>
    </w:p>
    <w:p w:rsidR="00770A9A" w:rsidRPr="00C90DDF" w:rsidRDefault="00770A9A" w:rsidP="00770A9A">
      <w:pPr>
        <w:spacing w:after="0" w:line="240" w:lineRule="auto"/>
        <w:ind w:firstLine="708"/>
        <w:jc w:val="both"/>
        <w:rPr>
          <w:rFonts w:ascii="Times New Roman" w:hAnsi="Times New Roman"/>
          <w:sz w:val="24"/>
          <w:szCs w:val="24"/>
        </w:rPr>
      </w:pPr>
      <w:r w:rsidRPr="00C90DDF">
        <w:rPr>
          <w:rFonts w:ascii="Times New Roman" w:hAnsi="Times New Roman"/>
          <w:sz w:val="24"/>
          <w:szCs w:val="24"/>
        </w:rPr>
        <w:lastRenderedPageBreak/>
        <w:t>Предельные уровни тарифов на услуги железнодорожного транспорта в местном сообщении в 2016 году по сравнению с предельными уровнями тарифов, утвержденными в 2015 году, увеличены на 4,0 %.</w:t>
      </w:r>
    </w:p>
    <w:p w:rsidR="00770A9A" w:rsidRPr="00C90DDF" w:rsidRDefault="00770A9A" w:rsidP="00DC2B8A">
      <w:pPr>
        <w:tabs>
          <w:tab w:val="left" w:pos="709"/>
        </w:tabs>
        <w:spacing w:after="0" w:line="240" w:lineRule="auto"/>
        <w:ind w:firstLine="709"/>
        <w:jc w:val="both"/>
        <w:rPr>
          <w:rFonts w:ascii="Times New Roman" w:eastAsia="MS Mincho" w:hAnsi="Times New Roman"/>
          <w:b/>
          <w:bCs/>
          <w:sz w:val="24"/>
          <w:szCs w:val="24"/>
        </w:rPr>
      </w:pPr>
      <w:r w:rsidRPr="00C90DDF">
        <w:rPr>
          <w:rFonts w:ascii="Times New Roman" w:hAnsi="Times New Roman"/>
          <w:b/>
          <w:sz w:val="24"/>
          <w:szCs w:val="24"/>
        </w:rPr>
        <w:t xml:space="preserve">Ценовая и тарифная политика в </w:t>
      </w:r>
      <w:r w:rsidRPr="00C90DDF">
        <w:rPr>
          <w:rFonts w:ascii="Times New Roman" w:eastAsia="MS Mincho" w:hAnsi="Times New Roman"/>
          <w:b/>
          <w:bCs/>
          <w:sz w:val="24"/>
          <w:szCs w:val="24"/>
        </w:rPr>
        <w:t>сфере социально значимых товаров (работ, услуг)</w:t>
      </w:r>
    </w:p>
    <w:p w:rsidR="00770A9A" w:rsidRPr="00C90DDF" w:rsidRDefault="00770A9A" w:rsidP="00770A9A">
      <w:pPr>
        <w:pStyle w:val="af"/>
        <w:ind w:firstLine="708"/>
        <w:rPr>
          <w:bCs/>
          <w:sz w:val="24"/>
          <w:szCs w:val="24"/>
        </w:rPr>
      </w:pPr>
      <w:r w:rsidRPr="00C90DDF">
        <w:rPr>
          <w:bCs/>
          <w:sz w:val="24"/>
          <w:szCs w:val="24"/>
        </w:rPr>
        <w:t>Ценовая и тарифная политика на 2016 год в сфере социально значимых товаров (работ, услуг) сформирована с учетом норм действующего законодательства в области ценообразования и влияния следующих факторов:</w:t>
      </w:r>
    </w:p>
    <w:p w:rsidR="00770A9A" w:rsidRPr="00C90DDF" w:rsidRDefault="00770A9A" w:rsidP="00770A9A">
      <w:pPr>
        <w:pStyle w:val="af"/>
        <w:numPr>
          <w:ilvl w:val="0"/>
          <w:numId w:val="2"/>
        </w:numPr>
        <w:tabs>
          <w:tab w:val="left" w:pos="142"/>
          <w:tab w:val="left" w:pos="426"/>
          <w:tab w:val="left" w:pos="709"/>
          <w:tab w:val="left" w:pos="993"/>
        </w:tabs>
        <w:ind w:left="709" w:firstLine="0"/>
        <w:jc w:val="left"/>
        <w:rPr>
          <w:bCs/>
          <w:sz w:val="24"/>
          <w:szCs w:val="24"/>
        </w:rPr>
      </w:pPr>
      <w:r w:rsidRPr="00C90DDF">
        <w:rPr>
          <w:bCs/>
          <w:sz w:val="24"/>
          <w:szCs w:val="24"/>
        </w:rPr>
        <w:t>изменения цен на сырье и материалы, тарифов на энергоносители;</w:t>
      </w:r>
    </w:p>
    <w:p w:rsidR="00770A9A" w:rsidRPr="00C90DDF" w:rsidRDefault="00770A9A" w:rsidP="00770A9A">
      <w:pPr>
        <w:pStyle w:val="af"/>
        <w:numPr>
          <w:ilvl w:val="0"/>
          <w:numId w:val="2"/>
        </w:numPr>
        <w:tabs>
          <w:tab w:val="left" w:pos="142"/>
          <w:tab w:val="left" w:pos="426"/>
          <w:tab w:val="left" w:pos="709"/>
          <w:tab w:val="left" w:pos="993"/>
        </w:tabs>
        <w:ind w:left="284" w:firstLine="425"/>
        <w:jc w:val="left"/>
        <w:rPr>
          <w:bCs/>
          <w:sz w:val="24"/>
          <w:szCs w:val="24"/>
        </w:rPr>
      </w:pPr>
      <w:r w:rsidRPr="00C90DDF">
        <w:rPr>
          <w:bCs/>
          <w:sz w:val="24"/>
          <w:szCs w:val="24"/>
        </w:rPr>
        <w:t>влияния инфляционных процессов в 2015 - 2016 годах;</w:t>
      </w:r>
    </w:p>
    <w:p w:rsidR="00770A9A" w:rsidRPr="00C90DDF" w:rsidRDefault="00770A9A" w:rsidP="00770A9A">
      <w:pPr>
        <w:pStyle w:val="af"/>
        <w:numPr>
          <w:ilvl w:val="0"/>
          <w:numId w:val="2"/>
        </w:numPr>
        <w:tabs>
          <w:tab w:val="left" w:pos="142"/>
          <w:tab w:val="left" w:pos="426"/>
          <w:tab w:val="left" w:pos="709"/>
          <w:tab w:val="left" w:pos="993"/>
        </w:tabs>
        <w:ind w:left="0" w:firstLine="709"/>
        <w:rPr>
          <w:bCs/>
          <w:sz w:val="24"/>
          <w:szCs w:val="24"/>
        </w:rPr>
      </w:pPr>
      <w:r w:rsidRPr="00C90DDF">
        <w:rPr>
          <w:bCs/>
          <w:sz w:val="24"/>
          <w:szCs w:val="24"/>
        </w:rPr>
        <w:t>изменения среднегодового минимального размера оплаты труда на соответствующий расчетный период регулирования;</w:t>
      </w:r>
    </w:p>
    <w:p w:rsidR="00770A9A" w:rsidRPr="00C90DDF" w:rsidRDefault="00770A9A" w:rsidP="00770A9A">
      <w:pPr>
        <w:pStyle w:val="af"/>
        <w:numPr>
          <w:ilvl w:val="0"/>
          <w:numId w:val="3"/>
        </w:numPr>
        <w:tabs>
          <w:tab w:val="left" w:pos="142"/>
          <w:tab w:val="left" w:pos="426"/>
          <w:tab w:val="left" w:pos="709"/>
          <w:tab w:val="left" w:pos="993"/>
        </w:tabs>
        <w:ind w:left="0" w:firstLine="709"/>
        <w:rPr>
          <w:bCs/>
          <w:sz w:val="24"/>
          <w:szCs w:val="24"/>
        </w:rPr>
      </w:pPr>
      <w:r w:rsidRPr="00C90DDF">
        <w:rPr>
          <w:bCs/>
          <w:sz w:val="24"/>
          <w:szCs w:val="24"/>
        </w:rPr>
        <w:t>фактических результатов деятельности хозяйствующих субъектов, производящих (осуществляющих, оказывающих) социально значимые товары (работы, услуги), по итогам работы за прошедшие расчетные периоды регулирования.</w:t>
      </w:r>
    </w:p>
    <w:p w:rsidR="00770A9A" w:rsidRPr="00C90DDF" w:rsidRDefault="00770A9A" w:rsidP="00DC2B8A">
      <w:pPr>
        <w:tabs>
          <w:tab w:val="left" w:pos="993"/>
        </w:tabs>
        <w:spacing w:after="0" w:line="240" w:lineRule="auto"/>
        <w:ind w:firstLine="709"/>
        <w:jc w:val="both"/>
        <w:rPr>
          <w:rFonts w:ascii="Times New Roman" w:eastAsia="MS Mincho" w:hAnsi="Times New Roman"/>
          <w:bCs/>
          <w:sz w:val="24"/>
          <w:szCs w:val="24"/>
          <w:u w:val="single"/>
        </w:rPr>
      </w:pPr>
      <w:r w:rsidRPr="00C90DDF">
        <w:rPr>
          <w:rFonts w:ascii="Times New Roman" w:eastAsia="MS Mincho" w:hAnsi="Times New Roman"/>
          <w:bCs/>
          <w:sz w:val="24"/>
          <w:szCs w:val="24"/>
          <w:u w:val="single"/>
        </w:rPr>
        <w:t xml:space="preserve">а) мука для хлебопечения </w:t>
      </w:r>
    </w:p>
    <w:p w:rsidR="00770A9A" w:rsidRPr="00C90DDF" w:rsidRDefault="00770A9A" w:rsidP="00DC2B8A">
      <w:pPr>
        <w:spacing w:after="0" w:line="240" w:lineRule="auto"/>
        <w:ind w:firstLine="709"/>
        <w:jc w:val="both"/>
        <w:rPr>
          <w:rFonts w:ascii="Times New Roman" w:eastAsia="MS Mincho" w:hAnsi="Times New Roman"/>
          <w:bCs/>
          <w:sz w:val="24"/>
          <w:szCs w:val="24"/>
        </w:rPr>
      </w:pPr>
      <w:r w:rsidRPr="00C90DDF">
        <w:rPr>
          <w:rFonts w:ascii="Times New Roman" w:eastAsia="MS Mincho" w:hAnsi="Times New Roman"/>
          <w:bCs/>
          <w:sz w:val="24"/>
          <w:szCs w:val="24"/>
        </w:rPr>
        <w:t>С 1 января 2016 года предельные отпускные цены на муку для хлебопечения по сравнению с предельными отпускными ценами, действовавшими с 1 января 2015 года, снижены на:</w:t>
      </w:r>
    </w:p>
    <w:p w:rsidR="00770A9A" w:rsidRPr="00C90DDF" w:rsidRDefault="00770A9A" w:rsidP="00DC2B8A">
      <w:pPr>
        <w:spacing w:after="0" w:line="240" w:lineRule="auto"/>
        <w:ind w:left="284" w:firstLine="425"/>
        <w:jc w:val="both"/>
        <w:rPr>
          <w:rFonts w:ascii="Times New Roman" w:eastAsia="MS Mincho" w:hAnsi="Times New Roman"/>
          <w:bCs/>
          <w:sz w:val="24"/>
          <w:szCs w:val="24"/>
        </w:rPr>
      </w:pPr>
      <w:r w:rsidRPr="00C90DDF">
        <w:rPr>
          <w:rFonts w:ascii="Times New Roman" w:eastAsia="MS Mincho" w:hAnsi="Times New Roman"/>
          <w:bCs/>
          <w:sz w:val="24"/>
          <w:szCs w:val="24"/>
        </w:rPr>
        <w:t>– муку пшеничную высшего сорта на 4,4%;</w:t>
      </w:r>
    </w:p>
    <w:p w:rsidR="00770A9A" w:rsidRPr="00C90DDF" w:rsidRDefault="00770A9A" w:rsidP="00DC2B8A">
      <w:pPr>
        <w:spacing w:after="0" w:line="240" w:lineRule="auto"/>
        <w:ind w:left="285" w:firstLine="425"/>
        <w:jc w:val="both"/>
        <w:rPr>
          <w:rFonts w:ascii="Times New Roman" w:eastAsia="MS Mincho" w:hAnsi="Times New Roman"/>
          <w:bCs/>
          <w:sz w:val="24"/>
          <w:szCs w:val="24"/>
        </w:rPr>
      </w:pPr>
      <w:r w:rsidRPr="00C90DDF">
        <w:rPr>
          <w:rFonts w:ascii="Times New Roman" w:eastAsia="MS Mincho" w:hAnsi="Times New Roman"/>
          <w:bCs/>
          <w:sz w:val="24"/>
          <w:szCs w:val="24"/>
        </w:rPr>
        <w:t>– муку пшеничную сорта «Днестровский» на 9,9%;</w:t>
      </w:r>
    </w:p>
    <w:p w:rsidR="00770A9A" w:rsidRPr="00C90DDF" w:rsidRDefault="00770A9A" w:rsidP="00DC2B8A">
      <w:pPr>
        <w:tabs>
          <w:tab w:val="left" w:pos="567"/>
        </w:tabs>
        <w:spacing w:after="0" w:line="240" w:lineRule="auto"/>
        <w:ind w:left="285" w:firstLine="425"/>
        <w:jc w:val="both"/>
        <w:rPr>
          <w:rFonts w:ascii="Times New Roman" w:eastAsia="MS Mincho" w:hAnsi="Times New Roman"/>
          <w:bCs/>
          <w:sz w:val="24"/>
          <w:szCs w:val="24"/>
        </w:rPr>
      </w:pPr>
      <w:r w:rsidRPr="00C90DDF">
        <w:rPr>
          <w:rFonts w:ascii="Times New Roman" w:eastAsia="MS Mincho" w:hAnsi="Times New Roman"/>
          <w:bCs/>
          <w:sz w:val="24"/>
          <w:szCs w:val="24"/>
        </w:rPr>
        <w:t>– муку пшеничную первого сорта на 3,6%;</w:t>
      </w:r>
    </w:p>
    <w:p w:rsidR="00770A9A" w:rsidRPr="00C90DDF" w:rsidRDefault="00770A9A" w:rsidP="00DC2B8A">
      <w:pPr>
        <w:spacing w:after="0" w:line="240" w:lineRule="auto"/>
        <w:ind w:firstLine="709"/>
        <w:jc w:val="both"/>
        <w:rPr>
          <w:rFonts w:ascii="Times New Roman" w:eastAsia="MS Mincho" w:hAnsi="Times New Roman"/>
          <w:bCs/>
          <w:sz w:val="24"/>
          <w:szCs w:val="24"/>
        </w:rPr>
      </w:pPr>
      <w:r w:rsidRPr="00C90DDF">
        <w:rPr>
          <w:rFonts w:ascii="Times New Roman" w:eastAsia="MS Mincho" w:hAnsi="Times New Roman"/>
          <w:bCs/>
          <w:sz w:val="24"/>
          <w:szCs w:val="24"/>
        </w:rPr>
        <w:t>– муку пшеничную второго сорта на 2,1%;</w:t>
      </w:r>
    </w:p>
    <w:p w:rsidR="00770A9A" w:rsidRPr="00C90DDF" w:rsidRDefault="00770A9A" w:rsidP="00DC2B8A">
      <w:pPr>
        <w:spacing w:after="0" w:line="240" w:lineRule="auto"/>
        <w:ind w:left="285" w:firstLine="424"/>
        <w:jc w:val="both"/>
        <w:rPr>
          <w:rFonts w:ascii="Times New Roman" w:eastAsia="MS Mincho" w:hAnsi="Times New Roman"/>
          <w:bCs/>
          <w:sz w:val="24"/>
          <w:szCs w:val="24"/>
        </w:rPr>
      </w:pPr>
      <w:r w:rsidRPr="00C90DDF">
        <w:rPr>
          <w:rFonts w:ascii="Times New Roman" w:eastAsia="MS Mincho" w:hAnsi="Times New Roman"/>
          <w:bCs/>
          <w:sz w:val="24"/>
          <w:szCs w:val="24"/>
        </w:rPr>
        <w:t>– муку ржаную на 0,4%.</w:t>
      </w:r>
    </w:p>
    <w:p w:rsidR="00770A9A" w:rsidRPr="00C90DDF" w:rsidRDefault="00770A9A" w:rsidP="00DC2B8A">
      <w:pPr>
        <w:pStyle w:val="justifyfull"/>
        <w:shd w:val="clear" w:color="auto" w:fill="FFFFFF"/>
        <w:tabs>
          <w:tab w:val="left" w:pos="784"/>
        </w:tabs>
        <w:spacing w:before="0" w:beforeAutospacing="0" w:after="0" w:afterAutospacing="0"/>
        <w:ind w:firstLine="709"/>
        <w:jc w:val="both"/>
        <w:textAlignment w:val="baseline"/>
        <w:rPr>
          <w:rFonts w:eastAsia="MS Mincho"/>
          <w:bCs/>
        </w:rPr>
      </w:pPr>
      <w:r w:rsidRPr="00C90DDF">
        <w:t xml:space="preserve">Основным фактором снижения цены на муку </w:t>
      </w:r>
      <w:r w:rsidRPr="00C90DDF">
        <w:rPr>
          <w:rFonts w:eastAsia="MS Mincho"/>
          <w:bCs/>
        </w:rPr>
        <w:t xml:space="preserve">для хлебопечения </w:t>
      </w:r>
      <w:r w:rsidRPr="00C90DDF">
        <w:t xml:space="preserve">в 2016 году </w:t>
      </w:r>
      <w:r w:rsidRPr="00C90DDF">
        <w:rPr>
          <w:rFonts w:eastAsia="MS Mincho"/>
          <w:bCs/>
        </w:rPr>
        <w:t>по сравнению с 2015 годом</w:t>
      </w:r>
      <w:r w:rsidRPr="00C90DDF">
        <w:t xml:space="preserve"> явилось</w:t>
      </w:r>
      <w:r w:rsidRPr="00C90DDF">
        <w:rPr>
          <w:rFonts w:eastAsia="MS Mincho"/>
          <w:bCs/>
        </w:rPr>
        <w:t xml:space="preserve"> снижение </w:t>
      </w:r>
      <w:r w:rsidRPr="00C90DDF">
        <w:t>стоимости 1 тонны зерна продовольственной пшеницы</w:t>
      </w:r>
      <w:r w:rsidRPr="00C90DDF">
        <w:rPr>
          <w:rFonts w:eastAsia="MS Mincho"/>
          <w:bCs/>
        </w:rPr>
        <w:t xml:space="preserve"> на 10,2%.</w:t>
      </w:r>
    </w:p>
    <w:p w:rsidR="00770A9A" w:rsidRPr="00C90DDF" w:rsidRDefault="00770A9A" w:rsidP="00DC2B8A">
      <w:pPr>
        <w:spacing w:after="0" w:line="240" w:lineRule="auto"/>
        <w:ind w:firstLine="709"/>
        <w:rPr>
          <w:rFonts w:ascii="Times New Roman" w:eastAsia="MS Mincho" w:hAnsi="Times New Roman"/>
          <w:bCs/>
          <w:sz w:val="24"/>
          <w:szCs w:val="24"/>
          <w:u w:val="single"/>
        </w:rPr>
      </w:pPr>
      <w:r w:rsidRPr="00C90DDF">
        <w:rPr>
          <w:rFonts w:ascii="Times New Roman" w:eastAsia="MS Mincho" w:hAnsi="Times New Roman"/>
          <w:bCs/>
          <w:sz w:val="24"/>
          <w:szCs w:val="24"/>
          <w:u w:val="single"/>
        </w:rPr>
        <w:t>б) хлеб и хлебобулочные изделия</w:t>
      </w:r>
    </w:p>
    <w:p w:rsidR="00770A9A" w:rsidRDefault="00770A9A" w:rsidP="00DC2B8A">
      <w:pPr>
        <w:spacing w:after="0" w:line="240" w:lineRule="auto"/>
        <w:ind w:firstLine="709"/>
        <w:jc w:val="both"/>
        <w:rPr>
          <w:rFonts w:ascii="Times New Roman" w:eastAsia="MS Mincho" w:hAnsi="Times New Roman"/>
          <w:bCs/>
          <w:sz w:val="24"/>
          <w:szCs w:val="24"/>
          <w:lang w:eastAsia="en-US"/>
        </w:rPr>
      </w:pPr>
      <w:r w:rsidRPr="00C90DDF">
        <w:rPr>
          <w:rFonts w:ascii="Times New Roman" w:eastAsia="MS Mincho" w:hAnsi="Times New Roman"/>
          <w:bCs/>
          <w:sz w:val="24"/>
          <w:szCs w:val="24"/>
          <w:lang w:eastAsia="en-US"/>
        </w:rPr>
        <w:t xml:space="preserve">С 1 января 2016 года предельные отпускные цены на хлеб и хлебобулочные изделия по сравнению с предельными отпускными ценами, </w:t>
      </w:r>
      <w:r w:rsidRPr="00C90DDF">
        <w:rPr>
          <w:rFonts w:ascii="Times New Roman" w:eastAsia="MS Mincho" w:hAnsi="Times New Roman"/>
          <w:bCs/>
          <w:sz w:val="24"/>
          <w:szCs w:val="24"/>
        </w:rPr>
        <w:t>действовавшими в 2015 году,</w:t>
      </w:r>
      <w:r w:rsidRPr="00C90DDF">
        <w:rPr>
          <w:rFonts w:ascii="Times New Roman" w:eastAsia="MS Mincho" w:hAnsi="Times New Roman"/>
          <w:bCs/>
          <w:sz w:val="24"/>
          <w:szCs w:val="24"/>
          <w:lang w:eastAsia="en-US"/>
        </w:rPr>
        <w:t xml:space="preserve"> изменились следующим образом:</w:t>
      </w:r>
    </w:p>
    <w:p w:rsidR="00770A9A" w:rsidRPr="00C90DDF" w:rsidRDefault="00770A9A" w:rsidP="00DC2B8A">
      <w:pPr>
        <w:spacing w:after="0" w:line="240" w:lineRule="auto"/>
        <w:ind w:firstLine="709"/>
        <w:jc w:val="both"/>
        <w:rPr>
          <w:rFonts w:ascii="Times New Roman" w:eastAsia="MS Mincho" w:hAnsi="Times New Roman"/>
          <w:bCs/>
          <w:sz w:val="24"/>
          <w:szCs w:val="24"/>
          <w:lang w:eastAsia="en-US"/>
        </w:rPr>
      </w:pPr>
      <w:r w:rsidRPr="00C90DDF">
        <w:rPr>
          <w:rFonts w:ascii="Times New Roman" w:hAnsi="Times New Roman"/>
          <w:sz w:val="24"/>
          <w:szCs w:val="24"/>
        </w:rPr>
        <w:t>–</w:t>
      </w:r>
      <w:r>
        <w:rPr>
          <w:rFonts w:ascii="Times New Roman" w:hAnsi="Times New Roman"/>
          <w:sz w:val="24"/>
          <w:szCs w:val="24"/>
        </w:rPr>
        <w:t xml:space="preserve"> по </w:t>
      </w:r>
      <w:r w:rsidRPr="00C90DDF">
        <w:rPr>
          <w:rFonts w:ascii="Times New Roman" w:eastAsia="MS Mincho" w:hAnsi="Times New Roman"/>
          <w:bCs/>
          <w:sz w:val="24"/>
          <w:szCs w:val="24"/>
          <w:lang w:eastAsia="en-US"/>
        </w:rPr>
        <w:t>ЗАО «Тираспольский хлебокомбинат» цены не изменились на хлеб из муки пшеничной 1 сорта и на хлеб из смеси муки пшеничной 1 и 2 сорта. Цены на батон из муки высшего сорта снижены на 3,4 %;</w:t>
      </w:r>
    </w:p>
    <w:p w:rsidR="00770A9A" w:rsidRPr="00C90DDF" w:rsidRDefault="00770A9A" w:rsidP="00DC2B8A">
      <w:pPr>
        <w:tabs>
          <w:tab w:val="left" w:pos="784"/>
          <w:tab w:val="left" w:pos="1134"/>
        </w:tabs>
        <w:spacing w:after="0" w:line="240" w:lineRule="auto"/>
        <w:ind w:firstLine="709"/>
        <w:jc w:val="both"/>
        <w:rPr>
          <w:rFonts w:ascii="Times New Roman" w:eastAsia="MS Mincho" w:hAnsi="Times New Roman"/>
          <w:bCs/>
          <w:sz w:val="24"/>
          <w:szCs w:val="24"/>
          <w:lang w:eastAsia="en-US"/>
        </w:rPr>
      </w:pPr>
      <w:r w:rsidRPr="00C90DDF">
        <w:rPr>
          <w:rFonts w:ascii="Times New Roman" w:hAnsi="Times New Roman"/>
          <w:sz w:val="24"/>
          <w:szCs w:val="24"/>
        </w:rPr>
        <w:t xml:space="preserve">– </w:t>
      </w:r>
      <w:r w:rsidRPr="00C90DDF">
        <w:rPr>
          <w:rFonts w:ascii="Times New Roman" w:eastAsia="MS Mincho" w:hAnsi="Times New Roman"/>
          <w:bCs/>
          <w:sz w:val="24"/>
          <w:szCs w:val="24"/>
          <w:lang w:eastAsia="en-US"/>
        </w:rPr>
        <w:t>по ГУП «Бендерский хлеб» цены не изменились на хлеб из смеси муки пшеничной 1 и 2 сорта. Цены снижены на хлеб из муки пшеничной 1 сорта и батон из муки высшего сорта на 3,0% и 3,15% соответственно;</w:t>
      </w:r>
    </w:p>
    <w:p w:rsidR="00770A9A" w:rsidRPr="00C90DDF" w:rsidRDefault="00770A9A" w:rsidP="00DC2B8A">
      <w:pPr>
        <w:tabs>
          <w:tab w:val="left" w:pos="784"/>
          <w:tab w:val="left" w:pos="1134"/>
        </w:tabs>
        <w:spacing w:after="0" w:line="240" w:lineRule="auto"/>
        <w:ind w:firstLine="709"/>
        <w:jc w:val="both"/>
        <w:rPr>
          <w:rFonts w:ascii="Times New Roman" w:eastAsia="MS Mincho" w:hAnsi="Times New Roman"/>
          <w:bCs/>
          <w:sz w:val="24"/>
          <w:szCs w:val="24"/>
          <w:lang w:eastAsia="en-US"/>
        </w:rPr>
      </w:pPr>
      <w:r w:rsidRPr="00C90DDF">
        <w:rPr>
          <w:rFonts w:ascii="Times New Roman" w:hAnsi="Times New Roman"/>
          <w:sz w:val="24"/>
          <w:szCs w:val="24"/>
        </w:rPr>
        <w:t xml:space="preserve">– </w:t>
      </w:r>
      <w:r w:rsidRPr="00C90DDF">
        <w:rPr>
          <w:rFonts w:ascii="Times New Roman" w:eastAsia="MS Mincho" w:hAnsi="Times New Roman"/>
          <w:bCs/>
          <w:sz w:val="24"/>
          <w:szCs w:val="24"/>
          <w:lang w:eastAsia="en-US"/>
        </w:rPr>
        <w:t>по ЗАО «Рыбницкий хлебокомбинат» цены на регулируемые виды хлеба не изменились.</w:t>
      </w:r>
    </w:p>
    <w:p w:rsidR="00770A9A" w:rsidRPr="00C90DDF" w:rsidRDefault="00770A9A" w:rsidP="00DC2B8A">
      <w:pPr>
        <w:pStyle w:val="justifyfull"/>
        <w:shd w:val="clear" w:color="auto" w:fill="FFFFFF"/>
        <w:tabs>
          <w:tab w:val="left" w:pos="784"/>
        </w:tabs>
        <w:spacing w:before="0" w:beforeAutospacing="0" w:after="0" w:afterAutospacing="0"/>
        <w:ind w:firstLine="709"/>
        <w:jc w:val="both"/>
        <w:textAlignment w:val="baseline"/>
      </w:pPr>
      <w:r w:rsidRPr="00C90DDF">
        <w:t xml:space="preserve">Основными факторами снижения цены на хлебобулочные изделия в 2016 году </w:t>
      </w:r>
      <w:r w:rsidRPr="00C90DDF">
        <w:rPr>
          <w:rFonts w:eastAsia="MS Mincho"/>
          <w:bCs/>
        </w:rPr>
        <w:t>по сравнению с 2015 годом</w:t>
      </w:r>
      <w:r w:rsidRPr="00C90DDF">
        <w:t xml:space="preserve"> являлись:</w:t>
      </w:r>
    </w:p>
    <w:p w:rsidR="00770A9A" w:rsidRPr="00C90DDF" w:rsidRDefault="00770A9A" w:rsidP="00DC2B8A">
      <w:pPr>
        <w:pStyle w:val="justifyfull"/>
        <w:shd w:val="clear" w:color="auto" w:fill="FFFFFF"/>
        <w:tabs>
          <w:tab w:val="left" w:pos="784"/>
        </w:tabs>
        <w:spacing w:before="0" w:beforeAutospacing="0" w:after="0" w:afterAutospacing="0"/>
        <w:ind w:firstLine="709"/>
        <w:jc w:val="both"/>
        <w:textAlignment w:val="baseline"/>
        <w:rPr>
          <w:rFonts w:eastAsia="MS Mincho"/>
          <w:bCs/>
        </w:rPr>
      </w:pPr>
      <w:r w:rsidRPr="00C90DDF">
        <w:t>–</w:t>
      </w:r>
      <w:r w:rsidRPr="00C90DDF">
        <w:rPr>
          <w:rFonts w:eastAsia="MS Mincho"/>
          <w:bCs/>
        </w:rPr>
        <w:t> снижение цены на муку для хлебопечения;</w:t>
      </w:r>
    </w:p>
    <w:p w:rsidR="00770A9A" w:rsidRPr="00C90DDF" w:rsidRDefault="00770A9A" w:rsidP="00DC2B8A">
      <w:pPr>
        <w:pStyle w:val="justifyfull"/>
        <w:shd w:val="clear" w:color="auto" w:fill="FFFFFF"/>
        <w:tabs>
          <w:tab w:val="left" w:pos="784"/>
        </w:tabs>
        <w:spacing w:before="0" w:beforeAutospacing="0" w:after="0" w:afterAutospacing="0"/>
        <w:ind w:firstLine="709"/>
        <w:jc w:val="both"/>
        <w:textAlignment w:val="baseline"/>
        <w:rPr>
          <w:rFonts w:eastAsia="MS Mincho"/>
          <w:bCs/>
        </w:rPr>
      </w:pPr>
      <w:r w:rsidRPr="00C90DDF">
        <w:rPr>
          <w:rFonts w:eastAsia="MS Mincho"/>
          <w:bCs/>
        </w:rPr>
        <w:t>– снижение уровня рентабельности, предусмотренного при формировании регулируемых видов хлеба на 5%.</w:t>
      </w:r>
    </w:p>
    <w:p w:rsidR="00770A9A" w:rsidRPr="00C90DDF" w:rsidRDefault="00770A9A" w:rsidP="00770A9A">
      <w:pPr>
        <w:spacing w:after="0" w:line="240" w:lineRule="auto"/>
        <w:ind w:firstLine="708"/>
        <w:jc w:val="both"/>
        <w:rPr>
          <w:rFonts w:ascii="Times New Roman" w:eastAsia="MS Mincho" w:hAnsi="Times New Roman"/>
          <w:bCs/>
          <w:sz w:val="24"/>
          <w:szCs w:val="24"/>
          <w:u w:val="single"/>
        </w:rPr>
      </w:pPr>
      <w:r w:rsidRPr="00C90DDF">
        <w:rPr>
          <w:rFonts w:ascii="Times New Roman" w:eastAsia="MS Mincho" w:hAnsi="Times New Roman"/>
          <w:bCs/>
          <w:sz w:val="24"/>
          <w:szCs w:val="24"/>
          <w:u w:val="single"/>
        </w:rPr>
        <w:t>в) услуги телефонной сети и телеграфной связи</w:t>
      </w:r>
    </w:p>
    <w:p w:rsidR="00770A9A" w:rsidRPr="00C90DDF" w:rsidRDefault="00770A9A" w:rsidP="00770A9A">
      <w:pPr>
        <w:tabs>
          <w:tab w:val="left" w:pos="993"/>
        </w:tabs>
        <w:spacing w:after="0" w:line="240" w:lineRule="auto"/>
        <w:ind w:firstLine="708"/>
        <w:jc w:val="both"/>
        <w:rPr>
          <w:rFonts w:ascii="Times New Roman" w:eastAsia="MS Mincho" w:hAnsi="Times New Roman"/>
          <w:bCs/>
          <w:sz w:val="24"/>
          <w:szCs w:val="24"/>
        </w:rPr>
      </w:pPr>
      <w:r w:rsidRPr="00C90DDF">
        <w:rPr>
          <w:rFonts w:ascii="Times New Roman" w:eastAsia="MS Mincho" w:hAnsi="Times New Roman"/>
          <w:bCs/>
          <w:sz w:val="24"/>
          <w:szCs w:val="24"/>
        </w:rPr>
        <w:t xml:space="preserve">С 1 января 2016 года предельные уровни тарифов на услуги телефонной сети увеличены в среднем на 4,35% по сравнению с действовавшими тарифами в 2015 году. Предельные уровни тарифов на услуги телеграфной связи с 1 января 2016 года увеличены в среднем на 6,34% по сравнению с действовавшими тарифами в 2015 году. </w:t>
      </w:r>
    </w:p>
    <w:p w:rsidR="00770A9A" w:rsidRPr="00C90DDF" w:rsidRDefault="00770A9A" w:rsidP="00DC2B8A">
      <w:pPr>
        <w:tabs>
          <w:tab w:val="left" w:pos="709"/>
        </w:tabs>
        <w:spacing w:after="0" w:line="240" w:lineRule="auto"/>
        <w:ind w:firstLine="709"/>
        <w:jc w:val="both"/>
        <w:rPr>
          <w:rFonts w:ascii="Times New Roman" w:eastAsia="MS Mincho" w:hAnsi="Times New Roman"/>
          <w:b/>
          <w:bCs/>
          <w:sz w:val="24"/>
          <w:szCs w:val="24"/>
        </w:rPr>
      </w:pPr>
      <w:r w:rsidRPr="00C90DDF">
        <w:rPr>
          <w:rFonts w:ascii="Times New Roman" w:eastAsia="MS Mincho" w:hAnsi="Times New Roman"/>
          <w:b/>
          <w:bCs/>
          <w:sz w:val="24"/>
          <w:szCs w:val="24"/>
        </w:rPr>
        <w:t>Тарифная политика в сфере услуг государственных и муниципальных учреждений</w:t>
      </w:r>
    </w:p>
    <w:p w:rsidR="00770A9A" w:rsidRDefault="00770A9A" w:rsidP="00770A9A">
      <w:pPr>
        <w:pStyle w:val="af"/>
        <w:ind w:firstLine="708"/>
        <w:rPr>
          <w:bCs/>
          <w:sz w:val="24"/>
          <w:szCs w:val="24"/>
        </w:rPr>
      </w:pPr>
      <w:r w:rsidRPr="00C90DDF">
        <w:rPr>
          <w:bCs/>
          <w:sz w:val="24"/>
          <w:szCs w:val="24"/>
        </w:rPr>
        <w:t xml:space="preserve">Тарифная политика на 2016 год в сфере услуг государственных и муниципальных учреждений (8 075 услуг, в том числе 3 741 медицинских услуг) сформирована с учетом </w:t>
      </w:r>
      <w:r w:rsidRPr="00C90DDF">
        <w:rPr>
          <w:bCs/>
          <w:sz w:val="24"/>
          <w:szCs w:val="24"/>
        </w:rPr>
        <w:lastRenderedPageBreak/>
        <w:t>норм действующего законодательства в области ценообразования и влияния следующих факторов:</w:t>
      </w:r>
    </w:p>
    <w:p w:rsidR="00770A9A" w:rsidRDefault="00770A9A" w:rsidP="00425781">
      <w:pPr>
        <w:pStyle w:val="af"/>
        <w:tabs>
          <w:tab w:val="left" w:pos="993"/>
        </w:tabs>
        <w:ind w:firstLine="708"/>
        <w:rPr>
          <w:bCs/>
          <w:sz w:val="24"/>
          <w:szCs w:val="24"/>
        </w:rPr>
      </w:pPr>
      <w:r w:rsidRPr="00C90DDF">
        <w:rPr>
          <w:rFonts w:eastAsia="MS Mincho"/>
          <w:bCs/>
        </w:rPr>
        <w:t>–</w:t>
      </w:r>
      <w:r w:rsidR="00425781">
        <w:rPr>
          <w:rFonts w:eastAsia="MS Mincho"/>
          <w:bCs/>
        </w:rPr>
        <w:tab/>
      </w:r>
      <w:r w:rsidRPr="001A6A10">
        <w:rPr>
          <w:rFonts w:eastAsia="MS Mincho"/>
          <w:bCs/>
          <w:sz w:val="24"/>
          <w:szCs w:val="24"/>
        </w:rPr>
        <w:t>и</w:t>
      </w:r>
      <w:r w:rsidRPr="00C90DDF">
        <w:rPr>
          <w:bCs/>
          <w:sz w:val="24"/>
          <w:szCs w:val="24"/>
        </w:rPr>
        <w:t>зменения среднегодового РУ МЗП на соответствующий расчетный период регулирования;</w:t>
      </w:r>
    </w:p>
    <w:p w:rsidR="00770A9A" w:rsidRDefault="00770A9A" w:rsidP="00425781">
      <w:pPr>
        <w:pStyle w:val="af"/>
        <w:tabs>
          <w:tab w:val="left" w:pos="993"/>
        </w:tabs>
        <w:ind w:firstLine="708"/>
        <w:rPr>
          <w:bCs/>
          <w:sz w:val="24"/>
          <w:szCs w:val="24"/>
        </w:rPr>
      </w:pPr>
      <w:r w:rsidRPr="00C90DDF">
        <w:rPr>
          <w:rFonts w:eastAsia="MS Mincho"/>
          <w:bCs/>
        </w:rPr>
        <w:t>–</w:t>
      </w:r>
      <w:r w:rsidR="00425781">
        <w:rPr>
          <w:rFonts w:eastAsia="MS Mincho"/>
          <w:bCs/>
        </w:rPr>
        <w:tab/>
      </w:r>
      <w:r w:rsidRPr="00C90DDF">
        <w:rPr>
          <w:bCs/>
          <w:sz w:val="24"/>
          <w:szCs w:val="24"/>
        </w:rPr>
        <w:t>влияния инфляционных процессов в 2015-2016 годах;</w:t>
      </w:r>
    </w:p>
    <w:p w:rsidR="00770A9A" w:rsidRDefault="00770A9A" w:rsidP="00425781">
      <w:pPr>
        <w:pStyle w:val="af"/>
        <w:tabs>
          <w:tab w:val="left" w:pos="993"/>
        </w:tabs>
        <w:ind w:firstLine="709"/>
        <w:rPr>
          <w:rFonts w:eastAsia="MS Mincho"/>
          <w:bCs/>
          <w:sz w:val="24"/>
          <w:szCs w:val="24"/>
        </w:rPr>
      </w:pPr>
      <w:r w:rsidRPr="00C90DDF">
        <w:rPr>
          <w:rFonts w:eastAsia="MS Mincho"/>
          <w:bCs/>
        </w:rPr>
        <w:t>–</w:t>
      </w:r>
      <w:r w:rsidR="00425781">
        <w:rPr>
          <w:rFonts w:eastAsia="MS Mincho"/>
          <w:bCs/>
        </w:rPr>
        <w:tab/>
      </w:r>
      <w:r w:rsidRPr="00C070C7">
        <w:rPr>
          <w:rFonts w:eastAsia="MS Mincho"/>
          <w:bCs/>
          <w:sz w:val="24"/>
          <w:szCs w:val="24"/>
        </w:rPr>
        <w:t>фактических</w:t>
      </w:r>
      <w:r>
        <w:rPr>
          <w:rFonts w:eastAsia="MS Mincho"/>
          <w:bCs/>
          <w:sz w:val="24"/>
          <w:szCs w:val="24"/>
        </w:rPr>
        <w:t xml:space="preserve"> результатов деятельности государственных и муниципальных учреждений </w:t>
      </w:r>
      <w:r w:rsidRPr="00C90DDF">
        <w:rPr>
          <w:rFonts w:eastAsia="MS Mincho"/>
          <w:bCs/>
          <w:sz w:val="24"/>
          <w:szCs w:val="24"/>
        </w:rPr>
        <w:t>по итогам работы за прошедшие расчетные периоды регулирования;</w:t>
      </w:r>
    </w:p>
    <w:p w:rsidR="00770A9A" w:rsidRPr="00C90DDF" w:rsidRDefault="00770A9A" w:rsidP="00425781">
      <w:pPr>
        <w:pStyle w:val="af"/>
        <w:tabs>
          <w:tab w:val="left" w:pos="993"/>
        </w:tabs>
        <w:ind w:firstLine="708"/>
        <w:rPr>
          <w:rFonts w:eastAsia="MS Mincho"/>
          <w:bCs/>
          <w:sz w:val="24"/>
          <w:szCs w:val="24"/>
        </w:rPr>
      </w:pPr>
      <w:r w:rsidRPr="00C90DDF">
        <w:rPr>
          <w:rFonts w:eastAsia="MS Mincho"/>
          <w:bCs/>
        </w:rPr>
        <w:t>–</w:t>
      </w:r>
      <w:r w:rsidR="00425781">
        <w:rPr>
          <w:rFonts w:eastAsia="MS Mincho"/>
          <w:bCs/>
        </w:rPr>
        <w:tab/>
      </w:r>
      <w:r w:rsidRPr="00C90DDF">
        <w:rPr>
          <w:bCs/>
          <w:sz w:val="24"/>
          <w:szCs w:val="24"/>
        </w:rPr>
        <w:t>увеличение затрат медицинских учреждений на содержание и текущий ремонт нового медицинского оборудования, приобретенного в 2015–2016 годах.</w:t>
      </w:r>
    </w:p>
    <w:p w:rsidR="00770A9A" w:rsidRPr="00C90DDF" w:rsidRDefault="00770A9A" w:rsidP="00770A9A">
      <w:pPr>
        <w:pStyle w:val="23"/>
        <w:shd w:val="clear" w:color="auto" w:fill="auto"/>
        <w:spacing w:before="0" w:line="240" w:lineRule="auto"/>
        <w:ind w:firstLine="708"/>
        <w:rPr>
          <w:rFonts w:ascii="Times New Roman" w:hAnsi="Times New Roman" w:cs="Times New Roman"/>
          <w:color w:val="000000"/>
          <w:sz w:val="24"/>
          <w:szCs w:val="24"/>
          <w:lang w:bidi="ru-RU"/>
        </w:rPr>
      </w:pPr>
      <w:r w:rsidRPr="00C90DDF">
        <w:rPr>
          <w:rFonts w:ascii="Times New Roman" w:hAnsi="Times New Roman" w:cs="Times New Roman"/>
          <w:color w:val="000000"/>
          <w:sz w:val="24"/>
          <w:szCs w:val="24"/>
          <w:lang w:bidi="ru-RU"/>
        </w:rPr>
        <w:t>Предельные уровни тарифов на услуги государственных и муниципальных учреждений в 2016 году по сравнению с предельными уровнями тарифов, действовавшими в 2015 году, сокращены в среднем на 3,4%.</w:t>
      </w:r>
    </w:p>
    <w:p w:rsidR="00770A9A" w:rsidRPr="00C90DDF" w:rsidRDefault="00770A9A" w:rsidP="00DC2B8A">
      <w:pPr>
        <w:tabs>
          <w:tab w:val="left" w:pos="709"/>
        </w:tabs>
        <w:spacing w:after="0" w:line="240" w:lineRule="auto"/>
        <w:ind w:firstLine="709"/>
        <w:jc w:val="both"/>
        <w:rPr>
          <w:rFonts w:ascii="Times New Roman" w:eastAsia="MS Mincho" w:hAnsi="Times New Roman"/>
          <w:b/>
          <w:bCs/>
          <w:sz w:val="24"/>
          <w:szCs w:val="24"/>
        </w:rPr>
      </w:pPr>
      <w:r w:rsidRPr="00C90DDF">
        <w:rPr>
          <w:rFonts w:ascii="Times New Roman" w:eastAsia="MS Mincho" w:hAnsi="Times New Roman"/>
          <w:b/>
          <w:bCs/>
          <w:sz w:val="24"/>
          <w:szCs w:val="24"/>
        </w:rPr>
        <w:t>Тарифная политика в сфере работ, услуг по стандартизации, метрологии и обязательной сертификации продукции и услуг</w:t>
      </w:r>
    </w:p>
    <w:p w:rsidR="00770A9A" w:rsidRPr="00C90DDF" w:rsidRDefault="00770A9A" w:rsidP="00DC2B8A">
      <w:pPr>
        <w:tabs>
          <w:tab w:val="left" w:pos="709"/>
        </w:tabs>
        <w:spacing w:after="0" w:line="240" w:lineRule="auto"/>
        <w:ind w:firstLine="709"/>
        <w:jc w:val="both"/>
        <w:rPr>
          <w:rFonts w:ascii="Times New Roman" w:hAnsi="Times New Roman"/>
          <w:color w:val="000000"/>
          <w:sz w:val="24"/>
          <w:szCs w:val="24"/>
          <w:lang w:bidi="ru-RU"/>
        </w:rPr>
      </w:pPr>
      <w:r w:rsidRPr="00C90DDF">
        <w:rPr>
          <w:rFonts w:ascii="Times New Roman" w:eastAsia="MS Mincho" w:hAnsi="Times New Roman"/>
          <w:bCs/>
          <w:sz w:val="24"/>
          <w:szCs w:val="24"/>
        </w:rPr>
        <w:t xml:space="preserve">В </w:t>
      </w:r>
      <w:r w:rsidRPr="00C90DDF">
        <w:rPr>
          <w:rFonts w:ascii="Times New Roman" w:hAnsi="Times New Roman"/>
          <w:color w:val="000000"/>
          <w:sz w:val="24"/>
          <w:szCs w:val="24"/>
          <w:lang w:bidi="ru-RU"/>
        </w:rPr>
        <w:t>2016 году по сравнению с 2015 годом снижение тарифов на работы, услуги по стандартизации, метрологии и обязательной сертификации продукции и услуг составило в среднем 0,3%.</w:t>
      </w:r>
    </w:p>
    <w:p w:rsidR="00770A9A" w:rsidRPr="00C90DDF" w:rsidRDefault="00770A9A" w:rsidP="00770A9A">
      <w:pPr>
        <w:spacing w:after="0" w:line="240" w:lineRule="auto"/>
        <w:ind w:firstLine="709"/>
        <w:jc w:val="both"/>
        <w:rPr>
          <w:rFonts w:ascii="Times New Roman" w:hAnsi="Times New Roman"/>
          <w:b/>
          <w:sz w:val="24"/>
          <w:szCs w:val="24"/>
        </w:rPr>
      </w:pPr>
      <w:r w:rsidRPr="00C90DDF">
        <w:rPr>
          <w:rFonts w:ascii="Times New Roman" w:hAnsi="Times New Roman"/>
          <w:b/>
          <w:sz w:val="24"/>
          <w:szCs w:val="24"/>
        </w:rPr>
        <w:t>Инфляционные процессы</w:t>
      </w:r>
    </w:p>
    <w:p w:rsidR="00770A9A" w:rsidRDefault="00770A9A" w:rsidP="00770A9A">
      <w:pPr>
        <w:spacing w:after="0" w:line="240" w:lineRule="auto"/>
        <w:ind w:firstLine="709"/>
        <w:jc w:val="both"/>
        <w:rPr>
          <w:rFonts w:ascii="Times New Roman" w:hAnsi="Times New Roman"/>
          <w:sz w:val="24"/>
          <w:szCs w:val="24"/>
        </w:rPr>
      </w:pPr>
      <w:r>
        <w:rPr>
          <w:rFonts w:ascii="Times New Roman" w:hAnsi="Times New Roman"/>
          <w:sz w:val="24"/>
        </w:rPr>
        <w:t>П</w:t>
      </w:r>
      <w:r w:rsidRPr="00C90DDF">
        <w:rPr>
          <w:rFonts w:ascii="Times New Roman" w:hAnsi="Times New Roman"/>
          <w:sz w:val="24"/>
        </w:rPr>
        <w:t>о итогам января-декабря 2016 года</w:t>
      </w:r>
      <w:r w:rsidRPr="00C90DDF">
        <w:rPr>
          <w:rFonts w:ascii="Times New Roman" w:hAnsi="Times New Roman"/>
          <w:b/>
          <w:sz w:val="24"/>
        </w:rPr>
        <w:t xml:space="preserve"> сводный индекс потребительских цен (инфляция) </w:t>
      </w:r>
      <w:r w:rsidRPr="00C90DDF">
        <w:rPr>
          <w:rFonts w:ascii="Times New Roman" w:hAnsi="Times New Roman"/>
          <w:sz w:val="24"/>
        </w:rPr>
        <w:t xml:space="preserve">зафиксирован на отметке </w:t>
      </w:r>
      <w:r w:rsidRPr="00C90DDF">
        <w:rPr>
          <w:rFonts w:ascii="Times New Roman" w:hAnsi="Times New Roman"/>
          <w:b/>
          <w:sz w:val="24"/>
          <w:szCs w:val="24"/>
        </w:rPr>
        <w:t>104,44%</w:t>
      </w:r>
      <w:r w:rsidRPr="00C90DDF">
        <w:rPr>
          <w:rFonts w:ascii="Times New Roman" w:hAnsi="Times New Roman"/>
          <w:sz w:val="24"/>
          <w:szCs w:val="24"/>
        </w:rPr>
        <w:t xml:space="preserve"> против 98,23% в январе-декабре </w:t>
      </w:r>
      <w:r>
        <w:rPr>
          <w:rFonts w:ascii="Times New Roman" w:hAnsi="Times New Roman"/>
          <w:sz w:val="24"/>
          <w:szCs w:val="24"/>
        </w:rPr>
        <w:t xml:space="preserve"> </w:t>
      </w:r>
      <w:r w:rsidRPr="00C90DDF">
        <w:rPr>
          <w:rFonts w:ascii="Times New Roman" w:hAnsi="Times New Roman"/>
          <w:sz w:val="24"/>
          <w:szCs w:val="24"/>
        </w:rPr>
        <w:t>2015 года.</w:t>
      </w:r>
    </w:p>
    <w:p w:rsidR="00A61AFF" w:rsidRPr="00A61AFF" w:rsidRDefault="00A61AFF" w:rsidP="00770A9A">
      <w:pPr>
        <w:spacing w:after="0" w:line="240" w:lineRule="auto"/>
        <w:ind w:firstLine="709"/>
        <w:jc w:val="both"/>
        <w:rPr>
          <w:rFonts w:ascii="Times New Roman" w:hAnsi="Times New Roman"/>
          <w:sz w:val="10"/>
          <w:szCs w:val="10"/>
        </w:rPr>
      </w:pPr>
    </w:p>
    <w:p w:rsidR="00770A9A" w:rsidRPr="00C90DDF" w:rsidRDefault="00770A9A" w:rsidP="00770A9A">
      <w:pPr>
        <w:shd w:val="clear" w:color="auto" w:fill="FFFFFF"/>
        <w:spacing w:after="0" w:line="240" w:lineRule="auto"/>
        <w:ind w:hanging="284"/>
        <w:jc w:val="both"/>
        <w:rPr>
          <w:rFonts w:ascii="Times New Roman" w:hAnsi="Times New Roman"/>
          <w:sz w:val="24"/>
          <w:szCs w:val="24"/>
        </w:rPr>
      </w:pPr>
      <w:r w:rsidRPr="00C90DDF">
        <w:rPr>
          <w:rFonts w:ascii="Times New Roman" w:hAnsi="Times New Roman"/>
          <w:noProof/>
          <w:sz w:val="24"/>
          <w:szCs w:val="24"/>
        </w:rPr>
        <w:drawing>
          <wp:inline distT="0" distB="0" distL="0" distR="0">
            <wp:extent cx="6296025" cy="2066925"/>
            <wp:effectExtent l="0" t="0" r="0" b="0"/>
            <wp:docPr id="52"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70A9A" w:rsidRPr="00DC2B8A" w:rsidRDefault="00770A9A" w:rsidP="00770A9A">
      <w:pPr>
        <w:shd w:val="clear" w:color="auto" w:fill="FFFFFF"/>
        <w:spacing w:after="0" w:line="240" w:lineRule="auto"/>
        <w:ind w:firstLine="709"/>
        <w:jc w:val="both"/>
        <w:rPr>
          <w:rFonts w:ascii="Times New Roman" w:hAnsi="Times New Roman"/>
          <w:sz w:val="10"/>
          <w:szCs w:val="10"/>
        </w:rPr>
      </w:pPr>
    </w:p>
    <w:p w:rsidR="00770A9A" w:rsidRPr="00C90DDF" w:rsidRDefault="00770A9A" w:rsidP="00770A9A">
      <w:pPr>
        <w:shd w:val="clear" w:color="auto" w:fill="FFFFFF"/>
        <w:spacing w:after="0" w:line="240" w:lineRule="auto"/>
        <w:ind w:firstLine="709"/>
        <w:jc w:val="both"/>
        <w:rPr>
          <w:rFonts w:ascii="Times New Roman" w:hAnsi="Times New Roman"/>
          <w:sz w:val="24"/>
          <w:szCs w:val="24"/>
        </w:rPr>
      </w:pPr>
      <w:r w:rsidRPr="00C90DDF">
        <w:rPr>
          <w:rFonts w:ascii="Times New Roman" w:hAnsi="Times New Roman"/>
          <w:sz w:val="24"/>
          <w:szCs w:val="24"/>
        </w:rPr>
        <w:t>Динамика сводного индекса потребительских цен (инфляции) за предыдущие годы представлена в следующем виде:</w:t>
      </w:r>
    </w:p>
    <w:p w:rsidR="00770A9A" w:rsidRPr="00C90DDF" w:rsidRDefault="00770A9A" w:rsidP="00ED22F4">
      <w:pPr>
        <w:spacing w:after="0" w:line="240" w:lineRule="auto"/>
        <w:ind w:left="-284"/>
        <w:jc w:val="both"/>
        <w:rPr>
          <w:rFonts w:ascii="Times New Roman" w:hAnsi="Times New Roman"/>
          <w:bCs/>
          <w:color w:val="000000"/>
          <w:sz w:val="24"/>
          <w:shd w:val="clear" w:color="auto" w:fill="FFFFFF"/>
        </w:rPr>
      </w:pPr>
      <w:r w:rsidRPr="00C90DDF">
        <w:rPr>
          <w:rFonts w:ascii="Times New Roman" w:hAnsi="Times New Roman"/>
          <w:bCs/>
          <w:noProof/>
          <w:color w:val="1F497D" w:themeColor="text2"/>
          <w:sz w:val="24"/>
          <w:shd w:val="clear" w:color="auto" w:fill="FFFFFF"/>
        </w:rPr>
        <w:drawing>
          <wp:inline distT="0" distB="0" distL="0" distR="0">
            <wp:extent cx="6372225" cy="2238375"/>
            <wp:effectExtent l="19050" t="0" r="0" b="0"/>
            <wp:docPr id="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70A9A" w:rsidRPr="00C90DDF" w:rsidRDefault="00770A9A" w:rsidP="00770A9A">
      <w:pPr>
        <w:spacing w:after="0" w:line="240" w:lineRule="auto"/>
        <w:ind w:firstLine="709"/>
        <w:jc w:val="both"/>
        <w:rPr>
          <w:rFonts w:ascii="Times New Roman" w:hAnsi="Times New Roman"/>
          <w:bCs/>
          <w:color w:val="000000"/>
          <w:sz w:val="24"/>
          <w:shd w:val="clear" w:color="auto" w:fill="FFFFFF"/>
        </w:rPr>
      </w:pPr>
      <w:r w:rsidRPr="00C90DDF">
        <w:rPr>
          <w:rFonts w:ascii="Times New Roman" w:hAnsi="Times New Roman"/>
          <w:b/>
          <w:bCs/>
          <w:i/>
          <w:color w:val="000000"/>
          <w:sz w:val="24"/>
          <w:shd w:val="clear" w:color="auto" w:fill="FFFFFF"/>
        </w:rPr>
        <w:t xml:space="preserve">В продовольственном сегменте </w:t>
      </w:r>
      <w:r w:rsidRPr="00C90DDF">
        <w:rPr>
          <w:rFonts w:ascii="Times New Roman" w:hAnsi="Times New Roman"/>
          <w:bCs/>
          <w:color w:val="000000"/>
          <w:sz w:val="24"/>
          <w:shd w:val="clear" w:color="auto" w:fill="FFFFFF"/>
        </w:rPr>
        <w:t>потребительского</w:t>
      </w:r>
      <w:r w:rsidR="00DC2B8A">
        <w:rPr>
          <w:rFonts w:ascii="Times New Roman" w:hAnsi="Times New Roman"/>
          <w:bCs/>
          <w:color w:val="000000"/>
          <w:sz w:val="24"/>
          <w:shd w:val="clear" w:color="auto" w:fill="FFFFFF"/>
        </w:rPr>
        <w:t xml:space="preserve"> рынка в январе-декабре </w:t>
      </w:r>
      <w:r w:rsidRPr="00C90DDF">
        <w:rPr>
          <w:rFonts w:ascii="Times New Roman" w:hAnsi="Times New Roman"/>
          <w:bCs/>
          <w:color w:val="000000"/>
          <w:sz w:val="24"/>
          <w:shd w:val="clear" w:color="auto" w:fill="FFFFFF"/>
        </w:rPr>
        <w:t>2016 года влияние сезонного удорожания стоимости мясопродуктов – на 11,45%, рыбопродуктов – на 8,95%, сахара – на 13,55%, яиц – на 25,82%, сыра – на 14,85%, масла растительного – на 3,96%, масла и жиров – на 8,72%, молока</w:t>
      </w:r>
      <w:r w:rsidR="00DC2B8A">
        <w:rPr>
          <w:rFonts w:ascii="Times New Roman" w:hAnsi="Times New Roman"/>
          <w:bCs/>
          <w:color w:val="000000"/>
          <w:sz w:val="24"/>
          <w:shd w:val="clear" w:color="auto" w:fill="FFFFFF"/>
        </w:rPr>
        <w:t xml:space="preserve"> и молочной продукции – </w:t>
      </w:r>
      <w:r w:rsidRPr="00C90DDF">
        <w:rPr>
          <w:rFonts w:ascii="Times New Roman" w:hAnsi="Times New Roman"/>
          <w:bCs/>
          <w:color w:val="000000"/>
          <w:sz w:val="24"/>
          <w:shd w:val="clear" w:color="auto" w:fill="FFFFFF"/>
        </w:rPr>
        <w:t xml:space="preserve">на 5,71%, муки – на 3,48%, кондитерских изделий – на 3,36%, в совокупности с удешевлением плодоовощной продукции, включая картофель – на 13,37%, маргарина и маргариновой продукции – на </w:t>
      </w:r>
      <w:r w:rsidRPr="00C90DDF">
        <w:rPr>
          <w:rFonts w:ascii="Times New Roman" w:hAnsi="Times New Roman"/>
          <w:bCs/>
          <w:color w:val="000000"/>
          <w:sz w:val="24"/>
          <w:shd w:val="clear" w:color="auto" w:fill="FFFFFF"/>
        </w:rPr>
        <w:lastRenderedPageBreak/>
        <w:t xml:space="preserve">7,72%, меда – на 2,03%, хлеба и хлебобулочных изделий – на 1,74%, майонезной продукции – на 1,44%, предопределило </w:t>
      </w:r>
      <w:r w:rsidRPr="00C90DDF">
        <w:rPr>
          <w:rFonts w:ascii="Times New Roman" w:hAnsi="Times New Roman"/>
          <w:b/>
          <w:bCs/>
          <w:i/>
          <w:color w:val="000000"/>
          <w:sz w:val="24"/>
          <w:shd w:val="clear" w:color="auto" w:fill="FFFFFF"/>
        </w:rPr>
        <w:t>инфляцию в размере 3,80%</w:t>
      </w:r>
      <w:r w:rsidRPr="00C90DDF">
        <w:rPr>
          <w:rFonts w:ascii="Times New Roman" w:hAnsi="Times New Roman"/>
          <w:bCs/>
          <w:color w:val="000000"/>
          <w:sz w:val="24"/>
          <w:shd w:val="clear" w:color="auto" w:fill="FFFFFF"/>
        </w:rPr>
        <w:t xml:space="preserve"> против дефляции «-»1,77% в январе-декабре 2015 года.</w:t>
      </w:r>
    </w:p>
    <w:p w:rsidR="00770A9A" w:rsidRPr="00C90DDF" w:rsidRDefault="00770A9A" w:rsidP="00770A9A">
      <w:pPr>
        <w:spacing w:after="0" w:line="240" w:lineRule="auto"/>
        <w:ind w:firstLine="709"/>
        <w:jc w:val="both"/>
        <w:rPr>
          <w:rFonts w:ascii="Times New Roman" w:hAnsi="Times New Roman"/>
          <w:sz w:val="24"/>
          <w:szCs w:val="24"/>
        </w:rPr>
      </w:pPr>
      <w:r w:rsidRPr="00C90DDF">
        <w:rPr>
          <w:rFonts w:ascii="Times New Roman" w:hAnsi="Times New Roman"/>
          <w:b/>
          <w:bCs/>
          <w:i/>
          <w:color w:val="000000"/>
          <w:sz w:val="24"/>
          <w:shd w:val="clear" w:color="auto" w:fill="FFFFFF"/>
        </w:rPr>
        <w:t>В</w:t>
      </w:r>
      <w:r w:rsidRPr="00C90DDF">
        <w:rPr>
          <w:rFonts w:ascii="Times New Roman" w:hAnsi="Times New Roman"/>
          <w:bCs/>
          <w:i/>
          <w:color w:val="000000"/>
          <w:sz w:val="24"/>
          <w:shd w:val="clear" w:color="auto" w:fill="FFFFFF"/>
        </w:rPr>
        <w:t xml:space="preserve"> </w:t>
      </w:r>
      <w:r w:rsidRPr="00C90DDF">
        <w:rPr>
          <w:rFonts w:ascii="Times New Roman" w:hAnsi="Times New Roman"/>
          <w:b/>
          <w:i/>
          <w:sz w:val="24"/>
          <w:szCs w:val="24"/>
        </w:rPr>
        <w:t>непродовольственном сегменте</w:t>
      </w:r>
      <w:r w:rsidRPr="00C90DDF">
        <w:rPr>
          <w:rFonts w:ascii="Times New Roman" w:hAnsi="Times New Roman"/>
          <w:b/>
          <w:sz w:val="24"/>
          <w:szCs w:val="24"/>
        </w:rPr>
        <w:t xml:space="preserve"> </w:t>
      </w:r>
      <w:r w:rsidRPr="00C90DDF">
        <w:rPr>
          <w:rFonts w:ascii="Times New Roman" w:hAnsi="Times New Roman"/>
          <w:sz w:val="24"/>
          <w:szCs w:val="24"/>
        </w:rPr>
        <w:t xml:space="preserve">потребительского рынка дефляционные процессы на протяжении ряда лет, сменились ростом трендовой инфляции, что по итогам января-декабря 2016 года обусловило инфляционный фон в данном сегменте рынка до уровня </w:t>
      </w:r>
      <w:r w:rsidRPr="00C90DDF">
        <w:rPr>
          <w:rFonts w:ascii="Times New Roman" w:hAnsi="Times New Roman"/>
          <w:b/>
          <w:i/>
          <w:sz w:val="24"/>
          <w:szCs w:val="24"/>
        </w:rPr>
        <w:t>6,88%</w:t>
      </w:r>
      <w:r w:rsidRPr="00C90DDF">
        <w:rPr>
          <w:rFonts w:ascii="Times New Roman" w:hAnsi="Times New Roman"/>
          <w:sz w:val="24"/>
          <w:szCs w:val="24"/>
        </w:rPr>
        <w:t xml:space="preserve"> (в январе</w:t>
      </w:r>
      <w:r w:rsidRPr="00C90DDF">
        <w:rPr>
          <w:rFonts w:ascii="Times New Roman" w:hAnsi="Times New Roman"/>
          <w:bCs/>
          <w:color w:val="000000"/>
          <w:sz w:val="24"/>
          <w:shd w:val="clear" w:color="auto" w:fill="FFFFFF"/>
        </w:rPr>
        <w:t>-декабре</w:t>
      </w:r>
      <w:r w:rsidRPr="00C90DDF">
        <w:rPr>
          <w:rFonts w:ascii="Times New Roman" w:hAnsi="Times New Roman"/>
          <w:sz w:val="24"/>
          <w:szCs w:val="24"/>
        </w:rPr>
        <w:t xml:space="preserve"> 2015 года дефляция «-»3,12%). Прежде всего, дорожали товары народного потребления, импортируемые на территорию республики. В общей структуре данного сегмента выделяется удорожание стоимости табачных изделий –</w:t>
      </w:r>
      <w:r w:rsidR="00DC2B8A">
        <w:rPr>
          <w:rFonts w:ascii="Times New Roman" w:hAnsi="Times New Roman"/>
          <w:sz w:val="24"/>
          <w:szCs w:val="24"/>
        </w:rPr>
        <w:t xml:space="preserve"> </w:t>
      </w:r>
      <w:r w:rsidRPr="00C90DDF">
        <w:rPr>
          <w:rFonts w:ascii="Times New Roman" w:hAnsi="Times New Roman"/>
          <w:sz w:val="24"/>
          <w:szCs w:val="24"/>
        </w:rPr>
        <w:t>на 27,31%, велосипедов – на 14,10%, ковров и ковровых изделий - на 14,32%, электротоваров и других бытовых приборов – на 14,45%, строительных материалов –</w:t>
      </w:r>
      <w:r w:rsidR="00DC2B8A">
        <w:rPr>
          <w:rFonts w:ascii="Times New Roman" w:hAnsi="Times New Roman"/>
          <w:sz w:val="24"/>
          <w:szCs w:val="24"/>
        </w:rPr>
        <w:t xml:space="preserve"> </w:t>
      </w:r>
      <w:r w:rsidRPr="00C90DDF">
        <w:rPr>
          <w:rFonts w:ascii="Times New Roman" w:hAnsi="Times New Roman"/>
          <w:sz w:val="24"/>
          <w:szCs w:val="24"/>
        </w:rPr>
        <w:t>на 10,90%, а также печатных изданий – на 11,05%, вычислительной техники – на 9,70%, медикаментов – на 11,09%, хозтоваров – на 6,41%, топлива (бензина) – на 1,42%. В то же время отмечалось незначительное удешевление стоимости тканей («-»0,18%).</w:t>
      </w:r>
    </w:p>
    <w:p w:rsidR="00770A9A" w:rsidRPr="00C90DDF" w:rsidRDefault="00770A9A" w:rsidP="00770A9A">
      <w:pPr>
        <w:spacing w:after="0" w:line="240" w:lineRule="auto"/>
        <w:ind w:firstLine="709"/>
        <w:jc w:val="both"/>
        <w:rPr>
          <w:rFonts w:ascii="Times New Roman" w:eastAsia="Calibri" w:hAnsi="Times New Roman"/>
          <w:sz w:val="24"/>
        </w:rPr>
      </w:pPr>
      <w:r w:rsidRPr="00C90DDF">
        <w:rPr>
          <w:rFonts w:ascii="Times New Roman" w:hAnsi="Times New Roman"/>
          <w:b/>
          <w:i/>
          <w:sz w:val="24"/>
          <w:szCs w:val="24"/>
        </w:rPr>
        <w:t>В сфере услуг</w:t>
      </w:r>
      <w:r w:rsidRPr="00C90DDF">
        <w:rPr>
          <w:rFonts w:ascii="Times New Roman" w:hAnsi="Times New Roman"/>
          <w:sz w:val="24"/>
          <w:szCs w:val="24"/>
        </w:rPr>
        <w:t xml:space="preserve"> в январе-декабре 2016 года был зафиксирован минимальный прирост тарифов </w:t>
      </w:r>
      <w:r w:rsidRPr="00C90DDF">
        <w:rPr>
          <w:rFonts w:ascii="Times New Roman" w:hAnsi="Times New Roman"/>
          <w:b/>
          <w:i/>
          <w:sz w:val="24"/>
          <w:szCs w:val="24"/>
        </w:rPr>
        <w:t>(«+»1,48%</w:t>
      </w:r>
      <w:r w:rsidRPr="00C90DDF">
        <w:rPr>
          <w:rFonts w:ascii="Times New Roman" w:hAnsi="Times New Roman"/>
          <w:sz w:val="24"/>
          <w:szCs w:val="24"/>
        </w:rPr>
        <w:t xml:space="preserve"> против «+»5,92% в январе-декабре 2015 года), что стало следствием принятых на государственном уровне решений о неосуществлении в 2016 году корректировок стоимости ключевых потребительских услуг в целях минимизации инфляционной нагрузки на население в условиях экономического кризиса. При этом ключевым фактором, формирующим инфляционный фон в сфере тарифов на услуги в анализируемом периоде, выступило </w:t>
      </w:r>
      <w:r w:rsidRPr="00C90DDF">
        <w:rPr>
          <w:rFonts w:ascii="Times New Roman" w:eastAsia="Calibri" w:hAnsi="Times New Roman"/>
          <w:sz w:val="24"/>
        </w:rPr>
        <w:t xml:space="preserve">повышение тарифов на услуги банков («+»22,64%), медицинские услуги («+»13,34%), услуги пассажирского транспорта («+»12,32%), услуги дошкольного воспитания («+»6,36%), услуги правового характера («+»8,21%). В то же время подешевели санаторно-оздоровительные услуги на 5,46%, услуги связи на 3,36%, бытовые услуги на 1,37%. </w:t>
      </w:r>
    </w:p>
    <w:p w:rsidR="00770A9A" w:rsidRPr="00714F6B" w:rsidRDefault="00770A9A" w:rsidP="00770A9A">
      <w:pPr>
        <w:spacing w:after="0" w:line="240" w:lineRule="auto"/>
        <w:ind w:firstLine="709"/>
        <w:contextualSpacing/>
        <w:jc w:val="both"/>
        <w:rPr>
          <w:rFonts w:ascii="Times New Roman" w:eastAsia="Calibri" w:hAnsi="Times New Roman"/>
          <w:color w:val="000000"/>
          <w:sz w:val="24"/>
          <w:szCs w:val="24"/>
          <w:highlight w:val="cyan"/>
          <w:shd w:val="clear" w:color="auto" w:fill="FFFFFF"/>
          <w:lang w:eastAsia="en-US"/>
        </w:rPr>
      </w:pPr>
      <w:r w:rsidRPr="00A83A28">
        <w:rPr>
          <w:rFonts w:ascii="Times New Roman" w:hAnsi="Times New Roman"/>
          <w:sz w:val="24"/>
          <w:szCs w:val="24"/>
        </w:rPr>
        <w:t>Сравнивая индекс потребительских цен на товары и услуги Приднестровской Молдавской Республики за 2016 год с аналогичным показателем Республики Молдова, Украины, Российской Федерации, Республики Беларусь, К</w:t>
      </w:r>
      <w:r w:rsidR="00DC2B8A">
        <w:rPr>
          <w:rFonts w:ascii="Times New Roman" w:hAnsi="Times New Roman"/>
          <w:sz w:val="24"/>
          <w:szCs w:val="24"/>
        </w:rPr>
        <w:t xml:space="preserve">азахстан, необходимо отметить, </w:t>
      </w:r>
      <w:r w:rsidRPr="00A83A28">
        <w:rPr>
          <w:rFonts w:ascii="Times New Roman" w:hAnsi="Times New Roman"/>
          <w:sz w:val="24"/>
          <w:szCs w:val="24"/>
        </w:rPr>
        <w:t>что</w:t>
      </w:r>
      <w:r w:rsidRPr="00A83A28">
        <w:rPr>
          <w:rFonts w:ascii="Times New Roman" w:eastAsia="Calibri" w:hAnsi="Times New Roman"/>
          <w:color w:val="000000"/>
          <w:sz w:val="24"/>
          <w:szCs w:val="24"/>
          <w:shd w:val="clear" w:color="auto" w:fill="FFFFFF"/>
          <w:lang w:eastAsia="en-US"/>
        </w:rPr>
        <w:t xml:space="preserve"> по итогам 2016 года на фоне </w:t>
      </w:r>
      <w:r>
        <w:rPr>
          <w:rFonts w:ascii="Times New Roman" w:eastAsia="Calibri" w:hAnsi="Times New Roman"/>
          <w:color w:val="000000"/>
          <w:sz w:val="24"/>
          <w:szCs w:val="24"/>
          <w:shd w:val="clear" w:color="auto" w:fill="FFFFFF"/>
          <w:lang w:eastAsia="en-US"/>
        </w:rPr>
        <w:t xml:space="preserve">отсутствия существенной </w:t>
      </w:r>
      <w:r w:rsidRPr="00A83A28">
        <w:rPr>
          <w:rFonts w:ascii="Times New Roman" w:eastAsia="Calibri" w:hAnsi="Times New Roman"/>
          <w:color w:val="000000"/>
          <w:sz w:val="24"/>
          <w:szCs w:val="24"/>
          <w:shd w:val="clear" w:color="auto" w:fill="FFFFFF"/>
          <w:lang w:eastAsia="en-US"/>
        </w:rPr>
        <w:t>девальваци</w:t>
      </w:r>
      <w:r>
        <w:rPr>
          <w:rFonts w:ascii="Times New Roman" w:eastAsia="Calibri" w:hAnsi="Times New Roman"/>
          <w:color w:val="000000"/>
          <w:sz w:val="24"/>
          <w:szCs w:val="24"/>
          <w:shd w:val="clear" w:color="auto" w:fill="FFFFFF"/>
          <w:lang w:eastAsia="en-US"/>
        </w:rPr>
        <w:t>и</w:t>
      </w:r>
      <w:r w:rsidRPr="00A83A28">
        <w:rPr>
          <w:rFonts w:ascii="Times New Roman" w:eastAsia="Calibri" w:hAnsi="Times New Roman"/>
          <w:color w:val="000000"/>
          <w:sz w:val="24"/>
          <w:szCs w:val="24"/>
          <w:shd w:val="clear" w:color="auto" w:fill="FFFFFF"/>
          <w:lang w:eastAsia="en-US"/>
        </w:rPr>
        <w:t xml:space="preserve"> </w:t>
      </w:r>
      <w:r>
        <w:rPr>
          <w:rFonts w:ascii="Times New Roman" w:eastAsia="Calibri" w:hAnsi="Times New Roman"/>
          <w:color w:val="000000"/>
          <w:sz w:val="24"/>
          <w:szCs w:val="24"/>
          <w:shd w:val="clear" w:color="auto" w:fill="FFFFFF"/>
          <w:lang w:eastAsia="en-US"/>
        </w:rPr>
        <w:t>в</w:t>
      </w:r>
      <w:r w:rsidRPr="00A83A28">
        <w:rPr>
          <w:rFonts w:ascii="Times New Roman" w:eastAsia="Calibri" w:hAnsi="Times New Roman"/>
          <w:color w:val="000000"/>
          <w:sz w:val="24"/>
          <w:szCs w:val="24"/>
          <w:shd w:val="clear" w:color="auto" w:fill="FFFFFF"/>
          <w:lang w:eastAsia="en-US"/>
        </w:rPr>
        <w:t xml:space="preserve"> Украине </w:t>
      </w:r>
      <w:r>
        <w:rPr>
          <w:rFonts w:ascii="Times New Roman" w:eastAsia="Calibri" w:hAnsi="Times New Roman"/>
          <w:color w:val="000000"/>
          <w:sz w:val="24"/>
          <w:szCs w:val="24"/>
          <w:shd w:val="clear" w:color="auto" w:fill="FFFFFF"/>
          <w:lang w:eastAsia="en-US"/>
        </w:rPr>
        <w:t>инфляционное давление ослабевало (</w:t>
      </w:r>
      <w:r w:rsidRPr="00A83A28">
        <w:rPr>
          <w:rFonts w:ascii="Times New Roman" w:eastAsia="Calibri" w:hAnsi="Times New Roman"/>
          <w:color w:val="000000"/>
          <w:sz w:val="24"/>
          <w:szCs w:val="24"/>
          <w:shd w:val="clear" w:color="auto" w:fill="FFFFFF"/>
          <w:lang w:eastAsia="en-US"/>
        </w:rPr>
        <w:t>«+»12,4% против «+»43,3% в 2015</w:t>
      </w:r>
      <w:r w:rsidR="00DC2B8A">
        <w:rPr>
          <w:rFonts w:ascii="Times New Roman" w:eastAsia="Calibri" w:hAnsi="Times New Roman"/>
          <w:color w:val="000000"/>
          <w:sz w:val="24"/>
          <w:szCs w:val="24"/>
          <w:shd w:val="clear" w:color="auto" w:fill="FFFFFF"/>
          <w:lang w:eastAsia="en-US"/>
        </w:rPr>
        <w:t xml:space="preserve"> году).</w:t>
      </w:r>
      <w:r>
        <w:rPr>
          <w:rFonts w:ascii="Times New Roman" w:eastAsia="Calibri" w:hAnsi="Times New Roman"/>
          <w:color w:val="000000"/>
          <w:sz w:val="24"/>
          <w:szCs w:val="24"/>
          <w:shd w:val="clear" w:color="auto" w:fill="FFFFFF"/>
          <w:lang w:eastAsia="en-US"/>
        </w:rPr>
        <w:t xml:space="preserve"> В </w:t>
      </w:r>
      <w:r w:rsidRPr="00714F6B">
        <w:rPr>
          <w:rFonts w:ascii="Times New Roman" w:eastAsia="Calibri" w:hAnsi="Times New Roman"/>
          <w:color w:val="000000"/>
          <w:sz w:val="24"/>
          <w:szCs w:val="24"/>
          <w:shd w:val="clear" w:color="auto" w:fill="FFFFFF"/>
          <w:lang w:eastAsia="en-US"/>
        </w:rPr>
        <w:t>Республике Беларусь</w:t>
      </w:r>
      <w:r>
        <w:rPr>
          <w:rFonts w:ascii="Times New Roman" w:eastAsia="Calibri" w:hAnsi="Times New Roman"/>
          <w:color w:val="000000"/>
          <w:sz w:val="24"/>
          <w:szCs w:val="24"/>
          <w:shd w:val="clear" w:color="auto" w:fill="FFFFFF"/>
          <w:lang w:eastAsia="en-US"/>
        </w:rPr>
        <w:t xml:space="preserve"> и Казахстан также отмечалось снижение </w:t>
      </w:r>
      <w:r w:rsidRPr="00714F6B">
        <w:rPr>
          <w:rFonts w:ascii="Times New Roman" w:eastAsia="Calibri" w:hAnsi="Times New Roman"/>
          <w:color w:val="000000"/>
          <w:sz w:val="24"/>
          <w:szCs w:val="24"/>
          <w:shd w:val="clear" w:color="auto" w:fill="FFFFFF"/>
          <w:lang w:eastAsia="en-US"/>
        </w:rPr>
        <w:t>цен</w:t>
      </w:r>
      <w:r>
        <w:rPr>
          <w:rFonts w:ascii="Times New Roman" w:eastAsia="Calibri" w:hAnsi="Times New Roman"/>
          <w:color w:val="000000"/>
          <w:sz w:val="24"/>
          <w:szCs w:val="24"/>
          <w:shd w:val="clear" w:color="auto" w:fill="FFFFFF"/>
          <w:lang w:eastAsia="en-US"/>
        </w:rPr>
        <w:t xml:space="preserve"> до</w:t>
      </w:r>
      <w:r w:rsidRPr="00714F6B">
        <w:rPr>
          <w:rFonts w:ascii="Times New Roman" w:eastAsia="Calibri" w:hAnsi="Times New Roman"/>
          <w:color w:val="000000"/>
          <w:sz w:val="24"/>
          <w:szCs w:val="24"/>
          <w:shd w:val="clear" w:color="auto" w:fill="FFFFFF"/>
          <w:lang w:eastAsia="en-US"/>
        </w:rPr>
        <w:t xml:space="preserve"> 10,6% </w:t>
      </w:r>
      <w:r>
        <w:rPr>
          <w:rFonts w:ascii="Times New Roman" w:eastAsia="Calibri" w:hAnsi="Times New Roman"/>
          <w:color w:val="000000"/>
          <w:sz w:val="24"/>
          <w:szCs w:val="24"/>
          <w:shd w:val="clear" w:color="auto" w:fill="FFFFFF"/>
          <w:lang w:eastAsia="en-US"/>
        </w:rPr>
        <w:t xml:space="preserve">и 8,5% соответственно </w:t>
      </w:r>
      <w:r w:rsidRPr="00714F6B">
        <w:rPr>
          <w:rFonts w:ascii="Times New Roman" w:eastAsia="Calibri" w:hAnsi="Times New Roman"/>
          <w:color w:val="000000"/>
          <w:sz w:val="24"/>
          <w:szCs w:val="24"/>
          <w:shd w:val="clear" w:color="auto" w:fill="FFFFFF"/>
          <w:lang w:eastAsia="en-US"/>
        </w:rPr>
        <w:t>(на</w:t>
      </w:r>
      <w:r>
        <w:rPr>
          <w:rFonts w:ascii="Times New Roman" w:eastAsia="Calibri" w:hAnsi="Times New Roman"/>
          <w:color w:val="000000"/>
          <w:sz w:val="24"/>
          <w:szCs w:val="24"/>
          <w:shd w:val="clear" w:color="auto" w:fill="FFFFFF"/>
          <w:lang w:eastAsia="en-US"/>
        </w:rPr>
        <w:t xml:space="preserve"> </w:t>
      </w:r>
      <w:r w:rsidRPr="00714F6B">
        <w:rPr>
          <w:rFonts w:ascii="Times New Roman" w:eastAsia="Calibri" w:hAnsi="Times New Roman"/>
          <w:color w:val="000000"/>
          <w:sz w:val="24"/>
          <w:szCs w:val="24"/>
          <w:shd w:val="clear" w:color="auto" w:fill="FFFFFF"/>
          <w:lang w:eastAsia="en-US"/>
        </w:rPr>
        <w:t xml:space="preserve">1,4 </w:t>
      </w:r>
      <w:r>
        <w:rPr>
          <w:rFonts w:ascii="Times New Roman" w:eastAsia="Calibri" w:hAnsi="Times New Roman"/>
          <w:color w:val="000000"/>
          <w:sz w:val="24"/>
          <w:szCs w:val="24"/>
          <w:shd w:val="clear" w:color="auto" w:fill="FFFFFF"/>
          <w:lang w:eastAsia="en-US"/>
        </w:rPr>
        <w:t xml:space="preserve">и на 5,1 </w:t>
      </w:r>
      <w:r w:rsidRPr="00714F6B">
        <w:rPr>
          <w:rFonts w:ascii="Times New Roman" w:eastAsia="Calibri" w:hAnsi="Times New Roman"/>
          <w:color w:val="000000"/>
          <w:sz w:val="24"/>
          <w:szCs w:val="24"/>
          <w:shd w:val="clear" w:color="auto" w:fill="FFFFFF"/>
          <w:lang w:eastAsia="en-US"/>
        </w:rPr>
        <w:t xml:space="preserve">процентных пункта ниже базисного показателя). </w:t>
      </w:r>
      <w:r>
        <w:rPr>
          <w:rFonts w:ascii="Times New Roman" w:eastAsia="Calibri" w:hAnsi="Times New Roman"/>
          <w:color w:val="000000"/>
          <w:sz w:val="24"/>
          <w:szCs w:val="24"/>
          <w:shd w:val="clear" w:color="auto" w:fill="FFFFFF"/>
          <w:lang w:eastAsia="en-US"/>
        </w:rPr>
        <w:t>В Российской Федерации  на</w:t>
      </w:r>
      <w:r w:rsidRPr="00714F6B">
        <w:rPr>
          <w:rFonts w:ascii="Times New Roman" w:eastAsia="Calibri" w:hAnsi="Times New Roman"/>
          <w:color w:val="000000"/>
          <w:sz w:val="24"/>
          <w:szCs w:val="24"/>
          <w:shd w:val="clear" w:color="auto" w:fill="FFFFFF"/>
          <w:lang w:eastAsia="en-US"/>
        </w:rPr>
        <w:t xml:space="preserve"> потребительском рынке в течение </w:t>
      </w:r>
      <w:r>
        <w:rPr>
          <w:rFonts w:ascii="Times New Roman" w:eastAsia="Calibri" w:hAnsi="Times New Roman"/>
          <w:color w:val="000000"/>
          <w:sz w:val="24"/>
          <w:szCs w:val="24"/>
          <w:shd w:val="clear" w:color="auto" w:fill="FFFFFF"/>
          <w:lang w:eastAsia="en-US"/>
        </w:rPr>
        <w:t xml:space="preserve">2016 </w:t>
      </w:r>
      <w:r w:rsidRPr="00714F6B">
        <w:rPr>
          <w:rFonts w:ascii="Times New Roman" w:eastAsia="Calibri" w:hAnsi="Times New Roman"/>
          <w:color w:val="000000"/>
          <w:sz w:val="24"/>
          <w:szCs w:val="24"/>
          <w:shd w:val="clear" w:color="auto" w:fill="FFFFFF"/>
          <w:lang w:eastAsia="en-US"/>
        </w:rPr>
        <w:t>года преобладали факторы, замедляющие рост стоимости товаров и тарифов на услуги</w:t>
      </w:r>
      <w:r>
        <w:rPr>
          <w:rFonts w:ascii="Times New Roman" w:eastAsia="Calibri" w:hAnsi="Times New Roman"/>
          <w:color w:val="000000"/>
          <w:sz w:val="24"/>
          <w:szCs w:val="24"/>
          <w:shd w:val="clear" w:color="auto" w:fill="FFFFFF"/>
          <w:lang w:eastAsia="en-US"/>
        </w:rPr>
        <w:t>, обеспечившие инфляцию в размере</w:t>
      </w:r>
      <w:r w:rsidRPr="00714F6B">
        <w:rPr>
          <w:rFonts w:ascii="Times New Roman" w:eastAsia="Calibri" w:hAnsi="Times New Roman"/>
          <w:color w:val="000000"/>
          <w:sz w:val="24"/>
          <w:szCs w:val="24"/>
          <w:shd w:val="clear" w:color="auto" w:fill="FFFFFF"/>
          <w:lang w:eastAsia="en-US"/>
        </w:rPr>
        <w:t xml:space="preserve"> «+»5,4% против «+»12,9% </w:t>
      </w:r>
      <w:r>
        <w:rPr>
          <w:rFonts w:ascii="Times New Roman" w:eastAsia="Calibri" w:hAnsi="Times New Roman"/>
          <w:color w:val="000000"/>
          <w:sz w:val="24"/>
          <w:szCs w:val="24"/>
          <w:shd w:val="clear" w:color="auto" w:fill="FFFFFF"/>
          <w:lang w:eastAsia="en-US"/>
        </w:rPr>
        <w:t>в 2015 году</w:t>
      </w:r>
      <w:r w:rsidRPr="00714F6B">
        <w:rPr>
          <w:rFonts w:ascii="Times New Roman" w:eastAsia="Calibri" w:hAnsi="Times New Roman"/>
          <w:color w:val="000000"/>
          <w:sz w:val="24"/>
          <w:szCs w:val="24"/>
          <w:shd w:val="clear" w:color="auto" w:fill="FFFFFF"/>
          <w:lang w:eastAsia="en-US"/>
        </w:rPr>
        <w:t xml:space="preserve">. В Республике Молдова </w:t>
      </w:r>
      <w:r>
        <w:rPr>
          <w:rFonts w:ascii="Times New Roman" w:eastAsia="Calibri" w:hAnsi="Times New Roman"/>
          <w:color w:val="000000"/>
          <w:sz w:val="24"/>
          <w:szCs w:val="24"/>
          <w:shd w:val="clear" w:color="auto" w:fill="FFFFFF"/>
          <w:lang w:eastAsia="en-US"/>
        </w:rPr>
        <w:t xml:space="preserve">дефляционные процессы в сегментах продовольственных товаров и услуг обусловили </w:t>
      </w:r>
      <w:r w:rsidRPr="00714F6B">
        <w:rPr>
          <w:rFonts w:ascii="Times New Roman" w:eastAsia="Calibri" w:hAnsi="Times New Roman"/>
          <w:color w:val="000000"/>
          <w:sz w:val="24"/>
          <w:szCs w:val="24"/>
          <w:shd w:val="clear" w:color="auto" w:fill="FFFFFF"/>
          <w:lang w:eastAsia="en-US"/>
        </w:rPr>
        <w:t xml:space="preserve"> инфляци</w:t>
      </w:r>
      <w:r>
        <w:rPr>
          <w:rFonts w:ascii="Times New Roman" w:eastAsia="Calibri" w:hAnsi="Times New Roman"/>
          <w:color w:val="000000"/>
          <w:sz w:val="24"/>
          <w:szCs w:val="24"/>
          <w:shd w:val="clear" w:color="auto" w:fill="FFFFFF"/>
          <w:lang w:eastAsia="en-US"/>
        </w:rPr>
        <w:t xml:space="preserve">ю </w:t>
      </w:r>
      <w:r w:rsidRPr="00714F6B">
        <w:rPr>
          <w:rFonts w:ascii="Times New Roman" w:eastAsia="Calibri" w:hAnsi="Times New Roman"/>
          <w:color w:val="000000"/>
          <w:sz w:val="24"/>
          <w:szCs w:val="24"/>
          <w:shd w:val="clear" w:color="auto" w:fill="FFFFFF"/>
          <w:lang w:eastAsia="en-US"/>
        </w:rPr>
        <w:t>«+»2,4%</w:t>
      </w:r>
      <w:r>
        <w:rPr>
          <w:rFonts w:ascii="Times New Roman" w:eastAsia="Calibri" w:hAnsi="Times New Roman"/>
          <w:color w:val="000000"/>
          <w:sz w:val="24"/>
          <w:szCs w:val="24"/>
          <w:shd w:val="clear" w:color="auto" w:fill="FFFFFF"/>
          <w:lang w:eastAsia="en-US"/>
        </w:rPr>
        <w:t xml:space="preserve"> против </w:t>
      </w:r>
      <w:r w:rsidRPr="00714F6B">
        <w:rPr>
          <w:rFonts w:ascii="Times New Roman" w:eastAsia="Calibri" w:hAnsi="Times New Roman"/>
          <w:color w:val="000000"/>
          <w:sz w:val="24"/>
          <w:szCs w:val="24"/>
          <w:shd w:val="clear" w:color="auto" w:fill="FFFFFF"/>
          <w:lang w:eastAsia="en-US"/>
        </w:rPr>
        <w:t>«+»</w:t>
      </w:r>
      <w:r>
        <w:rPr>
          <w:rFonts w:ascii="Times New Roman" w:eastAsia="Calibri" w:hAnsi="Times New Roman"/>
          <w:color w:val="000000"/>
          <w:sz w:val="24"/>
          <w:szCs w:val="24"/>
          <w:shd w:val="clear" w:color="auto" w:fill="FFFFFF"/>
          <w:lang w:eastAsia="en-US"/>
        </w:rPr>
        <w:t>13,6% в 2015 году. Однако</w:t>
      </w:r>
      <w:r w:rsidRPr="00714F6B">
        <w:rPr>
          <w:rFonts w:ascii="Times New Roman" w:eastAsia="Calibri" w:hAnsi="Times New Roman"/>
          <w:color w:val="000000"/>
          <w:sz w:val="24"/>
          <w:szCs w:val="24"/>
          <w:shd w:val="clear" w:color="auto" w:fill="FFFFFF"/>
          <w:lang w:eastAsia="en-US"/>
        </w:rPr>
        <w:t xml:space="preserve"> в Приднестров</w:t>
      </w:r>
      <w:r>
        <w:rPr>
          <w:rFonts w:ascii="Times New Roman" w:eastAsia="Calibri" w:hAnsi="Times New Roman"/>
          <w:color w:val="000000"/>
          <w:sz w:val="24"/>
          <w:szCs w:val="24"/>
          <w:shd w:val="clear" w:color="auto" w:fill="FFFFFF"/>
          <w:lang w:eastAsia="en-US"/>
        </w:rPr>
        <w:t>ской Молдавской Республике</w:t>
      </w:r>
      <w:r w:rsidRPr="00714F6B">
        <w:rPr>
          <w:rFonts w:ascii="Times New Roman" w:eastAsia="Calibri" w:hAnsi="Times New Roman"/>
          <w:color w:val="000000"/>
          <w:sz w:val="24"/>
          <w:szCs w:val="24"/>
          <w:shd w:val="clear" w:color="auto" w:fill="FFFFFF"/>
          <w:lang w:eastAsia="en-US"/>
        </w:rPr>
        <w:t xml:space="preserve"> на фоне дефляции в </w:t>
      </w:r>
      <w:r>
        <w:rPr>
          <w:rFonts w:ascii="Times New Roman" w:eastAsia="Calibri" w:hAnsi="Times New Roman"/>
          <w:color w:val="000000"/>
          <w:sz w:val="24"/>
          <w:szCs w:val="24"/>
          <w:shd w:val="clear" w:color="auto" w:fill="FFFFFF"/>
          <w:lang w:eastAsia="en-US"/>
        </w:rPr>
        <w:t>2015</w:t>
      </w:r>
      <w:r w:rsidR="00DC2B8A">
        <w:rPr>
          <w:rFonts w:ascii="Times New Roman" w:eastAsia="Calibri" w:hAnsi="Times New Roman"/>
          <w:color w:val="000000"/>
          <w:sz w:val="24"/>
          <w:szCs w:val="24"/>
          <w:shd w:val="clear" w:color="auto" w:fill="FFFFFF"/>
          <w:lang w:eastAsia="en-US"/>
        </w:rPr>
        <w:t> </w:t>
      </w:r>
      <w:r w:rsidRPr="00714F6B">
        <w:rPr>
          <w:rFonts w:ascii="Times New Roman" w:eastAsia="Calibri" w:hAnsi="Times New Roman"/>
          <w:color w:val="000000"/>
          <w:sz w:val="24"/>
          <w:szCs w:val="24"/>
          <w:shd w:val="clear" w:color="auto" w:fill="FFFFFF"/>
          <w:lang w:eastAsia="en-US"/>
        </w:rPr>
        <w:t xml:space="preserve">году, </w:t>
      </w:r>
      <w:r>
        <w:rPr>
          <w:rFonts w:ascii="Times New Roman" w:eastAsia="Calibri" w:hAnsi="Times New Roman"/>
          <w:color w:val="000000"/>
          <w:sz w:val="24"/>
          <w:szCs w:val="24"/>
          <w:shd w:val="clear" w:color="auto" w:fill="FFFFFF"/>
          <w:lang w:eastAsia="en-US"/>
        </w:rPr>
        <w:t xml:space="preserve">в 2016 году </w:t>
      </w:r>
      <w:r w:rsidRPr="00714F6B">
        <w:rPr>
          <w:rFonts w:ascii="Times New Roman" w:eastAsia="Calibri" w:hAnsi="Times New Roman"/>
          <w:color w:val="000000"/>
          <w:sz w:val="24"/>
          <w:szCs w:val="24"/>
          <w:shd w:val="clear" w:color="auto" w:fill="FFFFFF"/>
          <w:lang w:eastAsia="en-US"/>
        </w:rPr>
        <w:t>фиксир</w:t>
      </w:r>
      <w:r>
        <w:rPr>
          <w:rFonts w:ascii="Times New Roman" w:eastAsia="Calibri" w:hAnsi="Times New Roman"/>
          <w:color w:val="000000"/>
          <w:sz w:val="24"/>
          <w:szCs w:val="24"/>
          <w:shd w:val="clear" w:color="auto" w:fill="FFFFFF"/>
          <w:lang w:eastAsia="en-US"/>
        </w:rPr>
        <w:t>овалась</w:t>
      </w:r>
      <w:r w:rsidRPr="00714F6B">
        <w:rPr>
          <w:rFonts w:ascii="Times New Roman" w:eastAsia="Calibri" w:hAnsi="Times New Roman"/>
          <w:color w:val="000000"/>
          <w:sz w:val="24"/>
          <w:szCs w:val="24"/>
          <w:shd w:val="clear" w:color="auto" w:fill="FFFFFF"/>
          <w:lang w:eastAsia="en-US"/>
        </w:rPr>
        <w:t xml:space="preserve"> инфляция в размере 4,4%.</w:t>
      </w:r>
    </w:p>
    <w:p w:rsidR="00770A9A" w:rsidRPr="001E499A" w:rsidRDefault="00770A9A" w:rsidP="00770A9A">
      <w:pPr>
        <w:spacing w:after="0" w:line="240" w:lineRule="auto"/>
        <w:jc w:val="right"/>
        <w:rPr>
          <w:rFonts w:ascii="Times New Roman" w:hAnsi="Times New Roman"/>
          <w:sz w:val="24"/>
          <w:szCs w:val="24"/>
        </w:rPr>
      </w:pPr>
      <w:r w:rsidRPr="001E499A">
        <w:rPr>
          <w:rFonts w:ascii="Times New Roman" w:hAnsi="Times New Roman"/>
          <w:sz w:val="24"/>
          <w:szCs w:val="24"/>
        </w:rPr>
        <w:t>Таблица №</w:t>
      </w:r>
      <w:r w:rsidR="003E0203">
        <w:rPr>
          <w:rFonts w:ascii="Times New Roman" w:hAnsi="Times New Roman"/>
          <w:sz w:val="24"/>
          <w:szCs w:val="24"/>
        </w:rPr>
        <w:t>11</w:t>
      </w:r>
    </w:p>
    <w:p w:rsidR="00770A9A" w:rsidRDefault="00770A9A" w:rsidP="00770A9A">
      <w:pPr>
        <w:spacing w:after="0" w:line="240" w:lineRule="auto"/>
        <w:jc w:val="center"/>
        <w:rPr>
          <w:rFonts w:ascii="Times New Roman" w:hAnsi="Times New Roman"/>
          <w:b/>
        </w:rPr>
      </w:pPr>
      <w:r w:rsidRPr="001E499A">
        <w:rPr>
          <w:rFonts w:ascii="Times New Roman" w:hAnsi="Times New Roman"/>
          <w:b/>
        </w:rPr>
        <w:t>Сравнительная динамика цен в разрезе стран СНГ в 2016 году, %</w:t>
      </w:r>
    </w:p>
    <w:tbl>
      <w:tblPr>
        <w:tblW w:w="9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82"/>
        <w:gridCol w:w="1017"/>
        <w:gridCol w:w="1163"/>
        <w:gridCol w:w="1163"/>
        <w:gridCol w:w="1448"/>
        <w:gridCol w:w="1168"/>
        <w:gridCol w:w="1164"/>
      </w:tblGrid>
      <w:tr w:rsidR="00770A9A" w:rsidRPr="001E499A" w:rsidTr="00A61AFF">
        <w:trPr>
          <w:trHeight w:val="455"/>
        </w:trPr>
        <w:tc>
          <w:tcPr>
            <w:tcW w:w="2582" w:type="dxa"/>
            <w:tcBorders>
              <w:left w:val="single" w:sz="4" w:space="0" w:color="000000"/>
              <w:bottom w:val="single" w:sz="4" w:space="0" w:color="000000"/>
              <w:right w:val="single" w:sz="4" w:space="0" w:color="000000"/>
            </w:tcBorders>
            <w:shd w:val="clear" w:color="auto" w:fill="auto"/>
            <w:vAlign w:val="center"/>
          </w:tcPr>
          <w:p w:rsidR="00770A9A" w:rsidRPr="001E499A" w:rsidRDefault="00770A9A" w:rsidP="00770A9A">
            <w:pPr>
              <w:spacing w:after="0" w:line="240" w:lineRule="auto"/>
              <w:jc w:val="center"/>
              <w:rPr>
                <w:rFonts w:ascii="Times New Roman" w:eastAsia="Calibri" w:hAnsi="Times New Roman"/>
                <w:b/>
                <w:lang w:eastAsia="en-US"/>
              </w:rPr>
            </w:pP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0A9A" w:rsidRPr="001E499A" w:rsidRDefault="00770A9A" w:rsidP="00770A9A">
            <w:pPr>
              <w:spacing w:after="0" w:line="240" w:lineRule="auto"/>
              <w:jc w:val="center"/>
              <w:rPr>
                <w:rFonts w:ascii="Times New Roman" w:eastAsia="Calibri" w:hAnsi="Times New Roman"/>
                <w:b/>
                <w:lang w:eastAsia="en-US"/>
              </w:rPr>
            </w:pPr>
            <w:r w:rsidRPr="001E499A">
              <w:rPr>
                <w:rFonts w:ascii="Times New Roman" w:eastAsia="Calibri" w:hAnsi="Times New Roman"/>
                <w:b/>
                <w:lang w:eastAsia="en-US"/>
              </w:rPr>
              <w:t>ПМР</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A9A" w:rsidRPr="001E499A" w:rsidRDefault="00770A9A" w:rsidP="00770A9A">
            <w:pPr>
              <w:spacing w:after="0" w:line="240" w:lineRule="auto"/>
              <w:jc w:val="center"/>
              <w:rPr>
                <w:rFonts w:ascii="Times New Roman" w:eastAsia="Calibri" w:hAnsi="Times New Roman"/>
                <w:b/>
                <w:lang w:eastAsia="en-US"/>
              </w:rPr>
            </w:pPr>
            <w:r w:rsidRPr="001E499A">
              <w:rPr>
                <w:rFonts w:ascii="Times New Roman" w:eastAsia="Calibri" w:hAnsi="Times New Roman"/>
                <w:b/>
                <w:lang w:eastAsia="en-US"/>
              </w:rPr>
              <w:t>Молдова</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0A9A" w:rsidRPr="001E499A" w:rsidRDefault="00770A9A" w:rsidP="00770A9A">
            <w:pPr>
              <w:spacing w:after="0" w:line="240" w:lineRule="auto"/>
              <w:jc w:val="center"/>
              <w:rPr>
                <w:rFonts w:ascii="Times New Roman" w:eastAsia="Calibri" w:hAnsi="Times New Roman"/>
                <w:b/>
                <w:lang w:eastAsia="en-US"/>
              </w:rPr>
            </w:pPr>
            <w:r w:rsidRPr="001E499A">
              <w:rPr>
                <w:rFonts w:ascii="Times New Roman" w:eastAsia="Calibri" w:hAnsi="Times New Roman"/>
                <w:b/>
                <w:lang w:eastAsia="en-US"/>
              </w:rPr>
              <w:t>Украина</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A9A" w:rsidRPr="001E499A" w:rsidRDefault="00770A9A" w:rsidP="00770A9A">
            <w:pPr>
              <w:spacing w:after="0" w:line="240" w:lineRule="auto"/>
              <w:jc w:val="center"/>
              <w:rPr>
                <w:rFonts w:ascii="Times New Roman" w:eastAsia="Calibri" w:hAnsi="Times New Roman"/>
                <w:b/>
                <w:lang w:eastAsia="en-US"/>
              </w:rPr>
            </w:pPr>
            <w:r w:rsidRPr="001E499A">
              <w:rPr>
                <w:rFonts w:ascii="Times New Roman" w:eastAsia="Calibri" w:hAnsi="Times New Roman"/>
                <w:b/>
                <w:lang w:eastAsia="en-US"/>
              </w:rPr>
              <w:t>Российская Федерация</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0A9A" w:rsidRPr="001E499A" w:rsidRDefault="00770A9A" w:rsidP="00770A9A">
            <w:pPr>
              <w:spacing w:after="0" w:line="240" w:lineRule="auto"/>
              <w:jc w:val="center"/>
              <w:rPr>
                <w:rFonts w:ascii="Times New Roman" w:eastAsia="Calibri" w:hAnsi="Times New Roman"/>
                <w:b/>
                <w:lang w:eastAsia="en-US"/>
              </w:rPr>
            </w:pPr>
            <w:r w:rsidRPr="001E499A">
              <w:rPr>
                <w:rFonts w:ascii="Times New Roman" w:eastAsia="Calibri" w:hAnsi="Times New Roman"/>
                <w:b/>
                <w:lang w:eastAsia="en-US"/>
              </w:rPr>
              <w:t>Беларусь</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A9A" w:rsidRPr="001E499A" w:rsidRDefault="00770A9A" w:rsidP="00770A9A">
            <w:pPr>
              <w:spacing w:after="0" w:line="240" w:lineRule="auto"/>
              <w:ind w:hanging="107"/>
              <w:jc w:val="center"/>
              <w:rPr>
                <w:rFonts w:ascii="Times New Roman" w:eastAsia="Calibri" w:hAnsi="Times New Roman"/>
                <w:b/>
                <w:lang w:eastAsia="en-US"/>
              </w:rPr>
            </w:pPr>
            <w:r w:rsidRPr="001E499A">
              <w:rPr>
                <w:rFonts w:ascii="Times New Roman" w:eastAsia="Calibri" w:hAnsi="Times New Roman"/>
                <w:b/>
                <w:lang w:eastAsia="en-US"/>
              </w:rPr>
              <w:t>Казахстан</w:t>
            </w:r>
          </w:p>
        </w:tc>
      </w:tr>
      <w:tr w:rsidR="00770A9A" w:rsidRPr="001E499A" w:rsidTr="00A61AFF">
        <w:trPr>
          <w:trHeight w:val="660"/>
        </w:trPr>
        <w:tc>
          <w:tcPr>
            <w:tcW w:w="2582" w:type="dxa"/>
            <w:tcBorders>
              <w:left w:val="single" w:sz="4" w:space="0" w:color="000000"/>
              <w:bottom w:val="single" w:sz="4" w:space="0" w:color="000000"/>
              <w:right w:val="single" w:sz="4" w:space="0" w:color="000000"/>
            </w:tcBorders>
            <w:vAlign w:val="center"/>
          </w:tcPr>
          <w:p w:rsidR="00770A9A" w:rsidRPr="00FA0FEA" w:rsidRDefault="00770A9A" w:rsidP="00770A9A">
            <w:pPr>
              <w:spacing w:after="0" w:line="240" w:lineRule="auto"/>
              <w:rPr>
                <w:rFonts w:ascii="Times New Roman" w:eastAsia="Calibri" w:hAnsi="Times New Roman"/>
                <w:i/>
                <w:lang w:eastAsia="en-US"/>
              </w:rPr>
            </w:pPr>
            <w:r w:rsidRPr="00FA0FEA">
              <w:rPr>
                <w:rFonts w:ascii="Times New Roman" w:eastAsia="Calibri" w:hAnsi="Times New Roman"/>
                <w:i/>
                <w:lang w:eastAsia="en-US"/>
              </w:rPr>
              <w:t>Темпы роста цен на продовольственные товары</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770A9A" w:rsidRPr="00FA0FEA" w:rsidRDefault="00770A9A" w:rsidP="00770A9A">
            <w:pPr>
              <w:spacing w:after="0" w:line="240" w:lineRule="auto"/>
              <w:jc w:val="center"/>
              <w:rPr>
                <w:rFonts w:ascii="Times New Roman" w:eastAsia="Calibri" w:hAnsi="Times New Roman"/>
                <w:i/>
                <w:lang w:eastAsia="en-US"/>
              </w:rPr>
            </w:pPr>
            <w:r w:rsidRPr="00FA0FEA">
              <w:rPr>
                <w:rFonts w:ascii="Times New Roman" w:eastAsia="Calibri" w:hAnsi="Times New Roman"/>
                <w:i/>
                <w:lang w:eastAsia="en-US"/>
              </w:rPr>
              <w:t>103,8</w:t>
            </w:r>
          </w:p>
        </w:tc>
        <w:tc>
          <w:tcPr>
            <w:tcW w:w="1163" w:type="dxa"/>
            <w:tcBorders>
              <w:top w:val="single" w:sz="4" w:space="0" w:color="000000"/>
              <w:left w:val="single" w:sz="4" w:space="0" w:color="000000"/>
              <w:bottom w:val="single" w:sz="4" w:space="0" w:color="000000"/>
              <w:right w:val="single" w:sz="4" w:space="0" w:color="000000"/>
            </w:tcBorders>
            <w:vAlign w:val="center"/>
          </w:tcPr>
          <w:p w:rsidR="00770A9A" w:rsidRPr="00FA0FEA" w:rsidRDefault="00770A9A" w:rsidP="00770A9A">
            <w:pPr>
              <w:spacing w:after="0" w:line="240" w:lineRule="auto"/>
              <w:jc w:val="center"/>
              <w:rPr>
                <w:rFonts w:ascii="Times New Roman" w:eastAsia="Calibri" w:hAnsi="Times New Roman"/>
                <w:i/>
                <w:lang w:eastAsia="en-US"/>
              </w:rPr>
            </w:pPr>
            <w:r w:rsidRPr="00FA0FEA">
              <w:rPr>
                <w:rFonts w:ascii="Times New Roman" w:eastAsia="Calibri" w:hAnsi="Times New Roman"/>
                <w:i/>
                <w:lang w:eastAsia="en-US"/>
              </w:rPr>
              <w:t>102,8</w:t>
            </w: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770A9A" w:rsidRPr="00FA0FEA" w:rsidRDefault="00770A9A" w:rsidP="00770A9A">
            <w:pPr>
              <w:spacing w:after="0" w:line="240" w:lineRule="auto"/>
              <w:jc w:val="center"/>
              <w:rPr>
                <w:rFonts w:ascii="Times New Roman" w:eastAsia="Calibri" w:hAnsi="Times New Roman"/>
                <w:i/>
                <w:lang w:eastAsia="en-US"/>
              </w:rPr>
            </w:pPr>
            <w:r w:rsidRPr="00FA0FEA">
              <w:rPr>
                <w:rFonts w:ascii="Times New Roman" w:eastAsia="Calibri" w:hAnsi="Times New Roman"/>
                <w:i/>
                <w:lang w:eastAsia="en-US"/>
              </w:rPr>
              <w:t>103,3</w:t>
            </w:r>
          </w:p>
        </w:tc>
        <w:tc>
          <w:tcPr>
            <w:tcW w:w="1448" w:type="dxa"/>
            <w:tcBorders>
              <w:top w:val="single" w:sz="4" w:space="0" w:color="000000"/>
              <w:left w:val="single" w:sz="4" w:space="0" w:color="000000"/>
              <w:bottom w:val="single" w:sz="4" w:space="0" w:color="000000"/>
              <w:right w:val="single" w:sz="4" w:space="0" w:color="000000"/>
            </w:tcBorders>
            <w:vAlign w:val="center"/>
          </w:tcPr>
          <w:p w:rsidR="00770A9A" w:rsidRPr="00FA0FEA" w:rsidRDefault="00770A9A" w:rsidP="00770A9A">
            <w:pPr>
              <w:spacing w:after="0" w:line="240" w:lineRule="auto"/>
              <w:jc w:val="center"/>
              <w:rPr>
                <w:rFonts w:ascii="Times New Roman" w:eastAsia="Calibri" w:hAnsi="Times New Roman"/>
                <w:i/>
                <w:lang w:eastAsia="en-US"/>
              </w:rPr>
            </w:pPr>
            <w:r w:rsidRPr="00FA0FEA">
              <w:rPr>
                <w:rFonts w:ascii="Times New Roman" w:eastAsia="Calibri" w:hAnsi="Times New Roman"/>
                <w:i/>
                <w:lang w:eastAsia="en-US"/>
              </w:rPr>
              <w:t>104,6</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770A9A" w:rsidRPr="00FA0FEA" w:rsidRDefault="00770A9A" w:rsidP="00770A9A">
            <w:pPr>
              <w:spacing w:after="0" w:line="240" w:lineRule="auto"/>
              <w:jc w:val="center"/>
              <w:rPr>
                <w:rFonts w:ascii="Times New Roman" w:eastAsia="Calibri" w:hAnsi="Times New Roman"/>
                <w:i/>
                <w:lang w:eastAsia="en-US"/>
              </w:rPr>
            </w:pPr>
            <w:r w:rsidRPr="00FA0FEA">
              <w:rPr>
                <w:rFonts w:ascii="Times New Roman" w:eastAsia="Calibri" w:hAnsi="Times New Roman"/>
                <w:i/>
                <w:lang w:eastAsia="en-US"/>
              </w:rPr>
              <w:t>110,4</w:t>
            </w:r>
          </w:p>
        </w:tc>
        <w:tc>
          <w:tcPr>
            <w:tcW w:w="1164" w:type="dxa"/>
            <w:tcBorders>
              <w:top w:val="single" w:sz="4" w:space="0" w:color="000000"/>
              <w:left w:val="single" w:sz="4" w:space="0" w:color="000000"/>
              <w:bottom w:val="single" w:sz="4" w:space="0" w:color="000000"/>
              <w:right w:val="single" w:sz="4" w:space="0" w:color="000000"/>
            </w:tcBorders>
            <w:vAlign w:val="center"/>
          </w:tcPr>
          <w:p w:rsidR="00770A9A" w:rsidRPr="00FA0FEA" w:rsidRDefault="00770A9A" w:rsidP="00770A9A">
            <w:pPr>
              <w:spacing w:after="0" w:line="240" w:lineRule="auto"/>
              <w:jc w:val="center"/>
              <w:rPr>
                <w:rFonts w:ascii="Times New Roman" w:eastAsia="Calibri" w:hAnsi="Times New Roman"/>
                <w:i/>
                <w:lang w:eastAsia="en-US"/>
              </w:rPr>
            </w:pPr>
            <w:r w:rsidRPr="00FA0FEA">
              <w:rPr>
                <w:rFonts w:ascii="Times New Roman" w:eastAsia="Calibri" w:hAnsi="Times New Roman"/>
                <w:i/>
                <w:lang w:eastAsia="en-US"/>
              </w:rPr>
              <w:t>109,7</w:t>
            </w:r>
          </w:p>
        </w:tc>
      </w:tr>
      <w:tr w:rsidR="00770A9A" w:rsidRPr="001E499A" w:rsidTr="00770A9A">
        <w:trPr>
          <w:trHeight w:val="258"/>
        </w:trPr>
        <w:tc>
          <w:tcPr>
            <w:tcW w:w="2582" w:type="dxa"/>
            <w:tcBorders>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rPr>
                <w:rFonts w:ascii="Times New Roman" w:eastAsia="Calibri" w:hAnsi="Times New Roman"/>
                <w:lang w:eastAsia="en-US"/>
              </w:rPr>
            </w:pPr>
            <w:r w:rsidRPr="001E499A">
              <w:rPr>
                <w:rFonts w:ascii="Times New Roman" w:eastAsia="Calibri" w:hAnsi="Times New Roman"/>
                <w:lang w:eastAsia="en-US"/>
              </w:rPr>
              <w:t xml:space="preserve">   из них:</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p>
        </w:tc>
        <w:tc>
          <w:tcPr>
            <w:tcW w:w="1448"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p>
        </w:tc>
      </w:tr>
      <w:tr w:rsidR="00770A9A" w:rsidRPr="001E499A" w:rsidTr="00770A9A">
        <w:trPr>
          <w:trHeight w:val="258"/>
        </w:trPr>
        <w:tc>
          <w:tcPr>
            <w:tcW w:w="2582" w:type="dxa"/>
            <w:tcBorders>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rPr>
                <w:rFonts w:ascii="Times New Roman" w:eastAsia="Calibri" w:hAnsi="Times New Roman"/>
                <w:lang w:eastAsia="en-US"/>
              </w:rPr>
            </w:pPr>
            <w:r w:rsidRPr="001E499A">
              <w:rPr>
                <w:rFonts w:ascii="Times New Roman" w:eastAsia="Calibri" w:hAnsi="Times New Roman"/>
                <w:lang w:eastAsia="en-US"/>
              </w:rPr>
              <w:t xml:space="preserve">   мясо и мясопродукты</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111,5</w:t>
            </w:r>
          </w:p>
        </w:tc>
        <w:tc>
          <w:tcPr>
            <w:tcW w:w="1163"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100,6</w:t>
            </w: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105,0</w:t>
            </w:r>
          </w:p>
        </w:tc>
        <w:tc>
          <w:tcPr>
            <w:tcW w:w="1448"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101,6</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110,4</w:t>
            </w:r>
          </w:p>
        </w:tc>
        <w:tc>
          <w:tcPr>
            <w:tcW w:w="1164"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105,9</w:t>
            </w:r>
          </w:p>
        </w:tc>
      </w:tr>
      <w:tr w:rsidR="00770A9A" w:rsidRPr="001E499A" w:rsidTr="00770A9A">
        <w:trPr>
          <w:trHeight w:val="258"/>
        </w:trPr>
        <w:tc>
          <w:tcPr>
            <w:tcW w:w="2582" w:type="dxa"/>
            <w:tcBorders>
              <w:left w:val="single" w:sz="4" w:space="0" w:color="000000"/>
              <w:bottom w:val="single" w:sz="4" w:space="0" w:color="000000"/>
              <w:right w:val="single" w:sz="4" w:space="0" w:color="000000"/>
            </w:tcBorders>
            <w:vAlign w:val="center"/>
          </w:tcPr>
          <w:p w:rsidR="00770A9A" w:rsidRPr="001E499A" w:rsidRDefault="00770A9A" w:rsidP="00770A9A">
            <w:pPr>
              <w:tabs>
                <w:tab w:val="left" w:pos="142"/>
              </w:tabs>
              <w:spacing w:after="0" w:line="240" w:lineRule="auto"/>
              <w:ind w:firstLine="142"/>
              <w:rPr>
                <w:rFonts w:ascii="Times New Roman" w:eastAsia="Calibri" w:hAnsi="Times New Roman"/>
                <w:lang w:eastAsia="en-US"/>
              </w:rPr>
            </w:pPr>
            <w:r w:rsidRPr="001E499A">
              <w:rPr>
                <w:rFonts w:ascii="Times New Roman" w:eastAsia="Calibri" w:hAnsi="Times New Roman"/>
                <w:lang w:eastAsia="en-US"/>
              </w:rPr>
              <w:t>картофель</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74,8</w:t>
            </w:r>
          </w:p>
        </w:tc>
        <w:tc>
          <w:tcPr>
            <w:tcW w:w="1163"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76,8</w:t>
            </w: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p>
        </w:tc>
        <w:tc>
          <w:tcPr>
            <w:tcW w:w="1448"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100,1</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84,5</w:t>
            </w:r>
          </w:p>
        </w:tc>
        <w:tc>
          <w:tcPr>
            <w:tcW w:w="1164"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115,6</w:t>
            </w:r>
          </w:p>
        </w:tc>
      </w:tr>
      <w:tr w:rsidR="00770A9A" w:rsidRPr="001E499A" w:rsidTr="00770A9A">
        <w:trPr>
          <w:trHeight w:val="243"/>
        </w:trPr>
        <w:tc>
          <w:tcPr>
            <w:tcW w:w="2582" w:type="dxa"/>
            <w:tcBorders>
              <w:left w:val="single" w:sz="4" w:space="0" w:color="000000"/>
              <w:bottom w:val="single" w:sz="4" w:space="0" w:color="000000"/>
              <w:right w:val="single" w:sz="4" w:space="0" w:color="000000"/>
            </w:tcBorders>
            <w:vAlign w:val="center"/>
          </w:tcPr>
          <w:p w:rsidR="00770A9A" w:rsidRPr="001E499A" w:rsidRDefault="00770A9A" w:rsidP="00770A9A">
            <w:pPr>
              <w:tabs>
                <w:tab w:val="left" w:pos="142"/>
              </w:tabs>
              <w:spacing w:after="0" w:line="240" w:lineRule="auto"/>
              <w:ind w:firstLine="142"/>
              <w:rPr>
                <w:rFonts w:ascii="Times New Roman" w:eastAsia="Calibri" w:hAnsi="Times New Roman"/>
                <w:lang w:eastAsia="en-US"/>
              </w:rPr>
            </w:pPr>
            <w:r w:rsidRPr="001E499A">
              <w:rPr>
                <w:rFonts w:ascii="Times New Roman" w:eastAsia="Calibri" w:hAnsi="Times New Roman"/>
                <w:lang w:eastAsia="en-US"/>
              </w:rPr>
              <w:t>овощи</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81,3</w:t>
            </w:r>
          </w:p>
        </w:tc>
        <w:tc>
          <w:tcPr>
            <w:tcW w:w="1163"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93,0</w:t>
            </w: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71,4</w:t>
            </w:r>
          </w:p>
        </w:tc>
        <w:tc>
          <w:tcPr>
            <w:tcW w:w="1448"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86,5</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93,1</w:t>
            </w:r>
          </w:p>
        </w:tc>
        <w:tc>
          <w:tcPr>
            <w:tcW w:w="1164"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99,7</w:t>
            </w:r>
          </w:p>
        </w:tc>
      </w:tr>
      <w:tr w:rsidR="00770A9A" w:rsidRPr="001E499A" w:rsidTr="00770A9A">
        <w:trPr>
          <w:trHeight w:val="258"/>
        </w:trPr>
        <w:tc>
          <w:tcPr>
            <w:tcW w:w="2582" w:type="dxa"/>
            <w:tcBorders>
              <w:left w:val="single" w:sz="4" w:space="0" w:color="000000"/>
              <w:bottom w:val="single" w:sz="4" w:space="0" w:color="000000"/>
              <w:right w:val="single" w:sz="4" w:space="0" w:color="000000"/>
            </w:tcBorders>
            <w:vAlign w:val="center"/>
          </w:tcPr>
          <w:p w:rsidR="00770A9A" w:rsidRPr="001E499A" w:rsidRDefault="00770A9A" w:rsidP="00770A9A">
            <w:pPr>
              <w:tabs>
                <w:tab w:val="left" w:pos="284"/>
              </w:tabs>
              <w:spacing w:after="0" w:line="240" w:lineRule="auto"/>
              <w:ind w:firstLine="142"/>
              <w:rPr>
                <w:rFonts w:ascii="Times New Roman" w:eastAsia="Calibri" w:hAnsi="Times New Roman"/>
                <w:lang w:eastAsia="en-US"/>
              </w:rPr>
            </w:pPr>
            <w:r w:rsidRPr="001E499A">
              <w:rPr>
                <w:rFonts w:ascii="Times New Roman" w:eastAsia="Calibri" w:hAnsi="Times New Roman"/>
                <w:lang w:eastAsia="en-US"/>
              </w:rPr>
              <w:t>фрукты</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95,1</w:t>
            </w:r>
          </w:p>
        </w:tc>
        <w:tc>
          <w:tcPr>
            <w:tcW w:w="1163"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108,4</w:t>
            </w: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93,5</w:t>
            </w:r>
          </w:p>
        </w:tc>
        <w:tc>
          <w:tcPr>
            <w:tcW w:w="1448"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96,0</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96,3</w:t>
            </w:r>
          </w:p>
        </w:tc>
        <w:tc>
          <w:tcPr>
            <w:tcW w:w="1164"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105,2</w:t>
            </w:r>
          </w:p>
        </w:tc>
      </w:tr>
      <w:tr w:rsidR="00770A9A" w:rsidRPr="001E499A" w:rsidTr="00770A9A">
        <w:trPr>
          <w:trHeight w:val="154"/>
        </w:trPr>
        <w:tc>
          <w:tcPr>
            <w:tcW w:w="2582" w:type="dxa"/>
            <w:tcBorders>
              <w:left w:val="single" w:sz="4" w:space="0" w:color="000000"/>
              <w:bottom w:val="single" w:sz="4" w:space="0" w:color="000000"/>
              <w:right w:val="single" w:sz="4" w:space="0" w:color="000000"/>
            </w:tcBorders>
          </w:tcPr>
          <w:p w:rsidR="00770A9A" w:rsidRPr="001E499A" w:rsidRDefault="00770A9A" w:rsidP="00770A9A">
            <w:pPr>
              <w:spacing w:after="0" w:line="240" w:lineRule="auto"/>
              <w:ind w:firstLine="142"/>
              <w:rPr>
                <w:rFonts w:ascii="Times New Roman" w:eastAsia="Calibri" w:hAnsi="Times New Roman"/>
                <w:lang w:eastAsia="en-US"/>
              </w:rPr>
            </w:pPr>
            <w:r w:rsidRPr="001E499A">
              <w:rPr>
                <w:rFonts w:ascii="Times New Roman" w:eastAsia="Calibri" w:hAnsi="Times New Roman"/>
                <w:lang w:eastAsia="en-US"/>
              </w:rPr>
              <w:t>масло растительное</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104,0</w:t>
            </w:r>
          </w:p>
        </w:tc>
        <w:tc>
          <w:tcPr>
            <w:tcW w:w="1163" w:type="dxa"/>
            <w:tcBorders>
              <w:top w:val="single" w:sz="4" w:space="0" w:color="000000"/>
              <w:left w:val="single" w:sz="4" w:space="0" w:color="000000"/>
              <w:bottom w:val="single" w:sz="4" w:space="0" w:color="000000"/>
              <w:right w:val="single" w:sz="4" w:space="0" w:color="000000"/>
            </w:tcBorders>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106,4</w:t>
            </w:r>
          </w:p>
        </w:tc>
        <w:tc>
          <w:tcPr>
            <w:tcW w:w="1163" w:type="dxa"/>
            <w:tcBorders>
              <w:top w:val="single" w:sz="4" w:space="0" w:color="000000"/>
              <w:left w:val="single" w:sz="4" w:space="0" w:color="000000"/>
              <w:bottom w:val="single" w:sz="4" w:space="0" w:color="000000"/>
              <w:right w:val="single" w:sz="4" w:space="0" w:color="000000"/>
            </w:tcBorders>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109,4</w:t>
            </w:r>
          </w:p>
        </w:tc>
        <w:tc>
          <w:tcPr>
            <w:tcW w:w="1448" w:type="dxa"/>
            <w:tcBorders>
              <w:top w:val="single" w:sz="4" w:space="0" w:color="000000"/>
              <w:left w:val="single" w:sz="4" w:space="0" w:color="000000"/>
              <w:bottom w:val="single" w:sz="4" w:space="0" w:color="000000"/>
              <w:right w:val="single" w:sz="4" w:space="0" w:color="000000"/>
            </w:tcBorders>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103,4</w:t>
            </w:r>
          </w:p>
        </w:tc>
        <w:tc>
          <w:tcPr>
            <w:tcW w:w="1168" w:type="dxa"/>
            <w:tcBorders>
              <w:top w:val="single" w:sz="4" w:space="0" w:color="000000"/>
              <w:left w:val="single" w:sz="4" w:space="0" w:color="000000"/>
              <w:bottom w:val="single" w:sz="4" w:space="0" w:color="000000"/>
              <w:right w:val="single" w:sz="4" w:space="0" w:color="000000"/>
            </w:tcBorders>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110,9</w:t>
            </w:r>
          </w:p>
        </w:tc>
        <w:tc>
          <w:tcPr>
            <w:tcW w:w="1164" w:type="dxa"/>
            <w:tcBorders>
              <w:top w:val="single" w:sz="4" w:space="0" w:color="000000"/>
              <w:left w:val="single" w:sz="4" w:space="0" w:color="000000"/>
              <w:bottom w:val="single" w:sz="4" w:space="0" w:color="000000"/>
              <w:right w:val="single" w:sz="4" w:space="0" w:color="000000"/>
            </w:tcBorders>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111,9</w:t>
            </w:r>
          </w:p>
        </w:tc>
      </w:tr>
      <w:tr w:rsidR="00770A9A" w:rsidRPr="001E499A" w:rsidTr="00770A9A">
        <w:trPr>
          <w:trHeight w:val="501"/>
        </w:trPr>
        <w:tc>
          <w:tcPr>
            <w:tcW w:w="2582" w:type="dxa"/>
            <w:tcBorders>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ind w:left="142"/>
              <w:rPr>
                <w:rFonts w:ascii="Times New Roman" w:eastAsia="Calibri" w:hAnsi="Times New Roman"/>
                <w:lang w:eastAsia="en-US"/>
              </w:rPr>
            </w:pPr>
            <w:r w:rsidRPr="001E499A">
              <w:rPr>
                <w:rFonts w:ascii="Times New Roman" w:eastAsia="Calibri" w:hAnsi="Times New Roman"/>
                <w:lang w:eastAsia="en-US"/>
              </w:rPr>
              <w:t>молоко и молочная продукция</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105,7</w:t>
            </w:r>
          </w:p>
        </w:tc>
        <w:tc>
          <w:tcPr>
            <w:tcW w:w="1163"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102,1</w:t>
            </w: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123,3</w:t>
            </w:r>
          </w:p>
        </w:tc>
        <w:tc>
          <w:tcPr>
            <w:tcW w:w="1448"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109,5</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115,6</w:t>
            </w:r>
          </w:p>
        </w:tc>
        <w:tc>
          <w:tcPr>
            <w:tcW w:w="1164"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107,1</w:t>
            </w:r>
          </w:p>
        </w:tc>
      </w:tr>
      <w:tr w:rsidR="00770A9A" w:rsidRPr="001E499A" w:rsidTr="00770A9A">
        <w:trPr>
          <w:trHeight w:val="258"/>
        </w:trPr>
        <w:tc>
          <w:tcPr>
            <w:tcW w:w="2582" w:type="dxa"/>
            <w:tcBorders>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ind w:firstLine="142"/>
              <w:rPr>
                <w:rFonts w:ascii="Times New Roman" w:eastAsia="Calibri" w:hAnsi="Times New Roman"/>
                <w:lang w:eastAsia="en-US"/>
              </w:rPr>
            </w:pPr>
            <w:r w:rsidRPr="001E499A">
              <w:rPr>
                <w:rFonts w:ascii="Times New Roman" w:eastAsia="Calibri" w:hAnsi="Times New Roman"/>
                <w:lang w:eastAsia="en-US"/>
              </w:rPr>
              <w:t>сахар</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113,6</w:t>
            </w:r>
          </w:p>
        </w:tc>
        <w:tc>
          <w:tcPr>
            <w:tcW w:w="1163"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110,1</w:t>
            </w: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98,8</w:t>
            </w:r>
          </w:p>
        </w:tc>
        <w:tc>
          <w:tcPr>
            <w:tcW w:w="1448"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94,0</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123,2</w:t>
            </w:r>
          </w:p>
        </w:tc>
        <w:tc>
          <w:tcPr>
            <w:tcW w:w="1164"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117,0</w:t>
            </w:r>
          </w:p>
        </w:tc>
      </w:tr>
      <w:tr w:rsidR="00770A9A" w:rsidRPr="001E499A" w:rsidTr="00770A9A">
        <w:trPr>
          <w:trHeight w:val="258"/>
        </w:trPr>
        <w:tc>
          <w:tcPr>
            <w:tcW w:w="2582" w:type="dxa"/>
            <w:tcBorders>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ind w:firstLine="142"/>
              <w:rPr>
                <w:rFonts w:ascii="Times New Roman" w:eastAsia="Calibri" w:hAnsi="Times New Roman"/>
                <w:lang w:eastAsia="en-US"/>
              </w:rPr>
            </w:pPr>
            <w:r w:rsidRPr="001E499A">
              <w:rPr>
                <w:rFonts w:ascii="Times New Roman" w:eastAsia="Calibri" w:hAnsi="Times New Roman"/>
                <w:lang w:eastAsia="en-US"/>
              </w:rPr>
              <w:t>яйца</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125,8</w:t>
            </w:r>
          </w:p>
        </w:tc>
        <w:tc>
          <w:tcPr>
            <w:tcW w:w="1163"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116,5</w:t>
            </w: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90,4</w:t>
            </w:r>
          </w:p>
        </w:tc>
        <w:tc>
          <w:tcPr>
            <w:tcW w:w="1448"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99,3</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111,2</w:t>
            </w:r>
          </w:p>
        </w:tc>
        <w:tc>
          <w:tcPr>
            <w:tcW w:w="1164" w:type="dxa"/>
            <w:tcBorders>
              <w:top w:val="single" w:sz="4" w:space="0" w:color="000000"/>
              <w:left w:val="single" w:sz="4" w:space="0" w:color="000000"/>
              <w:bottom w:val="single" w:sz="4" w:space="0" w:color="000000"/>
              <w:right w:val="single" w:sz="4" w:space="0" w:color="000000"/>
            </w:tcBorders>
            <w:vAlign w:val="center"/>
          </w:tcPr>
          <w:p w:rsidR="00770A9A" w:rsidRPr="001E499A" w:rsidRDefault="00770A9A"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120,3</w:t>
            </w:r>
          </w:p>
        </w:tc>
      </w:tr>
      <w:tr w:rsidR="00ED22F4" w:rsidRPr="001E499A" w:rsidTr="00ED22F4">
        <w:trPr>
          <w:trHeight w:val="568"/>
        </w:trPr>
        <w:tc>
          <w:tcPr>
            <w:tcW w:w="2582" w:type="dxa"/>
            <w:tcBorders>
              <w:left w:val="single" w:sz="4" w:space="0" w:color="000000"/>
              <w:bottom w:val="single" w:sz="4" w:space="0" w:color="000000"/>
              <w:right w:val="single" w:sz="4" w:space="0" w:color="000000"/>
            </w:tcBorders>
            <w:vAlign w:val="center"/>
          </w:tcPr>
          <w:p w:rsidR="00ED22F4" w:rsidRPr="001E499A" w:rsidRDefault="00ED22F4" w:rsidP="00ED22F4">
            <w:pPr>
              <w:spacing w:after="0" w:line="240" w:lineRule="auto"/>
              <w:jc w:val="center"/>
              <w:rPr>
                <w:rFonts w:ascii="Times New Roman" w:eastAsia="Calibri" w:hAnsi="Times New Roman"/>
                <w:b/>
                <w:lang w:eastAsia="en-US"/>
              </w:rPr>
            </w:pP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ED22F4" w:rsidRPr="001E499A" w:rsidRDefault="00ED22F4" w:rsidP="00ED22F4">
            <w:pPr>
              <w:spacing w:after="0" w:line="240" w:lineRule="auto"/>
              <w:jc w:val="center"/>
              <w:rPr>
                <w:rFonts w:ascii="Times New Roman" w:eastAsia="Calibri" w:hAnsi="Times New Roman"/>
                <w:b/>
                <w:lang w:eastAsia="en-US"/>
              </w:rPr>
            </w:pPr>
            <w:r w:rsidRPr="001E499A">
              <w:rPr>
                <w:rFonts w:ascii="Times New Roman" w:eastAsia="Calibri" w:hAnsi="Times New Roman"/>
                <w:b/>
                <w:lang w:eastAsia="en-US"/>
              </w:rPr>
              <w:t>ПМР</w:t>
            </w:r>
          </w:p>
        </w:tc>
        <w:tc>
          <w:tcPr>
            <w:tcW w:w="1163" w:type="dxa"/>
            <w:tcBorders>
              <w:top w:val="single" w:sz="4" w:space="0" w:color="000000"/>
              <w:left w:val="single" w:sz="4" w:space="0" w:color="000000"/>
              <w:bottom w:val="single" w:sz="4" w:space="0" w:color="000000"/>
              <w:right w:val="single" w:sz="4" w:space="0" w:color="000000"/>
            </w:tcBorders>
            <w:vAlign w:val="center"/>
          </w:tcPr>
          <w:p w:rsidR="00ED22F4" w:rsidRPr="001E499A" w:rsidRDefault="00ED22F4" w:rsidP="00ED22F4">
            <w:pPr>
              <w:spacing w:after="0" w:line="240" w:lineRule="auto"/>
              <w:jc w:val="center"/>
              <w:rPr>
                <w:rFonts w:ascii="Times New Roman" w:eastAsia="Calibri" w:hAnsi="Times New Roman"/>
                <w:b/>
                <w:lang w:eastAsia="en-US"/>
              </w:rPr>
            </w:pPr>
            <w:r w:rsidRPr="001E499A">
              <w:rPr>
                <w:rFonts w:ascii="Times New Roman" w:eastAsia="Calibri" w:hAnsi="Times New Roman"/>
                <w:b/>
                <w:lang w:eastAsia="en-US"/>
              </w:rPr>
              <w:t>Молдова</w:t>
            </w: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ED22F4" w:rsidRPr="001E499A" w:rsidRDefault="00ED22F4" w:rsidP="00ED22F4">
            <w:pPr>
              <w:spacing w:after="0" w:line="240" w:lineRule="auto"/>
              <w:jc w:val="center"/>
              <w:rPr>
                <w:rFonts w:ascii="Times New Roman" w:eastAsia="Calibri" w:hAnsi="Times New Roman"/>
                <w:b/>
                <w:lang w:eastAsia="en-US"/>
              </w:rPr>
            </w:pPr>
            <w:r w:rsidRPr="001E499A">
              <w:rPr>
                <w:rFonts w:ascii="Times New Roman" w:eastAsia="Calibri" w:hAnsi="Times New Roman"/>
                <w:b/>
                <w:lang w:eastAsia="en-US"/>
              </w:rPr>
              <w:t>Украина</w:t>
            </w:r>
          </w:p>
        </w:tc>
        <w:tc>
          <w:tcPr>
            <w:tcW w:w="1448" w:type="dxa"/>
            <w:tcBorders>
              <w:top w:val="single" w:sz="4" w:space="0" w:color="000000"/>
              <w:left w:val="single" w:sz="4" w:space="0" w:color="000000"/>
              <w:bottom w:val="single" w:sz="4" w:space="0" w:color="000000"/>
              <w:right w:val="single" w:sz="4" w:space="0" w:color="000000"/>
            </w:tcBorders>
            <w:vAlign w:val="center"/>
          </w:tcPr>
          <w:p w:rsidR="00ED22F4" w:rsidRPr="001E499A" w:rsidRDefault="00ED22F4" w:rsidP="00ED22F4">
            <w:pPr>
              <w:spacing w:after="0" w:line="240" w:lineRule="auto"/>
              <w:jc w:val="center"/>
              <w:rPr>
                <w:rFonts w:ascii="Times New Roman" w:eastAsia="Calibri" w:hAnsi="Times New Roman"/>
                <w:b/>
                <w:lang w:eastAsia="en-US"/>
              </w:rPr>
            </w:pPr>
            <w:r w:rsidRPr="001E499A">
              <w:rPr>
                <w:rFonts w:ascii="Times New Roman" w:eastAsia="Calibri" w:hAnsi="Times New Roman"/>
                <w:b/>
                <w:lang w:eastAsia="en-US"/>
              </w:rPr>
              <w:t>Российская Федерация</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ED22F4" w:rsidRPr="001E499A" w:rsidRDefault="00ED22F4" w:rsidP="00ED22F4">
            <w:pPr>
              <w:spacing w:after="0" w:line="240" w:lineRule="auto"/>
              <w:jc w:val="center"/>
              <w:rPr>
                <w:rFonts w:ascii="Times New Roman" w:eastAsia="Calibri" w:hAnsi="Times New Roman"/>
                <w:b/>
                <w:lang w:eastAsia="en-US"/>
              </w:rPr>
            </w:pPr>
            <w:r w:rsidRPr="001E499A">
              <w:rPr>
                <w:rFonts w:ascii="Times New Roman" w:eastAsia="Calibri" w:hAnsi="Times New Roman"/>
                <w:b/>
                <w:lang w:eastAsia="en-US"/>
              </w:rPr>
              <w:t>Беларусь</w:t>
            </w:r>
          </w:p>
        </w:tc>
        <w:tc>
          <w:tcPr>
            <w:tcW w:w="1164" w:type="dxa"/>
            <w:tcBorders>
              <w:top w:val="single" w:sz="4" w:space="0" w:color="000000"/>
              <w:left w:val="single" w:sz="4" w:space="0" w:color="000000"/>
              <w:bottom w:val="single" w:sz="4" w:space="0" w:color="000000"/>
              <w:right w:val="single" w:sz="4" w:space="0" w:color="000000"/>
            </w:tcBorders>
            <w:vAlign w:val="center"/>
          </w:tcPr>
          <w:p w:rsidR="00ED22F4" w:rsidRPr="001E499A" w:rsidRDefault="00ED22F4" w:rsidP="00ED22F4">
            <w:pPr>
              <w:spacing w:after="0" w:line="240" w:lineRule="auto"/>
              <w:ind w:hanging="107"/>
              <w:jc w:val="center"/>
              <w:rPr>
                <w:rFonts w:ascii="Times New Roman" w:eastAsia="Calibri" w:hAnsi="Times New Roman"/>
                <w:b/>
                <w:lang w:eastAsia="en-US"/>
              </w:rPr>
            </w:pPr>
            <w:r w:rsidRPr="001E499A">
              <w:rPr>
                <w:rFonts w:ascii="Times New Roman" w:eastAsia="Calibri" w:hAnsi="Times New Roman"/>
                <w:b/>
                <w:lang w:eastAsia="en-US"/>
              </w:rPr>
              <w:t>Казахстан</w:t>
            </w:r>
          </w:p>
        </w:tc>
      </w:tr>
      <w:tr w:rsidR="00ED22F4" w:rsidRPr="001E499A" w:rsidTr="00ED22F4">
        <w:trPr>
          <w:trHeight w:val="568"/>
        </w:trPr>
        <w:tc>
          <w:tcPr>
            <w:tcW w:w="2582" w:type="dxa"/>
            <w:tcBorders>
              <w:left w:val="single" w:sz="4" w:space="0" w:color="000000"/>
              <w:bottom w:val="single" w:sz="4" w:space="0" w:color="000000"/>
              <w:right w:val="single" w:sz="4" w:space="0" w:color="000000"/>
            </w:tcBorders>
            <w:vAlign w:val="center"/>
          </w:tcPr>
          <w:p w:rsidR="00ED22F4" w:rsidRPr="00FA0FEA" w:rsidRDefault="00ED22F4" w:rsidP="00770A9A">
            <w:pPr>
              <w:spacing w:after="0" w:line="240" w:lineRule="auto"/>
              <w:rPr>
                <w:rFonts w:ascii="Times New Roman" w:eastAsia="Calibri" w:hAnsi="Times New Roman"/>
                <w:i/>
                <w:lang w:eastAsia="en-US"/>
              </w:rPr>
            </w:pPr>
            <w:r w:rsidRPr="00FA0FEA">
              <w:rPr>
                <w:rFonts w:ascii="Times New Roman" w:eastAsia="Calibri" w:hAnsi="Times New Roman"/>
                <w:i/>
                <w:lang w:eastAsia="en-US"/>
              </w:rPr>
              <w:t>Темпы роста цен на непродовольственные товары</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ED22F4" w:rsidRPr="00FA0FEA" w:rsidRDefault="00ED22F4" w:rsidP="00770A9A">
            <w:pPr>
              <w:spacing w:after="0" w:line="240" w:lineRule="auto"/>
              <w:jc w:val="center"/>
              <w:rPr>
                <w:rFonts w:ascii="Times New Roman" w:eastAsia="Calibri" w:hAnsi="Times New Roman"/>
                <w:i/>
                <w:lang w:eastAsia="en-US"/>
              </w:rPr>
            </w:pPr>
            <w:r w:rsidRPr="00FA0FEA">
              <w:rPr>
                <w:rFonts w:ascii="Times New Roman" w:eastAsia="Calibri" w:hAnsi="Times New Roman"/>
                <w:i/>
                <w:lang w:eastAsia="en-US"/>
              </w:rPr>
              <w:t>106,9</w:t>
            </w:r>
          </w:p>
        </w:tc>
        <w:tc>
          <w:tcPr>
            <w:tcW w:w="1163" w:type="dxa"/>
            <w:tcBorders>
              <w:top w:val="single" w:sz="4" w:space="0" w:color="000000"/>
              <w:left w:val="single" w:sz="4" w:space="0" w:color="000000"/>
              <w:bottom w:val="single" w:sz="4" w:space="0" w:color="000000"/>
              <w:right w:val="single" w:sz="4" w:space="0" w:color="000000"/>
            </w:tcBorders>
            <w:vAlign w:val="center"/>
          </w:tcPr>
          <w:p w:rsidR="00ED22F4" w:rsidRPr="00FA0FEA" w:rsidRDefault="00ED22F4" w:rsidP="00770A9A">
            <w:pPr>
              <w:spacing w:after="0" w:line="240" w:lineRule="auto"/>
              <w:jc w:val="center"/>
              <w:rPr>
                <w:rFonts w:ascii="Times New Roman" w:eastAsia="Calibri" w:hAnsi="Times New Roman"/>
                <w:i/>
                <w:lang w:eastAsia="en-US"/>
              </w:rPr>
            </w:pPr>
            <w:r w:rsidRPr="00FA0FEA">
              <w:rPr>
                <w:rFonts w:ascii="Times New Roman" w:eastAsia="Calibri" w:hAnsi="Times New Roman"/>
                <w:i/>
                <w:lang w:eastAsia="en-US"/>
              </w:rPr>
              <w:t>103,2</w:t>
            </w: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ED22F4" w:rsidRPr="00FA0FEA" w:rsidRDefault="00ED22F4" w:rsidP="00770A9A">
            <w:pPr>
              <w:spacing w:after="0" w:line="240" w:lineRule="auto"/>
              <w:jc w:val="center"/>
              <w:rPr>
                <w:rFonts w:ascii="Times New Roman" w:eastAsia="Calibri" w:hAnsi="Times New Roman"/>
                <w:i/>
                <w:lang w:eastAsia="en-US"/>
              </w:rPr>
            </w:pPr>
          </w:p>
        </w:tc>
        <w:tc>
          <w:tcPr>
            <w:tcW w:w="1448" w:type="dxa"/>
            <w:tcBorders>
              <w:top w:val="single" w:sz="4" w:space="0" w:color="000000"/>
              <w:left w:val="single" w:sz="4" w:space="0" w:color="000000"/>
              <w:bottom w:val="single" w:sz="4" w:space="0" w:color="000000"/>
              <w:right w:val="single" w:sz="4" w:space="0" w:color="000000"/>
            </w:tcBorders>
            <w:vAlign w:val="center"/>
          </w:tcPr>
          <w:p w:rsidR="00ED22F4" w:rsidRPr="00FA0FEA" w:rsidRDefault="00ED22F4" w:rsidP="00770A9A">
            <w:pPr>
              <w:spacing w:after="0" w:line="240" w:lineRule="auto"/>
              <w:jc w:val="center"/>
              <w:rPr>
                <w:rFonts w:ascii="Times New Roman" w:eastAsia="Calibri" w:hAnsi="Times New Roman"/>
                <w:i/>
                <w:lang w:eastAsia="en-US"/>
              </w:rPr>
            </w:pPr>
            <w:r w:rsidRPr="00FA0FEA">
              <w:rPr>
                <w:rFonts w:ascii="Times New Roman" w:eastAsia="Calibri" w:hAnsi="Times New Roman"/>
                <w:i/>
                <w:lang w:eastAsia="en-US"/>
              </w:rPr>
              <w:t>106,5</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ED22F4" w:rsidRPr="00FA0FEA" w:rsidRDefault="00ED22F4" w:rsidP="00770A9A">
            <w:pPr>
              <w:spacing w:after="0" w:line="240" w:lineRule="auto"/>
              <w:jc w:val="center"/>
              <w:rPr>
                <w:rFonts w:ascii="Times New Roman" w:eastAsia="Calibri" w:hAnsi="Times New Roman"/>
                <w:i/>
                <w:lang w:eastAsia="en-US"/>
              </w:rPr>
            </w:pPr>
            <w:r w:rsidRPr="00FA0FEA">
              <w:rPr>
                <w:rFonts w:ascii="Times New Roman" w:eastAsia="Calibri" w:hAnsi="Times New Roman"/>
                <w:i/>
                <w:lang w:eastAsia="en-US"/>
              </w:rPr>
              <w:t>106,8</w:t>
            </w:r>
          </w:p>
        </w:tc>
        <w:tc>
          <w:tcPr>
            <w:tcW w:w="1164" w:type="dxa"/>
            <w:tcBorders>
              <w:top w:val="single" w:sz="4" w:space="0" w:color="000000"/>
              <w:left w:val="single" w:sz="4" w:space="0" w:color="000000"/>
              <w:bottom w:val="single" w:sz="4" w:space="0" w:color="000000"/>
              <w:right w:val="single" w:sz="4" w:space="0" w:color="000000"/>
            </w:tcBorders>
            <w:vAlign w:val="center"/>
          </w:tcPr>
          <w:p w:rsidR="00ED22F4" w:rsidRPr="00FA0FEA" w:rsidRDefault="00ED22F4" w:rsidP="00770A9A">
            <w:pPr>
              <w:spacing w:after="0" w:line="240" w:lineRule="auto"/>
              <w:jc w:val="center"/>
              <w:rPr>
                <w:rFonts w:ascii="Times New Roman" w:eastAsia="Calibri" w:hAnsi="Times New Roman"/>
                <w:i/>
                <w:lang w:eastAsia="en-US"/>
              </w:rPr>
            </w:pPr>
            <w:r w:rsidRPr="00FA0FEA">
              <w:rPr>
                <w:rFonts w:ascii="Times New Roman" w:eastAsia="Calibri" w:hAnsi="Times New Roman"/>
                <w:i/>
                <w:lang w:eastAsia="en-US"/>
              </w:rPr>
              <w:t>109,5</w:t>
            </w:r>
          </w:p>
        </w:tc>
      </w:tr>
      <w:tr w:rsidR="00ED22F4" w:rsidRPr="001E499A" w:rsidTr="00770A9A">
        <w:trPr>
          <w:trHeight w:val="258"/>
        </w:trPr>
        <w:tc>
          <w:tcPr>
            <w:tcW w:w="2582" w:type="dxa"/>
            <w:tcBorders>
              <w:left w:val="single" w:sz="4" w:space="0" w:color="000000"/>
              <w:bottom w:val="single" w:sz="4" w:space="0" w:color="000000"/>
              <w:right w:val="single" w:sz="4" w:space="0" w:color="000000"/>
            </w:tcBorders>
            <w:vAlign w:val="center"/>
          </w:tcPr>
          <w:p w:rsidR="00ED22F4" w:rsidRPr="001E499A" w:rsidRDefault="00ED22F4" w:rsidP="00770A9A">
            <w:pPr>
              <w:spacing w:after="0" w:line="240" w:lineRule="auto"/>
              <w:ind w:firstLine="142"/>
              <w:rPr>
                <w:rFonts w:ascii="Times New Roman" w:eastAsia="Calibri" w:hAnsi="Times New Roman"/>
                <w:lang w:eastAsia="en-US"/>
              </w:rPr>
            </w:pPr>
            <w:r w:rsidRPr="001E499A">
              <w:rPr>
                <w:rFonts w:ascii="Times New Roman" w:eastAsia="Calibri" w:hAnsi="Times New Roman"/>
                <w:lang w:eastAsia="en-US"/>
              </w:rPr>
              <w:t>из них:</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ED22F4" w:rsidRPr="001E499A" w:rsidRDefault="00ED22F4" w:rsidP="00770A9A">
            <w:pPr>
              <w:spacing w:after="0" w:line="240" w:lineRule="auto"/>
              <w:jc w:val="center"/>
              <w:rPr>
                <w:rFonts w:ascii="Times New Roman" w:eastAsia="Calibri" w:hAnsi="Times New Roman"/>
                <w:lang w:eastAsia="en-US"/>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ED22F4" w:rsidRPr="001E499A" w:rsidRDefault="00ED22F4" w:rsidP="00770A9A">
            <w:pPr>
              <w:spacing w:after="0" w:line="240" w:lineRule="auto"/>
              <w:jc w:val="center"/>
              <w:rPr>
                <w:rFonts w:ascii="Times New Roman" w:eastAsia="Calibri" w:hAnsi="Times New Roman"/>
                <w:lang w:eastAsia="en-US"/>
              </w:rPr>
            </w:pP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ED22F4" w:rsidRPr="001E499A" w:rsidRDefault="00ED22F4" w:rsidP="00770A9A">
            <w:pPr>
              <w:spacing w:after="0" w:line="240" w:lineRule="auto"/>
              <w:jc w:val="center"/>
              <w:rPr>
                <w:rFonts w:ascii="Times New Roman" w:eastAsia="Calibri" w:hAnsi="Times New Roman"/>
                <w:lang w:eastAsia="en-US"/>
              </w:rPr>
            </w:pPr>
          </w:p>
        </w:tc>
        <w:tc>
          <w:tcPr>
            <w:tcW w:w="1448" w:type="dxa"/>
            <w:tcBorders>
              <w:top w:val="single" w:sz="4" w:space="0" w:color="000000"/>
              <w:left w:val="single" w:sz="4" w:space="0" w:color="000000"/>
              <w:bottom w:val="single" w:sz="4" w:space="0" w:color="000000"/>
              <w:right w:val="single" w:sz="4" w:space="0" w:color="000000"/>
            </w:tcBorders>
            <w:vAlign w:val="center"/>
          </w:tcPr>
          <w:p w:rsidR="00ED22F4" w:rsidRPr="001E499A" w:rsidRDefault="00ED22F4" w:rsidP="00770A9A">
            <w:pPr>
              <w:spacing w:after="0" w:line="240" w:lineRule="auto"/>
              <w:jc w:val="center"/>
              <w:rPr>
                <w:rFonts w:ascii="Times New Roman" w:eastAsia="Calibri" w:hAnsi="Times New Roman"/>
                <w:lang w:eastAsia="en-US"/>
              </w:rPr>
            </w:pP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ED22F4" w:rsidRPr="001E499A" w:rsidRDefault="00ED22F4" w:rsidP="00770A9A">
            <w:pPr>
              <w:spacing w:after="0" w:line="240" w:lineRule="auto"/>
              <w:jc w:val="center"/>
              <w:rPr>
                <w:rFonts w:ascii="Times New Roman" w:eastAsia="Calibri" w:hAnsi="Times New Roman"/>
                <w:lang w:eastAsia="en-US"/>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ED22F4" w:rsidRPr="001E499A" w:rsidRDefault="00ED22F4" w:rsidP="00770A9A">
            <w:pPr>
              <w:spacing w:after="0" w:line="240" w:lineRule="auto"/>
              <w:jc w:val="center"/>
              <w:rPr>
                <w:rFonts w:ascii="Times New Roman" w:eastAsia="Calibri" w:hAnsi="Times New Roman"/>
                <w:lang w:eastAsia="en-US"/>
              </w:rPr>
            </w:pPr>
          </w:p>
        </w:tc>
      </w:tr>
      <w:tr w:rsidR="00ED22F4" w:rsidRPr="001E499A" w:rsidTr="00770A9A">
        <w:trPr>
          <w:trHeight w:val="258"/>
        </w:trPr>
        <w:tc>
          <w:tcPr>
            <w:tcW w:w="2582" w:type="dxa"/>
            <w:tcBorders>
              <w:left w:val="single" w:sz="4" w:space="0" w:color="000000"/>
              <w:bottom w:val="single" w:sz="4" w:space="0" w:color="000000"/>
              <w:right w:val="single" w:sz="4" w:space="0" w:color="000000"/>
            </w:tcBorders>
            <w:vAlign w:val="center"/>
          </w:tcPr>
          <w:p w:rsidR="00ED22F4" w:rsidRPr="001E499A" w:rsidRDefault="00ED22F4" w:rsidP="00770A9A">
            <w:pPr>
              <w:spacing w:after="0" w:line="240" w:lineRule="auto"/>
              <w:ind w:firstLine="142"/>
              <w:rPr>
                <w:rFonts w:ascii="Times New Roman" w:eastAsia="Calibri" w:hAnsi="Times New Roman"/>
                <w:lang w:eastAsia="en-US"/>
              </w:rPr>
            </w:pPr>
            <w:r w:rsidRPr="001E499A">
              <w:rPr>
                <w:rFonts w:ascii="Times New Roman" w:eastAsia="Calibri" w:hAnsi="Times New Roman"/>
                <w:lang w:eastAsia="en-US"/>
              </w:rPr>
              <w:t>медикаменты</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ED22F4" w:rsidRPr="001E499A" w:rsidRDefault="00ED22F4"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111,1</w:t>
            </w:r>
          </w:p>
        </w:tc>
        <w:tc>
          <w:tcPr>
            <w:tcW w:w="1163" w:type="dxa"/>
            <w:tcBorders>
              <w:top w:val="single" w:sz="4" w:space="0" w:color="000000"/>
              <w:left w:val="single" w:sz="4" w:space="0" w:color="000000"/>
              <w:bottom w:val="single" w:sz="4" w:space="0" w:color="000000"/>
              <w:right w:val="single" w:sz="4" w:space="0" w:color="000000"/>
            </w:tcBorders>
            <w:vAlign w:val="center"/>
          </w:tcPr>
          <w:p w:rsidR="00ED22F4" w:rsidRPr="001E499A" w:rsidRDefault="00ED22F4"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98,8</w:t>
            </w: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ED22F4" w:rsidRPr="001E499A" w:rsidRDefault="00ED22F4"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106,4</w:t>
            </w:r>
          </w:p>
        </w:tc>
        <w:tc>
          <w:tcPr>
            <w:tcW w:w="1448" w:type="dxa"/>
            <w:tcBorders>
              <w:top w:val="single" w:sz="4" w:space="0" w:color="000000"/>
              <w:left w:val="single" w:sz="4" w:space="0" w:color="000000"/>
              <w:bottom w:val="single" w:sz="4" w:space="0" w:color="000000"/>
              <w:right w:val="single" w:sz="4" w:space="0" w:color="000000"/>
            </w:tcBorders>
            <w:vAlign w:val="center"/>
          </w:tcPr>
          <w:p w:rsidR="00ED22F4" w:rsidRPr="001E499A" w:rsidRDefault="00ED22F4"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104,9</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ED22F4" w:rsidRPr="001E499A" w:rsidRDefault="00ED22F4"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117,6</w:t>
            </w:r>
          </w:p>
        </w:tc>
        <w:tc>
          <w:tcPr>
            <w:tcW w:w="1164" w:type="dxa"/>
            <w:tcBorders>
              <w:top w:val="single" w:sz="4" w:space="0" w:color="000000"/>
              <w:left w:val="single" w:sz="4" w:space="0" w:color="000000"/>
              <w:bottom w:val="single" w:sz="4" w:space="0" w:color="000000"/>
              <w:right w:val="single" w:sz="4" w:space="0" w:color="000000"/>
            </w:tcBorders>
            <w:vAlign w:val="center"/>
          </w:tcPr>
          <w:p w:rsidR="00ED22F4" w:rsidRPr="001E499A" w:rsidRDefault="00ED22F4"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117,7</w:t>
            </w:r>
          </w:p>
        </w:tc>
      </w:tr>
      <w:tr w:rsidR="00ED22F4" w:rsidRPr="001E499A" w:rsidTr="00770A9A">
        <w:trPr>
          <w:trHeight w:val="243"/>
        </w:trPr>
        <w:tc>
          <w:tcPr>
            <w:tcW w:w="2582" w:type="dxa"/>
            <w:tcBorders>
              <w:left w:val="single" w:sz="4" w:space="0" w:color="000000"/>
              <w:bottom w:val="single" w:sz="4" w:space="0" w:color="000000"/>
              <w:right w:val="single" w:sz="4" w:space="0" w:color="000000"/>
            </w:tcBorders>
            <w:vAlign w:val="center"/>
          </w:tcPr>
          <w:p w:rsidR="00ED22F4" w:rsidRPr="001E499A" w:rsidRDefault="00ED22F4" w:rsidP="00770A9A">
            <w:pPr>
              <w:spacing w:after="0" w:line="240" w:lineRule="auto"/>
              <w:ind w:firstLine="142"/>
              <w:rPr>
                <w:rFonts w:ascii="Times New Roman" w:eastAsia="Calibri" w:hAnsi="Times New Roman"/>
                <w:lang w:eastAsia="en-US"/>
              </w:rPr>
            </w:pPr>
            <w:r w:rsidRPr="001E499A">
              <w:rPr>
                <w:rFonts w:ascii="Times New Roman" w:eastAsia="Calibri" w:hAnsi="Times New Roman"/>
                <w:lang w:eastAsia="en-US"/>
              </w:rPr>
              <w:t>топливо</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ED22F4" w:rsidRPr="001E499A" w:rsidRDefault="00ED22F4"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101,4</w:t>
            </w:r>
          </w:p>
        </w:tc>
        <w:tc>
          <w:tcPr>
            <w:tcW w:w="1163" w:type="dxa"/>
            <w:tcBorders>
              <w:top w:val="single" w:sz="4" w:space="0" w:color="000000"/>
              <w:left w:val="single" w:sz="4" w:space="0" w:color="000000"/>
              <w:bottom w:val="single" w:sz="4" w:space="0" w:color="000000"/>
              <w:right w:val="single" w:sz="4" w:space="0" w:color="000000"/>
            </w:tcBorders>
            <w:vAlign w:val="center"/>
          </w:tcPr>
          <w:p w:rsidR="00ED22F4" w:rsidRPr="001E499A" w:rsidRDefault="00ED22F4"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101,6</w:t>
            </w: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ED22F4" w:rsidRPr="001E499A" w:rsidRDefault="00ED22F4"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119,5</w:t>
            </w:r>
          </w:p>
        </w:tc>
        <w:tc>
          <w:tcPr>
            <w:tcW w:w="1448" w:type="dxa"/>
            <w:tcBorders>
              <w:top w:val="single" w:sz="4" w:space="0" w:color="000000"/>
              <w:left w:val="single" w:sz="4" w:space="0" w:color="000000"/>
              <w:bottom w:val="single" w:sz="4" w:space="0" w:color="000000"/>
              <w:right w:val="single" w:sz="4" w:space="0" w:color="000000"/>
            </w:tcBorders>
            <w:vAlign w:val="center"/>
          </w:tcPr>
          <w:p w:rsidR="00ED22F4" w:rsidRPr="001E499A" w:rsidRDefault="00ED22F4"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103,8</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ED22F4" w:rsidRPr="001E499A" w:rsidRDefault="00ED22F4"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100,0</w:t>
            </w:r>
          </w:p>
        </w:tc>
        <w:tc>
          <w:tcPr>
            <w:tcW w:w="1164" w:type="dxa"/>
            <w:tcBorders>
              <w:top w:val="single" w:sz="4" w:space="0" w:color="000000"/>
              <w:left w:val="single" w:sz="4" w:space="0" w:color="000000"/>
              <w:bottom w:val="single" w:sz="4" w:space="0" w:color="000000"/>
              <w:right w:val="single" w:sz="4" w:space="0" w:color="000000"/>
            </w:tcBorders>
            <w:vAlign w:val="center"/>
          </w:tcPr>
          <w:p w:rsidR="00ED22F4" w:rsidRPr="001E499A" w:rsidRDefault="00ED22F4" w:rsidP="00770A9A">
            <w:pPr>
              <w:spacing w:after="0" w:line="240" w:lineRule="auto"/>
              <w:jc w:val="center"/>
              <w:rPr>
                <w:rFonts w:ascii="Times New Roman" w:eastAsia="Calibri" w:hAnsi="Times New Roman"/>
                <w:lang w:eastAsia="en-US"/>
              </w:rPr>
            </w:pPr>
            <w:r w:rsidRPr="001E499A">
              <w:rPr>
                <w:rFonts w:ascii="Times New Roman" w:eastAsia="Calibri" w:hAnsi="Times New Roman"/>
                <w:lang w:eastAsia="en-US"/>
              </w:rPr>
              <w:t>107,0</w:t>
            </w:r>
          </w:p>
        </w:tc>
      </w:tr>
      <w:tr w:rsidR="00ED22F4" w:rsidRPr="001E499A" w:rsidTr="00A61AFF">
        <w:trPr>
          <w:trHeight w:val="435"/>
        </w:trPr>
        <w:tc>
          <w:tcPr>
            <w:tcW w:w="2582" w:type="dxa"/>
            <w:tcBorders>
              <w:left w:val="single" w:sz="4" w:space="0" w:color="000000"/>
              <w:bottom w:val="single" w:sz="4" w:space="0" w:color="000000"/>
              <w:right w:val="single" w:sz="4" w:space="0" w:color="000000"/>
            </w:tcBorders>
            <w:vAlign w:val="center"/>
          </w:tcPr>
          <w:p w:rsidR="00ED22F4" w:rsidRPr="00FA0FEA" w:rsidRDefault="00ED22F4" w:rsidP="00770A9A">
            <w:pPr>
              <w:spacing w:after="0" w:line="240" w:lineRule="auto"/>
              <w:rPr>
                <w:rFonts w:ascii="Times New Roman" w:eastAsia="Calibri" w:hAnsi="Times New Roman"/>
                <w:i/>
                <w:lang w:eastAsia="en-US"/>
              </w:rPr>
            </w:pPr>
            <w:r w:rsidRPr="00FA0FEA">
              <w:rPr>
                <w:rFonts w:ascii="Times New Roman" w:eastAsia="Calibri" w:hAnsi="Times New Roman"/>
                <w:i/>
                <w:lang w:eastAsia="en-US"/>
              </w:rPr>
              <w:t xml:space="preserve">Темпы роста тарифов на услуги </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ED22F4" w:rsidRPr="00FA0FEA" w:rsidRDefault="00ED22F4" w:rsidP="00770A9A">
            <w:pPr>
              <w:spacing w:after="0" w:line="240" w:lineRule="auto"/>
              <w:jc w:val="center"/>
              <w:rPr>
                <w:rFonts w:ascii="Times New Roman" w:eastAsia="Calibri" w:hAnsi="Times New Roman"/>
                <w:i/>
                <w:lang w:eastAsia="en-US"/>
              </w:rPr>
            </w:pPr>
            <w:r w:rsidRPr="00FA0FEA">
              <w:rPr>
                <w:rFonts w:ascii="Times New Roman" w:eastAsia="Calibri" w:hAnsi="Times New Roman"/>
                <w:i/>
                <w:lang w:eastAsia="en-US"/>
              </w:rPr>
              <w:t>101,5</w:t>
            </w:r>
          </w:p>
        </w:tc>
        <w:tc>
          <w:tcPr>
            <w:tcW w:w="1163" w:type="dxa"/>
            <w:tcBorders>
              <w:top w:val="single" w:sz="4" w:space="0" w:color="000000"/>
              <w:left w:val="single" w:sz="4" w:space="0" w:color="000000"/>
              <w:bottom w:val="single" w:sz="4" w:space="0" w:color="000000"/>
              <w:right w:val="single" w:sz="4" w:space="0" w:color="000000"/>
            </w:tcBorders>
            <w:vAlign w:val="center"/>
          </w:tcPr>
          <w:p w:rsidR="00ED22F4" w:rsidRPr="00FA0FEA" w:rsidRDefault="00ED22F4" w:rsidP="00770A9A">
            <w:pPr>
              <w:spacing w:after="0" w:line="240" w:lineRule="auto"/>
              <w:jc w:val="center"/>
              <w:rPr>
                <w:rFonts w:ascii="Times New Roman" w:eastAsia="Calibri" w:hAnsi="Times New Roman"/>
                <w:i/>
                <w:lang w:eastAsia="en-US"/>
              </w:rPr>
            </w:pPr>
            <w:r w:rsidRPr="00FA0FEA">
              <w:rPr>
                <w:rFonts w:ascii="Times New Roman" w:eastAsia="Calibri" w:hAnsi="Times New Roman"/>
                <w:i/>
                <w:lang w:eastAsia="en-US"/>
              </w:rPr>
              <w:t>100,5</w:t>
            </w: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ED22F4" w:rsidRPr="00FA0FEA" w:rsidRDefault="00ED22F4" w:rsidP="00770A9A">
            <w:pPr>
              <w:spacing w:after="0" w:line="240" w:lineRule="auto"/>
              <w:jc w:val="center"/>
              <w:rPr>
                <w:rFonts w:ascii="Times New Roman" w:eastAsia="Calibri" w:hAnsi="Times New Roman"/>
                <w:i/>
                <w:lang w:eastAsia="en-US"/>
              </w:rPr>
            </w:pPr>
          </w:p>
        </w:tc>
        <w:tc>
          <w:tcPr>
            <w:tcW w:w="1448" w:type="dxa"/>
            <w:tcBorders>
              <w:top w:val="single" w:sz="4" w:space="0" w:color="000000"/>
              <w:left w:val="single" w:sz="4" w:space="0" w:color="000000"/>
              <w:bottom w:val="single" w:sz="4" w:space="0" w:color="000000"/>
              <w:right w:val="single" w:sz="4" w:space="0" w:color="000000"/>
            </w:tcBorders>
            <w:vAlign w:val="center"/>
          </w:tcPr>
          <w:p w:rsidR="00ED22F4" w:rsidRPr="00FA0FEA" w:rsidRDefault="00ED22F4" w:rsidP="00770A9A">
            <w:pPr>
              <w:spacing w:after="0" w:line="240" w:lineRule="auto"/>
              <w:jc w:val="center"/>
              <w:rPr>
                <w:rFonts w:ascii="Times New Roman" w:eastAsia="Calibri" w:hAnsi="Times New Roman"/>
                <w:i/>
                <w:lang w:eastAsia="en-US"/>
              </w:rPr>
            </w:pPr>
            <w:r w:rsidRPr="00FA0FEA">
              <w:rPr>
                <w:rFonts w:ascii="Times New Roman" w:eastAsia="Calibri" w:hAnsi="Times New Roman"/>
                <w:i/>
                <w:lang w:eastAsia="en-US"/>
              </w:rPr>
              <w:t>104,9</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ED22F4" w:rsidRPr="00FA0FEA" w:rsidRDefault="00ED22F4" w:rsidP="00770A9A">
            <w:pPr>
              <w:spacing w:after="0" w:line="240" w:lineRule="auto"/>
              <w:jc w:val="center"/>
              <w:rPr>
                <w:rFonts w:ascii="Times New Roman" w:eastAsia="Calibri" w:hAnsi="Times New Roman"/>
                <w:i/>
                <w:lang w:eastAsia="en-US"/>
              </w:rPr>
            </w:pPr>
            <w:r w:rsidRPr="00FA0FEA">
              <w:rPr>
                <w:rFonts w:ascii="Times New Roman" w:eastAsia="Calibri" w:hAnsi="Times New Roman"/>
                <w:i/>
                <w:lang w:eastAsia="en-US"/>
              </w:rPr>
              <w:t>117,6</w:t>
            </w:r>
          </w:p>
        </w:tc>
        <w:tc>
          <w:tcPr>
            <w:tcW w:w="1164" w:type="dxa"/>
            <w:tcBorders>
              <w:top w:val="single" w:sz="4" w:space="0" w:color="000000"/>
              <w:left w:val="single" w:sz="4" w:space="0" w:color="000000"/>
              <w:bottom w:val="single" w:sz="4" w:space="0" w:color="000000"/>
              <w:right w:val="single" w:sz="4" w:space="0" w:color="000000"/>
            </w:tcBorders>
            <w:vAlign w:val="center"/>
          </w:tcPr>
          <w:p w:rsidR="00ED22F4" w:rsidRPr="00FA0FEA" w:rsidRDefault="00ED22F4" w:rsidP="00770A9A">
            <w:pPr>
              <w:spacing w:after="0" w:line="240" w:lineRule="auto"/>
              <w:jc w:val="center"/>
              <w:rPr>
                <w:rFonts w:ascii="Times New Roman" w:eastAsia="Calibri" w:hAnsi="Times New Roman"/>
                <w:i/>
                <w:lang w:eastAsia="en-US"/>
              </w:rPr>
            </w:pPr>
            <w:r w:rsidRPr="00FA0FEA">
              <w:rPr>
                <w:rFonts w:ascii="Times New Roman" w:eastAsia="Calibri" w:hAnsi="Times New Roman"/>
                <w:i/>
                <w:lang w:eastAsia="en-US"/>
              </w:rPr>
              <w:t>106,1</w:t>
            </w:r>
          </w:p>
        </w:tc>
      </w:tr>
      <w:tr w:rsidR="00ED22F4" w:rsidRPr="001E499A" w:rsidTr="00770A9A">
        <w:trPr>
          <w:trHeight w:val="758"/>
        </w:trPr>
        <w:tc>
          <w:tcPr>
            <w:tcW w:w="2582" w:type="dxa"/>
            <w:tcBorders>
              <w:left w:val="single" w:sz="4" w:space="0" w:color="000000"/>
              <w:bottom w:val="single" w:sz="4" w:space="0" w:color="000000"/>
              <w:right w:val="single" w:sz="4" w:space="0" w:color="000000"/>
            </w:tcBorders>
            <w:vAlign w:val="center"/>
          </w:tcPr>
          <w:p w:rsidR="00ED22F4" w:rsidRPr="001E499A" w:rsidRDefault="00ED22F4" w:rsidP="00770A9A">
            <w:pPr>
              <w:spacing w:after="0" w:line="240" w:lineRule="auto"/>
              <w:rPr>
                <w:rFonts w:ascii="Times New Roman" w:eastAsia="Calibri" w:hAnsi="Times New Roman"/>
                <w:b/>
                <w:i/>
                <w:lang w:eastAsia="en-US"/>
              </w:rPr>
            </w:pPr>
            <w:r w:rsidRPr="001E499A">
              <w:rPr>
                <w:rFonts w:ascii="Times New Roman" w:eastAsia="Calibri" w:hAnsi="Times New Roman"/>
                <w:b/>
                <w:i/>
                <w:lang w:eastAsia="en-US"/>
              </w:rPr>
              <w:t>Сводные темпы роста потребительских цен</w:t>
            </w:r>
          </w:p>
          <w:p w:rsidR="00ED22F4" w:rsidRPr="001E499A" w:rsidRDefault="00ED22F4" w:rsidP="00770A9A">
            <w:pPr>
              <w:spacing w:after="0" w:line="240" w:lineRule="auto"/>
              <w:rPr>
                <w:rFonts w:ascii="Times New Roman" w:eastAsia="Calibri" w:hAnsi="Times New Roman"/>
                <w:b/>
                <w:i/>
                <w:lang w:eastAsia="en-US"/>
              </w:rPr>
            </w:pPr>
            <w:r w:rsidRPr="001E499A">
              <w:rPr>
                <w:rFonts w:ascii="Times New Roman" w:eastAsia="Calibri" w:hAnsi="Times New Roman"/>
                <w:b/>
                <w:i/>
                <w:lang w:eastAsia="en-US"/>
              </w:rPr>
              <w:t>(инфляция)</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ED22F4" w:rsidRPr="001E499A" w:rsidRDefault="00ED22F4" w:rsidP="00770A9A">
            <w:pPr>
              <w:spacing w:after="0" w:line="240" w:lineRule="auto"/>
              <w:jc w:val="center"/>
              <w:rPr>
                <w:rFonts w:ascii="Times New Roman" w:eastAsia="Calibri" w:hAnsi="Times New Roman"/>
                <w:b/>
                <w:lang w:eastAsia="en-US"/>
              </w:rPr>
            </w:pPr>
            <w:r w:rsidRPr="001E499A">
              <w:rPr>
                <w:rFonts w:ascii="Times New Roman" w:eastAsia="Calibri" w:hAnsi="Times New Roman"/>
                <w:b/>
                <w:lang w:eastAsia="en-US"/>
              </w:rPr>
              <w:t>104,4</w:t>
            </w:r>
          </w:p>
        </w:tc>
        <w:tc>
          <w:tcPr>
            <w:tcW w:w="1163" w:type="dxa"/>
            <w:tcBorders>
              <w:top w:val="single" w:sz="4" w:space="0" w:color="000000"/>
              <w:left w:val="single" w:sz="4" w:space="0" w:color="000000"/>
              <w:bottom w:val="single" w:sz="4" w:space="0" w:color="000000"/>
              <w:right w:val="single" w:sz="4" w:space="0" w:color="000000"/>
            </w:tcBorders>
            <w:vAlign w:val="center"/>
          </w:tcPr>
          <w:p w:rsidR="00ED22F4" w:rsidRPr="001E499A" w:rsidRDefault="00ED22F4" w:rsidP="00770A9A">
            <w:pPr>
              <w:spacing w:after="0" w:line="240" w:lineRule="auto"/>
              <w:jc w:val="center"/>
              <w:rPr>
                <w:rFonts w:ascii="Times New Roman" w:eastAsia="Calibri" w:hAnsi="Times New Roman"/>
                <w:b/>
                <w:lang w:eastAsia="en-US"/>
              </w:rPr>
            </w:pPr>
            <w:r w:rsidRPr="001E499A">
              <w:rPr>
                <w:rFonts w:ascii="Times New Roman" w:eastAsia="Calibri" w:hAnsi="Times New Roman"/>
                <w:b/>
                <w:lang w:eastAsia="en-US"/>
              </w:rPr>
              <w:t>102,4</w:t>
            </w: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ED22F4" w:rsidRPr="001E499A" w:rsidRDefault="00ED22F4" w:rsidP="00770A9A">
            <w:pPr>
              <w:spacing w:after="0" w:line="240" w:lineRule="auto"/>
              <w:jc w:val="center"/>
              <w:rPr>
                <w:rFonts w:ascii="Times New Roman" w:eastAsia="Calibri" w:hAnsi="Times New Roman"/>
                <w:b/>
                <w:lang w:eastAsia="en-US"/>
              </w:rPr>
            </w:pPr>
            <w:r w:rsidRPr="001E499A">
              <w:rPr>
                <w:rFonts w:ascii="Times New Roman" w:eastAsia="Calibri" w:hAnsi="Times New Roman"/>
                <w:b/>
                <w:lang w:eastAsia="en-US"/>
              </w:rPr>
              <w:t>112,4</w:t>
            </w:r>
          </w:p>
        </w:tc>
        <w:tc>
          <w:tcPr>
            <w:tcW w:w="1448" w:type="dxa"/>
            <w:tcBorders>
              <w:top w:val="single" w:sz="4" w:space="0" w:color="000000"/>
              <w:left w:val="single" w:sz="4" w:space="0" w:color="000000"/>
              <w:bottom w:val="single" w:sz="4" w:space="0" w:color="000000"/>
              <w:right w:val="single" w:sz="4" w:space="0" w:color="000000"/>
            </w:tcBorders>
            <w:vAlign w:val="center"/>
          </w:tcPr>
          <w:p w:rsidR="00ED22F4" w:rsidRPr="001E499A" w:rsidRDefault="00ED22F4" w:rsidP="00770A9A">
            <w:pPr>
              <w:spacing w:after="0" w:line="240" w:lineRule="auto"/>
              <w:jc w:val="center"/>
              <w:rPr>
                <w:rFonts w:ascii="Times New Roman" w:eastAsia="Calibri" w:hAnsi="Times New Roman"/>
                <w:b/>
                <w:lang w:eastAsia="en-US"/>
              </w:rPr>
            </w:pPr>
            <w:r w:rsidRPr="001E499A">
              <w:rPr>
                <w:rFonts w:ascii="Times New Roman" w:eastAsia="Calibri" w:hAnsi="Times New Roman"/>
                <w:b/>
                <w:lang w:eastAsia="en-US"/>
              </w:rPr>
              <w:t>105,4</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ED22F4" w:rsidRPr="001E499A" w:rsidRDefault="00ED22F4" w:rsidP="00770A9A">
            <w:pPr>
              <w:spacing w:after="0" w:line="240" w:lineRule="auto"/>
              <w:jc w:val="center"/>
              <w:rPr>
                <w:rFonts w:ascii="Times New Roman" w:eastAsia="Calibri" w:hAnsi="Times New Roman"/>
                <w:b/>
                <w:lang w:eastAsia="en-US"/>
              </w:rPr>
            </w:pPr>
            <w:r w:rsidRPr="001E499A">
              <w:rPr>
                <w:rFonts w:ascii="Times New Roman" w:eastAsia="Calibri" w:hAnsi="Times New Roman"/>
                <w:b/>
                <w:lang w:eastAsia="en-US"/>
              </w:rPr>
              <w:t>110,6</w:t>
            </w:r>
          </w:p>
        </w:tc>
        <w:tc>
          <w:tcPr>
            <w:tcW w:w="1164" w:type="dxa"/>
            <w:tcBorders>
              <w:top w:val="single" w:sz="4" w:space="0" w:color="000000"/>
              <w:left w:val="single" w:sz="4" w:space="0" w:color="000000"/>
              <w:bottom w:val="single" w:sz="4" w:space="0" w:color="000000"/>
              <w:right w:val="single" w:sz="4" w:space="0" w:color="000000"/>
            </w:tcBorders>
            <w:vAlign w:val="center"/>
          </w:tcPr>
          <w:p w:rsidR="00ED22F4" w:rsidRPr="001E499A" w:rsidRDefault="00ED22F4" w:rsidP="00770A9A">
            <w:pPr>
              <w:spacing w:after="0" w:line="240" w:lineRule="auto"/>
              <w:jc w:val="center"/>
              <w:rPr>
                <w:rFonts w:ascii="Times New Roman" w:eastAsia="Calibri" w:hAnsi="Times New Roman"/>
                <w:b/>
                <w:lang w:eastAsia="en-US"/>
              </w:rPr>
            </w:pPr>
            <w:r w:rsidRPr="001E499A">
              <w:rPr>
                <w:rFonts w:ascii="Times New Roman" w:eastAsia="Calibri" w:hAnsi="Times New Roman"/>
                <w:b/>
                <w:lang w:eastAsia="en-US"/>
              </w:rPr>
              <w:t>108,5</w:t>
            </w:r>
          </w:p>
        </w:tc>
      </w:tr>
    </w:tbl>
    <w:p w:rsidR="00770A9A" w:rsidRPr="001E499A" w:rsidRDefault="00770A9A" w:rsidP="00770A9A">
      <w:pPr>
        <w:spacing w:after="0" w:line="240" w:lineRule="auto"/>
        <w:ind w:firstLine="709"/>
        <w:jc w:val="both"/>
        <w:rPr>
          <w:rFonts w:ascii="Times New Roman" w:hAnsi="Times New Roman"/>
        </w:rPr>
      </w:pPr>
    </w:p>
    <w:p w:rsidR="00770A9A" w:rsidRPr="00A83A28" w:rsidRDefault="00770A9A" w:rsidP="00770A9A">
      <w:pPr>
        <w:spacing w:after="0" w:line="240" w:lineRule="auto"/>
        <w:ind w:firstLine="709"/>
        <w:jc w:val="both"/>
        <w:rPr>
          <w:rFonts w:ascii="Times New Roman" w:hAnsi="Times New Roman"/>
          <w:sz w:val="24"/>
          <w:szCs w:val="24"/>
        </w:rPr>
      </w:pPr>
      <w:r w:rsidRPr="00A83A28">
        <w:rPr>
          <w:rFonts w:ascii="Times New Roman" w:hAnsi="Times New Roman"/>
          <w:sz w:val="24"/>
        </w:rPr>
        <w:t>Таким образом</w:t>
      </w:r>
      <w:r>
        <w:rPr>
          <w:rFonts w:ascii="Times New Roman" w:hAnsi="Times New Roman"/>
          <w:sz w:val="24"/>
        </w:rPr>
        <w:t>, под воздействием негативного влияния импортируемой инфляции и диспропорции на валютном рынке в совокупности с девальвационными ожиданиями населения, обусловили усиление инфляционного давления на внутреннем потребительском рынке республики.</w:t>
      </w:r>
      <w:r w:rsidRPr="00225E1E">
        <w:rPr>
          <w:rFonts w:ascii="Times New Roman" w:hAnsi="Times New Roman"/>
          <w:sz w:val="24"/>
          <w:szCs w:val="24"/>
        </w:rPr>
        <w:t xml:space="preserve"> </w:t>
      </w:r>
      <w:r w:rsidRPr="00A83A28">
        <w:rPr>
          <w:rFonts w:ascii="Times New Roman" w:hAnsi="Times New Roman"/>
          <w:sz w:val="24"/>
          <w:szCs w:val="24"/>
        </w:rPr>
        <w:t xml:space="preserve">Кроме того, в 2016 году определённое влияние оказали проводимые антиинфляционные меры со стороны государства по оптимизации таможенной политики и тарифной политики в сфере естественных монополий. </w:t>
      </w:r>
    </w:p>
    <w:p w:rsidR="00770A9A" w:rsidRDefault="00770A9A" w:rsidP="00770A9A">
      <w:pPr>
        <w:spacing w:after="0" w:line="240" w:lineRule="auto"/>
        <w:ind w:firstLine="709"/>
        <w:jc w:val="both"/>
        <w:rPr>
          <w:rFonts w:ascii="Times New Roman" w:hAnsi="Times New Roman"/>
          <w:sz w:val="24"/>
        </w:rPr>
      </w:pPr>
    </w:p>
    <w:p w:rsidR="00EB1C50" w:rsidRDefault="00EB1C50" w:rsidP="00EB1C50">
      <w:pPr>
        <w:widowControl w:val="0"/>
        <w:shd w:val="clear" w:color="auto" w:fill="FFFFFF" w:themeFill="background1"/>
        <w:autoSpaceDE w:val="0"/>
        <w:autoSpaceDN w:val="0"/>
        <w:adjustRightInd w:val="0"/>
        <w:spacing w:after="0" w:line="240" w:lineRule="auto"/>
        <w:ind w:firstLine="720"/>
        <w:jc w:val="both"/>
        <w:rPr>
          <w:rFonts w:ascii="Times New Roman" w:eastAsia="Calibri" w:hAnsi="Times New Roman"/>
          <w:b/>
          <w:sz w:val="24"/>
          <w:szCs w:val="24"/>
        </w:rPr>
      </w:pPr>
      <w:r w:rsidRPr="00493655">
        <w:rPr>
          <w:rFonts w:ascii="Times New Roman" w:eastAsia="Calibri" w:hAnsi="Times New Roman"/>
          <w:b/>
          <w:sz w:val="24"/>
          <w:szCs w:val="24"/>
        </w:rPr>
        <w:t>Малое предпринимательство</w:t>
      </w:r>
    </w:p>
    <w:p w:rsidR="00493655" w:rsidRDefault="00493655" w:rsidP="00EB1C50">
      <w:pPr>
        <w:widowControl w:val="0"/>
        <w:shd w:val="clear" w:color="auto" w:fill="FFFFFF" w:themeFill="background1"/>
        <w:autoSpaceDE w:val="0"/>
        <w:autoSpaceDN w:val="0"/>
        <w:adjustRightInd w:val="0"/>
        <w:spacing w:after="0" w:line="240" w:lineRule="auto"/>
        <w:ind w:firstLine="720"/>
        <w:jc w:val="both"/>
        <w:rPr>
          <w:rFonts w:ascii="Times New Roman" w:eastAsia="Calibri" w:hAnsi="Times New Roman"/>
          <w:b/>
          <w:sz w:val="24"/>
          <w:szCs w:val="24"/>
        </w:rPr>
      </w:pPr>
    </w:p>
    <w:p w:rsidR="00493655" w:rsidRPr="00FA2A38" w:rsidRDefault="00493655" w:rsidP="00493655">
      <w:pPr>
        <w:shd w:val="clear" w:color="auto" w:fill="FFFFFF" w:themeFill="background1"/>
        <w:spacing w:after="0" w:line="240" w:lineRule="auto"/>
        <w:ind w:firstLine="709"/>
        <w:jc w:val="both"/>
        <w:rPr>
          <w:rFonts w:ascii="Times New Roman" w:eastAsia="Calibri" w:hAnsi="Times New Roman"/>
          <w:sz w:val="24"/>
          <w:szCs w:val="24"/>
        </w:rPr>
      </w:pPr>
      <w:r w:rsidRPr="00FA2A38">
        <w:rPr>
          <w:rFonts w:ascii="Times New Roman" w:eastAsia="Calibri" w:hAnsi="Times New Roman"/>
          <w:sz w:val="24"/>
          <w:szCs w:val="24"/>
        </w:rPr>
        <w:t>В 2016 год</w:t>
      </w:r>
      <w:r>
        <w:rPr>
          <w:rFonts w:ascii="Times New Roman" w:eastAsia="Calibri" w:hAnsi="Times New Roman"/>
          <w:sz w:val="24"/>
          <w:szCs w:val="24"/>
        </w:rPr>
        <w:t>у</w:t>
      </w:r>
      <w:r w:rsidRPr="00FA2A38">
        <w:rPr>
          <w:rFonts w:ascii="Times New Roman" w:eastAsia="Calibri" w:hAnsi="Times New Roman"/>
          <w:sz w:val="24"/>
          <w:szCs w:val="24"/>
        </w:rPr>
        <w:t xml:space="preserve"> количество субъектов малого бизнеса сократилось на 8,9% по отношению к базовому показателю 2015 года, составив 3 949 организации, при этом порядка 88,6% (3 499 организаций) всех субъектов малого предпринимательства являются микропредприятиями.</w:t>
      </w:r>
      <w:r>
        <w:rPr>
          <w:rFonts w:ascii="Times New Roman" w:eastAsia="Calibri" w:hAnsi="Times New Roman"/>
          <w:sz w:val="24"/>
          <w:szCs w:val="24"/>
        </w:rPr>
        <w:t xml:space="preserve"> Негативное влияние на динамику оказали</w:t>
      </w:r>
      <w:r w:rsidRPr="00381624">
        <w:rPr>
          <w:rFonts w:ascii="Times New Roman" w:eastAsia="Calibri" w:hAnsi="Times New Roman"/>
          <w:sz w:val="24"/>
          <w:szCs w:val="24"/>
        </w:rPr>
        <w:t xml:space="preserve"> </w:t>
      </w:r>
      <w:r>
        <w:rPr>
          <w:rFonts w:ascii="Times New Roman" w:eastAsia="Calibri" w:hAnsi="Times New Roman"/>
          <w:sz w:val="24"/>
          <w:szCs w:val="24"/>
        </w:rPr>
        <w:t>острый дефицит иностранной валюты, а также девальвация национальной валюты в сопредельных государствах, и как следствие более низкие цены на товары по сравнению с внутренним рынком республики.</w:t>
      </w:r>
    </w:p>
    <w:p w:rsidR="00493655" w:rsidRPr="00FA2A38" w:rsidRDefault="00493655" w:rsidP="00493655">
      <w:pPr>
        <w:shd w:val="clear" w:color="auto" w:fill="FFFFFF" w:themeFill="background1"/>
        <w:spacing w:after="0" w:line="240" w:lineRule="auto"/>
        <w:ind w:firstLine="709"/>
        <w:jc w:val="both"/>
        <w:rPr>
          <w:rFonts w:ascii="Times New Roman" w:eastAsia="Calibri" w:hAnsi="Times New Roman"/>
          <w:sz w:val="24"/>
          <w:szCs w:val="24"/>
        </w:rPr>
      </w:pPr>
      <w:r w:rsidRPr="00FA2A38">
        <w:rPr>
          <w:rFonts w:ascii="Times New Roman" w:eastAsia="Calibri" w:hAnsi="Times New Roman"/>
          <w:sz w:val="24"/>
          <w:szCs w:val="24"/>
        </w:rPr>
        <w:t>Торговля и общепит остается наиболее привлекательной сферой малого бизнеса (49,1% от общего количества). В промышленности, строительстве и сельском хозяйстве сосредоточено порядка 26,7% общего количества организаций малого бизнеса республики.</w:t>
      </w:r>
    </w:p>
    <w:p w:rsidR="00ED22F4" w:rsidRPr="00ED22F4" w:rsidRDefault="00ED22F4" w:rsidP="00DC2B8A">
      <w:pPr>
        <w:shd w:val="clear" w:color="auto" w:fill="FFFFFF" w:themeFill="background1"/>
        <w:spacing w:after="0" w:line="240" w:lineRule="auto"/>
        <w:ind w:firstLine="720"/>
        <w:jc w:val="center"/>
        <w:rPr>
          <w:rFonts w:ascii="Times New Roman" w:eastAsia="Calibri" w:hAnsi="Times New Roman"/>
          <w:b/>
          <w:sz w:val="10"/>
          <w:szCs w:val="10"/>
        </w:rPr>
      </w:pPr>
    </w:p>
    <w:p w:rsidR="00ED22F4" w:rsidRDefault="00493655" w:rsidP="00DC2B8A">
      <w:pPr>
        <w:shd w:val="clear" w:color="auto" w:fill="FFFFFF" w:themeFill="background1"/>
        <w:spacing w:after="0" w:line="240" w:lineRule="auto"/>
        <w:ind w:firstLine="720"/>
        <w:jc w:val="center"/>
        <w:rPr>
          <w:rFonts w:ascii="Times New Roman" w:eastAsia="Calibri" w:hAnsi="Times New Roman"/>
          <w:b/>
          <w:sz w:val="24"/>
          <w:szCs w:val="24"/>
        </w:rPr>
      </w:pPr>
      <w:r w:rsidRPr="00FA2A38">
        <w:rPr>
          <w:rFonts w:ascii="Times New Roman" w:eastAsia="Calibri" w:hAnsi="Times New Roman"/>
          <w:b/>
          <w:sz w:val="24"/>
          <w:szCs w:val="24"/>
        </w:rPr>
        <w:t xml:space="preserve">Структура организаций малого предпринимательства </w:t>
      </w:r>
    </w:p>
    <w:p w:rsidR="00493655" w:rsidRDefault="00493655" w:rsidP="00DC2B8A">
      <w:pPr>
        <w:shd w:val="clear" w:color="auto" w:fill="FFFFFF" w:themeFill="background1"/>
        <w:spacing w:after="0" w:line="240" w:lineRule="auto"/>
        <w:ind w:firstLine="720"/>
        <w:jc w:val="center"/>
        <w:rPr>
          <w:rFonts w:ascii="Times New Roman" w:eastAsia="Calibri" w:hAnsi="Times New Roman"/>
          <w:b/>
          <w:sz w:val="24"/>
          <w:szCs w:val="24"/>
        </w:rPr>
      </w:pPr>
      <w:r w:rsidRPr="00FA2A38">
        <w:rPr>
          <w:rFonts w:ascii="Times New Roman" w:eastAsia="Calibri" w:hAnsi="Times New Roman"/>
          <w:b/>
          <w:sz w:val="24"/>
          <w:szCs w:val="24"/>
        </w:rPr>
        <w:t xml:space="preserve">в разрезе отраслей экономики </w:t>
      </w:r>
    </w:p>
    <w:p w:rsidR="00425781" w:rsidRDefault="00180663" w:rsidP="00425781">
      <w:pPr>
        <w:shd w:val="clear" w:color="auto" w:fill="FFFFFF" w:themeFill="background1"/>
        <w:tabs>
          <w:tab w:val="left" w:pos="2160"/>
        </w:tabs>
        <w:spacing w:after="0" w:line="240" w:lineRule="auto"/>
        <w:ind w:left="-426" w:firstLine="709"/>
        <w:contextualSpacing/>
        <w:jc w:val="center"/>
        <w:rPr>
          <w:rFonts w:ascii="Times New Roman" w:eastAsia="Calibri" w:hAnsi="Times New Roman"/>
          <w:sz w:val="24"/>
          <w:szCs w:val="24"/>
        </w:rPr>
      </w:pPr>
      <w:r>
        <w:rPr>
          <w:rFonts w:ascii="Times New Roman" w:eastAsia="Calibri" w:hAnsi="Times New Roman"/>
          <w:noProof/>
          <w:sz w:val="24"/>
          <w:szCs w:val="24"/>
        </w:rPr>
        <w:drawing>
          <wp:anchor distT="48768" distB="394843" distL="193548" distR="358013" simplePos="0" relativeHeight="251680768" behindDoc="0" locked="0" layoutInCell="1" allowOverlap="1">
            <wp:simplePos x="0" y="0"/>
            <wp:positionH relativeFrom="column">
              <wp:posOffset>-556260</wp:posOffset>
            </wp:positionH>
            <wp:positionV relativeFrom="paragraph">
              <wp:posOffset>251460</wp:posOffset>
            </wp:positionV>
            <wp:extent cx="3438525" cy="2257425"/>
            <wp:effectExtent l="0" t="0" r="0" b="0"/>
            <wp:wrapSquare wrapText="right"/>
            <wp:docPr id="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Pr>
          <w:rFonts w:ascii="Times New Roman" w:eastAsia="Calibri" w:hAnsi="Times New Roman"/>
          <w:noProof/>
          <w:sz w:val="24"/>
          <w:szCs w:val="24"/>
        </w:rPr>
        <w:drawing>
          <wp:anchor distT="48768" distB="394843" distL="193548" distR="358013" simplePos="0" relativeHeight="251679744" behindDoc="0" locked="0" layoutInCell="1" allowOverlap="1">
            <wp:simplePos x="0" y="0"/>
            <wp:positionH relativeFrom="column">
              <wp:posOffset>2758440</wp:posOffset>
            </wp:positionH>
            <wp:positionV relativeFrom="paragraph">
              <wp:posOffset>308610</wp:posOffset>
            </wp:positionV>
            <wp:extent cx="3286125" cy="2266950"/>
            <wp:effectExtent l="0" t="0" r="0" b="0"/>
            <wp:wrapSquare wrapText="right"/>
            <wp:docPr id="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00493655" w:rsidRPr="00FA2A38">
        <w:rPr>
          <w:rFonts w:ascii="Times New Roman" w:eastAsia="Calibri" w:hAnsi="Times New Roman"/>
          <w:sz w:val="24"/>
          <w:szCs w:val="24"/>
        </w:rPr>
        <w:t>(количество организаций, удельный вес %)</w:t>
      </w:r>
    </w:p>
    <w:p w:rsidR="00493655" w:rsidRPr="00425781" w:rsidRDefault="00493655" w:rsidP="00425781">
      <w:pPr>
        <w:pStyle w:val="a3"/>
        <w:rPr>
          <w:rFonts w:eastAsia="Calibri"/>
          <w:b/>
        </w:rPr>
      </w:pPr>
      <w:r w:rsidRPr="00FA2A38">
        <w:t xml:space="preserve">В соответствии со структурой распределения организаций малого предпринимательства по отраслям экономики в 2016 году наибольшее количество занятых приходится на следующие отрасли: торговля и общепит – 5 059 человек («-»5,5% по </w:t>
      </w:r>
      <w:r w:rsidRPr="00FA2A38">
        <w:lastRenderedPageBreak/>
        <w:t>сравнению с предыдущим годом); промышленность – 2 243 работников («-»6,6%); строительство – 1 335 трудящихся («-»15,0%); сельское хозяйство – 1 677 человек («+»12,0%); строительство – 1 335 занятых («-»15,0%).</w:t>
      </w:r>
    </w:p>
    <w:p w:rsidR="00493655" w:rsidRPr="00FA2A38" w:rsidRDefault="00493655" w:rsidP="00493655">
      <w:pPr>
        <w:shd w:val="clear" w:color="auto" w:fill="FFFFFF" w:themeFill="background1"/>
        <w:spacing w:after="0" w:line="240" w:lineRule="auto"/>
        <w:ind w:firstLine="709"/>
        <w:jc w:val="both"/>
        <w:rPr>
          <w:rFonts w:ascii="Times New Roman" w:hAnsi="Times New Roman"/>
          <w:sz w:val="24"/>
          <w:szCs w:val="24"/>
        </w:rPr>
      </w:pPr>
      <w:r w:rsidRPr="00FA2A38">
        <w:rPr>
          <w:rFonts w:ascii="Times New Roman" w:hAnsi="Times New Roman"/>
          <w:sz w:val="24"/>
          <w:szCs w:val="24"/>
        </w:rPr>
        <w:t>В целом средняя численность работников на конец 2016 года сократилась на 720</w:t>
      </w:r>
      <w:r w:rsidR="00425781">
        <w:rPr>
          <w:rFonts w:ascii="Times New Roman" w:hAnsi="Times New Roman"/>
          <w:sz w:val="24"/>
          <w:szCs w:val="24"/>
        </w:rPr>
        <w:t> </w:t>
      </w:r>
      <w:r w:rsidRPr="00FA2A38">
        <w:rPr>
          <w:rFonts w:ascii="Times New Roman" w:hAnsi="Times New Roman"/>
          <w:sz w:val="24"/>
          <w:szCs w:val="24"/>
        </w:rPr>
        <w:t xml:space="preserve">человек или на 5,2% к уровню 2015 года и составила 13 211 человек, из них 50,7% </w:t>
      </w:r>
      <w:r w:rsidR="00DC2B8A">
        <w:rPr>
          <w:rFonts w:ascii="Times New Roman" w:hAnsi="Times New Roman"/>
          <w:sz w:val="24"/>
          <w:szCs w:val="24"/>
        </w:rPr>
        <w:br/>
      </w:r>
      <w:r w:rsidRPr="00FA2A38">
        <w:rPr>
          <w:rFonts w:ascii="Times New Roman" w:hAnsi="Times New Roman"/>
          <w:sz w:val="24"/>
          <w:szCs w:val="24"/>
        </w:rPr>
        <w:t xml:space="preserve">(6 702 человека) заняты в малом бизнесе, численность которых сократилась на 5,0%, и соответственно 49,3% (6 509 человек) заняты на микропредприятиях («-»5,4% к уровню минувшего года). </w:t>
      </w:r>
    </w:p>
    <w:p w:rsidR="00493655" w:rsidRDefault="00493655" w:rsidP="00493655">
      <w:pPr>
        <w:shd w:val="clear" w:color="auto" w:fill="FFFFFF" w:themeFill="background1"/>
        <w:spacing w:after="0" w:line="240" w:lineRule="auto"/>
        <w:ind w:firstLine="709"/>
        <w:jc w:val="both"/>
        <w:rPr>
          <w:rFonts w:ascii="Times New Roman" w:hAnsi="Times New Roman"/>
          <w:sz w:val="24"/>
          <w:szCs w:val="24"/>
        </w:rPr>
      </w:pPr>
      <w:r w:rsidRPr="00FA2A38">
        <w:rPr>
          <w:rFonts w:ascii="Times New Roman" w:hAnsi="Times New Roman"/>
          <w:sz w:val="24"/>
          <w:szCs w:val="24"/>
        </w:rPr>
        <w:t>Следует отметить, что в 2016 году наблюдается сокращение доли занятых в организациях малого предпринимательства в общей численности занятых в экономике до 9,9% против 13,0% в 2015 году.</w:t>
      </w:r>
    </w:p>
    <w:p w:rsidR="00ED22F4" w:rsidRPr="00ED22F4" w:rsidRDefault="00ED22F4" w:rsidP="00493655">
      <w:pPr>
        <w:shd w:val="clear" w:color="auto" w:fill="FFFFFF" w:themeFill="background1"/>
        <w:spacing w:after="0" w:line="240" w:lineRule="auto"/>
        <w:ind w:firstLine="709"/>
        <w:jc w:val="both"/>
        <w:rPr>
          <w:rFonts w:ascii="Times New Roman" w:hAnsi="Times New Roman"/>
          <w:sz w:val="10"/>
          <w:szCs w:val="10"/>
        </w:rPr>
      </w:pPr>
    </w:p>
    <w:p w:rsidR="00180663" w:rsidRDefault="00180663" w:rsidP="00180663">
      <w:pPr>
        <w:shd w:val="clear" w:color="auto" w:fill="FFFFFF" w:themeFill="background1"/>
        <w:spacing w:after="0" w:line="240" w:lineRule="auto"/>
        <w:jc w:val="both"/>
        <w:rPr>
          <w:rFonts w:ascii="Times New Roman" w:eastAsia="Calibri" w:hAnsi="Times New Roman"/>
          <w:sz w:val="24"/>
          <w:szCs w:val="24"/>
        </w:rPr>
      </w:pPr>
      <w:r w:rsidRPr="00FA2A38">
        <w:rPr>
          <w:rFonts w:ascii="Times New Roman" w:eastAsia="Calibri" w:hAnsi="Times New Roman"/>
          <w:noProof/>
          <w:sz w:val="24"/>
          <w:szCs w:val="24"/>
        </w:rPr>
        <w:drawing>
          <wp:inline distT="0" distB="0" distL="0" distR="0">
            <wp:extent cx="6124575" cy="3667125"/>
            <wp:effectExtent l="0" t="0" r="0" b="0"/>
            <wp:docPr id="2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93655" w:rsidRPr="00FA2A38" w:rsidRDefault="00493655" w:rsidP="00493655">
      <w:pPr>
        <w:shd w:val="clear" w:color="auto" w:fill="FFFFFF" w:themeFill="background1"/>
        <w:spacing w:after="0" w:line="240" w:lineRule="auto"/>
        <w:ind w:firstLine="709"/>
        <w:jc w:val="both"/>
        <w:rPr>
          <w:rFonts w:ascii="Times New Roman" w:eastAsia="Calibri" w:hAnsi="Times New Roman"/>
          <w:sz w:val="24"/>
          <w:szCs w:val="24"/>
        </w:rPr>
      </w:pPr>
      <w:r w:rsidRPr="00FA2A38">
        <w:rPr>
          <w:rFonts w:ascii="Times New Roman" w:eastAsia="Calibri" w:hAnsi="Times New Roman"/>
          <w:sz w:val="24"/>
          <w:szCs w:val="24"/>
        </w:rPr>
        <w:t xml:space="preserve">В </w:t>
      </w:r>
      <w:r w:rsidRPr="00FA2A38">
        <w:rPr>
          <w:rFonts w:ascii="Times New Roman" w:hAnsi="Times New Roman"/>
          <w:sz w:val="24"/>
          <w:szCs w:val="24"/>
        </w:rPr>
        <w:t xml:space="preserve">отчетном году </w:t>
      </w:r>
      <w:r w:rsidRPr="00FA2A38">
        <w:rPr>
          <w:rFonts w:ascii="Times New Roman" w:eastAsia="Calibri" w:hAnsi="Times New Roman"/>
          <w:sz w:val="24"/>
          <w:szCs w:val="24"/>
        </w:rPr>
        <w:t xml:space="preserve">номинальная среднемесячная начисленная заработная плата одного работника в организациях малого бизнеса незначительно сократилась (на 0,6%) по отношению к 2015 году и составила </w:t>
      </w:r>
      <w:r w:rsidRPr="00FA2A38">
        <w:rPr>
          <w:rFonts w:ascii="Times New Roman" w:hAnsi="Times New Roman"/>
          <w:sz w:val="24"/>
          <w:szCs w:val="24"/>
        </w:rPr>
        <w:t>3 120,3 руб</w:t>
      </w:r>
      <w:r w:rsidRPr="00FA2A38">
        <w:rPr>
          <w:rFonts w:ascii="Times New Roman" w:eastAsia="Calibri" w:hAnsi="Times New Roman"/>
          <w:sz w:val="24"/>
          <w:szCs w:val="24"/>
        </w:rPr>
        <w:t>. При этом необходимо отметить, что оплата труда в сфере малого бизнеса остается на низком уровне и составляет 81,2% от среднереспубликанского уровня заработной платы одного работника (3 844 руб.) и 64,2% от средней величины заработной платы во внебюджетном секторе (4 857 руб.).</w:t>
      </w:r>
    </w:p>
    <w:p w:rsidR="00493655" w:rsidRPr="00FA2A38" w:rsidRDefault="00493655" w:rsidP="00493655">
      <w:pPr>
        <w:shd w:val="clear" w:color="auto" w:fill="FFFFFF" w:themeFill="background1"/>
        <w:spacing w:after="0" w:line="240" w:lineRule="auto"/>
        <w:ind w:firstLine="709"/>
        <w:jc w:val="both"/>
        <w:rPr>
          <w:rFonts w:ascii="Times New Roman" w:eastAsia="Calibri" w:hAnsi="Times New Roman"/>
          <w:sz w:val="24"/>
          <w:szCs w:val="24"/>
        </w:rPr>
      </w:pPr>
      <w:r w:rsidRPr="00FA2A38">
        <w:rPr>
          <w:rFonts w:ascii="Times New Roman" w:eastAsia="Calibri" w:hAnsi="Times New Roman"/>
          <w:sz w:val="24"/>
          <w:szCs w:val="24"/>
        </w:rPr>
        <w:t>Наиболее высокий уровень заработной платы отмечен в таких отраслях как: «Заготовки», «Общая коммерческая деятельность», «Связь», «Здравоохранение и социальное обеспечение», «Образование».</w:t>
      </w:r>
    </w:p>
    <w:p w:rsidR="00493655" w:rsidRPr="00FA2A38" w:rsidRDefault="00493655" w:rsidP="00493655">
      <w:pPr>
        <w:shd w:val="clear" w:color="auto" w:fill="FFFFFF" w:themeFill="background1"/>
        <w:spacing w:after="0" w:line="240" w:lineRule="auto"/>
        <w:ind w:firstLine="709"/>
        <w:jc w:val="both"/>
        <w:rPr>
          <w:rFonts w:ascii="Times New Roman" w:eastAsia="Calibri" w:hAnsi="Times New Roman"/>
          <w:sz w:val="24"/>
          <w:szCs w:val="24"/>
        </w:rPr>
      </w:pPr>
      <w:r w:rsidRPr="00FA2A38">
        <w:rPr>
          <w:rFonts w:ascii="Times New Roman" w:hAnsi="Times New Roman"/>
          <w:sz w:val="24"/>
          <w:szCs w:val="24"/>
        </w:rPr>
        <w:t>В 2016 году субъекты малого предпринимательства демонстрируют существенное увеличение капитальных вложений.</w:t>
      </w:r>
      <w:r w:rsidRPr="00FA2A38">
        <w:rPr>
          <w:rFonts w:ascii="Times New Roman" w:eastAsia="Calibri" w:hAnsi="Times New Roman"/>
          <w:sz w:val="24"/>
          <w:szCs w:val="24"/>
        </w:rPr>
        <w:t xml:space="preserve"> По итогам отчетного года инвестиции в основной капитал (в части новых и приобретенных по импорту основных средств) выросли по сравнению с минувшим годом на 36,7% до 248,0 млн. руб. и сформировали 18,0% от общего объема инвестиций в основной капитал по республике (в 2015 году – 12,6%).</w:t>
      </w:r>
    </w:p>
    <w:p w:rsidR="00493655" w:rsidRPr="00FA2A38" w:rsidRDefault="00493655" w:rsidP="00493655">
      <w:pPr>
        <w:shd w:val="clear" w:color="auto" w:fill="FFFFFF" w:themeFill="background1"/>
        <w:spacing w:after="0" w:line="240" w:lineRule="auto"/>
        <w:ind w:firstLine="709"/>
        <w:jc w:val="both"/>
        <w:rPr>
          <w:rFonts w:ascii="Times New Roman" w:hAnsi="Times New Roman"/>
          <w:sz w:val="24"/>
          <w:szCs w:val="24"/>
        </w:rPr>
      </w:pPr>
      <w:r w:rsidRPr="00FA2A38">
        <w:rPr>
          <w:rFonts w:ascii="Times New Roman" w:hAnsi="Times New Roman"/>
          <w:sz w:val="24"/>
          <w:szCs w:val="24"/>
        </w:rPr>
        <w:t xml:space="preserve">Отрицательная динамика была характерна для большинства направлений малого предпринимательства. Уменьшение инвестиционной активности в 2016 году по отношению к базовому году было отмечено по организациям промышленности, объем средств адресованных на долгосрочное развитие которых снизился на 62,1% до 7,9 млн. руб. Объем капитальных вложений по организациям транспорта сократился на 62,5% до 0,6 млн. руб., по организациям строительства – на 68,3% до 10,3 млн. руб., по отрасли «Торговля и общепит» - на 14,0% до 18,4 млн. руб. </w:t>
      </w:r>
    </w:p>
    <w:p w:rsidR="00493655" w:rsidRPr="00FA2A38" w:rsidRDefault="00493655" w:rsidP="00493655">
      <w:pPr>
        <w:shd w:val="clear" w:color="auto" w:fill="FFFFFF" w:themeFill="background1"/>
        <w:spacing w:after="0" w:line="240" w:lineRule="auto"/>
        <w:ind w:firstLine="709"/>
        <w:jc w:val="both"/>
        <w:rPr>
          <w:rFonts w:ascii="Times New Roman" w:hAnsi="Times New Roman"/>
          <w:sz w:val="24"/>
          <w:szCs w:val="24"/>
        </w:rPr>
      </w:pPr>
      <w:r w:rsidRPr="00FA2A38">
        <w:rPr>
          <w:rFonts w:ascii="Times New Roman" w:hAnsi="Times New Roman"/>
          <w:sz w:val="24"/>
          <w:szCs w:val="24"/>
        </w:rPr>
        <w:lastRenderedPageBreak/>
        <w:t>Вместе с этим, в анализируемом году увеличение инвестиционных вложений отмечается по организациям отрасли «Операции с недвижимым имуществом» в 3,2 раза до 134,1 млн. руб., «Сельское хозяйство» в 1,4 раза до 70,4 млн. руб., «Здравоохранение и социальное обеспечение» в 1,7 раза до 1,1 млн. руб.</w:t>
      </w:r>
    </w:p>
    <w:p w:rsidR="00493655" w:rsidRPr="00FA2A38" w:rsidRDefault="00493655" w:rsidP="00493655">
      <w:pPr>
        <w:shd w:val="clear" w:color="auto" w:fill="FFFFFF" w:themeFill="background1"/>
        <w:spacing w:after="0" w:line="240" w:lineRule="auto"/>
        <w:ind w:firstLine="709"/>
        <w:jc w:val="both"/>
        <w:rPr>
          <w:rFonts w:ascii="Times New Roman" w:hAnsi="Times New Roman"/>
          <w:sz w:val="24"/>
          <w:szCs w:val="24"/>
        </w:rPr>
      </w:pPr>
      <w:r w:rsidRPr="00FA2A38">
        <w:rPr>
          <w:rFonts w:ascii="Times New Roman" w:hAnsi="Times New Roman"/>
          <w:sz w:val="24"/>
          <w:szCs w:val="24"/>
        </w:rPr>
        <w:t>Из общего объема инвестиционных вложений в основной капитал предприятий малого предпринимательства порядка 34,6% было осуществлено малыми предприятиями и соответственно 65,4% микропредприятиями.</w:t>
      </w:r>
    </w:p>
    <w:p w:rsidR="00DC2B8A" w:rsidRPr="00DC2B8A" w:rsidRDefault="00DC2B8A" w:rsidP="00493655">
      <w:pPr>
        <w:spacing w:after="0" w:line="240" w:lineRule="auto"/>
        <w:ind w:firstLine="709"/>
        <w:jc w:val="center"/>
        <w:rPr>
          <w:rFonts w:ascii="Times New Roman" w:eastAsia="Calibri" w:hAnsi="Times New Roman"/>
          <w:b/>
          <w:sz w:val="10"/>
          <w:szCs w:val="10"/>
        </w:rPr>
      </w:pPr>
    </w:p>
    <w:p w:rsidR="00493655" w:rsidRPr="00FA2A38" w:rsidRDefault="00493655" w:rsidP="00493655">
      <w:pPr>
        <w:spacing w:after="0" w:line="240" w:lineRule="auto"/>
        <w:ind w:firstLine="709"/>
        <w:jc w:val="center"/>
        <w:rPr>
          <w:rFonts w:ascii="Times New Roman" w:eastAsia="Calibri" w:hAnsi="Times New Roman"/>
          <w:sz w:val="24"/>
          <w:szCs w:val="24"/>
        </w:rPr>
      </w:pPr>
      <w:r w:rsidRPr="00FA2A38">
        <w:rPr>
          <w:rFonts w:ascii="Times New Roman" w:eastAsia="Calibri" w:hAnsi="Times New Roman"/>
          <w:b/>
          <w:sz w:val="24"/>
          <w:szCs w:val="24"/>
        </w:rPr>
        <w:t>Инвестиции в основной капитал (в части новых и приобретенных по импорту основных средств), млн. руб.</w:t>
      </w:r>
    </w:p>
    <w:p w:rsidR="00DC2B8A" w:rsidRDefault="00493655" w:rsidP="00ED22F4">
      <w:pPr>
        <w:shd w:val="clear" w:color="auto" w:fill="FFFFFF" w:themeFill="background1"/>
        <w:spacing w:after="0" w:line="240" w:lineRule="auto"/>
        <w:ind w:left="-426"/>
        <w:jc w:val="center"/>
        <w:rPr>
          <w:rFonts w:ascii="Times New Roman" w:hAnsi="Times New Roman"/>
          <w:sz w:val="24"/>
          <w:szCs w:val="24"/>
        </w:rPr>
      </w:pPr>
      <w:r w:rsidRPr="00FA2A38">
        <w:rPr>
          <w:rFonts w:ascii="Times New Roman" w:eastAsia="Calibri" w:hAnsi="Times New Roman"/>
          <w:noProof/>
          <w:sz w:val="24"/>
          <w:szCs w:val="24"/>
        </w:rPr>
        <w:drawing>
          <wp:inline distT="0" distB="0" distL="0" distR="0">
            <wp:extent cx="6457950" cy="2638425"/>
            <wp:effectExtent l="19050" t="0" r="0" b="0"/>
            <wp:docPr id="2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493655" w:rsidRPr="00FA2A38" w:rsidRDefault="00493655" w:rsidP="00DC2B8A">
      <w:pPr>
        <w:shd w:val="clear" w:color="auto" w:fill="FFFFFF" w:themeFill="background1"/>
        <w:spacing w:after="0" w:line="240" w:lineRule="auto"/>
        <w:ind w:firstLine="709"/>
        <w:jc w:val="both"/>
        <w:rPr>
          <w:rFonts w:ascii="Times New Roman" w:hAnsi="Times New Roman"/>
          <w:sz w:val="24"/>
          <w:szCs w:val="24"/>
        </w:rPr>
      </w:pPr>
      <w:r w:rsidRPr="00FA2A38">
        <w:rPr>
          <w:rFonts w:ascii="Times New Roman" w:hAnsi="Times New Roman"/>
          <w:sz w:val="24"/>
          <w:szCs w:val="24"/>
        </w:rPr>
        <w:t>Объем произведенной продукции (работ, услуг) (в текущих ценах) организациями малого бизнеса за 2016 год увеличился по отношению к минувшему году на 23,4% и составил 2 044,5 млн. руб., из него 54,9% произведено малыми предприятиями.</w:t>
      </w:r>
    </w:p>
    <w:p w:rsidR="00493655" w:rsidRPr="00FA2A38" w:rsidRDefault="00493655" w:rsidP="00493655">
      <w:pPr>
        <w:shd w:val="clear" w:color="auto" w:fill="FFFFFF" w:themeFill="background1"/>
        <w:tabs>
          <w:tab w:val="left" w:pos="2410"/>
        </w:tabs>
        <w:spacing w:after="0" w:line="240" w:lineRule="auto"/>
        <w:ind w:firstLine="709"/>
        <w:jc w:val="both"/>
        <w:rPr>
          <w:rFonts w:ascii="Times New Roman" w:eastAsia="Calibri" w:hAnsi="Times New Roman"/>
          <w:sz w:val="24"/>
          <w:szCs w:val="24"/>
        </w:rPr>
      </w:pPr>
      <w:r w:rsidRPr="00FA2A38">
        <w:rPr>
          <w:rFonts w:ascii="Times New Roman" w:eastAsia="Calibri" w:hAnsi="Times New Roman"/>
          <w:sz w:val="24"/>
          <w:szCs w:val="24"/>
        </w:rPr>
        <w:t xml:space="preserve">Доход от продаж (выручка), полученный организациями малого предпринимательства за 2016 год составил 3 928,4 млн. руб., увеличившись по отношению к 2015 году на 11,1%. Стоит отметить, что на доход от продажи товаров приходится порядка 58,7% всех доходов или 2 306,3 млн. руб., что выше на 2,8% базисного уровня 2015 года. </w:t>
      </w:r>
    </w:p>
    <w:p w:rsidR="00493655" w:rsidRPr="00FA2A38" w:rsidRDefault="00493655" w:rsidP="00493655">
      <w:pPr>
        <w:shd w:val="clear" w:color="auto" w:fill="FFFFFF" w:themeFill="background1"/>
        <w:spacing w:after="0" w:line="240" w:lineRule="auto"/>
        <w:ind w:firstLine="720"/>
        <w:jc w:val="both"/>
        <w:rPr>
          <w:rFonts w:ascii="Times New Roman" w:hAnsi="Times New Roman"/>
          <w:sz w:val="24"/>
          <w:szCs w:val="24"/>
        </w:rPr>
      </w:pPr>
      <w:r w:rsidRPr="00FA2A38">
        <w:rPr>
          <w:rFonts w:ascii="Times New Roman" w:hAnsi="Times New Roman"/>
          <w:sz w:val="24"/>
          <w:szCs w:val="24"/>
        </w:rPr>
        <w:t>Результатом финансово-хозяйственной деятельности субъектов малого предпринимательства (без физических лиц) яв</w:t>
      </w:r>
      <w:r w:rsidR="00DC2B8A">
        <w:rPr>
          <w:rFonts w:ascii="Times New Roman" w:hAnsi="Times New Roman"/>
          <w:sz w:val="24"/>
          <w:szCs w:val="24"/>
        </w:rPr>
        <w:t xml:space="preserve">илась чистая прибыль в размере </w:t>
      </w:r>
      <w:r w:rsidRPr="00FA2A38">
        <w:rPr>
          <w:rFonts w:ascii="Times New Roman" w:hAnsi="Times New Roman"/>
          <w:sz w:val="24"/>
          <w:szCs w:val="24"/>
        </w:rPr>
        <w:t>314,9</w:t>
      </w:r>
      <w:r w:rsidR="00DC2B8A">
        <w:rPr>
          <w:rFonts w:ascii="Times New Roman" w:hAnsi="Times New Roman"/>
          <w:sz w:val="24"/>
          <w:szCs w:val="24"/>
        </w:rPr>
        <w:t> </w:t>
      </w:r>
      <w:r w:rsidRPr="00FA2A38">
        <w:rPr>
          <w:rFonts w:ascii="Times New Roman" w:hAnsi="Times New Roman"/>
          <w:sz w:val="24"/>
          <w:szCs w:val="24"/>
        </w:rPr>
        <w:t>млн.</w:t>
      </w:r>
      <w:r w:rsidR="00DC2B8A">
        <w:rPr>
          <w:rFonts w:ascii="Times New Roman" w:hAnsi="Times New Roman"/>
          <w:sz w:val="24"/>
          <w:szCs w:val="24"/>
        </w:rPr>
        <w:t> </w:t>
      </w:r>
      <w:r w:rsidRPr="00FA2A38">
        <w:rPr>
          <w:rFonts w:ascii="Times New Roman" w:hAnsi="Times New Roman"/>
          <w:sz w:val="24"/>
          <w:szCs w:val="24"/>
        </w:rPr>
        <w:t>руб. что выше в 5,1 раз уровня 2015 года. При этом с прибылью сработали и малые предприятия (84,9 млн. руб. или 27,0% от совокупного показателя) и микропредприятия (230,0 млн. руб. или 73,0% от совокупного показателя).</w:t>
      </w:r>
    </w:p>
    <w:p w:rsidR="00493655" w:rsidRPr="00FA2A38" w:rsidRDefault="00493655" w:rsidP="00493655">
      <w:pPr>
        <w:shd w:val="clear" w:color="auto" w:fill="FFFFFF" w:themeFill="background1"/>
        <w:spacing w:after="0" w:line="240" w:lineRule="auto"/>
        <w:ind w:firstLine="720"/>
        <w:jc w:val="both"/>
        <w:rPr>
          <w:rFonts w:ascii="Times New Roman" w:hAnsi="Times New Roman"/>
          <w:sz w:val="24"/>
          <w:szCs w:val="24"/>
        </w:rPr>
      </w:pPr>
      <w:r w:rsidRPr="00FA2A38">
        <w:rPr>
          <w:rFonts w:ascii="Times New Roman" w:hAnsi="Times New Roman"/>
          <w:sz w:val="24"/>
          <w:szCs w:val="24"/>
        </w:rPr>
        <w:t xml:space="preserve">В рассматриваемом периоде 2016 года с прибылью в сумме 487,4 млн. руб. сработали 37,7% (от общего числа) организаций малого бизнеса. Наибольший ее размер был сформирован в организациях, осуществляющих операции с недвижимым имуществом, организациях торговли и общественного питания, а также в организациях сельского хозяйства: </w:t>
      </w:r>
      <w:r w:rsidRPr="00FA2A38">
        <w:rPr>
          <w:rFonts w:ascii="Times New Roman" w:eastAsia="Calibri" w:hAnsi="Times New Roman"/>
          <w:sz w:val="24"/>
          <w:szCs w:val="24"/>
        </w:rPr>
        <w:t>42,4%, 18,6%, и 18,6% совокупного объема прибыли соответственно.</w:t>
      </w:r>
      <w:r w:rsidRPr="00FA2A38">
        <w:rPr>
          <w:rFonts w:ascii="Times New Roman" w:hAnsi="Times New Roman"/>
          <w:sz w:val="24"/>
          <w:szCs w:val="24"/>
        </w:rPr>
        <w:t xml:space="preserve"> </w:t>
      </w:r>
    </w:p>
    <w:p w:rsidR="00493655" w:rsidRPr="00FA2A38" w:rsidRDefault="00493655" w:rsidP="00493655">
      <w:pPr>
        <w:shd w:val="clear" w:color="auto" w:fill="FFFFFF" w:themeFill="background1"/>
        <w:spacing w:after="0" w:line="240" w:lineRule="auto"/>
        <w:ind w:firstLine="709"/>
        <w:jc w:val="both"/>
        <w:rPr>
          <w:rFonts w:ascii="Times New Roman" w:eastAsia="Calibri" w:hAnsi="Times New Roman"/>
          <w:sz w:val="24"/>
          <w:szCs w:val="24"/>
        </w:rPr>
      </w:pPr>
      <w:r w:rsidRPr="00FA2A38">
        <w:rPr>
          <w:rFonts w:ascii="Times New Roman" w:eastAsia="Calibri" w:hAnsi="Times New Roman"/>
          <w:sz w:val="24"/>
          <w:szCs w:val="24"/>
        </w:rPr>
        <w:t xml:space="preserve">Вместе с тем, самые большие убытки приходятся на такие отрасли, как: торговля и общепит, промышленность и сельское хозяйство (38,3, 23,2% и 14,0% совокупного размера убытков соответственно). В целом суммарный убыток, полученный организациями малого предпринимательства, сложился в размере 172,5 млн. руб., а количество нерентабельных организаций составило 43,4% от общего числа, </w:t>
      </w:r>
      <w:r w:rsidRPr="00FA2A38">
        <w:rPr>
          <w:rFonts w:ascii="Times New Roman" w:eastAsia="Calibri" w:hAnsi="Times New Roman"/>
          <w:color w:val="000000"/>
          <w:sz w:val="24"/>
          <w:szCs w:val="24"/>
        </w:rPr>
        <w:t>18,9% организаций</w:t>
      </w:r>
      <w:r w:rsidRPr="00FA2A38">
        <w:rPr>
          <w:rFonts w:ascii="Times New Roman" w:eastAsia="Calibri" w:hAnsi="Times New Roman"/>
          <w:sz w:val="24"/>
          <w:szCs w:val="24"/>
        </w:rPr>
        <w:t xml:space="preserve"> не осуществляли хозяйственную деятельность, в связи с чем н</w:t>
      </w:r>
      <w:r w:rsidRPr="00FA2A38">
        <w:rPr>
          <w:rFonts w:ascii="Times New Roman" w:eastAsia="Calibri" w:hAnsi="Times New Roman"/>
          <w:color w:val="000000"/>
          <w:sz w:val="24"/>
          <w:szCs w:val="24"/>
        </w:rPr>
        <w:t xml:space="preserve">е получили финансового результата. </w:t>
      </w:r>
    </w:p>
    <w:p w:rsidR="00493655" w:rsidRPr="00FA2A38" w:rsidRDefault="00493655" w:rsidP="00493655">
      <w:pPr>
        <w:shd w:val="clear" w:color="auto" w:fill="FFFFFF" w:themeFill="background1"/>
        <w:spacing w:after="0" w:line="240" w:lineRule="auto"/>
        <w:ind w:firstLine="709"/>
        <w:jc w:val="both"/>
        <w:rPr>
          <w:rFonts w:ascii="Times New Roman" w:hAnsi="Times New Roman"/>
          <w:sz w:val="24"/>
          <w:szCs w:val="24"/>
        </w:rPr>
      </w:pPr>
      <w:r w:rsidRPr="00FA2A38">
        <w:rPr>
          <w:rFonts w:ascii="Times New Roman" w:hAnsi="Times New Roman"/>
          <w:sz w:val="24"/>
          <w:szCs w:val="24"/>
        </w:rPr>
        <w:t xml:space="preserve">В целом за 2016 год организациями малого предпринимательства в бюджеты всех уровней и внебюджетные фонды фактически внесено налогов и платежей в сумме 306,1 млн. руб., что на 1,1% ниже сопоставимого показателя базового года, доля которых в общей сумме налоговых поступлений консолидированного бюджета за 2016 год составила 18,5%. При этом, удельный вес налоговых платежей, поступающих от малых предприятий составляет 59,3% (181,5 млн. руб.) от общего объема по предприятиям малого бизнеса, а их фактическая величина сократилась по сравнению с 2015 годом на 1,9%. </w:t>
      </w:r>
      <w:r w:rsidRPr="00FA2A38">
        <w:rPr>
          <w:rFonts w:ascii="Times New Roman" w:hAnsi="Times New Roman"/>
          <w:sz w:val="24"/>
          <w:szCs w:val="24"/>
        </w:rPr>
        <w:lastRenderedPageBreak/>
        <w:t>Микропредприятиями за рассматриваемый период в бюджеты всех уровней и внебюджетные фонды фактически внесено 124,6 млн. руб. (40,7% общего объема налоговых платежей субъектов малого предпринимательства), оставшись при этом на уровне минувшего года.</w:t>
      </w:r>
    </w:p>
    <w:p w:rsidR="00493655" w:rsidRPr="00FA2A38" w:rsidRDefault="00493655" w:rsidP="00493655">
      <w:pPr>
        <w:shd w:val="clear" w:color="auto" w:fill="FFFFFF" w:themeFill="background1"/>
        <w:spacing w:after="0" w:line="240" w:lineRule="auto"/>
        <w:ind w:firstLine="709"/>
        <w:jc w:val="both"/>
        <w:rPr>
          <w:rFonts w:ascii="Times New Roman" w:hAnsi="Times New Roman"/>
          <w:sz w:val="24"/>
          <w:szCs w:val="24"/>
        </w:rPr>
      </w:pPr>
      <w:r w:rsidRPr="00FA2A38">
        <w:rPr>
          <w:rFonts w:ascii="Times New Roman" w:hAnsi="Times New Roman"/>
          <w:sz w:val="24"/>
          <w:szCs w:val="24"/>
        </w:rPr>
        <w:t>Наибольший удельный вес в структуре налоговых поступлений обеспечивают:</w:t>
      </w:r>
    </w:p>
    <w:p w:rsidR="00493655" w:rsidRPr="00FA2A38" w:rsidRDefault="00493655" w:rsidP="00493655">
      <w:pPr>
        <w:shd w:val="clear" w:color="auto" w:fill="FFFFFF" w:themeFill="background1"/>
        <w:tabs>
          <w:tab w:val="left" w:pos="900"/>
        </w:tabs>
        <w:spacing w:after="0" w:line="240" w:lineRule="auto"/>
        <w:ind w:firstLine="709"/>
        <w:jc w:val="both"/>
        <w:rPr>
          <w:rFonts w:ascii="Times New Roman" w:hAnsi="Times New Roman"/>
          <w:sz w:val="24"/>
          <w:szCs w:val="24"/>
        </w:rPr>
      </w:pPr>
      <w:r w:rsidRPr="00FA2A38">
        <w:rPr>
          <w:rFonts w:ascii="Times New Roman" w:hAnsi="Times New Roman"/>
          <w:sz w:val="24"/>
          <w:szCs w:val="24"/>
        </w:rPr>
        <w:t>- налог на доходы организаций – 31,8% или 97,2 млн. руб.;</w:t>
      </w:r>
    </w:p>
    <w:p w:rsidR="00493655" w:rsidRPr="00FA2A38" w:rsidRDefault="00493655" w:rsidP="00493655">
      <w:pPr>
        <w:shd w:val="clear" w:color="auto" w:fill="FFFFFF" w:themeFill="background1"/>
        <w:tabs>
          <w:tab w:val="left" w:pos="900"/>
        </w:tabs>
        <w:spacing w:after="0" w:line="240" w:lineRule="auto"/>
        <w:ind w:firstLine="709"/>
        <w:jc w:val="both"/>
        <w:rPr>
          <w:rFonts w:ascii="Times New Roman" w:hAnsi="Times New Roman"/>
          <w:sz w:val="24"/>
          <w:szCs w:val="24"/>
        </w:rPr>
      </w:pPr>
      <w:r w:rsidRPr="00FA2A38">
        <w:rPr>
          <w:rFonts w:ascii="Times New Roman" w:hAnsi="Times New Roman"/>
          <w:sz w:val="24"/>
          <w:szCs w:val="24"/>
        </w:rPr>
        <w:t>- единый социальный налог – 24,8% или 75,8 млн. руб.</w:t>
      </w:r>
    </w:p>
    <w:p w:rsidR="00493655" w:rsidRPr="00FA2A38" w:rsidRDefault="00493655" w:rsidP="00493655">
      <w:pPr>
        <w:shd w:val="clear" w:color="auto" w:fill="FFFFFF" w:themeFill="background1"/>
        <w:spacing w:after="0" w:line="240" w:lineRule="auto"/>
        <w:ind w:firstLine="709"/>
        <w:jc w:val="both"/>
        <w:rPr>
          <w:rFonts w:ascii="Times New Roman" w:eastAsia="Calibri" w:hAnsi="Times New Roman"/>
          <w:sz w:val="24"/>
          <w:szCs w:val="24"/>
        </w:rPr>
      </w:pPr>
      <w:r w:rsidRPr="00FA2A38">
        <w:rPr>
          <w:rFonts w:ascii="Times New Roman" w:eastAsia="Calibri" w:hAnsi="Times New Roman"/>
          <w:sz w:val="24"/>
          <w:szCs w:val="24"/>
        </w:rPr>
        <w:t>Кроме организаций негосударственной формы собственности малый бизнес представлен и индивидуальными предпринимателями, осуществляющими свою деятельность по патенту.</w:t>
      </w:r>
    </w:p>
    <w:p w:rsidR="00493655" w:rsidRPr="00FA2A38" w:rsidRDefault="00493655" w:rsidP="00493655">
      <w:pPr>
        <w:shd w:val="clear" w:color="auto" w:fill="FFFFFF" w:themeFill="background1"/>
        <w:spacing w:after="0" w:line="240" w:lineRule="auto"/>
        <w:ind w:firstLine="720"/>
        <w:jc w:val="both"/>
        <w:rPr>
          <w:rFonts w:ascii="Times New Roman" w:eastAsia="Calibri" w:hAnsi="Times New Roman"/>
          <w:sz w:val="24"/>
          <w:szCs w:val="24"/>
        </w:rPr>
      </w:pPr>
      <w:r w:rsidRPr="00FA2A38">
        <w:rPr>
          <w:rFonts w:ascii="Times New Roman" w:hAnsi="Times New Roman"/>
          <w:sz w:val="24"/>
          <w:szCs w:val="24"/>
        </w:rPr>
        <w:t>Количество индивидуальных предпринимателей за 2016 год составило                      23 212 человек, что на 10,4% ниже базового года (в 2015 году – 25 910 человек).</w:t>
      </w:r>
      <w:r w:rsidRPr="00FA2A38">
        <w:rPr>
          <w:rFonts w:ascii="Times New Roman" w:eastAsia="Calibri" w:hAnsi="Times New Roman"/>
          <w:sz w:val="24"/>
          <w:szCs w:val="24"/>
        </w:rPr>
        <w:t xml:space="preserve"> </w:t>
      </w:r>
    </w:p>
    <w:p w:rsidR="00493655" w:rsidRDefault="00493655" w:rsidP="00493655">
      <w:pPr>
        <w:spacing w:after="0" w:line="240" w:lineRule="auto"/>
        <w:ind w:firstLine="709"/>
        <w:contextualSpacing/>
        <w:jc w:val="both"/>
        <w:rPr>
          <w:rFonts w:ascii="Times New Roman" w:hAnsi="Times New Roman"/>
          <w:sz w:val="24"/>
          <w:szCs w:val="24"/>
        </w:rPr>
      </w:pPr>
      <w:r w:rsidRPr="00FA2A38">
        <w:rPr>
          <w:rFonts w:ascii="Times New Roman" w:hAnsi="Times New Roman"/>
          <w:sz w:val="24"/>
          <w:szCs w:val="24"/>
        </w:rPr>
        <w:t>Наибольшее количество индивидуальных предпринимателей осуществляющих свою деятельность в Приднестровской Молдавской Республике в 2016 году насчитывается в г. Тирасполе и г. Днестровск - 28,2% от общего количества индивидуальных предпринимателей по республике, в г. Бендеры – 18,8%, в г. Рыбница и Рыбницком районе – 16,5%, в г. Слободзея и Слободзейском районе – 11,3%, в г. Дубоссары и Дубоссарском районе – 10,0%, в г. Григориополь и Григориопольском районе – 9,3%, в г. Каменка и Каменском районе – 5,8%.</w:t>
      </w:r>
    </w:p>
    <w:p w:rsidR="00AB3853" w:rsidRPr="00FA2A38" w:rsidRDefault="00AB3853" w:rsidP="00AB3853">
      <w:pPr>
        <w:shd w:val="clear" w:color="auto" w:fill="FFFFFF" w:themeFill="background1"/>
        <w:spacing w:after="0" w:line="240" w:lineRule="auto"/>
        <w:ind w:firstLine="720"/>
        <w:jc w:val="right"/>
        <w:rPr>
          <w:rFonts w:ascii="Times New Roman" w:hAnsi="Times New Roman"/>
          <w:sz w:val="24"/>
          <w:szCs w:val="24"/>
        </w:rPr>
      </w:pPr>
      <w:r>
        <w:rPr>
          <w:rFonts w:ascii="Times New Roman" w:hAnsi="Times New Roman"/>
          <w:sz w:val="24"/>
          <w:szCs w:val="24"/>
        </w:rPr>
        <w:t>Таблица №12</w:t>
      </w:r>
    </w:p>
    <w:p w:rsidR="00AB3853" w:rsidRPr="00FA2A38" w:rsidRDefault="00AB3853" w:rsidP="00AB3853">
      <w:pPr>
        <w:shd w:val="clear" w:color="auto" w:fill="FFFFFF" w:themeFill="background1"/>
        <w:spacing w:after="0" w:line="240" w:lineRule="auto"/>
        <w:jc w:val="center"/>
        <w:rPr>
          <w:rFonts w:ascii="Times New Roman" w:hAnsi="Times New Roman"/>
          <w:b/>
          <w:sz w:val="24"/>
          <w:szCs w:val="24"/>
        </w:rPr>
      </w:pPr>
      <w:r w:rsidRPr="00FA2A38">
        <w:rPr>
          <w:rFonts w:ascii="Times New Roman" w:hAnsi="Times New Roman"/>
          <w:b/>
          <w:sz w:val="24"/>
          <w:szCs w:val="24"/>
        </w:rPr>
        <w:t xml:space="preserve">Основные показатели деятельности индивидуальных предпринимателей </w:t>
      </w:r>
    </w:p>
    <w:p w:rsidR="00AB3853" w:rsidRPr="00FA2A38" w:rsidRDefault="00AB3853" w:rsidP="00AB3853">
      <w:pPr>
        <w:shd w:val="clear" w:color="auto" w:fill="FFFFFF" w:themeFill="background1"/>
        <w:spacing w:after="0" w:line="240" w:lineRule="auto"/>
        <w:jc w:val="center"/>
        <w:rPr>
          <w:rFonts w:ascii="Times New Roman" w:hAnsi="Times New Roman"/>
          <w:b/>
          <w:sz w:val="24"/>
          <w:szCs w:val="24"/>
        </w:rPr>
      </w:pPr>
      <w:r w:rsidRPr="00FA2A38">
        <w:rPr>
          <w:rFonts w:ascii="Times New Roman" w:hAnsi="Times New Roman"/>
          <w:b/>
          <w:sz w:val="24"/>
          <w:szCs w:val="24"/>
        </w:rPr>
        <w:t>за 2015-2016 годы</w:t>
      </w:r>
    </w:p>
    <w:tbl>
      <w:tblPr>
        <w:tblW w:w="9685" w:type="dxa"/>
        <w:tblInd w:w="93" w:type="dxa"/>
        <w:tblLook w:val="04A0"/>
      </w:tblPr>
      <w:tblGrid>
        <w:gridCol w:w="2567"/>
        <w:gridCol w:w="2020"/>
        <w:gridCol w:w="2516"/>
        <w:gridCol w:w="2582"/>
      </w:tblGrid>
      <w:tr w:rsidR="00AB3853" w:rsidRPr="00FA2A38" w:rsidTr="00E01495">
        <w:trPr>
          <w:trHeight w:val="832"/>
        </w:trPr>
        <w:tc>
          <w:tcPr>
            <w:tcW w:w="2567" w:type="dxa"/>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b/>
                <w:bCs/>
              </w:rPr>
            </w:pPr>
            <w:r w:rsidRPr="00AB3853">
              <w:rPr>
                <w:rFonts w:ascii="Times New Roman" w:hAnsi="Times New Roman"/>
                <w:b/>
                <w:bCs/>
              </w:rPr>
              <w:t>Отрасль экономики</w:t>
            </w:r>
          </w:p>
        </w:tc>
        <w:tc>
          <w:tcPr>
            <w:tcW w:w="4536" w:type="dxa"/>
            <w:gridSpan w:val="2"/>
            <w:tcBorders>
              <w:top w:val="single" w:sz="4" w:space="0" w:color="auto"/>
              <w:left w:val="nil"/>
              <w:bottom w:val="single" w:sz="8" w:space="0" w:color="auto"/>
              <w:right w:val="nil"/>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b/>
                <w:bCs/>
              </w:rPr>
            </w:pPr>
            <w:r w:rsidRPr="00AB3853">
              <w:rPr>
                <w:rFonts w:ascii="Times New Roman" w:hAnsi="Times New Roman"/>
                <w:b/>
                <w:bCs/>
              </w:rPr>
              <w:t>Численность индивидуальных предпринимателей, чел</w:t>
            </w:r>
          </w:p>
        </w:tc>
        <w:tc>
          <w:tcPr>
            <w:tcW w:w="2582"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ind w:left="-108" w:right="-108"/>
              <w:jc w:val="center"/>
              <w:rPr>
                <w:rFonts w:ascii="Times New Roman" w:hAnsi="Times New Roman"/>
                <w:b/>
                <w:bCs/>
              </w:rPr>
            </w:pPr>
            <w:r w:rsidRPr="00AB3853">
              <w:rPr>
                <w:rFonts w:ascii="Times New Roman" w:hAnsi="Times New Roman"/>
                <w:b/>
                <w:bCs/>
              </w:rPr>
              <w:t>Доля занятых индивидуальных предпринимателей по отраслям экономики за 2016 год, %</w:t>
            </w:r>
          </w:p>
        </w:tc>
      </w:tr>
      <w:tr w:rsidR="00AB3853" w:rsidRPr="00FA2A38" w:rsidTr="00E01495">
        <w:trPr>
          <w:trHeight w:val="353"/>
        </w:trPr>
        <w:tc>
          <w:tcPr>
            <w:tcW w:w="2567" w:type="dxa"/>
            <w:vMerge/>
            <w:tcBorders>
              <w:top w:val="single" w:sz="4" w:space="0" w:color="auto"/>
              <w:left w:val="single" w:sz="4" w:space="0" w:color="auto"/>
              <w:bottom w:val="single" w:sz="4" w:space="0" w:color="000000"/>
              <w:right w:val="single" w:sz="8" w:space="0" w:color="auto"/>
            </w:tcBorders>
            <w:vAlign w:val="center"/>
            <w:hideMark/>
          </w:tcPr>
          <w:p w:rsidR="00AB3853" w:rsidRPr="00AB3853" w:rsidRDefault="00AB3853" w:rsidP="00E01495">
            <w:pPr>
              <w:shd w:val="clear" w:color="auto" w:fill="FFFFFF"/>
              <w:spacing w:after="0" w:line="240" w:lineRule="auto"/>
              <w:jc w:val="center"/>
              <w:rPr>
                <w:rFonts w:ascii="Times New Roman" w:hAnsi="Times New Roman"/>
                <w:b/>
                <w:bCs/>
              </w:rPr>
            </w:pPr>
          </w:p>
        </w:tc>
        <w:tc>
          <w:tcPr>
            <w:tcW w:w="2020" w:type="dxa"/>
            <w:tcBorders>
              <w:top w:val="nil"/>
              <w:left w:val="nil"/>
              <w:bottom w:val="single" w:sz="4" w:space="0" w:color="auto"/>
              <w:right w:val="single" w:sz="8"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b/>
                <w:bCs/>
              </w:rPr>
            </w:pPr>
            <w:r w:rsidRPr="00AB3853">
              <w:rPr>
                <w:rFonts w:ascii="Times New Roman" w:hAnsi="Times New Roman"/>
                <w:b/>
                <w:bCs/>
              </w:rPr>
              <w:t>2015 год</w:t>
            </w:r>
          </w:p>
        </w:tc>
        <w:tc>
          <w:tcPr>
            <w:tcW w:w="2516" w:type="dxa"/>
            <w:tcBorders>
              <w:top w:val="nil"/>
              <w:left w:val="nil"/>
              <w:bottom w:val="single" w:sz="4" w:space="0" w:color="auto"/>
              <w:right w:val="single" w:sz="8"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b/>
                <w:bCs/>
              </w:rPr>
            </w:pPr>
            <w:r w:rsidRPr="00AB3853">
              <w:rPr>
                <w:rFonts w:ascii="Times New Roman" w:hAnsi="Times New Roman"/>
                <w:b/>
                <w:bCs/>
              </w:rPr>
              <w:t>2016 год</w:t>
            </w:r>
          </w:p>
        </w:tc>
        <w:tc>
          <w:tcPr>
            <w:tcW w:w="2582" w:type="dxa"/>
            <w:vMerge/>
            <w:tcBorders>
              <w:top w:val="single" w:sz="4" w:space="0" w:color="auto"/>
              <w:left w:val="single" w:sz="8" w:space="0" w:color="auto"/>
              <w:bottom w:val="single" w:sz="4" w:space="0" w:color="000000"/>
              <w:right w:val="single" w:sz="4" w:space="0" w:color="auto"/>
            </w:tcBorders>
            <w:vAlign w:val="center"/>
            <w:hideMark/>
          </w:tcPr>
          <w:p w:rsidR="00AB3853" w:rsidRPr="00AB3853" w:rsidRDefault="00AB3853" w:rsidP="00E01495">
            <w:pPr>
              <w:shd w:val="clear" w:color="auto" w:fill="FFFFFF"/>
              <w:spacing w:after="0" w:line="240" w:lineRule="auto"/>
              <w:jc w:val="center"/>
              <w:rPr>
                <w:rFonts w:ascii="Times New Roman" w:hAnsi="Times New Roman"/>
                <w:b/>
                <w:bCs/>
              </w:rPr>
            </w:pPr>
          </w:p>
        </w:tc>
      </w:tr>
      <w:tr w:rsidR="00AB3853" w:rsidRPr="00FA2A38" w:rsidTr="00E01495">
        <w:trPr>
          <w:trHeight w:val="27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AB3853" w:rsidRPr="00AB3853" w:rsidRDefault="00AB3853" w:rsidP="00E01495">
            <w:pPr>
              <w:shd w:val="clear" w:color="auto" w:fill="FFFFFF"/>
              <w:spacing w:after="0" w:line="240" w:lineRule="auto"/>
              <w:rPr>
                <w:rFonts w:ascii="Times New Roman" w:hAnsi="Times New Roman"/>
                <w:b/>
                <w:bCs/>
                <w:i/>
                <w:iCs/>
              </w:rPr>
            </w:pPr>
            <w:r w:rsidRPr="00AB3853">
              <w:rPr>
                <w:rFonts w:ascii="Times New Roman" w:hAnsi="Times New Roman"/>
                <w:b/>
                <w:bCs/>
                <w:i/>
                <w:iCs/>
              </w:rPr>
              <w:t>Всего  по  ПМР</w:t>
            </w:r>
          </w:p>
        </w:tc>
        <w:tc>
          <w:tcPr>
            <w:tcW w:w="2020" w:type="dxa"/>
            <w:tcBorders>
              <w:top w:val="nil"/>
              <w:left w:val="nil"/>
              <w:bottom w:val="single" w:sz="8" w:space="0" w:color="auto"/>
              <w:right w:val="single" w:sz="8"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b/>
                <w:bCs/>
                <w:i/>
                <w:iCs/>
              </w:rPr>
            </w:pPr>
            <w:r w:rsidRPr="00AB3853">
              <w:rPr>
                <w:rFonts w:ascii="Times New Roman" w:hAnsi="Times New Roman"/>
                <w:b/>
                <w:bCs/>
                <w:i/>
                <w:iCs/>
              </w:rPr>
              <w:t>25 910</w:t>
            </w:r>
          </w:p>
        </w:tc>
        <w:tc>
          <w:tcPr>
            <w:tcW w:w="2516" w:type="dxa"/>
            <w:tcBorders>
              <w:top w:val="nil"/>
              <w:left w:val="nil"/>
              <w:bottom w:val="single" w:sz="8" w:space="0" w:color="auto"/>
              <w:right w:val="single" w:sz="8"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b/>
                <w:bCs/>
                <w:i/>
                <w:iCs/>
              </w:rPr>
            </w:pPr>
            <w:r w:rsidRPr="00AB3853">
              <w:rPr>
                <w:rFonts w:ascii="Times New Roman" w:hAnsi="Times New Roman"/>
                <w:b/>
                <w:bCs/>
                <w:i/>
                <w:iCs/>
              </w:rPr>
              <w:t>23 212</w:t>
            </w:r>
          </w:p>
        </w:tc>
        <w:tc>
          <w:tcPr>
            <w:tcW w:w="2582" w:type="dxa"/>
            <w:tcBorders>
              <w:top w:val="nil"/>
              <w:left w:val="nil"/>
              <w:bottom w:val="single" w:sz="8" w:space="0" w:color="auto"/>
              <w:right w:val="single" w:sz="8"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b/>
                <w:bCs/>
                <w:i/>
                <w:iCs/>
              </w:rPr>
            </w:pPr>
            <w:r w:rsidRPr="00AB3853">
              <w:rPr>
                <w:rFonts w:ascii="Times New Roman" w:hAnsi="Times New Roman"/>
                <w:b/>
                <w:bCs/>
                <w:i/>
                <w:iCs/>
              </w:rPr>
              <w:t>100,0</w:t>
            </w:r>
          </w:p>
        </w:tc>
      </w:tr>
      <w:tr w:rsidR="00AB3853" w:rsidRPr="00FA2A38" w:rsidTr="00E01495">
        <w:trPr>
          <w:trHeight w:val="25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rPr>
                <w:rFonts w:ascii="Times New Roman" w:hAnsi="Times New Roman"/>
              </w:rPr>
            </w:pPr>
            <w:r w:rsidRPr="00AB3853">
              <w:rPr>
                <w:rFonts w:ascii="Times New Roman" w:hAnsi="Times New Roman"/>
              </w:rPr>
              <w:t>Торговля и общепит</w:t>
            </w:r>
          </w:p>
        </w:tc>
        <w:tc>
          <w:tcPr>
            <w:tcW w:w="2020"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15 822</w:t>
            </w:r>
          </w:p>
        </w:tc>
        <w:tc>
          <w:tcPr>
            <w:tcW w:w="2516"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13 847</w:t>
            </w:r>
          </w:p>
        </w:tc>
        <w:tc>
          <w:tcPr>
            <w:tcW w:w="2582"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59,7</w:t>
            </w:r>
          </w:p>
        </w:tc>
      </w:tr>
      <w:tr w:rsidR="00AB3853" w:rsidRPr="00FA2A38" w:rsidTr="00E01495">
        <w:trPr>
          <w:trHeight w:val="149"/>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rPr>
                <w:rFonts w:ascii="Times New Roman" w:hAnsi="Times New Roman"/>
              </w:rPr>
            </w:pPr>
            <w:r w:rsidRPr="00AB3853">
              <w:rPr>
                <w:rFonts w:ascii="Times New Roman" w:hAnsi="Times New Roman"/>
              </w:rPr>
              <w:t>Сфера услуг</w:t>
            </w:r>
          </w:p>
        </w:tc>
        <w:tc>
          <w:tcPr>
            <w:tcW w:w="2020"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6 236</w:t>
            </w:r>
          </w:p>
        </w:tc>
        <w:tc>
          <w:tcPr>
            <w:tcW w:w="2516"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5 532</w:t>
            </w:r>
          </w:p>
        </w:tc>
        <w:tc>
          <w:tcPr>
            <w:tcW w:w="2582"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23,8</w:t>
            </w:r>
          </w:p>
        </w:tc>
      </w:tr>
      <w:tr w:rsidR="00AB3853" w:rsidRPr="00FA2A38" w:rsidTr="00E01495">
        <w:trPr>
          <w:trHeight w:val="126"/>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rPr>
                <w:rFonts w:ascii="Times New Roman" w:hAnsi="Times New Roman"/>
              </w:rPr>
            </w:pPr>
            <w:r w:rsidRPr="00AB3853">
              <w:rPr>
                <w:rFonts w:ascii="Times New Roman" w:hAnsi="Times New Roman"/>
              </w:rPr>
              <w:t>Сельское хозяйство</w:t>
            </w:r>
          </w:p>
        </w:tc>
        <w:tc>
          <w:tcPr>
            <w:tcW w:w="2020"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2 567</w:t>
            </w:r>
          </w:p>
        </w:tc>
        <w:tc>
          <w:tcPr>
            <w:tcW w:w="2516"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2 685</w:t>
            </w:r>
          </w:p>
        </w:tc>
        <w:tc>
          <w:tcPr>
            <w:tcW w:w="2582"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11,6</w:t>
            </w:r>
          </w:p>
        </w:tc>
      </w:tr>
      <w:tr w:rsidR="00AB3853" w:rsidRPr="00FA2A38" w:rsidTr="00E01495">
        <w:trPr>
          <w:trHeight w:val="27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rPr>
                <w:rFonts w:ascii="Times New Roman" w:hAnsi="Times New Roman"/>
              </w:rPr>
            </w:pPr>
            <w:r w:rsidRPr="00AB3853">
              <w:rPr>
                <w:rFonts w:ascii="Times New Roman" w:hAnsi="Times New Roman"/>
              </w:rPr>
              <w:t>Производство</w:t>
            </w:r>
          </w:p>
        </w:tc>
        <w:tc>
          <w:tcPr>
            <w:tcW w:w="2020"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1 285</w:t>
            </w:r>
          </w:p>
        </w:tc>
        <w:tc>
          <w:tcPr>
            <w:tcW w:w="2516"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1 148</w:t>
            </w:r>
          </w:p>
        </w:tc>
        <w:tc>
          <w:tcPr>
            <w:tcW w:w="2582"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4,9</w:t>
            </w:r>
          </w:p>
        </w:tc>
      </w:tr>
      <w:tr w:rsidR="00AB3853" w:rsidRPr="00FA2A38" w:rsidTr="00E01495">
        <w:trPr>
          <w:trHeight w:val="1088"/>
        </w:trPr>
        <w:tc>
          <w:tcPr>
            <w:tcW w:w="2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3853" w:rsidRPr="00AB3853" w:rsidRDefault="00AB3853" w:rsidP="00E01495">
            <w:pPr>
              <w:shd w:val="clear" w:color="auto" w:fill="FFFFFF"/>
              <w:spacing w:after="0" w:line="240" w:lineRule="auto"/>
              <w:rPr>
                <w:rFonts w:ascii="Times New Roman" w:hAnsi="Times New Roman"/>
                <w:b/>
                <w:bCs/>
              </w:rPr>
            </w:pPr>
            <w:r w:rsidRPr="00AB3853">
              <w:rPr>
                <w:rFonts w:ascii="Times New Roman" w:hAnsi="Times New Roman"/>
                <w:b/>
                <w:bCs/>
              </w:rPr>
              <w:t>Районы республики</w:t>
            </w:r>
          </w:p>
        </w:tc>
        <w:tc>
          <w:tcPr>
            <w:tcW w:w="4536" w:type="dxa"/>
            <w:gridSpan w:val="2"/>
            <w:tcBorders>
              <w:top w:val="single" w:sz="8" w:space="0" w:color="auto"/>
              <w:left w:val="nil"/>
              <w:bottom w:val="single" w:sz="8" w:space="0" w:color="auto"/>
              <w:right w:val="single" w:sz="8" w:space="0" w:color="000000"/>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b/>
                <w:bCs/>
              </w:rPr>
            </w:pPr>
            <w:r w:rsidRPr="00AB3853">
              <w:rPr>
                <w:rFonts w:ascii="Times New Roman" w:hAnsi="Times New Roman"/>
                <w:b/>
                <w:bCs/>
              </w:rPr>
              <w:t>Сумма поступивших в доход местного бюджета и Единого государственного фонда социального страхования отчислений средств от платы за патент по городам и районам ПМР, тыс. руб.</w:t>
            </w:r>
          </w:p>
        </w:tc>
        <w:tc>
          <w:tcPr>
            <w:tcW w:w="25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3853" w:rsidRPr="00AB3853" w:rsidRDefault="00AB3853" w:rsidP="00E01495">
            <w:pPr>
              <w:shd w:val="clear" w:color="auto" w:fill="FFFFFF"/>
              <w:spacing w:after="0" w:line="240" w:lineRule="auto"/>
              <w:ind w:left="-108" w:right="-108"/>
              <w:jc w:val="center"/>
              <w:rPr>
                <w:rFonts w:ascii="Times New Roman" w:hAnsi="Times New Roman"/>
                <w:b/>
                <w:bCs/>
              </w:rPr>
            </w:pPr>
            <w:r w:rsidRPr="00AB3853">
              <w:rPr>
                <w:rFonts w:ascii="Times New Roman" w:hAnsi="Times New Roman"/>
                <w:b/>
                <w:bCs/>
              </w:rPr>
              <w:t>Доля поступлений в доход местного бюджета и Единого государственного фонда социального страхования, в разрезе районов республики за 2016 год, %</w:t>
            </w:r>
          </w:p>
        </w:tc>
      </w:tr>
      <w:tr w:rsidR="00AB3853" w:rsidRPr="00FA2A38" w:rsidTr="00E01495">
        <w:trPr>
          <w:trHeight w:val="724"/>
        </w:trPr>
        <w:tc>
          <w:tcPr>
            <w:tcW w:w="2567" w:type="dxa"/>
            <w:vMerge/>
            <w:tcBorders>
              <w:top w:val="single" w:sz="8" w:space="0" w:color="auto"/>
              <w:left w:val="single" w:sz="8" w:space="0" w:color="auto"/>
              <w:bottom w:val="single" w:sz="8" w:space="0" w:color="000000"/>
              <w:right w:val="single" w:sz="8" w:space="0" w:color="auto"/>
            </w:tcBorders>
            <w:vAlign w:val="center"/>
            <w:hideMark/>
          </w:tcPr>
          <w:p w:rsidR="00AB3853" w:rsidRPr="00AB3853" w:rsidRDefault="00AB3853" w:rsidP="00E01495">
            <w:pPr>
              <w:shd w:val="clear" w:color="auto" w:fill="FFFFFF"/>
              <w:spacing w:after="0" w:line="240" w:lineRule="auto"/>
              <w:rPr>
                <w:rFonts w:ascii="Times New Roman" w:hAnsi="Times New Roman"/>
                <w:b/>
                <w:bCs/>
              </w:rPr>
            </w:pPr>
          </w:p>
        </w:tc>
        <w:tc>
          <w:tcPr>
            <w:tcW w:w="2020" w:type="dxa"/>
            <w:tcBorders>
              <w:top w:val="nil"/>
              <w:left w:val="nil"/>
              <w:bottom w:val="single" w:sz="8" w:space="0" w:color="auto"/>
              <w:right w:val="single" w:sz="8"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b/>
                <w:bCs/>
              </w:rPr>
            </w:pPr>
            <w:r w:rsidRPr="00AB3853">
              <w:rPr>
                <w:rFonts w:ascii="Times New Roman" w:hAnsi="Times New Roman"/>
                <w:b/>
                <w:bCs/>
              </w:rPr>
              <w:t>2015 год</w:t>
            </w:r>
          </w:p>
        </w:tc>
        <w:tc>
          <w:tcPr>
            <w:tcW w:w="2516" w:type="dxa"/>
            <w:tcBorders>
              <w:top w:val="nil"/>
              <w:left w:val="nil"/>
              <w:bottom w:val="single" w:sz="8" w:space="0" w:color="auto"/>
              <w:right w:val="single" w:sz="8"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b/>
                <w:bCs/>
              </w:rPr>
            </w:pPr>
            <w:r w:rsidRPr="00AB3853">
              <w:rPr>
                <w:rFonts w:ascii="Times New Roman" w:hAnsi="Times New Roman"/>
                <w:b/>
                <w:bCs/>
              </w:rPr>
              <w:t>2016 год</w:t>
            </w:r>
          </w:p>
        </w:tc>
        <w:tc>
          <w:tcPr>
            <w:tcW w:w="2582" w:type="dxa"/>
            <w:vMerge/>
            <w:tcBorders>
              <w:top w:val="single" w:sz="8" w:space="0" w:color="auto"/>
              <w:left w:val="single" w:sz="8" w:space="0" w:color="auto"/>
              <w:bottom w:val="single" w:sz="8" w:space="0" w:color="000000"/>
              <w:right w:val="single" w:sz="8" w:space="0" w:color="auto"/>
            </w:tcBorders>
            <w:vAlign w:val="center"/>
            <w:hideMark/>
          </w:tcPr>
          <w:p w:rsidR="00AB3853" w:rsidRPr="00AB3853" w:rsidRDefault="00AB3853" w:rsidP="00E01495">
            <w:pPr>
              <w:shd w:val="clear" w:color="auto" w:fill="FFFFFF"/>
              <w:spacing w:after="0" w:line="240" w:lineRule="auto"/>
              <w:jc w:val="center"/>
              <w:rPr>
                <w:rFonts w:ascii="Times New Roman" w:hAnsi="Times New Roman"/>
                <w:b/>
                <w:bCs/>
              </w:rPr>
            </w:pPr>
          </w:p>
        </w:tc>
      </w:tr>
      <w:tr w:rsidR="00AB3853" w:rsidRPr="00FA2A38" w:rsidTr="00E01495">
        <w:trPr>
          <w:trHeight w:val="27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AB3853" w:rsidRPr="00AB3853" w:rsidRDefault="00AB3853" w:rsidP="00E01495">
            <w:pPr>
              <w:shd w:val="clear" w:color="auto" w:fill="FFFFFF"/>
              <w:spacing w:after="0" w:line="240" w:lineRule="auto"/>
              <w:rPr>
                <w:rFonts w:ascii="Times New Roman" w:hAnsi="Times New Roman"/>
                <w:b/>
                <w:bCs/>
                <w:i/>
                <w:iCs/>
              </w:rPr>
            </w:pPr>
            <w:r w:rsidRPr="00AB3853">
              <w:rPr>
                <w:rFonts w:ascii="Times New Roman" w:hAnsi="Times New Roman"/>
                <w:b/>
                <w:bCs/>
                <w:i/>
                <w:iCs/>
              </w:rPr>
              <w:t>Всего по районам</w:t>
            </w:r>
          </w:p>
        </w:tc>
        <w:tc>
          <w:tcPr>
            <w:tcW w:w="2020" w:type="dxa"/>
            <w:tcBorders>
              <w:top w:val="nil"/>
              <w:left w:val="nil"/>
              <w:bottom w:val="single" w:sz="8" w:space="0" w:color="auto"/>
              <w:right w:val="single" w:sz="8"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b/>
                <w:bCs/>
                <w:iCs/>
              </w:rPr>
            </w:pPr>
            <w:r w:rsidRPr="00AB3853">
              <w:rPr>
                <w:rFonts w:ascii="Times New Roman" w:hAnsi="Times New Roman"/>
                <w:b/>
                <w:bCs/>
                <w:iCs/>
              </w:rPr>
              <w:t>75 737 289</w:t>
            </w:r>
          </w:p>
        </w:tc>
        <w:tc>
          <w:tcPr>
            <w:tcW w:w="2516" w:type="dxa"/>
            <w:tcBorders>
              <w:top w:val="nil"/>
              <w:left w:val="nil"/>
              <w:bottom w:val="single" w:sz="8" w:space="0" w:color="auto"/>
              <w:right w:val="single" w:sz="8"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b/>
                <w:bCs/>
              </w:rPr>
            </w:pPr>
            <w:r w:rsidRPr="00AB3853">
              <w:rPr>
                <w:rFonts w:ascii="Times New Roman" w:hAnsi="Times New Roman"/>
                <w:b/>
                <w:bCs/>
              </w:rPr>
              <w:t>62 161 124</w:t>
            </w:r>
          </w:p>
        </w:tc>
        <w:tc>
          <w:tcPr>
            <w:tcW w:w="2582" w:type="dxa"/>
            <w:tcBorders>
              <w:top w:val="nil"/>
              <w:left w:val="nil"/>
              <w:bottom w:val="single" w:sz="8" w:space="0" w:color="auto"/>
              <w:right w:val="single" w:sz="8"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b/>
                <w:bCs/>
                <w:i/>
                <w:iCs/>
              </w:rPr>
            </w:pPr>
            <w:r w:rsidRPr="00AB3853">
              <w:rPr>
                <w:rFonts w:ascii="Times New Roman" w:hAnsi="Times New Roman"/>
                <w:b/>
                <w:bCs/>
                <w:i/>
                <w:iCs/>
              </w:rPr>
              <w:t>100,0</w:t>
            </w:r>
          </w:p>
        </w:tc>
      </w:tr>
      <w:tr w:rsidR="00AB3853" w:rsidRPr="00FA2A38" w:rsidTr="00E01495">
        <w:trPr>
          <w:trHeight w:val="25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rPr>
                <w:rFonts w:ascii="Times New Roman" w:hAnsi="Times New Roman"/>
              </w:rPr>
            </w:pPr>
            <w:r w:rsidRPr="00AB3853">
              <w:rPr>
                <w:rFonts w:ascii="Times New Roman" w:hAnsi="Times New Roman"/>
              </w:rPr>
              <w:t>г. Тирасполь и г. Днестровск</w:t>
            </w:r>
          </w:p>
        </w:tc>
        <w:tc>
          <w:tcPr>
            <w:tcW w:w="2020"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26 373 024</w:t>
            </w:r>
          </w:p>
        </w:tc>
        <w:tc>
          <w:tcPr>
            <w:tcW w:w="2516"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21 709 671</w:t>
            </w:r>
          </w:p>
        </w:tc>
        <w:tc>
          <w:tcPr>
            <w:tcW w:w="2582"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34,9</w:t>
            </w:r>
          </w:p>
        </w:tc>
      </w:tr>
      <w:tr w:rsidR="00AB3853" w:rsidRPr="00FA2A38" w:rsidTr="00E01495">
        <w:trPr>
          <w:trHeight w:val="25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rPr>
                <w:rFonts w:ascii="Times New Roman" w:hAnsi="Times New Roman"/>
              </w:rPr>
            </w:pPr>
            <w:r w:rsidRPr="00AB3853">
              <w:rPr>
                <w:rFonts w:ascii="Times New Roman" w:hAnsi="Times New Roman"/>
              </w:rPr>
              <w:t>г. Бендеры</w:t>
            </w:r>
          </w:p>
        </w:tc>
        <w:tc>
          <w:tcPr>
            <w:tcW w:w="2020"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17 214 083</w:t>
            </w:r>
          </w:p>
        </w:tc>
        <w:tc>
          <w:tcPr>
            <w:tcW w:w="2516"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13 537 271</w:t>
            </w:r>
          </w:p>
        </w:tc>
        <w:tc>
          <w:tcPr>
            <w:tcW w:w="2582"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21,8</w:t>
            </w:r>
          </w:p>
        </w:tc>
      </w:tr>
      <w:tr w:rsidR="00AB3853" w:rsidRPr="00FA2A38" w:rsidTr="00E01495">
        <w:trPr>
          <w:trHeight w:val="387"/>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rPr>
                <w:rFonts w:ascii="Times New Roman" w:hAnsi="Times New Roman"/>
              </w:rPr>
            </w:pPr>
            <w:r w:rsidRPr="00AB3853">
              <w:rPr>
                <w:rFonts w:ascii="Times New Roman" w:hAnsi="Times New Roman"/>
              </w:rPr>
              <w:t>г. Рыбница и Рыбницкий район</w:t>
            </w:r>
          </w:p>
        </w:tc>
        <w:tc>
          <w:tcPr>
            <w:tcW w:w="2020"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9 809 692</w:t>
            </w:r>
          </w:p>
        </w:tc>
        <w:tc>
          <w:tcPr>
            <w:tcW w:w="2516"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8 598 569</w:t>
            </w:r>
          </w:p>
        </w:tc>
        <w:tc>
          <w:tcPr>
            <w:tcW w:w="2582"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13,8</w:t>
            </w:r>
          </w:p>
        </w:tc>
      </w:tr>
      <w:tr w:rsidR="00AB3853" w:rsidRPr="00FA2A38" w:rsidTr="00E01495">
        <w:trPr>
          <w:trHeight w:val="48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rPr>
                <w:rFonts w:ascii="Times New Roman" w:hAnsi="Times New Roman"/>
              </w:rPr>
            </w:pPr>
            <w:r w:rsidRPr="00AB3853">
              <w:rPr>
                <w:rFonts w:ascii="Times New Roman" w:hAnsi="Times New Roman"/>
              </w:rPr>
              <w:t>г. Дубоссары и Дубоссарский район</w:t>
            </w:r>
          </w:p>
        </w:tc>
        <w:tc>
          <w:tcPr>
            <w:tcW w:w="2020"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5 230 359</w:t>
            </w:r>
          </w:p>
        </w:tc>
        <w:tc>
          <w:tcPr>
            <w:tcW w:w="2516"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4 092 636</w:t>
            </w:r>
          </w:p>
        </w:tc>
        <w:tc>
          <w:tcPr>
            <w:tcW w:w="2582"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6,6</w:t>
            </w:r>
          </w:p>
        </w:tc>
      </w:tr>
      <w:tr w:rsidR="00AB3853" w:rsidRPr="00FA2A38" w:rsidTr="00E01495">
        <w:trPr>
          <w:trHeight w:val="267"/>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rPr>
                <w:rFonts w:ascii="Times New Roman" w:hAnsi="Times New Roman"/>
              </w:rPr>
            </w:pPr>
            <w:r w:rsidRPr="00AB3853">
              <w:rPr>
                <w:rFonts w:ascii="Times New Roman" w:hAnsi="Times New Roman"/>
              </w:rPr>
              <w:t>г. Слободзея и Слободзейский район</w:t>
            </w:r>
          </w:p>
        </w:tc>
        <w:tc>
          <w:tcPr>
            <w:tcW w:w="2020"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11 069 628</w:t>
            </w:r>
          </w:p>
        </w:tc>
        <w:tc>
          <w:tcPr>
            <w:tcW w:w="2516"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9 201 862</w:t>
            </w:r>
          </w:p>
        </w:tc>
        <w:tc>
          <w:tcPr>
            <w:tcW w:w="2582"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14,8</w:t>
            </w:r>
          </w:p>
        </w:tc>
      </w:tr>
      <w:tr w:rsidR="00AB3853" w:rsidRPr="00FA2A38" w:rsidTr="00E01495">
        <w:trPr>
          <w:trHeight w:val="48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rPr>
                <w:rFonts w:ascii="Times New Roman" w:hAnsi="Times New Roman"/>
              </w:rPr>
            </w:pPr>
            <w:r w:rsidRPr="00AB3853">
              <w:rPr>
                <w:rFonts w:ascii="Times New Roman" w:hAnsi="Times New Roman"/>
              </w:rPr>
              <w:t>г. Григориополь и Григориопольский район</w:t>
            </w:r>
          </w:p>
        </w:tc>
        <w:tc>
          <w:tcPr>
            <w:tcW w:w="2020"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3 697 127</w:t>
            </w:r>
          </w:p>
        </w:tc>
        <w:tc>
          <w:tcPr>
            <w:tcW w:w="2516"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3 353 826</w:t>
            </w:r>
          </w:p>
        </w:tc>
        <w:tc>
          <w:tcPr>
            <w:tcW w:w="2582"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5,4</w:t>
            </w:r>
          </w:p>
        </w:tc>
      </w:tr>
      <w:tr w:rsidR="00AB3853" w:rsidRPr="00FA2A38" w:rsidTr="00E01495">
        <w:trPr>
          <w:trHeight w:val="25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rPr>
                <w:rFonts w:ascii="Times New Roman" w:hAnsi="Times New Roman"/>
              </w:rPr>
            </w:pPr>
            <w:r w:rsidRPr="00AB3853">
              <w:rPr>
                <w:rFonts w:ascii="Times New Roman" w:hAnsi="Times New Roman"/>
              </w:rPr>
              <w:t>г. Каменка и Каменский район</w:t>
            </w:r>
          </w:p>
        </w:tc>
        <w:tc>
          <w:tcPr>
            <w:tcW w:w="2020"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2 343 376</w:t>
            </w:r>
          </w:p>
        </w:tc>
        <w:tc>
          <w:tcPr>
            <w:tcW w:w="2516"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1 667 288</w:t>
            </w:r>
          </w:p>
        </w:tc>
        <w:tc>
          <w:tcPr>
            <w:tcW w:w="2582" w:type="dxa"/>
            <w:tcBorders>
              <w:top w:val="nil"/>
              <w:left w:val="nil"/>
              <w:bottom w:val="single" w:sz="4" w:space="0" w:color="auto"/>
              <w:right w:val="single" w:sz="4" w:space="0" w:color="auto"/>
            </w:tcBorders>
            <w:shd w:val="clear" w:color="auto" w:fill="auto"/>
            <w:vAlign w:val="center"/>
            <w:hideMark/>
          </w:tcPr>
          <w:p w:rsidR="00AB3853" w:rsidRPr="00AB3853" w:rsidRDefault="00AB3853" w:rsidP="00E01495">
            <w:pPr>
              <w:shd w:val="clear" w:color="auto" w:fill="FFFFFF"/>
              <w:spacing w:after="0" w:line="240" w:lineRule="auto"/>
              <w:jc w:val="center"/>
              <w:rPr>
                <w:rFonts w:ascii="Times New Roman" w:hAnsi="Times New Roman"/>
              </w:rPr>
            </w:pPr>
            <w:r w:rsidRPr="00AB3853">
              <w:rPr>
                <w:rFonts w:ascii="Times New Roman" w:hAnsi="Times New Roman"/>
              </w:rPr>
              <w:t>2,7</w:t>
            </w:r>
          </w:p>
        </w:tc>
      </w:tr>
    </w:tbl>
    <w:p w:rsidR="00493655" w:rsidRPr="00FA2A38" w:rsidRDefault="00493655" w:rsidP="00493655">
      <w:pPr>
        <w:shd w:val="clear" w:color="auto" w:fill="FFFFFF" w:themeFill="background1"/>
        <w:spacing w:after="0" w:line="240" w:lineRule="auto"/>
        <w:ind w:firstLine="720"/>
        <w:jc w:val="both"/>
        <w:rPr>
          <w:rFonts w:ascii="Times New Roman" w:hAnsi="Times New Roman"/>
          <w:sz w:val="24"/>
          <w:szCs w:val="24"/>
        </w:rPr>
      </w:pPr>
      <w:r w:rsidRPr="00FA2A38">
        <w:rPr>
          <w:rFonts w:ascii="Times New Roman" w:eastAsia="Calibri" w:hAnsi="Times New Roman"/>
          <w:sz w:val="24"/>
          <w:szCs w:val="24"/>
        </w:rPr>
        <w:t xml:space="preserve">Основное количество индивидуальных предпринимателей, по-прежнему, задействовано в сфере торговли и общепита (59,7% от общей численности выданных </w:t>
      </w:r>
      <w:r w:rsidRPr="00FA2A38">
        <w:rPr>
          <w:rFonts w:ascii="Times New Roman" w:eastAsia="Calibri" w:hAnsi="Times New Roman"/>
          <w:sz w:val="24"/>
          <w:szCs w:val="24"/>
        </w:rPr>
        <w:lastRenderedPageBreak/>
        <w:t>патентов против 61,1% в 2015 году).</w:t>
      </w:r>
      <w:r w:rsidRPr="00FA2A38">
        <w:rPr>
          <w:rFonts w:ascii="Times New Roman" w:hAnsi="Times New Roman"/>
          <w:sz w:val="24"/>
          <w:szCs w:val="24"/>
        </w:rPr>
        <w:t xml:space="preserve"> Другими приоритетными направлениями, в которых осуществляют свою деятельность индивидуальные предприниматели, являются: сфера услуг – 23,8% (в 2015 году – 24,1%), сельское хозяйство – 11,6% (9,9% соответственно) и производство, доля которого осталась на уровне прошлого года – 4,9%.</w:t>
      </w:r>
    </w:p>
    <w:p w:rsidR="003E0203" w:rsidRPr="003E0203" w:rsidRDefault="003E0203" w:rsidP="00493655">
      <w:pPr>
        <w:shd w:val="clear" w:color="auto" w:fill="FFFFFF" w:themeFill="background1"/>
        <w:spacing w:after="0" w:line="240" w:lineRule="auto"/>
        <w:ind w:firstLine="709"/>
        <w:jc w:val="both"/>
        <w:rPr>
          <w:rFonts w:ascii="Times New Roman" w:hAnsi="Times New Roman"/>
          <w:sz w:val="10"/>
          <w:szCs w:val="10"/>
        </w:rPr>
      </w:pPr>
    </w:p>
    <w:p w:rsidR="00493655" w:rsidRPr="00622891" w:rsidRDefault="00493655" w:rsidP="00493655">
      <w:pPr>
        <w:shd w:val="clear" w:color="auto" w:fill="FFFFFF" w:themeFill="background1"/>
        <w:spacing w:after="0" w:line="240" w:lineRule="auto"/>
        <w:ind w:firstLine="709"/>
        <w:jc w:val="both"/>
        <w:rPr>
          <w:rFonts w:ascii="Times New Roman" w:hAnsi="Times New Roman"/>
          <w:bCs/>
          <w:sz w:val="24"/>
          <w:szCs w:val="24"/>
        </w:rPr>
      </w:pPr>
      <w:r w:rsidRPr="00134F83">
        <w:rPr>
          <w:rFonts w:ascii="Times New Roman" w:hAnsi="Times New Roman"/>
          <w:sz w:val="24"/>
          <w:szCs w:val="24"/>
        </w:rPr>
        <w:t>Несмотря на созданные к настоящему времени в республике экономические и правовые основы, малое предпринимательство развивается темпами, недостаточными для удовлетворения потребностей экономики.</w:t>
      </w:r>
    </w:p>
    <w:p w:rsidR="00493655" w:rsidRPr="00B96518" w:rsidRDefault="00493655" w:rsidP="00493655">
      <w:pPr>
        <w:shd w:val="clear" w:color="auto" w:fill="FFFFFF" w:themeFill="background1"/>
        <w:spacing w:after="0" w:line="240" w:lineRule="auto"/>
        <w:ind w:firstLine="720"/>
        <w:jc w:val="both"/>
        <w:rPr>
          <w:rFonts w:ascii="Times New Roman" w:eastAsia="Calibri" w:hAnsi="Times New Roman"/>
          <w:sz w:val="24"/>
          <w:szCs w:val="24"/>
        </w:rPr>
      </w:pPr>
      <w:r w:rsidRPr="00B96518">
        <w:rPr>
          <w:rFonts w:ascii="Times New Roman" w:eastAsia="Calibri" w:hAnsi="Times New Roman"/>
          <w:sz w:val="24"/>
          <w:szCs w:val="24"/>
        </w:rPr>
        <w:t>Основными проблемами, сдерживающими развитие малого предпринимательства, являются:</w:t>
      </w:r>
    </w:p>
    <w:p w:rsidR="00493655" w:rsidRPr="00B96518" w:rsidRDefault="00493655" w:rsidP="00493655">
      <w:pPr>
        <w:shd w:val="clear" w:color="auto" w:fill="FFFFFF" w:themeFill="background1"/>
        <w:spacing w:after="0" w:line="240" w:lineRule="auto"/>
        <w:ind w:firstLine="720"/>
        <w:jc w:val="both"/>
        <w:rPr>
          <w:rFonts w:ascii="Times New Roman" w:eastAsia="Calibri" w:hAnsi="Times New Roman"/>
          <w:sz w:val="24"/>
          <w:szCs w:val="24"/>
        </w:rPr>
      </w:pPr>
      <w:r w:rsidRPr="00B96518">
        <w:rPr>
          <w:rFonts w:ascii="Times New Roman" w:eastAsia="Calibri" w:hAnsi="Times New Roman"/>
          <w:sz w:val="24"/>
          <w:szCs w:val="24"/>
        </w:rPr>
        <w:t>1) ограниченность собственных средств у малых предприятий, с одной стороны, и отсутствие на рынке доступных финансово-кредитных ресурсов для малых предприятий на приемлемых для них условиях с друго</w:t>
      </w:r>
      <w:r>
        <w:rPr>
          <w:rFonts w:ascii="Times New Roman" w:eastAsia="Calibri" w:hAnsi="Times New Roman"/>
          <w:sz w:val="24"/>
          <w:szCs w:val="24"/>
        </w:rPr>
        <w:t>й;</w:t>
      </w:r>
    </w:p>
    <w:p w:rsidR="00493655" w:rsidRPr="00B96518" w:rsidRDefault="00493655" w:rsidP="00493655">
      <w:pPr>
        <w:shd w:val="clear" w:color="auto" w:fill="FFFFFF" w:themeFill="background1"/>
        <w:spacing w:after="0" w:line="240" w:lineRule="auto"/>
        <w:ind w:firstLine="720"/>
        <w:jc w:val="both"/>
        <w:rPr>
          <w:rFonts w:ascii="Times New Roman" w:eastAsia="Calibri" w:hAnsi="Times New Roman"/>
          <w:sz w:val="24"/>
          <w:szCs w:val="24"/>
        </w:rPr>
      </w:pPr>
      <w:r w:rsidRPr="00B96518">
        <w:rPr>
          <w:rFonts w:ascii="Times New Roman" w:eastAsia="Calibri" w:hAnsi="Times New Roman"/>
          <w:sz w:val="24"/>
          <w:szCs w:val="24"/>
        </w:rPr>
        <w:t>2) нестабильность ситуации на валютном рынке, связанная с невозможностью приобретения валюты экономическими агентами республики;</w:t>
      </w:r>
    </w:p>
    <w:p w:rsidR="00493655" w:rsidRPr="00B96518" w:rsidRDefault="00493655" w:rsidP="00493655">
      <w:pPr>
        <w:shd w:val="clear" w:color="auto" w:fill="FFFFFF" w:themeFill="background1"/>
        <w:spacing w:after="0" w:line="240" w:lineRule="auto"/>
        <w:ind w:firstLine="720"/>
        <w:jc w:val="both"/>
        <w:rPr>
          <w:rFonts w:ascii="Times New Roman" w:eastAsia="Calibri" w:hAnsi="Times New Roman"/>
          <w:sz w:val="24"/>
          <w:szCs w:val="24"/>
        </w:rPr>
      </w:pPr>
      <w:r w:rsidRPr="00B96518">
        <w:rPr>
          <w:rFonts w:ascii="Times New Roman" w:eastAsia="Calibri" w:hAnsi="Times New Roman"/>
          <w:sz w:val="24"/>
          <w:szCs w:val="24"/>
        </w:rPr>
        <w:t>3) неравномерность отраслевого развития малого предпринимательства по видам деятельности с высокой степенью концентрации и размещением основной доли</w:t>
      </w:r>
      <w:r>
        <w:rPr>
          <w:rFonts w:ascii="Times New Roman" w:eastAsia="Calibri" w:hAnsi="Times New Roman"/>
          <w:sz w:val="24"/>
          <w:szCs w:val="24"/>
        </w:rPr>
        <w:t xml:space="preserve"> по крупным </w:t>
      </w:r>
      <w:r w:rsidRPr="00B96518">
        <w:rPr>
          <w:rFonts w:ascii="Times New Roman" w:eastAsia="Calibri" w:hAnsi="Times New Roman"/>
          <w:sz w:val="24"/>
          <w:szCs w:val="24"/>
        </w:rPr>
        <w:t>города</w:t>
      </w:r>
      <w:r>
        <w:rPr>
          <w:rFonts w:ascii="Times New Roman" w:eastAsia="Calibri" w:hAnsi="Times New Roman"/>
          <w:sz w:val="24"/>
          <w:szCs w:val="24"/>
        </w:rPr>
        <w:t>м и виду деятельности</w:t>
      </w:r>
      <w:r w:rsidRPr="00B96518">
        <w:rPr>
          <w:rFonts w:ascii="Times New Roman" w:eastAsia="Calibri" w:hAnsi="Times New Roman"/>
          <w:sz w:val="24"/>
          <w:szCs w:val="24"/>
        </w:rPr>
        <w:t xml:space="preserve"> </w:t>
      </w:r>
      <w:r>
        <w:rPr>
          <w:rFonts w:ascii="Times New Roman" w:eastAsia="Calibri" w:hAnsi="Times New Roman"/>
          <w:sz w:val="24"/>
          <w:szCs w:val="24"/>
        </w:rPr>
        <w:t>торговля</w:t>
      </w:r>
      <w:r w:rsidRPr="00B96518">
        <w:rPr>
          <w:rFonts w:ascii="Times New Roman" w:eastAsia="Calibri" w:hAnsi="Times New Roman"/>
          <w:sz w:val="24"/>
          <w:szCs w:val="24"/>
        </w:rPr>
        <w:t>;</w:t>
      </w:r>
    </w:p>
    <w:p w:rsidR="00493655" w:rsidRPr="00B96518" w:rsidRDefault="00493655" w:rsidP="00493655">
      <w:pPr>
        <w:shd w:val="clear" w:color="auto" w:fill="FFFFFF" w:themeFill="background1"/>
        <w:spacing w:after="0" w:line="240" w:lineRule="auto"/>
        <w:ind w:firstLine="720"/>
        <w:jc w:val="both"/>
        <w:rPr>
          <w:rFonts w:ascii="Times New Roman" w:eastAsia="Calibri" w:hAnsi="Times New Roman"/>
          <w:sz w:val="24"/>
          <w:szCs w:val="24"/>
        </w:rPr>
      </w:pPr>
      <w:r w:rsidRPr="00B96518">
        <w:rPr>
          <w:rFonts w:ascii="Times New Roman" w:eastAsia="Calibri" w:hAnsi="Times New Roman"/>
          <w:sz w:val="24"/>
          <w:szCs w:val="24"/>
        </w:rPr>
        <w:t xml:space="preserve">4) отсутствие стабильности в спросе на продукцию, услуги на внутреннем рынке и нестабильность внешней конъюнктуры; </w:t>
      </w:r>
    </w:p>
    <w:p w:rsidR="00493655" w:rsidRPr="00B96518" w:rsidRDefault="00493655" w:rsidP="00493655">
      <w:pPr>
        <w:shd w:val="clear" w:color="auto" w:fill="FFFFFF" w:themeFill="background1"/>
        <w:spacing w:after="0" w:line="240" w:lineRule="auto"/>
        <w:ind w:firstLine="720"/>
        <w:jc w:val="both"/>
        <w:rPr>
          <w:rFonts w:ascii="Times New Roman" w:eastAsia="Calibri" w:hAnsi="Times New Roman"/>
          <w:sz w:val="24"/>
          <w:szCs w:val="24"/>
        </w:rPr>
      </w:pPr>
      <w:r w:rsidRPr="00B96518">
        <w:rPr>
          <w:rFonts w:ascii="Times New Roman" w:eastAsia="Calibri" w:hAnsi="Times New Roman"/>
          <w:sz w:val="24"/>
          <w:szCs w:val="24"/>
        </w:rPr>
        <w:t>5</w:t>
      </w:r>
      <w:r>
        <w:rPr>
          <w:rFonts w:ascii="Times New Roman" w:eastAsia="Calibri" w:hAnsi="Times New Roman"/>
          <w:sz w:val="24"/>
          <w:szCs w:val="24"/>
        </w:rPr>
        <w:t xml:space="preserve">) </w:t>
      </w:r>
      <w:r w:rsidRPr="00B96518">
        <w:rPr>
          <w:rFonts w:ascii="Times New Roman" w:eastAsia="Calibri" w:hAnsi="Times New Roman"/>
          <w:sz w:val="24"/>
          <w:szCs w:val="24"/>
        </w:rPr>
        <w:t>низкая инновационная активн</w:t>
      </w:r>
      <w:r>
        <w:rPr>
          <w:rFonts w:ascii="Times New Roman" w:eastAsia="Calibri" w:hAnsi="Times New Roman"/>
          <w:sz w:val="24"/>
          <w:szCs w:val="24"/>
        </w:rPr>
        <w:t>ость малого предпринимательства.</w:t>
      </w:r>
    </w:p>
    <w:p w:rsidR="00AB3853" w:rsidRDefault="00AB3853" w:rsidP="00EB1C50">
      <w:pPr>
        <w:spacing w:after="0" w:line="240" w:lineRule="auto"/>
        <w:ind w:firstLine="709"/>
        <w:rPr>
          <w:rFonts w:ascii="Times New Roman" w:hAnsi="Times New Roman"/>
          <w:b/>
          <w:sz w:val="24"/>
          <w:szCs w:val="24"/>
        </w:rPr>
      </w:pPr>
    </w:p>
    <w:p w:rsidR="00EB1C50" w:rsidRDefault="00EB1C50" w:rsidP="00EB1C50">
      <w:pPr>
        <w:spacing w:after="0" w:line="240" w:lineRule="auto"/>
        <w:ind w:firstLine="709"/>
        <w:rPr>
          <w:rFonts w:ascii="Times New Roman" w:hAnsi="Times New Roman"/>
          <w:b/>
          <w:sz w:val="24"/>
          <w:szCs w:val="24"/>
        </w:rPr>
      </w:pPr>
      <w:r w:rsidRPr="0080737A">
        <w:rPr>
          <w:rFonts w:ascii="Times New Roman" w:hAnsi="Times New Roman"/>
          <w:b/>
          <w:sz w:val="24"/>
          <w:szCs w:val="24"/>
        </w:rPr>
        <w:t>Экология</w:t>
      </w:r>
    </w:p>
    <w:p w:rsidR="00493655" w:rsidRPr="0080737A" w:rsidRDefault="00493655" w:rsidP="00EB1C50">
      <w:pPr>
        <w:spacing w:after="0" w:line="240" w:lineRule="auto"/>
        <w:ind w:firstLine="709"/>
        <w:rPr>
          <w:rFonts w:ascii="Times New Roman" w:hAnsi="Times New Roman"/>
          <w:b/>
          <w:sz w:val="24"/>
          <w:szCs w:val="24"/>
        </w:rPr>
      </w:pPr>
    </w:p>
    <w:p w:rsidR="00EB1C50" w:rsidRPr="0080737A" w:rsidRDefault="00EB1C50" w:rsidP="00EB1C50">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2016 году </w:t>
      </w:r>
      <w:r w:rsidRPr="0080737A">
        <w:rPr>
          <w:rFonts w:ascii="Times New Roman" w:hAnsi="Times New Roman"/>
          <w:sz w:val="24"/>
          <w:szCs w:val="24"/>
        </w:rPr>
        <w:t>снижени</w:t>
      </w:r>
      <w:r>
        <w:rPr>
          <w:rFonts w:ascii="Times New Roman" w:hAnsi="Times New Roman"/>
          <w:sz w:val="24"/>
          <w:szCs w:val="24"/>
        </w:rPr>
        <w:t xml:space="preserve">е </w:t>
      </w:r>
      <w:r w:rsidRPr="0080737A">
        <w:rPr>
          <w:rFonts w:ascii="Times New Roman" w:hAnsi="Times New Roman"/>
          <w:sz w:val="24"/>
          <w:szCs w:val="24"/>
        </w:rPr>
        <w:t xml:space="preserve">производственной активности на ряде крупных предприятий </w:t>
      </w:r>
      <w:r>
        <w:rPr>
          <w:rFonts w:ascii="Times New Roman" w:hAnsi="Times New Roman"/>
          <w:sz w:val="24"/>
          <w:szCs w:val="24"/>
        </w:rPr>
        <w:t>р</w:t>
      </w:r>
      <w:r w:rsidRPr="0080737A">
        <w:rPr>
          <w:rFonts w:ascii="Times New Roman" w:hAnsi="Times New Roman"/>
          <w:sz w:val="24"/>
          <w:szCs w:val="24"/>
        </w:rPr>
        <w:t>еспублики</w:t>
      </w:r>
      <w:r>
        <w:rPr>
          <w:rFonts w:ascii="Times New Roman" w:hAnsi="Times New Roman"/>
          <w:sz w:val="24"/>
          <w:szCs w:val="24"/>
        </w:rPr>
        <w:t xml:space="preserve"> оказало влияние на сокращение </w:t>
      </w:r>
      <w:r w:rsidRPr="0080737A">
        <w:rPr>
          <w:rFonts w:ascii="Times New Roman" w:hAnsi="Times New Roman"/>
          <w:sz w:val="24"/>
          <w:szCs w:val="24"/>
        </w:rPr>
        <w:t>вредных выбросов в атмосферный воздух, как от стационарных, так и от передвижных источников. Та</w:t>
      </w:r>
      <w:r>
        <w:rPr>
          <w:rFonts w:ascii="Times New Roman" w:hAnsi="Times New Roman"/>
          <w:sz w:val="24"/>
          <w:szCs w:val="24"/>
        </w:rPr>
        <w:t>к</w:t>
      </w:r>
      <w:r w:rsidRPr="0080737A">
        <w:rPr>
          <w:rFonts w:ascii="Times New Roman" w:hAnsi="Times New Roman"/>
          <w:sz w:val="24"/>
          <w:szCs w:val="24"/>
        </w:rPr>
        <w:t xml:space="preserve">, </w:t>
      </w:r>
      <w:r w:rsidRPr="0080737A">
        <w:rPr>
          <w:rFonts w:ascii="Times New Roman" w:hAnsi="Times New Roman"/>
          <w:b/>
          <w:i/>
          <w:sz w:val="24"/>
          <w:szCs w:val="24"/>
        </w:rPr>
        <w:t xml:space="preserve">валовой выброс загрязняющих веществ </w:t>
      </w:r>
      <w:r>
        <w:rPr>
          <w:rFonts w:ascii="Times New Roman" w:hAnsi="Times New Roman"/>
          <w:sz w:val="24"/>
          <w:szCs w:val="24"/>
        </w:rPr>
        <w:t>уменьшился</w:t>
      </w:r>
      <w:r w:rsidRPr="00327844">
        <w:rPr>
          <w:rFonts w:ascii="Times New Roman" w:hAnsi="Times New Roman"/>
          <w:sz w:val="24"/>
          <w:szCs w:val="24"/>
        </w:rPr>
        <w:t xml:space="preserve"> </w:t>
      </w:r>
      <w:r>
        <w:rPr>
          <w:rFonts w:ascii="Times New Roman" w:hAnsi="Times New Roman"/>
          <w:sz w:val="24"/>
          <w:szCs w:val="24"/>
        </w:rPr>
        <w:t>к базовому значению 2015 года</w:t>
      </w:r>
      <w:r w:rsidRPr="009F3CC1">
        <w:rPr>
          <w:rFonts w:ascii="Times New Roman" w:hAnsi="Times New Roman"/>
          <w:sz w:val="24"/>
          <w:szCs w:val="24"/>
        </w:rPr>
        <w:t xml:space="preserve"> </w:t>
      </w:r>
      <w:r w:rsidRPr="00327844">
        <w:rPr>
          <w:rFonts w:ascii="Times New Roman" w:hAnsi="Times New Roman"/>
          <w:sz w:val="24"/>
          <w:szCs w:val="24"/>
        </w:rPr>
        <w:t>на 9,6%</w:t>
      </w:r>
      <w:r>
        <w:rPr>
          <w:rFonts w:ascii="Times New Roman" w:hAnsi="Times New Roman"/>
          <w:sz w:val="24"/>
          <w:szCs w:val="24"/>
        </w:rPr>
        <w:t xml:space="preserve">, </w:t>
      </w:r>
      <w:r w:rsidRPr="0080737A">
        <w:rPr>
          <w:rFonts w:ascii="Times New Roman" w:hAnsi="Times New Roman"/>
          <w:sz w:val="24"/>
          <w:szCs w:val="24"/>
        </w:rPr>
        <w:t>состави</w:t>
      </w:r>
      <w:r>
        <w:rPr>
          <w:rFonts w:ascii="Times New Roman" w:hAnsi="Times New Roman"/>
          <w:sz w:val="24"/>
          <w:szCs w:val="24"/>
        </w:rPr>
        <w:t>в</w:t>
      </w:r>
      <w:r w:rsidRPr="0080737A">
        <w:rPr>
          <w:rFonts w:ascii="Times New Roman" w:hAnsi="Times New Roman"/>
          <w:sz w:val="24"/>
          <w:szCs w:val="24"/>
        </w:rPr>
        <w:t xml:space="preserve"> </w:t>
      </w:r>
      <w:r>
        <w:rPr>
          <w:rFonts w:ascii="Times New Roman" w:hAnsi="Times New Roman"/>
          <w:b/>
          <w:i/>
          <w:sz w:val="24"/>
          <w:szCs w:val="24"/>
        </w:rPr>
        <w:t>45 453,4</w:t>
      </w:r>
      <w:r w:rsidRPr="0080737A">
        <w:rPr>
          <w:rFonts w:ascii="Times New Roman" w:hAnsi="Times New Roman"/>
          <w:b/>
          <w:i/>
          <w:sz w:val="24"/>
          <w:szCs w:val="24"/>
        </w:rPr>
        <w:t xml:space="preserve"> тонн</w:t>
      </w:r>
      <w:r>
        <w:rPr>
          <w:rFonts w:ascii="Times New Roman" w:hAnsi="Times New Roman"/>
          <w:sz w:val="24"/>
          <w:szCs w:val="24"/>
        </w:rPr>
        <w:t>.</w:t>
      </w:r>
    </w:p>
    <w:p w:rsidR="00EB1C50" w:rsidRPr="0080737A" w:rsidRDefault="00EB1C50" w:rsidP="00EB1C50">
      <w:pPr>
        <w:spacing w:after="0" w:line="240" w:lineRule="auto"/>
        <w:ind w:firstLine="720"/>
        <w:jc w:val="right"/>
        <w:rPr>
          <w:rFonts w:ascii="Times New Roman" w:hAnsi="Times New Roman"/>
          <w:b/>
          <w:sz w:val="24"/>
          <w:szCs w:val="24"/>
        </w:rPr>
      </w:pPr>
      <w:r w:rsidRPr="0080737A">
        <w:rPr>
          <w:rFonts w:ascii="Times New Roman" w:hAnsi="Times New Roman"/>
          <w:sz w:val="24"/>
          <w:szCs w:val="24"/>
        </w:rPr>
        <w:t>Таблица №</w:t>
      </w:r>
      <w:r w:rsidR="003E0203">
        <w:rPr>
          <w:rFonts w:ascii="Times New Roman" w:hAnsi="Times New Roman"/>
          <w:sz w:val="24"/>
          <w:szCs w:val="24"/>
        </w:rPr>
        <w:t>13</w:t>
      </w:r>
    </w:p>
    <w:p w:rsidR="00EB1C50" w:rsidRDefault="00EB1C50" w:rsidP="00EB1C50">
      <w:pPr>
        <w:spacing w:after="0" w:line="240" w:lineRule="auto"/>
        <w:ind w:firstLine="720"/>
        <w:jc w:val="center"/>
        <w:rPr>
          <w:rFonts w:ascii="Times New Roman" w:hAnsi="Times New Roman"/>
          <w:b/>
          <w:sz w:val="24"/>
          <w:szCs w:val="24"/>
        </w:rPr>
      </w:pPr>
      <w:r w:rsidRPr="0080737A">
        <w:rPr>
          <w:rFonts w:ascii="Times New Roman" w:hAnsi="Times New Roman"/>
          <w:b/>
          <w:sz w:val="24"/>
          <w:szCs w:val="24"/>
        </w:rPr>
        <w:t xml:space="preserve">Выбросы вредных веществ в атмосферный воздух </w:t>
      </w:r>
    </w:p>
    <w:p w:rsidR="00EB1C50" w:rsidRPr="0080737A" w:rsidRDefault="00EB1C50" w:rsidP="00EB1C50">
      <w:pPr>
        <w:spacing w:after="0" w:line="240" w:lineRule="auto"/>
        <w:ind w:firstLine="720"/>
        <w:jc w:val="center"/>
        <w:rPr>
          <w:rFonts w:ascii="Times New Roman" w:hAnsi="Times New Roman"/>
          <w:b/>
          <w:sz w:val="24"/>
          <w:szCs w:val="24"/>
        </w:rPr>
      </w:pPr>
      <w:r w:rsidRPr="0080737A">
        <w:rPr>
          <w:rFonts w:ascii="Times New Roman" w:hAnsi="Times New Roman"/>
          <w:b/>
          <w:sz w:val="24"/>
          <w:szCs w:val="24"/>
        </w:rPr>
        <w:t>в разрезе городов и районов за 2016 год</w:t>
      </w:r>
    </w:p>
    <w:p w:rsidR="00EB1C50" w:rsidRPr="0080737A" w:rsidRDefault="00EB1C50" w:rsidP="00EB1C50">
      <w:pPr>
        <w:spacing w:after="0" w:line="240" w:lineRule="auto"/>
        <w:ind w:firstLine="720"/>
        <w:jc w:val="right"/>
        <w:rPr>
          <w:rFonts w:ascii="Times New Roman" w:hAnsi="Times New Roman"/>
          <w:i/>
          <w:sz w:val="24"/>
          <w:szCs w:val="24"/>
        </w:rPr>
      </w:pPr>
      <w:r w:rsidRPr="0080737A">
        <w:rPr>
          <w:rFonts w:ascii="Times New Roman" w:hAnsi="Times New Roman"/>
          <w:i/>
          <w:sz w:val="24"/>
          <w:szCs w:val="24"/>
        </w:rPr>
        <w:t>(тонн,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4"/>
        <w:gridCol w:w="1064"/>
        <w:gridCol w:w="889"/>
        <w:gridCol w:w="1299"/>
        <w:gridCol w:w="889"/>
        <w:gridCol w:w="1188"/>
        <w:gridCol w:w="991"/>
      </w:tblGrid>
      <w:tr w:rsidR="00EB1C50" w:rsidRPr="0080737A" w:rsidTr="002156EF">
        <w:trPr>
          <w:trHeight w:val="468"/>
          <w:jc w:val="center"/>
        </w:trPr>
        <w:tc>
          <w:tcPr>
            <w:tcW w:w="1793" w:type="pct"/>
            <w:vMerge w:val="restar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ind w:left="-65" w:right="-21"/>
              <w:jc w:val="center"/>
              <w:rPr>
                <w:rFonts w:ascii="Times New Roman" w:hAnsi="Times New Roman"/>
                <w:b/>
              </w:rPr>
            </w:pPr>
            <w:r w:rsidRPr="00327844">
              <w:rPr>
                <w:rFonts w:ascii="Times New Roman" w:hAnsi="Times New Roman"/>
                <w:b/>
              </w:rPr>
              <w:t>Город, район</w:t>
            </w:r>
          </w:p>
        </w:tc>
        <w:tc>
          <w:tcPr>
            <w:tcW w:w="991" w:type="pct"/>
            <w:gridSpan w:val="2"/>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b/>
              </w:rPr>
            </w:pPr>
            <w:r w:rsidRPr="00327844">
              <w:rPr>
                <w:rFonts w:ascii="Times New Roman" w:hAnsi="Times New Roman"/>
                <w:b/>
              </w:rPr>
              <w:t>Всего</w:t>
            </w:r>
          </w:p>
        </w:tc>
        <w:tc>
          <w:tcPr>
            <w:tcW w:w="1110" w:type="pct"/>
            <w:gridSpan w:val="2"/>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b/>
              </w:rPr>
            </w:pPr>
            <w:r w:rsidRPr="00327844">
              <w:rPr>
                <w:rFonts w:ascii="Times New Roman" w:hAnsi="Times New Roman"/>
                <w:b/>
              </w:rPr>
              <w:t>От стационарных источников</w:t>
            </w:r>
          </w:p>
        </w:tc>
        <w:tc>
          <w:tcPr>
            <w:tcW w:w="1106" w:type="pct"/>
            <w:gridSpan w:val="2"/>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b/>
              </w:rPr>
            </w:pPr>
            <w:r w:rsidRPr="00327844">
              <w:rPr>
                <w:rFonts w:ascii="Times New Roman" w:hAnsi="Times New Roman"/>
                <w:b/>
              </w:rPr>
              <w:t>От передвижных источников</w:t>
            </w:r>
          </w:p>
        </w:tc>
      </w:tr>
      <w:tr w:rsidR="00EB1C50" w:rsidRPr="0080737A" w:rsidTr="002156EF">
        <w:trPr>
          <w:trHeight w:val="136"/>
          <w:jc w:val="center"/>
        </w:trPr>
        <w:tc>
          <w:tcPr>
            <w:tcW w:w="1793" w:type="pct"/>
            <w:vMerge/>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ind w:left="-65" w:right="-21"/>
              <w:rPr>
                <w:rFonts w:ascii="Times New Roman" w:hAnsi="Times New Roman"/>
                <w:b/>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ind w:left="-26"/>
              <w:jc w:val="center"/>
              <w:rPr>
                <w:rFonts w:ascii="Times New Roman" w:hAnsi="Times New Roman"/>
                <w:b/>
              </w:rPr>
            </w:pPr>
            <w:r w:rsidRPr="00327844">
              <w:rPr>
                <w:rFonts w:ascii="Times New Roman" w:hAnsi="Times New Roman"/>
                <w:b/>
              </w:rPr>
              <w:t>2016г.</w:t>
            </w:r>
          </w:p>
        </w:tc>
        <w:tc>
          <w:tcPr>
            <w:tcW w:w="451"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b/>
              </w:rPr>
            </w:pPr>
            <w:r w:rsidRPr="00327844">
              <w:rPr>
                <w:rFonts w:ascii="Times New Roman" w:hAnsi="Times New Roman"/>
                <w:b/>
              </w:rPr>
              <w:t>в % к 2015г.</w:t>
            </w:r>
          </w:p>
        </w:tc>
        <w:tc>
          <w:tcPr>
            <w:tcW w:w="659"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b/>
              </w:rPr>
            </w:pPr>
            <w:r w:rsidRPr="00327844">
              <w:rPr>
                <w:rFonts w:ascii="Times New Roman" w:hAnsi="Times New Roman"/>
                <w:b/>
              </w:rPr>
              <w:t>2016г.</w:t>
            </w:r>
          </w:p>
        </w:tc>
        <w:tc>
          <w:tcPr>
            <w:tcW w:w="451"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b/>
              </w:rPr>
            </w:pPr>
            <w:r w:rsidRPr="00327844">
              <w:rPr>
                <w:rFonts w:ascii="Times New Roman" w:hAnsi="Times New Roman"/>
                <w:b/>
              </w:rPr>
              <w:t>в % к 2015г.</w:t>
            </w:r>
          </w:p>
        </w:tc>
        <w:tc>
          <w:tcPr>
            <w:tcW w:w="6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b/>
              </w:rPr>
            </w:pPr>
            <w:r w:rsidRPr="00327844">
              <w:rPr>
                <w:rFonts w:ascii="Times New Roman" w:hAnsi="Times New Roman"/>
                <w:b/>
              </w:rPr>
              <w:t>2016г.</w:t>
            </w:r>
          </w:p>
        </w:tc>
        <w:tc>
          <w:tcPr>
            <w:tcW w:w="5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b/>
              </w:rPr>
            </w:pPr>
            <w:r w:rsidRPr="00327844">
              <w:rPr>
                <w:rFonts w:ascii="Times New Roman" w:hAnsi="Times New Roman"/>
                <w:b/>
              </w:rPr>
              <w:t>в % к. 2015г.</w:t>
            </w:r>
          </w:p>
        </w:tc>
      </w:tr>
      <w:tr w:rsidR="00EB1C50" w:rsidRPr="0080737A" w:rsidTr="002156EF">
        <w:trPr>
          <w:trHeight w:val="241"/>
          <w:jc w:val="center"/>
        </w:trPr>
        <w:tc>
          <w:tcPr>
            <w:tcW w:w="179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ind w:left="-65" w:right="-21"/>
              <w:rPr>
                <w:rFonts w:ascii="Times New Roman" w:hAnsi="Times New Roman"/>
              </w:rPr>
            </w:pPr>
            <w:r w:rsidRPr="00327844">
              <w:rPr>
                <w:rFonts w:ascii="Times New Roman" w:hAnsi="Times New Roman"/>
              </w:rPr>
              <w:t>г. Тирасполь</w:t>
            </w:r>
          </w:p>
        </w:tc>
        <w:tc>
          <w:tcPr>
            <w:tcW w:w="540"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11 693,3</w:t>
            </w:r>
          </w:p>
        </w:tc>
        <w:tc>
          <w:tcPr>
            <w:tcW w:w="451"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98,8</w:t>
            </w:r>
          </w:p>
        </w:tc>
        <w:tc>
          <w:tcPr>
            <w:tcW w:w="659"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1 593,3</w:t>
            </w:r>
          </w:p>
        </w:tc>
        <w:tc>
          <w:tcPr>
            <w:tcW w:w="451"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106,1</w:t>
            </w:r>
          </w:p>
        </w:tc>
        <w:tc>
          <w:tcPr>
            <w:tcW w:w="6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10 100,0</w:t>
            </w:r>
          </w:p>
        </w:tc>
        <w:tc>
          <w:tcPr>
            <w:tcW w:w="5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97,7</w:t>
            </w:r>
          </w:p>
        </w:tc>
      </w:tr>
      <w:tr w:rsidR="00EB1C50" w:rsidRPr="0080737A" w:rsidTr="002156EF">
        <w:trPr>
          <w:trHeight w:val="241"/>
          <w:jc w:val="center"/>
        </w:trPr>
        <w:tc>
          <w:tcPr>
            <w:tcW w:w="179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ind w:left="-65" w:right="-21"/>
              <w:rPr>
                <w:rFonts w:ascii="Times New Roman" w:hAnsi="Times New Roman"/>
              </w:rPr>
            </w:pPr>
            <w:r w:rsidRPr="00327844">
              <w:rPr>
                <w:rFonts w:ascii="Times New Roman" w:hAnsi="Times New Roman"/>
              </w:rPr>
              <w:t>г. Днестровск</w:t>
            </w:r>
          </w:p>
        </w:tc>
        <w:tc>
          <w:tcPr>
            <w:tcW w:w="540"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6 570,6</w:t>
            </w:r>
          </w:p>
        </w:tc>
        <w:tc>
          <w:tcPr>
            <w:tcW w:w="451"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106,5</w:t>
            </w:r>
          </w:p>
        </w:tc>
        <w:tc>
          <w:tcPr>
            <w:tcW w:w="659"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6 466,6</w:t>
            </w:r>
          </w:p>
        </w:tc>
        <w:tc>
          <w:tcPr>
            <w:tcW w:w="451"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107,3</w:t>
            </w:r>
          </w:p>
        </w:tc>
        <w:tc>
          <w:tcPr>
            <w:tcW w:w="6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104,0</w:t>
            </w:r>
          </w:p>
        </w:tc>
        <w:tc>
          <w:tcPr>
            <w:tcW w:w="5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72,2</w:t>
            </w:r>
          </w:p>
        </w:tc>
      </w:tr>
      <w:tr w:rsidR="00EB1C50" w:rsidRPr="0080737A" w:rsidTr="002156EF">
        <w:trPr>
          <w:trHeight w:val="468"/>
          <w:jc w:val="center"/>
        </w:trPr>
        <w:tc>
          <w:tcPr>
            <w:tcW w:w="179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ind w:left="201" w:right="-21"/>
              <w:rPr>
                <w:rFonts w:ascii="Times New Roman" w:hAnsi="Times New Roman"/>
                <w:i/>
              </w:rPr>
            </w:pPr>
            <w:r w:rsidRPr="00327844">
              <w:rPr>
                <w:rFonts w:ascii="Times New Roman" w:hAnsi="Times New Roman"/>
                <w:i/>
              </w:rPr>
              <w:t>в том числе:</w:t>
            </w:r>
          </w:p>
          <w:p w:rsidR="00EB1C50" w:rsidRPr="00327844" w:rsidRDefault="00EB1C50" w:rsidP="002156EF">
            <w:pPr>
              <w:spacing w:after="0" w:line="240" w:lineRule="auto"/>
              <w:ind w:left="201" w:right="-21"/>
              <w:rPr>
                <w:rFonts w:ascii="Times New Roman" w:hAnsi="Times New Roman"/>
              </w:rPr>
            </w:pPr>
            <w:r w:rsidRPr="00327844">
              <w:rPr>
                <w:rFonts w:ascii="Times New Roman" w:hAnsi="Times New Roman"/>
              </w:rPr>
              <w:t>ЗАО «Молдавская ГРЭС"</w:t>
            </w:r>
          </w:p>
        </w:tc>
        <w:tc>
          <w:tcPr>
            <w:tcW w:w="540"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6 493,1</w:t>
            </w:r>
          </w:p>
        </w:tc>
        <w:tc>
          <w:tcPr>
            <w:tcW w:w="451"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105,4</w:t>
            </w:r>
          </w:p>
        </w:tc>
        <w:tc>
          <w:tcPr>
            <w:tcW w:w="659"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6 389,1</w:t>
            </w:r>
          </w:p>
        </w:tc>
        <w:tc>
          <w:tcPr>
            <w:tcW w:w="451"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106,2</w:t>
            </w:r>
          </w:p>
        </w:tc>
        <w:tc>
          <w:tcPr>
            <w:tcW w:w="6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104,0</w:t>
            </w:r>
          </w:p>
        </w:tc>
        <w:tc>
          <w:tcPr>
            <w:tcW w:w="5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72,2</w:t>
            </w:r>
          </w:p>
        </w:tc>
      </w:tr>
      <w:tr w:rsidR="00EB1C50" w:rsidRPr="0080737A" w:rsidTr="002156EF">
        <w:trPr>
          <w:trHeight w:val="227"/>
          <w:jc w:val="center"/>
        </w:trPr>
        <w:tc>
          <w:tcPr>
            <w:tcW w:w="179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ind w:left="-65" w:right="-21"/>
              <w:rPr>
                <w:rFonts w:ascii="Times New Roman" w:hAnsi="Times New Roman"/>
              </w:rPr>
            </w:pPr>
            <w:r w:rsidRPr="00327844">
              <w:rPr>
                <w:rFonts w:ascii="Times New Roman" w:hAnsi="Times New Roman"/>
              </w:rPr>
              <w:t>г. Бендеры</w:t>
            </w:r>
          </w:p>
        </w:tc>
        <w:tc>
          <w:tcPr>
            <w:tcW w:w="540"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5 760,1</w:t>
            </w:r>
          </w:p>
        </w:tc>
        <w:tc>
          <w:tcPr>
            <w:tcW w:w="451"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98,2</w:t>
            </w:r>
          </w:p>
        </w:tc>
        <w:tc>
          <w:tcPr>
            <w:tcW w:w="659"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589,5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1C50" w:rsidRPr="0086179E" w:rsidRDefault="00EB1C50" w:rsidP="002156EF">
            <w:pPr>
              <w:spacing w:after="0" w:line="240" w:lineRule="auto"/>
              <w:jc w:val="center"/>
              <w:rPr>
                <w:rFonts w:ascii="Times New Roman" w:hAnsi="Times New Roman"/>
                <w:color w:val="000000"/>
              </w:rPr>
            </w:pPr>
            <w:r w:rsidRPr="0086179E">
              <w:rPr>
                <w:rFonts w:ascii="Times New Roman" w:hAnsi="Times New Roman"/>
                <w:color w:val="000000"/>
              </w:rPr>
              <w:t>92,3</w:t>
            </w:r>
          </w:p>
        </w:tc>
        <w:tc>
          <w:tcPr>
            <w:tcW w:w="6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5 170,6</w:t>
            </w:r>
          </w:p>
        </w:tc>
        <w:tc>
          <w:tcPr>
            <w:tcW w:w="5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98,9</w:t>
            </w:r>
          </w:p>
        </w:tc>
      </w:tr>
      <w:tr w:rsidR="00EB1C50" w:rsidRPr="0080737A" w:rsidTr="002156EF">
        <w:trPr>
          <w:trHeight w:val="241"/>
          <w:jc w:val="center"/>
        </w:trPr>
        <w:tc>
          <w:tcPr>
            <w:tcW w:w="179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ind w:left="-65" w:right="-21"/>
              <w:rPr>
                <w:rFonts w:ascii="Times New Roman" w:hAnsi="Times New Roman"/>
              </w:rPr>
            </w:pPr>
            <w:r w:rsidRPr="00327844">
              <w:rPr>
                <w:rFonts w:ascii="Times New Roman" w:hAnsi="Times New Roman"/>
              </w:rPr>
              <w:t>г. Рыбница и Рыбницкий р-н</w:t>
            </w:r>
          </w:p>
        </w:tc>
        <w:tc>
          <w:tcPr>
            <w:tcW w:w="540"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7 790,3</w:t>
            </w:r>
          </w:p>
        </w:tc>
        <w:tc>
          <w:tcPr>
            <w:tcW w:w="451"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70,0</w:t>
            </w:r>
          </w:p>
        </w:tc>
        <w:tc>
          <w:tcPr>
            <w:tcW w:w="659"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2 471,6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1C50" w:rsidRPr="0086179E" w:rsidRDefault="00EB1C50" w:rsidP="002156EF">
            <w:pPr>
              <w:spacing w:after="0" w:line="240" w:lineRule="auto"/>
              <w:jc w:val="center"/>
              <w:rPr>
                <w:rFonts w:ascii="Times New Roman" w:hAnsi="Times New Roman"/>
                <w:color w:val="000000"/>
              </w:rPr>
            </w:pPr>
            <w:r w:rsidRPr="0086179E">
              <w:rPr>
                <w:rFonts w:ascii="Times New Roman" w:hAnsi="Times New Roman"/>
                <w:color w:val="000000"/>
              </w:rPr>
              <w:t>59,0</w:t>
            </w:r>
          </w:p>
        </w:tc>
        <w:tc>
          <w:tcPr>
            <w:tcW w:w="6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5 318,7</w:t>
            </w:r>
          </w:p>
        </w:tc>
        <w:tc>
          <w:tcPr>
            <w:tcW w:w="5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76,7</w:t>
            </w:r>
          </w:p>
        </w:tc>
      </w:tr>
      <w:tr w:rsidR="00EB1C50" w:rsidRPr="0080737A" w:rsidTr="002156EF">
        <w:trPr>
          <w:trHeight w:val="241"/>
          <w:jc w:val="center"/>
        </w:trPr>
        <w:tc>
          <w:tcPr>
            <w:tcW w:w="179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ind w:left="-65" w:right="-21"/>
              <w:rPr>
                <w:rFonts w:ascii="Times New Roman" w:hAnsi="Times New Roman"/>
              </w:rPr>
            </w:pPr>
            <w:r w:rsidRPr="00327844">
              <w:rPr>
                <w:rFonts w:ascii="Times New Roman" w:hAnsi="Times New Roman"/>
              </w:rPr>
              <w:t>г. Дубоссары и Дубоссарский р-н</w:t>
            </w:r>
          </w:p>
        </w:tc>
        <w:tc>
          <w:tcPr>
            <w:tcW w:w="540"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2 726,9</w:t>
            </w:r>
          </w:p>
        </w:tc>
        <w:tc>
          <w:tcPr>
            <w:tcW w:w="451"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74,7</w:t>
            </w:r>
          </w:p>
        </w:tc>
        <w:tc>
          <w:tcPr>
            <w:tcW w:w="659"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123,6</w:t>
            </w:r>
          </w:p>
        </w:tc>
        <w:tc>
          <w:tcPr>
            <w:tcW w:w="451"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105,1</w:t>
            </w:r>
          </w:p>
        </w:tc>
        <w:tc>
          <w:tcPr>
            <w:tcW w:w="6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2 603,3</w:t>
            </w:r>
          </w:p>
        </w:tc>
        <w:tc>
          <w:tcPr>
            <w:tcW w:w="5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73,7</w:t>
            </w:r>
          </w:p>
        </w:tc>
      </w:tr>
      <w:tr w:rsidR="00EB1C50" w:rsidRPr="0080737A" w:rsidTr="002156EF">
        <w:trPr>
          <w:trHeight w:val="468"/>
          <w:jc w:val="center"/>
        </w:trPr>
        <w:tc>
          <w:tcPr>
            <w:tcW w:w="179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ind w:left="-65" w:right="-21"/>
              <w:rPr>
                <w:rFonts w:ascii="Times New Roman" w:hAnsi="Times New Roman"/>
              </w:rPr>
            </w:pPr>
            <w:r w:rsidRPr="00327844">
              <w:rPr>
                <w:rFonts w:ascii="Times New Roman" w:hAnsi="Times New Roman"/>
              </w:rPr>
              <w:t xml:space="preserve">г. Григориополь и Григориопольский р-н </w:t>
            </w:r>
          </w:p>
        </w:tc>
        <w:tc>
          <w:tcPr>
            <w:tcW w:w="540"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1 652,7</w:t>
            </w:r>
          </w:p>
        </w:tc>
        <w:tc>
          <w:tcPr>
            <w:tcW w:w="451"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89,5</w:t>
            </w:r>
          </w:p>
        </w:tc>
        <w:tc>
          <w:tcPr>
            <w:tcW w:w="659"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69,3</w:t>
            </w:r>
          </w:p>
        </w:tc>
        <w:tc>
          <w:tcPr>
            <w:tcW w:w="451"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108,5</w:t>
            </w:r>
          </w:p>
        </w:tc>
        <w:tc>
          <w:tcPr>
            <w:tcW w:w="6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1 583,4</w:t>
            </w:r>
          </w:p>
        </w:tc>
        <w:tc>
          <w:tcPr>
            <w:tcW w:w="5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88,8</w:t>
            </w:r>
          </w:p>
        </w:tc>
      </w:tr>
      <w:tr w:rsidR="00EB1C50" w:rsidRPr="0080737A" w:rsidTr="002156EF">
        <w:trPr>
          <w:trHeight w:val="227"/>
          <w:jc w:val="center"/>
        </w:trPr>
        <w:tc>
          <w:tcPr>
            <w:tcW w:w="179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ind w:left="-65" w:right="-21"/>
              <w:rPr>
                <w:rFonts w:ascii="Times New Roman" w:hAnsi="Times New Roman"/>
              </w:rPr>
            </w:pPr>
            <w:r w:rsidRPr="00327844">
              <w:rPr>
                <w:rFonts w:ascii="Times New Roman" w:hAnsi="Times New Roman"/>
              </w:rPr>
              <w:t>г. Слободзея и Слободзейский р-н</w:t>
            </w:r>
          </w:p>
        </w:tc>
        <w:tc>
          <w:tcPr>
            <w:tcW w:w="540"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8 214,0</w:t>
            </w:r>
          </w:p>
        </w:tc>
        <w:tc>
          <w:tcPr>
            <w:tcW w:w="451"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92,1</w:t>
            </w:r>
          </w:p>
        </w:tc>
        <w:tc>
          <w:tcPr>
            <w:tcW w:w="659"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1 595,0</w:t>
            </w:r>
          </w:p>
        </w:tc>
        <w:tc>
          <w:tcPr>
            <w:tcW w:w="451"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104,4</w:t>
            </w:r>
          </w:p>
        </w:tc>
        <w:tc>
          <w:tcPr>
            <w:tcW w:w="6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6 619,0</w:t>
            </w:r>
          </w:p>
        </w:tc>
        <w:tc>
          <w:tcPr>
            <w:tcW w:w="5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89,6</w:t>
            </w:r>
          </w:p>
        </w:tc>
      </w:tr>
      <w:tr w:rsidR="00EB1C50" w:rsidRPr="0080737A" w:rsidTr="002156EF">
        <w:trPr>
          <w:trHeight w:val="241"/>
          <w:jc w:val="center"/>
        </w:trPr>
        <w:tc>
          <w:tcPr>
            <w:tcW w:w="179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ind w:left="-65" w:right="-21"/>
              <w:rPr>
                <w:rFonts w:ascii="Times New Roman" w:hAnsi="Times New Roman"/>
              </w:rPr>
            </w:pPr>
            <w:r w:rsidRPr="00327844">
              <w:rPr>
                <w:rFonts w:ascii="Times New Roman" w:hAnsi="Times New Roman"/>
              </w:rPr>
              <w:t>г. Каменка и Каменский р-н</w:t>
            </w:r>
          </w:p>
        </w:tc>
        <w:tc>
          <w:tcPr>
            <w:tcW w:w="540"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1 045,5</w:t>
            </w:r>
          </w:p>
        </w:tc>
        <w:tc>
          <w:tcPr>
            <w:tcW w:w="451"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120,9</w:t>
            </w:r>
          </w:p>
        </w:tc>
        <w:tc>
          <w:tcPr>
            <w:tcW w:w="659"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26,7</w:t>
            </w:r>
          </w:p>
        </w:tc>
        <w:tc>
          <w:tcPr>
            <w:tcW w:w="451"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100,4</w:t>
            </w:r>
          </w:p>
        </w:tc>
        <w:tc>
          <w:tcPr>
            <w:tcW w:w="6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327844">
              <w:rPr>
                <w:rFonts w:ascii="Times New Roman" w:hAnsi="Times New Roman"/>
                <w:color w:val="000000"/>
              </w:rPr>
              <w:t>1 018,8</w:t>
            </w:r>
          </w:p>
        </w:tc>
        <w:tc>
          <w:tcPr>
            <w:tcW w:w="5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color w:val="000000"/>
              </w:rPr>
            </w:pPr>
            <w:r w:rsidRPr="002B0202">
              <w:rPr>
                <w:rFonts w:ascii="Times New Roman" w:hAnsi="Times New Roman"/>
                <w:color w:val="000000"/>
              </w:rPr>
              <w:t>121,6</w:t>
            </w:r>
          </w:p>
        </w:tc>
      </w:tr>
      <w:tr w:rsidR="00EB1C50" w:rsidRPr="0080737A" w:rsidTr="002156EF">
        <w:trPr>
          <w:trHeight w:val="148"/>
          <w:jc w:val="center"/>
        </w:trPr>
        <w:tc>
          <w:tcPr>
            <w:tcW w:w="1793" w:type="pct"/>
            <w:tcBorders>
              <w:top w:val="single" w:sz="4" w:space="0" w:color="auto"/>
              <w:left w:val="single" w:sz="4" w:space="0" w:color="auto"/>
              <w:bottom w:val="single" w:sz="4" w:space="0" w:color="auto"/>
              <w:right w:val="single" w:sz="4" w:space="0" w:color="auto"/>
            </w:tcBorders>
            <w:hideMark/>
          </w:tcPr>
          <w:p w:rsidR="00EB1C50" w:rsidRPr="00327844" w:rsidRDefault="00EB1C50" w:rsidP="002156EF">
            <w:pPr>
              <w:spacing w:after="0" w:line="240" w:lineRule="auto"/>
              <w:ind w:left="-65" w:right="-21"/>
              <w:rPr>
                <w:rFonts w:ascii="Times New Roman" w:hAnsi="Times New Roman"/>
                <w:b/>
              </w:rPr>
            </w:pPr>
            <w:r w:rsidRPr="00327844">
              <w:rPr>
                <w:rFonts w:ascii="Times New Roman" w:hAnsi="Times New Roman"/>
                <w:b/>
              </w:rPr>
              <w:t>Всего</w:t>
            </w:r>
          </w:p>
        </w:tc>
        <w:tc>
          <w:tcPr>
            <w:tcW w:w="540"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b/>
                <w:color w:val="000000"/>
              </w:rPr>
            </w:pPr>
            <w:r w:rsidRPr="00327844">
              <w:rPr>
                <w:rFonts w:ascii="Times New Roman" w:hAnsi="Times New Roman"/>
                <w:b/>
                <w:color w:val="000000"/>
              </w:rPr>
              <w:t>45 453,4</w:t>
            </w:r>
          </w:p>
        </w:tc>
        <w:tc>
          <w:tcPr>
            <w:tcW w:w="451"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b/>
                <w:color w:val="000000"/>
              </w:rPr>
            </w:pPr>
            <w:r w:rsidRPr="00327844">
              <w:rPr>
                <w:rFonts w:ascii="Times New Roman" w:hAnsi="Times New Roman"/>
                <w:b/>
                <w:color w:val="000000"/>
              </w:rPr>
              <w:t>90,4</w:t>
            </w:r>
          </w:p>
        </w:tc>
        <w:tc>
          <w:tcPr>
            <w:tcW w:w="659"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b/>
                <w:color w:val="000000"/>
              </w:rPr>
            </w:pPr>
            <w:r w:rsidRPr="00327844">
              <w:rPr>
                <w:rFonts w:ascii="Times New Roman" w:hAnsi="Times New Roman"/>
                <w:b/>
                <w:color w:val="000000"/>
              </w:rPr>
              <w:t>12 935,6</w:t>
            </w:r>
          </w:p>
        </w:tc>
        <w:tc>
          <w:tcPr>
            <w:tcW w:w="451"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b/>
                <w:color w:val="000000"/>
              </w:rPr>
            </w:pPr>
            <w:r w:rsidRPr="00327844">
              <w:rPr>
                <w:rFonts w:ascii="Times New Roman" w:hAnsi="Times New Roman"/>
                <w:b/>
                <w:color w:val="000000"/>
              </w:rPr>
              <w:t>91,8</w:t>
            </w:r>
          </w:p>
        </w:tc>
        <w:tc>
          <w:tcPr>
            <w:tcW w:w="6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b/>
                <w:color w:val="000000"/>
              </w:rPr>
            </w:pPr>
            <w:r w:rsidRPr="00327844">
              <w:rPr>
                <w:rFonts w:ascii="Times New Roman" w:hAnsi="Times New Roman"/>
                <w:b/>
                <w:color w:val="000000"/>
              </w:rPr>
              <w:t>32 517,8</w:t>
            </w:r>
          </w:p>
        </w:tc>
        <w:tc>
          <w:tcPr>
            <w:tcW w:w="503" w:type="pct"/>
            <w:tcBorders>
              <w:top w:val="single" w:sz="4" w:space="0" w:color="auto"/>
              <w:left w:val="single" w:sz="4" w:space="0" w:color="auto"/>
              <w:bottom w:val="single" w:sz="4" w:space="0" w:color="auto"/>
              <w:right w:val="single" w:sz="4" w:space="0" w:color="auto"/>
            </w:tcBorders>
            <w:vAlign w:val="center"/>
            <w:hideMark/>
          </w:tcPr>
          <w:p w:rsidR="00EB1C50" w:rsidRPr="00327844" w:rsidRDefault="00EB1C50" w:rsidP="002156EF">
            <w:pPr>
              <w:spacing w:after="0" w:line="240" w:lineRule="auto"/>
              <w:jc w:val="center"/>
              <w:rPr>
                <w:rFonts w:ascii="Times New Roman" w:hAnsi="Times New Roman"/>
                <w:b/>
                <w:color w:val="000000"/>
              </w:rPr>
            </w:pPr>
            <w:r w:rsidRPr="00327844">
              <w:rPr>
                <w:rFonts w:ascii="Times New Roman" w:hAnsi="Times New Roman"/>
                <w:b/>
                <w:color w:val="000000"/>
              </w:rPr>
              <w:t>89,9</w:t>
            </w:r>
          </w:p>
        </w:tc>
      </w:tr>
    </w:tbl>
    <w:p w:rsidR="00EB1C50" w:rsidRPr="00180663" w:rsidRDefault="00EB1C50" w:rsidP="00EB1C50">
      <w:pPr>
        <w:spacing w:after="0" w:line="240" w:lineRule="auto"/>
        <w:ind w:firstLine="709"/>
        <w:jc w:val="both"/>
        <w:rPr>
          <w:rFonts w:ascii="Times New Roman" w:hAnsi="Times New Roman"/>
          <w:spacing w:val="6"/>
          <w:sz w:val="10"/>
          <w:szCs w:val="10"/>
        </w:rPr>
      </w:pPr>
    </w:p>
    <w:p w:rsidR="00AB3853" w:rsidRDefault="00AB3853" w:rsidP="00AB3853">
      <w:pPr>
        <w:spacing w:after="0" w:line="240" w:lineRule="auto"/>
        <w:ind w:firstLine="720"/>
        <w:jc w:val="both"/>
        <w:rPr>
          <w:rFonts w:ascii="Times New Roman" w:hAnsi="Times New Roman"/>
          <w:spacing w:val="6"/>
          <w:sz w:val="24"/>
          <w:szCs w:val="24"/>
        </w:rPr>
      </w:pPr>
      <w:r w:rsidRPr="0080737A">
        <w:rPr>
          <w:rFonts w:ascii="Times New Roman" w:hAnsi="Times New Roman"/>
          <w:spacing w:val="6"/>
          <w:sz w:val="24"/>
          <w:szCs w:val="24"/>
        </w:rPr>
        <w:t xml:space="preserve">Совокупный объем выброшенных вредных веществ в атмосферу </w:t>
      </w:r>
      <w:r w:rsidRPr="0080737A">
        <w:rPr>
          <w:rFonts w:ascii="Times New Roman" w:hAnsi="Times New Roman"/>
          <w:i/>
          <w:spacing w:val="6"/>
          <w:sz w:val="24"/>
          <w:szCs w:val="24"/>
        </w:rPr>
        <w:t xml:space="preserve">от стационарных источников </w:t>
      </w:r>
      <w:r w:rsidRPr="0080737A">
        <w:rPr>
          <w:rFonts w:ascii="Times New Roman" w:hAnsi="Times New Roman"/>
          <w:spacing w:val="6"/>
          <w:sz w:val="24"/>
          <w:szCs w:val="24"/>
        </w:rPr>
        <w:t xml:space="preserve">сократился на </w:t>
      </w:r>
      <w:r>
        <w:rPr>
          <w:rFonts w:ascii="Times New Roman" w:hAnsi="Times New Roman"/>
          <w:spacing w:val="6"/>
          <w:sz w:val="24"/>
          <w:szCs w:val="24"/>
        </w:rPr>
        <w:t>8,2</w:t>
      </w:r>
      <w:r w:rsidRPr="0080737A">
        <w:rPr>
          <w:rFonts w:ascii="Times New Roman" w:hAnsi="Times New Roman"/>
          <w:spacing w:val="6"/>
          <w:sz w:val="24"/>
          <w:szCs w:val="24"/>
        </w:rPr>
        <w:t xml:space="preserve">% к уровню 2015 года, составив </w:t>
      </w:r>
      <w:r>
        <w:rPr>
          <w:rFonts w:ascii="Times New Roman" w:hAnsi="Times New Roman"/>
          <w:spacing w:val="6"/>
          <w:sz w:val="24"/>
          <w:szCs w:val="24"/>
        </w:rPr>
        <w:t>12 935,6 </w:t>
      </w:r>
      <w:r w:rsidRPr="0080737A">
        <w:rPr>
          <w:rFonts w:ascii="Times New Roman" w:hAnsi="Times New Roman"/>
          <w:spacing w:val="6"/>
          <w:sz w:val="24"/>
          <w:szCs w:val="24"/>
        </w:rPr>
        <w:t xml:space="preserve">тонн. </w:t>
      </w:r>
      <w:r>
        <w:rPr>
          <w:rFonts w:ascii="Times New Roman" w:hAnsi="Times New Roman"/>
          <w:spacing w:val="6"/>
          <w:sz w:val="24"/>
          <w:szCs w:val="24"/>
        </w:rPr>
        <w:t xml:space="preserve">Данное снижение обусловлено </w:t>
      </w:r>
      <w:r w:rsidRPr="00004A1E">
        <w:rPr>
          <w:rFonts w:ascii="Times New Roman" w:eastAsia="Calibri" w:hAnsi="Times New Roman"/>
          <w:sz w:val="24"/>
          <w:szCs w:val="24"/>
        </w:rPr>
        <w:t>сокращени</w:t>
      </w:r>
      <w:r>
        <w:rPr>
          <w:rFonts w:ascii="Times New Roman" w:eastAsia="Calibri" w:hAnsi="Times New Roman"/>
          <w:sz w:val="24"/>
          <w:szCs w:val="24"/>
        </w:rPr>
        <w:t>ем</w:t>
      </w:r>
      <w:r w:rsidRPr="00004A1E">
        <w:rPr>
          <w:rFonts w:ascii="Times New Roman" w:eastAsia="Calibri" w:hAnsi="Times New Roman"/>
          <w:sz w:val="24"/>
          <w:szCs w:val="24"/>
        </w:rPr>
        <w:t xml:space="preserve"> выпуска продукции на ведущ</w:t>
      </w:r>
      <w:r>
        <w:rPr>
          <w:rFonts w:ascii="Times New Roman" w:eastAsia="Calibri" w:hAnsi="Times New Roman"/>
          <w:sz w:val="24"/>
          <w:szCs w:val="24"/>
        </w:rPr>
        <w:t>ем</w:t>
      </w:r>
      <w:r w:rsidRPr="00004A1E">
        <w:rPr>
          <w:rFonts w:ascii="Times New Roman" w:eastAsia="Calibri" w:hAnsi="Times New Roman"/>
          <w:sz w:val="24"/>
          <w:szCs w:val="24"/>
        </w:rPr>
        <w:t xml:space="preserve"> предприяти</w:t>
      </w:r>
      <w:r>
        <w:rPr>
          <w:rFonts w:ascii="Times New Roman" w:eastAsia="Calibri" w:hAnsi="Times New Roman"/>
          <w:sz w:val="24"/>
          <w:szCs w:val="24"/>
        </w:rPr>
        <w:t>и</w:t>
      </w:r>
      <w:r w:rsidRPr="00004A1E">
        <w:rPr>
          <w:rFonts w:ascii="Times New Roman" w:eastAsia="Calibri" w:hAnsi="Times New Roman"/>
          <w:sz w:val="24"/>
          <w:szCs w:val="24"/>
        </w:rPr>
        <w:t xml:space="preserve"> </w:t>
      </w:r>
      <w:r w:rsidRPr="00004A1E">
        <w:rPr>
          <w:rFonts w:ascii="Times New Roman" w:hAnsi="Times New Roman"/>
          <w:spacing w:val="6"/>
          <w:sz w:val="24"/>
          <w:szCs w:val="24"/>
        </w:rPr>
        <w:t>г. Рыбница и Рыбницкого района</w:t>
      </w:r>
      <w:r>
        <w:rPr>
          <w:rFonts w:ascii="Times New Roman" w:hAnsi="Times New Roman"/>
          <w:spacing w:val="6"/>
          <w:sz w:val="24"/>
          <w:szCs w:val="24"/>
        </w:rPr>
        <w:t xml:space="preserve"> –</w:t>
      </w:r>
      <w:r w:rsidRPr="00004A1E">
        <w:rPr>
          <w:rFonts w:ascii="Times New Roman" w:eastAsia="Calibri" w:hAnsi="Times New Roman"/>
          <w:sz w:val="24"/>
          <w:szCs w:val="24"/>
        </w:rPr>
        <w:t xml:space="preserve"> ОАО</w:t>
      </w:r>
      <w:r>
        <w:rPr>
          <w:rFonts w:ascii="Times New Roman" w:eastAsia="Calibri" w:hAnsi="Times New Roman"/>
          <w:sz w:val="24"/>
          <w:szCs w:val="24"/>
        </w:rPr>
        <w:t xml:space="preserve"> </w:t>
      </w:r>
      <w:r w:rsidRPr="00004A1E">
        <w:rPr>
          <w:rFonts w:ascii="Times New Roman" w:eastAsia="Calibri" w:hAnsi="Times New Roman"/>
          <w:sz w:val="24"/>
          <w:szCs w:val="24"/>
        </w:rPr>
        <w:t>«Молдавский металлургический завод»</w:t>
      </w:r>
      <w:r>
        <w:rPr>
          <w:rFonts w:ascii="Times New Roman" w:eastAsia="Calibri" w:hAnsi="Times New Roman"/>
          <w:sz w:val="24"/>
          <w:szCs w:val="24"/>
        </w:rPr>
        <w:t>, выбросы которого в отчетном периоде сократились на 64,3%</w:t>
      </w:r>
      <w:r w:rsidRPr="00004A1E">
        <w:rPr>
          <w:rFonts w:ascii="Times New Roman" w:eastAsia="Calibri" w:hAnsi="Times New Roman"/>
          <w:sz w:val="24"/>
          <w:szCs w:val="24"/>
        </w:rPr>
        <w:t xml:space="preserve"> </w:t>
      </w:r>
      <w:r>
        <w:rPr>
          <w:rFonts w:ascii="Times New Roman" w:eastAsia="Calibri" w:hAnsi="Times New Roman"/>
          <w:sz w:val="24"/>
          <w:szCs w:val="24"/>
        </w:rPr>
        <w:t xml:space="preserve">к уровню 2015 года, что соответственно привело к снижению общего количества выбросов от стационарных источников по </w:t>
      </w:r>
      <w:r w:rsidRPr="00004A1E">
        <w:rPr>
          <w:rFonts w:ascii="Times New Roman" w:hAnsi="Times New Roman"/>
          <w:spacing w:val="6"/>
          <w:sz w:val="24"/>
          <w:szCs w:val="24"/>
        </w:rPr>
        <w:t>г. Рыбница и Рыбницко</w:t>
      </w:r>
      <w:r>
        <w:rPr>
          <w:rFonts w:ascii="Times New Roman" w:hAnsi="Times New Roman"/>
          <w:spacing w:val="6"/>
          <w:sz w:val="24"/>
          <w:szCs w:val="24"/>
        </w:rPr>
        <w:t>му</w:t>
      </w:r>
      <w:r w:rsidRPr="00004A1E">
        <w:rPr>
          <w:rFonts w:ascii="Times New Roman" w:hAnsi="Times New Roman"/>
          <w:spacing w:val="6"/>
          <w:sz w:val="24"/>
          <w:szCs w:val="24"/>
        </w:rPr>
        <w:t xml:space="preserve"> район</w:t>
      </w:r>
      <w:r>
        <w:rPr>
          <w:rFonts w:ascii="Times New Roman" w:hAnsi="Times New Roman"/>
          <w:spacing w:val="6"/>
          <w:sz w:val="24"/>
          <w:szCs w:val="24"/>
        </w:rPr>
        <w:t xml:space="preserve">у на 41,0%. </w:t>
      </w:r>
    </w:p>
    <w:p w:rsidR="00AB3853" w:rsidRPr="0080737A" w:rsidRDefault="001E7C56" w:rsidP="00AB3853">
      <w:pPr>
        <w:spacing w:after="0" w:line="240" w:lineRule="auto"/>
        <w:ind w:firstLine="720"/>
        <w:jc w:val="both"/>
        <w:rPr>
          <w:rFonts w:ascii="Times New Roman" w:hAnsi="Times New Roman"/>
          <w:spacing w:val="6"/>
          <w:sz w:val="24"/>
          <w:szCs w:val="24"/>
        </w:rPr>
      </w:pPr>
      <w:r>
        <w:rPr>
          <w:rFonts w:ascii="Times New Roman" w:hAnsi="Times New Roman"/>
          <w:spacing w:val="6"/>
          <w:sz w:val="24"/>
          <w:szCs w:val="24"/>
        </w:rPr>
        <w:lastRenderedPageBreak/>
        <w:t>Также</w:t>
      </w:r>
      <w:r w:rsidR="00AB3853">
        <w:rPr>
          <w:rFonts w:ascii="Times New Roman" w:hAnsi="Times New Roman"/>
          <w:spacing w:val="6"/>
          <w:sz w:val="24"/>
          <w:szCs w:val="24"/>
        </w:rPr>
        <w:t xml:space="preserve"> сокращение объема </w:t>
      </w:r>
      <w:r w:rsidR="00AB3853" w:rsidRPr="0080737A">
        <w:rPr>
          <w:rFonts w:ascii="Times New Roman" w:hAnsi="Times New Roman"/>
          <w:spacing w:val="6"/>
          <w:sz w:val="24"/>
          <w:szCs w:val="24"/>
        </w:rPr>
        <w:t>выбросов вредных веществ в атмосферу от стационарных источников</w:t>
      </w:r>
      <w:r w:rsidR="00AB3853">
        <w:rPr>
          <w:rFonts w:ascii="Times New Roman" w:hAnsi="Times New Roman"/>
          <w:spacing w:val="6"/>
          <w:sz w:val="24"/>
          <w:szCs w:val="24"/>
        </w:rPr>
        <w:t xml:space="preserve"> к базовому значению минувшего года</w:t>
      </w:r>
      <w:r w:rsidR="00AB3853" w:rsidRPr="0086179E">
        <w:rPr>
          <w:rFonts w:ascii="Times New Roman" w:hAnsi="Times New Roman"/>
          <w:spacing w:val="6"/>
          <w:sz w:val="24"/>
          <w:szCs w:val="24"/>
        </w:rPr>
        <w:t xml:space="preserve"> </w:t>
      </w:r>
      <w:r w:rsidR="00AB3853">
        <w:rPr>
          <w:rFonts w:ascii="Times New Roman" w:hAnsi="Times New Roman"/>
          <w:spacing w:val="6"/>
          <w:sz w:val="24"/>
          <w:szCs w:val="24"/>
        </w:rPr>
        <w:t>на 7,7% зафиксировано по г. Бендеры, п</w:t>
      </w:r>
      <w:r w:rsidR="00AB3853" w:rsidRPr="0080737A">
        <w:rPr>
          <w:rFonts w:ascii="Times New Roman" w:hAnsi="Times New Roman"/>
          <w:spacing w:val="6"/>
          <w:sz w:val="24"/>
          <w:szCs w:val="24"/>
        </w:rPr>
        <w:t xml:space="preserve">о </w:t>
      </w:r>
      <w:r w:rsidR="00AB3853">
        <w:rPr>
          <w:rFonts w:ascii="Times New Roman" w:hAnsi="Times New Roman"/>
          <w:spacing w:val="6"/>
          <w:sz w:val="24"/>
          <w:szCs w:val="24"/>
        </w:rPr>
        <w:t xml:space="preserve">всем остальным территориально-административным единицам республики </w:t>
      </w:r>
      <w:r w:rsidR="00AB3853" w:rsidRPr="0080737A">
        <w:rPr>
          <w:rFonts w:ascii="Times New Roman" w:hAnsi="Times New Roman"/>
          <w:spacing w:val="6"/>
          <w:sz w:val="24"/>
          <w:szCs w:val="24"/>
        </w:rPr>
        <w:t xml:space="preserve">отмечено </w:t>
      </w:r>
      <w:r w:rsidR="00AB3853">
        <w:rPr>
          <w:rFonts w:ascii="Times New Roman" w:hAnsi="Times New Roman"/>
          <w:spacing w:val="6"/>
          <w:sz w:val="24"/>
          <w:szCs w:val="24"/>
        </w:rPr>
        <w:t>их увеличение.</w:t>
      </w:r>
      <w:r w:rsidR="00AB3853" w:rsidRPr="0080737A">
        <w:rPr>
          <w:rFonts w:ascii="Times New Roman" w:hAnsi="Times New Roman"/>
          <w:spacing w:val="6"/>
          <w:sz w:val="24"/>
          <w:szCs w:val="24"/>
        </w:rPr>
        <w:t xml:space="preserve"> </w:t>
      </w:r>
    </w:p>
    <w:p w:rsidR="00EB1C50" w:rsidRPr="0080737A" w:rsidRDefault="00EB1C50" w:rsidP="00EB1C50">
      <w:pPr>
        <w:spacing w:after="0" w:line="240" w:lineRule="auto"/>
        <w:ind w:firstLine="709"/>
        <w:jc w:val="both"/>
        <w:rPr>
          <w:rFonts w:ascii="Times New Roman" w:hAnsi="Times New Roman"/>
          <w:spacing w:val="6"/>
          <w:sz w:val="24"/>
          <w:szCs w:val="24"/>
        </w:rPr>
      </w:pPr>
      <w:r w:rsidRPr="0080737A">
        <w:rPr>
          <w:rFonts w:ascii="Times New Roman" w:hAnsi="Times New Roman"/>
          <w:spacing w:val="6"/>
          <w:sz w:val="24"/>
          <w:szCs w:val="24"/>
        </w:rPr>
        <w:t xml:space="preserve">Преобладающее влияние на уровень загрязнения атмосферы городов и районам республики оказывают выбросы </w:t>
      </w:r>
      <w:r w:rsidRPr="0080737A">
        <w:rPr>
          <w:rFonts w:ascii="Times New Roman" w:hAnsi="Times New Roman"/>
          <w:i/>
          <w:spacing w:val="6"/>
          <w:sz w:val="24"/>
          <w:szCs w:val="24"/>
        </w:rPr>
        <w:t xml:space="preserve">от передвижных источников (автотранспорта) </w:t>
      </w:r>
      <w:r w:rsidRPr="0080737A">
        <w:rPr>
          <w:rFonts w:ascii="Times New Roman" w:hAnsi="Times New Roman"/>
          <w:spacing w:val="6"/>
          <w:sz w:val="24"/>
          <w:szCs w:val="24"/>
        </w:rPr>
        <w:t>(</w:t>
      </w:r>
      <w:r>
        <w:rPr>
          <w:rFonts w:ascii="Times New Roman" w:hAnsi="Times New Roman"/>
          <w:spacing w:val="6"/>
          <w:sz w:val="24"/>
          <w:szCs w:val="24"/>
        </w:rPr>
        <w:t>71,5</w:t>
      </w:r>
      <w:r w:rsidRPr="0080737A">
        <w:rPr>
          <w:rFonts w:ascii="Times New Roman" w:hAnsi="Times New Roman"/>
          <w:spacing w:val="6"/>
          <w:sz w:val="24"/>
          <w:szCs w:val="24"/>
        </w:rPr>
        <w:t>% от общего количества выбросов по республике). При этом объем данных выбросов в 2016 год</w:t>
      </w:r>
      <w:r>
        <w:rPr>
          <w:rFonts w:ascii="Times New Roman" w:hAnsi="Times New Roman"/>
          <w:spacing w:val="6"/>
          <w:sz w:val="24"/>
          <w:szCs w:val="24"/>
        </w:rPr>
        <w:t>у</w:t>
      </w:r>
      <w:r w:rsidRPr="0080737A">
        <w:rPr>
          <w:rFonts w:ascii="Times New Roman" w:hAnsi="Times New Roman"/>
          <w:spacing w:val="6"/>
          <w:sz w:val="24"/>
          <w:szCs w:val="24"/>
        </w:rPr>
        <w:t xml:space="preserve"> снизился по отношению к базовому уровню 2015 года на </w:t>
      </w:r>
      <w:r>
        <w:rPr>
          <w:rFonts w:ascii="Times New Roman" w:hAnsi="Times New Roman"/>
          <w:spacing w:val="6"/>
          <w:sz w:val="24"/>
          <w:szCs w:val="24"/>
        </w:rPr>
        <w:t>10,1</w:t>
      </w:r>
      <w:r w:rsidRPr="0080737A">
        <w:rPr>
          <w:rFonts w:ascii="Times New Roman" w:hAnsi="Times New Roman"/>
          <w:spacing w:val="6"/>
          <w:sz w:val="24"/>
          <w:szCs w:val="24"/>
        </w:rPr>
        <w:t xml:space="preserve">%, составив </w:t>
      </w:r>
      <w:r>
        <w:rPr>
          <w:rFonts w:ascii="Times New Roman" w:hAnsi="Times New Roman"/>
          <w:spacing w:val="6"/>
          <w:sz w:val="24"/>
          <w:szCs w:val="24"/>
        </w:rPr>
        <w:t>32 517,8</w:t>
      </w:r>
      <w:r w:rsidRPr="0080737A">
        <w:rPr>
          <w:rFonts w:ascii="Times New Roman" w:hAnsi="Times New Roman"/>
          <w:spacing w:val="6"/>
          <w:sz w:val="24"/>
          <w:szCs w:val="24"/>
        </w:rPr>
        <w:t xml:space="preserve"> тонн.</w:t>
      </w:r>
    </w:p>
    <w:p w:rsidR="00EB1C50" w:rsidRPr="0080737A" w:rsidRDefault="00EB1C50" w:rsidP="00EB1C50">
      <w:pPr>
        <w:spacing w:after="0" w:line="240" w:lineRule="auto"/>
        <w:ind w:firstLine="720"/>
        <w:jc w:val="center"/>
        <w:rPr>
          <w:rFonts w:ascii="Times New Roman" w:hAnsi="Times New Roman"/>
          <w:b/>
          <w:sz w:val="24"/>
          <w:szCs w:val="24"/>
        </w:rPr>
      </w:pPr>
      <w:r w:rsidRPr="0080737A">
        <w:rPr>
          <w:rFonts w:ascii="Times New Roman" w:hAnsi="Times New Roman"/>
          <w:b/>
          <w:sz w:val="24"/>
          <w:szCs w:val="24"/>
        </w:rPr>
        <w:t xml:space="preserve">Структура выбросов вредных веществ </w:t>
      </w:r>
    </w:p>
    <w:p w:rsidR="00EB1C50" w:rsidRPr="0080737A" w:rsidRDefault="00EB1C50" w:rsidP="00EB1C50">
      <w:pPr>
        <w:spacing w:after="0" w:line="240" w:lineRule="auto"/>
        <w:ind w:firstLine="720"/>
        <w:jc w:val="center"/>
        <w:rPr>
          <w:rFonts w:ascii="Times New Roman" w:hAnsi="Times New Roman"/>
          <w:b/>
          <w:sz w:val="24"/>
          <w:szCs w:val="24"/>
        </w:rPr>
      </w:pPr>
      <w:r w:rsidRPr="0080737A">
        <w:rPr>
          <w:rFonts w:ascii="Times New Roman" w:hAnsi="Times New Roman"/>
          <w:b/>
          <w:sz w:val="24"/>
          <w:szCs w:val="24"/>
        </w:rPr>
        <w:t>в атмосферный воздух ( тыс. тонн; %)</w:t>
      </w:r>
    </w:p>
    <w:p w:rsidR="00EB1C50" w:rsidRDefault="00EB1C50" w:rsidP="00DC2B8A">
      <w:pPr>
        <w:rPr>
          <w:rFonts w:eastAsia="Calibri"/>
        </w:rPr>
      </w:pPr>
      <w:r w:rsidRPr="00EB1C50">
        <w:rPr>
          <w:rFonts w:eastAsia="Calibri"/>
          <w:noProof/>
        </w:rPr>
        <w:drawing>
          <wp:inline distT="0" distB="0" distL="0" distR="0">
            <wp:extent cx="3467100" cy="1257300"/>
            <wp:effectExtent l="19050" t="0" r="0" b="0"/>
            <wp:docPr id="13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EB1C50">
        <w:rPr>
          <w:rFonts w:eastAsia="Calibri"/>
          <w:noProof/>
        </w:rPr>
        <w:drawing>
          <wp:inline distT="0" distB="0" distL="0" distR="0">
            <wp:extent cx="2295525" cy="1228725"/>
            <wp:effectExtent l="19050" t="0" r="0" b="0"/>
            <wp:docPr id="137"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B1C50" w:rsidRPr="0080737A" w:rsidRDefault="00EB1C50" w:rsidP="00EB1C50">
      <w:pPr>
        <w:spacing w:after="0" w:line="240" w:lineRule="auto"/>
        <w:ind w:firstLine="709"/>
        <w:jc w:val="both"/>
        <w:rPr>
          <w:rFonts w:ascii="Times New Roman" w:hAnsi="Times New Roman"/>
          <w:sz w:val="24"/>
          <w:szCs w:val="24"/>
        </w:rPr>
      </w:pPr>
      <w:r w:rsidRPr="00273C27">
        <w:rPr>
          <w:rFonts w:ascii="Times New Roman" w:hAnsi="Times New Roman"/>
          <w:spacing w:val="5"/>
          <w:sz w:val="24"/>
          <w:szCs w:val="24"/>
        </w:rPr>
        <w:t>В</w:t>
      </w:r>
      <w:r>
        <w:rPr>
          <w:rFonts w:ascii="Times New Roman" w:hAnsi="Times New Roman"/>
          <w:spacing w:val="5"/>
          <w:sz w:val="24"/>
          <w:szCs w:val="24"/>
        </w:rPr>
        <w:t>следствие</w:t>
      </w:r>
      <w:r w:rsidRPr="00273C27">
        <w:rPr>
          <w:rFonts w:ascii="Times New Roman" w:hAnsi="Times New Roman"/>
          <w:spacing w:val="5"/>
          <w:sz w:val="24"/>
          <w:szCs w:val="24"/>
        </w:rPr>
        <w:t xml:space="preserve"> сокращения объемов реализации топлива и газа автозаправочными станциями и автомобильными газонаполнительными компрессорными станциями,</w:t>
      </w:r>
      <w:r w:rsidRPr="00273C27">
        <w:rPr>
          <w:rFonts w:ascii="Times New Roman" w:hAnsi="Times New Roman"/>
          <w:sz w:val="24"/>
          <w:szCs w:val="24"/>
        </w:rPr>
        <w:t xml:space="preserve"> практически по всем </w:t>
      </w:r>
      <w:r w:rsidRPr="00273C27">
        <w:rPr>
          <w:rFonts w:ascii="Times New Roman" w:hAnsi="Times New Roman"/>
          <w:spacing w:val="5"/>
          <w:sz w:val="24"/>
          <w:szCs w:val="24"/>
        </w:rPr>
        <w:t xml:space="preserve">муниципальным единицам республики зафиксировано снижение уровня выбросов от передвижных источников. Однако </w:t>
      </w:r>
      <w:r w:rsidRPr="00273C27">
        <w:rPr>
          <w:rFonts w:ascii="Times New Roman" w:hAnsi="Times New Roman"/>
          <w:sz w:val="24"/>
          <w:szCs w:val="24"/>
        </w:rPr>
        <w:t xml:space="preserve">за счет увеличения количества транспортных средств, а также ухудшения их общего технического состояния, повышение уровня данных выбросов на 21,6% к уровню 2015 года наблюдается по </w:t>
      </w:r>
      <w:r w:rsidRPr="00273C27">
        <w:rPr>
          <w:rFonts w:ascii="Times New Roman" w:hAnsi="Times New Roman"/>
        </w:rPr>
        <w:t>г. Каменка и Каменскому району.</w:t>
      </w:r>
    </w:p>
    <w:p w:rsidR="00EB1C50" w:rsidRDefault="00EB1C50" w:rsidP="00EB1C50">
      <w:pPr>
        <w:spacing w:after="0" w:line="240" w:lineRule="auto"/>
        <w:ind w:firstLine="709"/>
        <w:jc w:val="both"/>
        <w:rPr>
          <w:rFonts w:ascii="Times New Roman" w:hAnsi="Times New Roman"/>
          <w:sz w:val="24"/>
          <w:szCs w:val="24"/>
        </w:rPr>
      </w:pPr>
      <w:r>
        <w:rPr>
          <w:rFonts w:ascii="Times New Roman" w:hAnsi="Times New Roman"/>
          <w:sz w:val="24"/>
          <w:szCs w:val="24"/>
        </w:rPr>
        <w:t>С целью</w:t>
      </w:r>
      <w:r w:rsidRPr="0080737A">
        <w:rPr>
          <w:rFonts w:ascii="Times New Roman" w:hAnsi="Times New Roman"/>
          <w:sz w:val="24"/>
          <w:szCs w:val="24"/>
        </w:rPr>
        <w:t xml:space="preserve"> </w:t>
      </w:r>
      <w:r w:rsidRPr="00554CAB">
        <w:rPr>
          <w:rFonts w:ascii="Times New Roman" w:hAnsi="Times New Roman"/>
          <w:sz w:val="24"/>
          <w:szCs w:val="24"/>
          <w:u w:val="single"/>
        </w:rPr>
        <w:t>планирования рационального использования, восстановления и охраны водных и рыбных ресурсов</w:t>
      </w:r>
      <w:r w:rsidRPr="00554CAB">
        <w:rPr>
          <w:rFonts w:ascii="Times New Roman" w:hAnsi="Times New Roman"/>
          <w:b/>
          <w:sz w:val="24"/>
          <w:szCs w:val="24"/>
          <w:u w:val="single"/>
        </w:rPr>
        <w:t xml:space="preserve"> </w:t>
      </w:r>
      <w:r w:rsidRPr="00554CAB">
        <w:rPr>
          <w:rFonts w:ascii="Times New Roman" w:hAnsi="Times New Roman"/>
          <w:sz w:val="24"/>
          <w:szCs w:val="24"/>
          <w:u w:val="single"/>
        </w:rPr>
        <w:t>республики</w:t>
      </w:r>
      <w:r w:rsidRPr="00554CAB">
        <w:rPr>
          <w:rFonts w:ascii="Times New Roman" w:hAnsi="Times New Roman"/>
          <w:sz w:val="24"/>
          <w:szCs w:val="24"/>
        </w:rPr>
        <w:t xml:space="preserve"> </w:t>
      </w:r>
      <w:r>
        <w:rPr>
          <w:rFonts w:ascii="Times New Roman" w:hAnsi="Times New Roman"/>
          <w:sz w:val="24"/>
          <w:szCs w:val="24"/>
        </w:rPr>
        <w:t>в</w:t>
      </w:r>
      <w:r w:rsidRPr="0080737A">
        <w:rPr>
          <w:rFonts w:ascii="Times New Roman" w:hAnsi="Times New Roman"/>
          <w:sz w:val="24"/>
          <w:szCs w:val="24"/>
        </w:rPr>
        <w:t xml:space="preserve"> 2016 год</w:t>
      </w:r>
      <w:r>
        <w:rPr>
          <w:rFonts w:ascii="Times New Roman" w:hAnsi="Times New Roman"/>
          <w:sz w:val="24"/>
          <w:szCs w:val="24"/>
        </w:rPr>
        <w:t>у:</w:t>
      </w:r>
    </w:p>
    <w:p w:rsidR="00EB1C50" w:rsidRPr="00AD5414" w:rsidRDefault="00EB1C50" w:rsidP="00EB1C50">
      <w:pPr>
        <w:pStyle w:val="a5"/>
        <w:numPr>
          <w:ilvl w:val="0"/>
          <w:numId w:val="5"/>
        </w:numPr>
        <w:tabs>
          <w:tab w:val="left" w:pos="284"/>
          <w:tab w:val="left" w:pos="993"/>
        </w:tabs>
        <w:spacing w:after="0" w:line="240" w:lineRule="auto"/>
        <w:ind w:left="0" w:firstLine="709"/>
        <w:jc w:val="both"/>
        <w:rPr>
          <w:rFonts w:ascii="Times New Roman" w:hAnsi="Times New Roman"/>
          <w:sz w:val="24"/>
          <w:szCs w:val="24"/>
        </w:rPr>
      </w:pPr>
      <w:r w:rsidRPr="00AD5414">
        <w:rPr>
          <w:rFonts w:ascii="Times New Roman" w:hAnsi="Times New Roman"/>
          <w:sz w:val="24"/>
          <w:szCs w:val="24"/>
        </w:rPr>
        <w:t>установлено 1 082 лимита водопользования, а также выдано разрешений на специальное водопользование по 113 объектам, тогда как в 2015 году их количество составляло 1 222 и 66 единиц соответственно.</w:t>
      </w:r>
    </w:p>
    <w:p w:rsidR="00EB1C50" w:rsidRPr="00AD5414" w:rsidRDefault="00EB1C50" w:rsidP="00EB1C50">
      <w:pPr>
        <w:pStyle w:val="a5"/>
        <w:numPr>
          <w:ilvl w:val="0"/>
          <w:numId w:val="5"/>
        </w:numPr>
        <w:tabs>
          <w:tab w:val="left" w:pos="0"/>
          <w:tab w:val="left" w:pos="284"/>
          <w:tab w:val="left" w:pos="993"/>
        </w:tabs>
        <w:spacing w:after="0" w:line="240" w:lineRule="auto"/>
        <w:ind w:left="0" w:firstLine="709"/>
        <w:jc w:val="both"/>
        <w:rPr>
          <w:rFonts w:ascii="Times New Roman" w:hAnsi="Times New Roman"/>
          <w:sz w:val="24"/>
          <w:szCs w:val="24"/>
        </w:rPr>
      </w:pPr>
      <w:r w:rsidRPr="00AD5414">
        <w:rPr>
          <w:rFonts w:ascii="Times New Roman" w:hAnsi="Times New Roman"/>
          <w:sz w:val="24"/>
          <w:szCs w:val="24"/>
        </w:rPr>
        <w:t xml:space="preserve">проведена государственная экспертиза предпроектной и проектной документации на строительство и реконструкцию хозяйственных и других объектов, влияющих на состояние водных объектов по </w:t>
      </w:r>
      <w:r>
        <w:rPr>
          <w:rFonts w:ascii="Times New Roman" w:hAnsi="Times New Roman"/>
          <w:sz w:val="24"/>
          <w:szCs w:val="24"/>
        </w:rPr>
        <w:t>128</w:t>
      </w:r>
      <w:r w:rsidRPr="00AD5414">
        <w:rPr>
          <w:rFonts w:ascii="Times New Roman" w:hAnsi="Times New Roman"/>
          <w:sz w:val="24"/>
          <w:szCs w:val="24"/>
        </w:rPr>
        <w:t xml:space="preserve"> объектам, против </w:t>
      </w:r>
      <w:r>
        <w:rPr>
          <w:rFonts w:ascii="Times New Roman" w:hAnsi="Times New Roman"/>
          <w:sz w:val="24"/>
          <w:szCs w:val="24"/>
        </w:rPr>
        <w:t>143</w:t>
      </w:r>
      <w:r w:rsidRPr="00AD5414">
        <w:rPr>
          <w:rFonts w:ascii="Times New Roman" w:hAnsi="Times New Roman"/>
          <w:sz w:val="24"/>
          <w:szCs w:val="24"/>
        </w:rPr>
        <w:t xml:space="preserve"> в базовом периоде минувшего года;</w:t>
      </w:r>
    </w:p>
    <w:p w:rsidR="00EB1C50" w:rsidRDefault="00EB1C50" w:rsidP="00EB1C50">
      <w:pPr>
        <w:pStyle w:val="a5"/>
        <w:numPr>
          <w:ilvl w:val="0"/>
          <w:numId w:val="5"/>
        </w:numPr>
        <w:tabs>
          <w:tab w:val="left" w:pos="993"/>
        </w:tabs>
        <w:spacing w:after="0" w:line="240" w:lineRule="auto"/>
        <w:ind w:left="0" w:firstLine="709"/>
        <w:jc w:val="both"/>
        <w:rPr>
          <w:rFonts w:ascii="Times New Roman" w:hAnsi="Times New Roman"/>
          <w:sz w:val="24"/>
          <w:szCs w:val="24"/>
        </w:rPr>
      </w:pPr>
      <w:r w:rsidRPr="00AD5414">
        <w:rPr>
          <w:rFonts w:ascii="Times New Roman" w:hAnsi="Times New Roman"/>
          <w:sz w:val="24"/>
          <w:szCs w:val="24"/>
        </w:rPr>
        <w:t xml:space="preserve">опломбировано первичных приборов учета забираемой воды водопользователей на 80 объектах, что </w:t>
      </w:r>
      <w:r>
        <w:rPr>
          <w:rFonts w:ascii="Times New Roman" w:hAnsi="Times New Roman"/>
          <w:sz w:val="24"/>
          <w:szCs w:val="24"/>
        </w:rPr>
        <w:t>на 17 объектов</w:t>
      </w:r>
      <w:r w:rsidRPr="00AD5414">
        <w:rPr>
          <w:rFonts w:ascii="Times New Roman" w:hAnsi="Times New Roman"/>
          <w:sz w:val="24"/>
          <w:szCs w:val="24"/>
        </w:rPr>
        <w:t xml:space="preserve"> больше чем в 2015 году;</w:t>
      </w:r>
    </w:p>
    <w:p w:rsidR="00EB1C50" w:rsidRDefault="00EB1C50" w:rsidP="00EB1C50">
      <w:pPr>
        <w:pStyle w:val="a5"/>
        <w:numPr>
          <w:ilvl w:val="0"/>
          <w:numId w:val="5"/>
        </w:numPr>
        <w:tabs>
          <w:tab w:val="left" w:pos="993"/>
        </w:tabs>
        <w:spacing w:after="0" w:line="240" w:lineRule="auto"/>
        <w:ind w:left="0" w:firstLine="709"/>
        <w:jc w:val="both"/>
        <w:rPr>
          <w:rFonts w:ascii="Times New Roman" w:hAnsi="Times New Roman"/>
          <w:sz w:val="24"/>
          <w:szCs w:val="24"/>
        </w:rPr>
      </w:pPr>
      <w:r w:rsidRPr="00B52D40">
        <w:rPr>
          <w:rFonts w:ascii="Times New Roman" w:hAnsi="Times New Roman"/>
          <w:sz w:val="24"/>
          <w:szCs w:val="24"/>
        </w:rPr>
        <w:t>в рамках выполнения мероприятий, направленных на сохранение, поддержание и увеличение рыбных запасов было проведено</w:t>
      </w:r>
      <w:r>
        <w:rPr>
          <w:rFonts w:ascii="Times New Roman" w:hAnsi="Times New Roman"/>
          <w:sz w:val="24"/>
          <w:szCs w:val="24"/>
        </w:rPr>
        <w:t>:</w:t>
      </w:r>
    </w:p>
    <w:p w:rsidR="00EB1C50" w:rsidRPr="00B52D40" w:rsidRDefault="00EB1C50" w:rsidP="00EB1C50">
      <w:pPr>
        <w:pStyle w:val="a5"/>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B52D40">
        <w:rPr>
          <w:rFonts w:ascii="Times New Roman" w:hAnsi="Times New Roman"/>
          <w:sz w:val="24"/>
          <w:szCs w:val="24"/>
        </w:rPr>
        <w:t xml:space="preserve"> зарыбление рыбохозяйственных водоемов разновозрастными группами промысловых видов рыб (белый и пестрый толстолобик, белый амур, карп карась, судак, лещ, тарань</w:t>
      </w:r>
      <w:r>
        <w:rPr>
          <w:rFonts w:ascii="Times New Roman" w:hAnsi="Times New Roman"/>
          <w:sz w:val="24"/>
          <w:szCs w:val="24"/>
        </w:rPr>
        <w:t xml:space="preserve"> (плотва)</w:t>
      </w:r>
      <w:r w:rsidRPr="00B52D40">
        <w:rPr>
          <w:rFonts w:ascii="Times New Roman" w:hAnsi="Times New Roman"/>
          <w:sz w:val="24"/>
          <w:szCs w:val="24"/>
        </w:rPr>
        <w:t xml:space="preserve">) общим весом </w:t>
      </w:r>
      <w:r>
        <w:rPr>
          <w:rFonts w:ascii="Times New Roman" w:hAnsi="Times New Roman"/>
          <w:sz w:val="24"/>
          <w:szCs w:val="24"/>
        </w:rPr>
        <w:t>39 280,8</w:t>
      </w:r>
      <w:r w:rsidRPr="00B52D40">
        <w:rPr>
          <w:rFonts w:ascii="Times New Roman" w:hAnsi="Times New Roman"/>
          <w:sz w:val="24"/>
          <w:szCs w:val="24"/>
        </w:rPr>
        <w:t xml:space="preserve"> кг</w:t>
      </w:r>
      <w:r>
        <w:rPr>
          <w:rFonts w:ascii="Times New Roman" w:hAnsi="Times New Roman"/>
          <w:sz w:val="24"/>
          <w:szCs w:val="24"/>
        </w:rPr>
        <w:t>,</w:t>
      </w:r>
      <w:r w:rsidRPr="00B52D40">
        <w:rPr>
          <w:rFonts w:ascii="Times New Roman" w:hAnsi="Times New Roman"/>
          <w:sz w:val="24"/>
          <w:szCs w:val="24"/>
        </w:rPr>
        <w:t xml:space="preserve"> в </w:t>
      </w:r>
      <w:r>
        <w:rPr>
          <w:rFonts w:ascii="Times New Roman" w:hAnsi="Times New Roman"/>
          <w:sz w:val="24"/>
          <w:szCs w:val="24"/>
        </w:rPr>
        <w:t>январе-декабре 2015 года их вес составлял 44 113 кг;</w:t>
      </w:r>
    </w:p>
    <w:p w:rsidR="00EB1C50" w:rsidRPr="007D2B13" w:rsidRDefault="00EB1C50" w:rsidP="00EB1C50">
      <w:pPr>
        <w:tabs>
          <w:tab w:val="left" w:pos="1134"/>
        </w:tabs>
        <w:spacing w:after="0" w:line="240" w:lineRule="auto"/>
        <w:ind w:firstLine="709"/>
        <w:jc w:val="both"/>
        <w:rPr>
          <w:rFonts w:ascii="Times New Roman" w:hAnsi="Times New Roman"/>
          <w:sz w:val="24"/>
          <w:szCs w:val="24"/>
        </w:rPr>
      </w:pPr>
      <w:r w:rsidRPr="0080737A">
        <w:rPr>
          <w:rFonts w:ascii="Times New Roman" w:hAnsi="Times New Roman"/>
          <w:sz w:val="24"/>
          <w:szCs w:val="24"/>
        </w:rPr>
        <w:t>-</w:t>
      </w:r>
      <w:r w:rsidRPr="0080737A">
        <w:rPr>
          <w:rFonts w:ascii="Times New Roman" w:hAnsi="Times New Roman"/>
          <w:sz w:val="24"/>
          <w:szCs w:val="24"/>
        </w:rPr>
        <w:tab/>
      </w:r>
      <w:r w:rsidRPr="007D2B13">
        <w:rPr>
          <w:rFonts w:ascii="Times New Roman" w:hAnsi="Times New Roman"/>
          <w:sz w:val="24"/>
          <w:szCs w:val="24"/>
        </w:rPr>
        <w:t xml:space="preserve">пользователями, осуществляющими промысловое рыболовство, во исполнение договорных обязательств, проведены работы по компенсационному зарыблению (под квоту вылова) реки Днестр, протоки Турунчук и Дубоссарского водохранилища годовиком промысловых видов рыб общим весом 23 154,6 кг в количестве 771,3 тыс. шт. </w:t>
      </w:r>
    </w:p>
    <w:p w:rsidR="00EB1C50" w:rsidRDefault="00EB1C50" w:rsidP="00EB1C50">
      <w:pPr>
        <w:tabs>
          <w:tab w:val="left" w:pos="1134"/>
        </w:tabs>
        <w:spacing w:after="0" w:line="240" w:lineRule="auto"/>
        <w:ind w:firstLine="709"/>
        <w:jc w:val="both"/>
        <w:rPr>
          <w:rFonts w:ascii="Times New Roman" w:hAnsi="Times New Roman"/>
          <w:sz w:val="24"/>
          <w:szCs w:val="24"/>
        </w:rPr>
      </w:pPr>
      <w:r w:rsidRPr="007D2B13">
        <w:rPr>
          <w:rFonts w:ascii="Times New Roman" w:hAnsi="Times New Roman"/>
          <w:sz w:val="24"/>
          <w:szCs w:val="24"/>
        </w:rPr>
        <w:t xml:space="preserve">- </w:t>
      </w:r>
      <w:r w:rsidRPr="007D2B13">
        <w:rPr>
          <w:rFonts w:ascii="Times New Roman" w:hAnsi="Times New Roman"/>
          <w:sz w:val="24"/>
          <w:szCs w:val="24"/>
        </w:rPr>
        <w:tab/>
        <w:t>ЗАО «Молдавская ГРЭС» в счет компенсации за ущерб, причиненный работой водозаборных сооружений, а также в целях биологической мелиорации были выпущены в Кучурганское водохранилище подрощенные личинки (судак, толстолобик, белый амур, лещ, тарань, карась) в количестве 8</w:t>
      </w:r>
      <w:r w:rsidRPr="007D2B13">
        <w:rPr>
          <w:rFonts w:ascii="Times New Roman" w:hAnsi="Times New Roman"/>
          <w:sz w:val="24"/>
          <w:szCs w:val="24"/>
          <w:lang w:val="en-US"/>
        </w:rPr>
        <w:t> </w:t>
      </w:r>
      <w:r w:rsidRPr="007D2B13">
        <w:rPr>
          <w:rFonts w:ascii="Times New Roman" w:hAnsi="Times New Roman"/>
          <w:sz w:val="24"/>
          <w:szCs w:val="24"/>
        </w:rPr>
        <w:t xml:space="preserve">230 тыс. шт., годовик растительных видов рыб весом </w:t>
      </w:r>
      <w:r>
        <w:rPr>
          <w:rFonts w:ascii="Times New Roman" w:hAnsi="Times New Roman"/>
          <w:sz w:val="24"/>
          <w:szCs w:val="24"/>
        </w:rPr>
        <w:br/>
      </w:r>
      <w:r w:rsidRPr="007D2B13">
        <w:rPr>
          <w:rFonts w:ascii="Times New Roman" w:hAnsi="Times New Roman"/>
          <w:sz w:val="24"/>
          <w:szCs w:val="24"/>
        </w:rPr>
        <w:t>8 000,0 кг в количестве 266,7 тыс. шт.</w:t>
      </w:r>
    </w:p>
    <w:p w:rsidR="00EB1C50" w:rsidRPr="0080737A" w:rsidRDefault="00EB1C50" w:rsidP="00EB1C50">
      <w:pPr>
        <w:tabs>
          <w:tab w:val="left" w:pos="1134"/>
        </w:tabs>
        <w:spacing w:after="0" w:line="240" w:lineRule="auto"/>
        <w:ind w:firstLine="709"/>
        <w:jc w:val="both"/>
        <w:rPr>
          <w:rFonts w:ascii="Times New Roman" w:hAnsi="Times New Roman"/>
          <w:sz w:val="24"/>
          <w:szCs w:val="24"/>
        </w:rPr>
      </w:pPr>
      <w:r w:rsidRPr="00563451">
        <w:rPr>
          <w:rFonts w:ascii="Times New Roman" w:hAnsi="Times New Roman"/>
          <w:sz w:val="24"/>
          <w:szCs w:val="24"/>
        </w:rPr>
        <w:t xml:space="preserve">По итогам 2016 года за разрешения в целях осуществления промыслового рыболовства, любительского и спортивного рыболовства с плавсредств и подводной охоты в </w:t>
      </w:r>
      <w:r w:rsidRPr="00563451">
        <w:rPr>
          <w:rFonts w:ascii="Times New Roman" w:hAnsi="Times New Roman"/>
          <w:sz w:val="24"/>
          <w:szCs w:val="24"/>
        </w:rPr>
        <w:lastRenderedPageBreak/>
        <w:t xml:space="preserve">Республиканский целевой бюджетный экологический фонд было перечислено порядка </w:t>
      </w:r>
      <w:r>
        <w:rPr>
          <w:rFonts w:ascii="Times New Roman" w:hAnsi="Times New Roman"/>
          <w:sz w:val="24"/>
          <w:szCs w:val="24"/>
        </w:rPr>
        <w:br/>
      </w:r>
      <w:r w:rsidRPr="00563451">
        <w:rPr>
          <w:rFonts w:ascii="Times New Roman" w:hAnsi="Times New Roman"/>
          <w:sz w:val="24"/>
          <w:szCs w:val="24"/>
        </w:rPr>
        <w:t>400,1 тыс. руб. ПМР, что на 81,9% превышает базовое значение минувшего года.</w:t>
      </w:r>
    </w:p>
    <w:p w:rsidR="00EB1C50" w:rsidRPr="0080737A" w:rsidRDefault="00EB1C50" w:rsidP="00EB1C50">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области </w:t>
      </w:r>
      <w:r w:rsidRPr="0080737A">
        <w:rPr>
          <w:rFonts w:ascii="Times New Roman" w:hAnsi="Times New Roman"/>
          <w:b/>
          <w:sz w:val="24"/>
          <w:szCs w:val="24"/>
        </w:rPr>
        <w:t>охраны и использования лесных ресурсов</w:t>
      </w:r>
      <w:r w:rsidRPr="0080737A">
        <w:rPr>
          <w:rFonts w:ascii="Times New Roman" w:hAnsi="Times New Roman"/>
          <w:sz w:val="24"/>
          <w:szCs w:val="24"/>
        </w:rPr>
        <w:t xml:space="preserve"> в 2016 год</w:t>
      </w:r>
      <w:r>
        <w:rPr>
          <w:rFonts w:ascii="Times New Roman" w:hAnsi="Times New Roman"/>
          <w:sz w:val="24"/>
          <w:szCs w:val="24"/>
        </w:rPr>
        <w:t xml:space="preserve">у </w:t>
      </w:r>
      <w:r w:rsidRPr="0080737A">
        <w:rPr>
          <w:rFonts w:ascii="Times New Roman" w:hAnsi="Times New Roman"/>
          <w:sz w:val="24"/>
          <w:szCs w:val="24"/>
        </w:rPr>
        <w:t>проводились мероприятия, направленные на повышение экологической безопасности региона, увеличение лесистости территории, выращивание высокопродуктивных, экологически устойчивых лесов, их охрану и защиту.</w:t>
      </w:r>
    </w:p>
    <w:p w:rsidR="00EB1C50" w:rsidRPr="00004A1E" w:rsidRDefault="00EB1C50" w:rsidP="00EB1C50">
      <w:pPr>
        <w:spacing w:after="0" w:line="240" w:lineRule="auto"/>
        <w:ind w:firstLine="567"/>
        <w:jc w:val="both"/>
        <w:rPr>
          <w:rFonts w:ascii="Times New Roman" w:hAnsi="Times New Roman"/>
          <w:sz w:val="24"/>
          <w:szCs w:val="24"/>
        </w:rPr>
      </w:pPr>
      <w:r w:rsidRPr="0080737A">
        <w:rPr>
          <w:rFonts w:ascii="Times New Roman" w:hAnsi="Times New Roman"/>
          <w:sz w:val="24"/>
          <w:szCs w:val="24"/>
        </w:rPr>
        <w:t xml:space="preserve">Для этого проведены рубки ухода за лесом и выборочные санитарные рубки на площади </w:t>
      </w:r>
      <w:r>
        <w:rPr>
          <w:rFonts w:ascii="Times New Roman" w:hAnsi="Times New Roman"/>
          <w:sz w:val="24"/>
          <w:szCs w:val="24"/>
        </w:rPr>
        <w:t xml:space="preserve">448 </w:t>
      </w:r>
      <w:r w:rsidRPr="0080737A">
        <w:rPr>
          <w:rFonts w:ascii="Times New Roman" w:hAnsi="Times New Roman"/>
          <w:sz w:val="24"/>
          <w:szCs w:val="24"/>
        </w:rPr>
        <w:t xml:space="preserve">га с общим объемом выбираемой древесины </w:t>
      </w:r>
      <w:r>
        <w:rPr>
          <w:rFonts w:ascii="Times New Roman" w:hAnsi="Times New Roman"/>
          <w:sz w:val="24"/>
          <w:szCs w:val="24"/>
        </w:rPr>
        <w:t>6 635</w:t>
      </w:r>
      <w:r w:rsidRPr="0080737A">
        <w:rPr>
          <w:rFonts w:ascii="Times New Roman" w:hAnsi="Times New Roman"/>
          <w:sz w:val="24"/>
          <w:szCs w:val="24"/>
        </w:rPr>
        <w:t xml:space="preserve"> м</w:t>
      </w:r>
      <w:r w:rsidRPr="0080737A">
        <w:rPr>
          <w:rFonts w:ascii="Times New Roman" w:hAnsi="Times New Roman"/>
          <w:sz w:val="24"/>
          <w:szCs w:val="24"/>
          <w:vertAlign w:val="superscript"/>
        </w:rPr>
        <w:t>3</w:t>
      </w:r>
      <w:r>
        <w:rPr>
          <w:rFonts w:ascii="Times New Roman" w:hAnsi="Times New Roman"/>
          <w:sz w:val="24"/>
          <w:szCs w:val="24"/>
          <w:vertAlign w:val="superscript"/>
        </w:rPr>
        <w:t xml:space="preserve"> </w:t>
      </w:r>
      <w:r w:rsidRPr="00004A1E">
        <w:rPr>
          <w:rFonts w:ascii="Times New Roman" w:hAnsi="Times New Roman"/>
          <w:sz w:val="24"/>
          <w:szCs w:val="24"/>
        </w:rPr>
        <w:t>(в 201</w:t>
      </w:r>
      <w:r>
        <w:rPr>
          <w:rFonts w:ascii="Times New Roman" w:hAnsi="Times New Roman"/>
          <w:sz w:val="24"/>
          <w:szCs w:val="24"/>
        </w:rPr>
        <w:t>5</w:t>
      </w:r>
      <w:r w:rsidRPr="00004A1E">
        <w:rPr>
          <w:rFonts w:ascii="Times New Roman" w:hAnsi="Times New Roman"/>
          <w:sz w:val="24"/>
          <w:szCs w:val="24"/>
        </w:rPr>
        <w:t xml:space="preserve"> году на площади </w:t>
      </w:r>
      <w:r>
        <w:rPr>
          <w:rFonts w:ascii="Times New Roman" w:hAnsi="Times New Roman"/>
          <w:sz w:val="24"/>
          <w:szCs w:val="24"/>
        </w:rPr>
        <w:t>445</w:t>
      </w:r>
      <w:r w:rsidRPr="00004A1E">
        <w:rPr>
          <w:rFonts w:ascii="Times New Roman" w:hAnsi="Times New Roman"/>
          <w:sz w:val="24"/>
          <w:szCs w:val="24"/>
        </w:rPr>
        <w:t xml:space="preserve"> га с общим объемом выбираемой древесины </w:t>
      </w:r>
      <w:r>
        <w:rPr>
          <w:rFonts w:ascii="Times New Roman" w:hAnsi="Times New Roman"/>
          <w:sz w:val="24"/>
          <w:szCs w:val="24"/>
        </w:rPr>
        <w:t>7 171</w:t>
      </w:r>
      <w:r w:rsidRPr="00004A1E">
        <w:rPr>
          <w:rFonts w:ascii="Times New Roman" w:hAnsi="Times New Roman"/>
          <w:sz w:val="24"/>
          <w:szCs w:val="24"/>
        </w:rPr>
        <w:t xml:space="preserve"> м</w:t>
      </w:r>
      <w:r w:rsidRPr="00004A1E">
        <w:rPr>
          <w:rFonts w:ascii="Times New Roman" w:hAnsi="Times New Roman"/>
          <w:sz w:val="24"/>
          <w:szCs w:val="24"/>
          <w:vertAlign w:val="superscript"/>
        </w:rPr>
        <w:t>3</w:t>
      </w:r>
      <w:r w:rsidRPr="00004A1E">
        <w:rPr>
          <w:rFonts w:ascii="Times New Roman" w:hAnsi="Times New Roman"/>
          <w:sz w:val="24"/>
          <w:szCs w:val="24"/>
        </w:rPr>
        <w:t>).</w:t>
      </w:r>
    </w:p>
    <w:p w:rsidR="00EB1C50" w:rsidRPr="0080737A" w:rsidRDefault="00EB1C50" w:rsidP="00EB1C50">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Сплошные санитарные рубки, которые предусматривают замену насаждений, утративших свои экологические функции на биологически устойчивые продуктивные насаждения, проведены на площади </w:t>
      </w:r>
      <w:r>
        <w:rPr>
          <w:rFonts w:ascii="Times New Roman" w:hAnsi="Times New Roman"/>
          <w:sz w:val="24"/>
          <w:szCs w:val="24"/>
        </w:rPr>
        <w:t>48</w:t>
      </w:r>
      <w:r w:rsidRPr="0080737A">
        <w:rPr>
          <w:rFonts w:ascii="Times New Roman" w:hAnsi="Times New Roman"/>
          <w:sz w:val="24"/>
          <w:szCs w:val="24"/>
        </w:rPr>
        <w:t xml:space="preserve"> га</w:t>
      </w:r>
      <w:r>
        <w:rPr>
          <w:rFonts w:ascii="Times New Roman" w:hAnsi="Times New Roman"/>
          <w:sz w:val="24"/>
          <w:szCs w:val="24"/>
        </w:rPr>
        <w:t>, что вдвое меньше объемов минувшего года</w:t>
      </w:r>
      <w:r w:rsidRPr="0080737A">
        <w:rPr>
          <w:rFonts w:ascii="Times New Roman" w:hAnsi="Times New Roman"/>
          <w:sz w:val="24"/>
          <w:szCs w:val="24"/>
        </w:rPr>
        <w:t>.</w:t>
      </w:r>
    </w:p>
    <w:p w:rsidR="00EB1C50" w:rsidRDefault="00EB1C50" w:rsidP="00EB1C50">
      <w:pPr>
        <w:autoSpaceDE w:val="0"/>
        <w:autoSpaceDN w:val="0"/>
        <w:adjustRightInd w:val="0"/>
        <w:spacing w:after="0" w:line="240" w:lineRule="auto"/>
        <w:ind w:firstLine="709"/>
        <w:jc w:val="both"/>
        <w:rPr>
          <w:rFonts w:ascii="Times New Roman" w:hAnsi="Times New Roman"/>
          <w:sz w:val="24"/>
          <w:szCs w:val="24"/>
        </w:rPr>
      </w:pPr>
      <w:r w:rsidRPr="0080737A">
        <w:rPr>
          <w:rFonts w:ascii="Times New Roman" w:hAnsi="Times New Roman"/>
          <w:sz w:val="24"/>
          <w:szCs w:val="24"/>
        </w:rPr>
        <w:t>В 2016 год</w:t>
      </w:r>
      <w:r>
        <w:rPr>
          <w:rFonts w:ascii="Times New Roman" w:hAnsi="Times New Roman"/>
          <w:sz w:val="24"/>
          <w:szCs w:val="24"/>
        </w:rPr>
        <w:t>у</w:t>
      </w:r>
      <w:r w:rsidRPr="0080737A">
        <w:rPr>
          <w:rFonts w:ascii="Times New Roman" w:hAnsi="Times New Roman"/>
          <w:sz w:val="24"/>
          <w:szCs w:val="24"/>
        </w:rPr>
        <w:t xml:space="preserve"> посев и посадка леса в Гослесфонде проведен</w:t>
      </w:r>
      <w:r>
        <w:rPr>
          <w:rFonts w:ascii="Times New Roman" w:hAnsi="Times New Roman"/>
          <w:sz w:val="24"/>
          <w:szCs w:val="24"/>
        </w:rPr>
        <w:t>а на площади 1</w:t>
      </w:r>
      <w:r w:rsidRPr="0080737A">
        <w:rPr>
          <w:rFonts w:ascii="Times New Roman" w:hAnsi="Times New Roman"/>
          <w:sz w:val="24"/>
          <w:szCs w:val="24"/>
        </w:rPr>
        <w:t>5</w:t>
      </w:r>
      <w:r>
        <w:rPr>
          <w:rFonts w:ascii="Times New Roman" w:hAnsi="Times New Roman"/>
          <w:sz w:val="24"/>
          <w:szCs w:val="24"/>
        </w:rPr>
        <w:t>0</w:t>
      </w:r>
      <w:r w:rsidRPr="0080737A">
        <w:rPr>
          <w:rFonts w:ascii="Times New Roman" w:hAnsi="Times New Roman"/>
          <w:sz w:val="24"/>
          <w:szCs w:val="24"/>
        </w:rPr>
        <w:t xml:space="preserve"> га</w:t>
      </w:r>
      <w:r>
        <w:rPr>
          <w:rFonts w:ascii="Times New Roman" w:hAnsi="Times New Roman"/>
          <w:sz w:val="24"/>
          <w:szCs w:val="24"/>
        </w:rPr>
        <w:t>, что на 10 га больше чем в 2015 году</w:t>
      </w:r>
      <w:r w:rsidRPr="0080737A">
        <w:rPr>
          <w:rFonts w:ascii="Times New Roman" w:hAnsi="Times New Roman"/>
          <w:sz w:val="24"/>
          <w:szCs w:val="24"/>
        </w:rPr>
        <w:t xml:space="preserve">. Дополнение лесных культур прошлых лет проведено на площади </w:t>
      </w:r>
      <w:r>
        <w:rPr>
          <w:rFonts w:ascii="Times New Roman" w:hAnsi="Times New Roman"/>
          <w:sz w:val="24"/>
          <w:szCs w:val="24"/>
        </w:rPr>
        <w:t xml:space="preserve">87 </w:t>
      </w:r>
      <w:r w:rsidRPr="0080737A">
        <w:rPr>
          <w:rFonts w:ascii="Times New Roman" w:hAnsi="Times New Roman"/>
          <w:sz w:val="24"/>
          <w:szCs w:val="24"/>
        </w:rPr>
        <w:t>га</w:t>
      </w:r>
      <w:r>
        <w:rPr>
          <w:rFonts w:ascii="Times New Roman" w:hAnsi="Times New Roman"/>
          <w:sz w:val="24"/>
          <w:szCs w:val="24"/>
        </w:rPr>
        <w:t xml:space="preserve"> (в 2015 году – 140 га).</w:t>
      </w:r>
      <w:r w:rsidRPr="0080737A">
        <w:rPr>
          <w:rFonts w:ascii="Times New Roman" w:hAnsi="Times New Roman"/>
          <w:sz w:val="24"/>
          <w:szCs w:val="24"/>
        </w:rPr>
        <w:t xml:space="preserve"> </w:t>
      </w:r>
    </w:p>
    <w:p w:rsidR="00EB1C50" w:rsidRDefault="00EB1C50" w:rsidP="00EB1C50">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У</w:t>
      </w:r>
      <w:r w:rsidRPr="0080737A">
        <w:rPr>
          <w:rFonts w:ascii="Times New Roman" w:hAnsi="Times New Roman"/>
          <w:sz w:val="24"/>
          <w:szCs w:val="24"/>
        </w:rPr>
        <w:t xml:space="preserve">ход за лесными культурами проведен на площади </w:t>
      </w:r>
      <w:r>
        <w:rPr>
          <w:rFonts w:ascii="Times New Roman" w:hAnsi="Times New Roman"/>
          <w:sz w:val="24"/>
          <w:szCs w:val="24"/>
        </w:rPr>
        <w:t>1 404</w:t>
      </w:r>
      <w:r w:rsidRPr="0080737A">
        <w:rPr>
          <w:rFonts w:ascii="Times New Roman" w:hAnsi="Times New Roman"/>
          <w:sz w:val="24"/>
          <w:szCs w:val="24"/>
        </w:rPr>
        <w:t xml:space="preserve"> га</w:t>
      </w:r>
      <w:r>
        <w:rPr>
          <w:rFonts w:ascii="Times New Roman" w:hAnsi="Times New Roman"/>
          <w:sz w:val="24"/>
          <w:szCs w:val="24"/>
        </w:rPr>
        <w:t>, против 1 004 га в минувшем году</w:t>
      </w:r>
      <w:r w:rsidRPr="0080737A">
        <w:rPr>
          <w:rFonts w:ascii="Times New Roman" w:hAnsi="Times New Roman"/>
          <w:sz w:val="24"/>
          <w:szCs w:val="24"/>
        </w:rPr>
        <w:t xml:space="preserve">. </w:t>
      </w:r>
    </w:p>
    <w:p w:rsidR="00EB1C50" w:rsidRPr="001C6366" w:rsidRDefault="00EB1C50" w:rsidP="00EB1C50">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Ввиду засухи в летний период 2016 года плановые показатели подготовки почвы, под посадку проводимые в III и IV кварталах выполнены на площади 134,2 га, что в 1,4 раза меньше чем в 2015 году.</w:t>
      </w:r>
    </w:p>
    <w:p w:rsidR="00EB1C50" w:rsidRDefault="00EB1C50" w:rsidP="00EB1C50">
      <w:pPr>
        <w:autoSpaceDE w:val="0"/>
        <w:autoSpaceDN w:val="0"/>
        <w:adjustRightInd w:val="0"/>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Для организации противопожарной безопасности территории Гослесфонда был выполнен ремонт дорог противопожарного назначения в объеме </w:t>
      </w:r>
      <w:r>
        <w:rPr>
          <w:rFonts w:ascii="Times New Roman" w:hAnsi="Times New Roman"/>
          <w:sz w:val="24"/>
          <w:szCs w:val="24"/>
        </w:rPr>
        <w:t>13</w:t>
      </w:r>
      <w:r w:rsidRPr="0080737A">
        <w:rPr>
          <w:rFonts w:ascii="Times New Roman" w:hAnsi="Times New Roman"/>
          <w:sz w:val="24"/>
          <w:szCs w:val="24"/>
        </w:rPr>
        <w:t xml:space="preserve"> км (в 2015 год</w:t>
      </w:r>
      <w:r>
        <w:rPr>
          <w:rFonts w:ascii="Times New Roman" w:hAnsi="Times New Roman"/>
          <w:sz w:val="24"/>
          <w:szCs w:val="24"/>
        </w:rPr>
        <w:t>у</w:t>
      </w:r>
      <w:r w:rsidRPr="0080737A">
        <w:rPr>
          <w:rFonts w:ascii="Times New Roman" w:hAnsi="Times New Roman"/>
          <w:sz w:val="24"/>
          <w:szCs w:val="24"/>
        </w:rPr>
        <w:t xml:space="preserve"> – </w:t>
      </w:r>
      <w:r>
        <w:rPr>
          <w:rFonts w:ascii="Times New Roman" w:hAnsi="Times New Roman"/>
          <w:sz w:val="24"/>
          <w:szCs w:val="24"/>
        </w:rPr>
        <w:t>1</w:t>
      </w:r>
      <w:r w:rsidRPr="0080737A">
        <w:rPr>
          <w:rFonts w:ascii="Times New Roman" w:hAnsi="Times New Roman"/>
          <w:sz w:val="24"/>
          <w:szCs w:val="24"/>
        </w:rPr>
        <w:t>4</w:t>
      </w:r>
      <w:r>
        <w:rPr>
          <w:rFonts w:ascii="Times New Roman" w:hAnsi="Times New Roman"/>
          <w:sz w:val="24"/>
          <w:szCs w:val="24"/>
        </w:rPr>
        <w:t> </w:t>
      </w:r>
      <w:r w:rsidRPr="0080737A">
        <w:rPr>
          <w:rFonts w:ascii="Times New Roman" w:hAnsi="Times New Roman"/>
          <w:sz w:val="24"/>
          <w:szCs w:val="24"/>
        </w:rPr>
        <w:t>км), а показатель по уходу за минерализованными полосами уменьшился</w:t>
      </w:r>
      <w:r>
        <w:rPr>
          <w:rFonts w:ascii="Times New Roman" w:hAnsi="Times New Roman"/>
          <w:sz w:val="24"/>
          <w:szCs w:val="24"/>
        </w:rPr>
        <w:t>,</w:t>
      </w:r>
      <w:r w:rsidRPr="0080737A">
        <w:rPr>
          <w:rFonts w:ascii="Times New Roman" w:hAnsi="Times New Roman"/>
          <w:sz w:val="24"/>
          <w:szCs w:val="24"/>
        </w:rPr>
        <w:t xml:space="preserve"> состави</w:t>
      </w:r>
      <w:r>
        <w:rPr>
          <w:rFonts w:ascii="Times New Roman" w:hAnsi="Times New Roman"/>
          <w:sz w:val="24"/>
          <w:szCs w:val="24"/>
        </w:rPr>
        <w:t>в</w:t>
      </w:r>
      <w:r w:rsidRPr="0080737A">
        <w:rPr>
          <w:rFonts w:ascii="Times New Roman" w:hAnsi="Times New Roman"/>
          <w:sz w:val="24"/>
          <w:szCs w:val="24"/>
        </w:rPr>
        <w:t xml:space="preserve"> </w:t>
      </w:r>
      <w:r>
        <w:rPr>
          <w:rFonts w:ascii="Times New Roman" w:hAnsi="Times New Roman"/>
          <w:sz w:val="24"/>
          <w:szCs w:val="24"/>
        </w:rPr>
        <w:t>312 </w:t>
      </w:r>
      <w:r w:rsidRPr="0080737A">
        <w:rPr>
          <w:rFonts w:ascii="Times New Roman" w:hAnsi="Times New Roman"/>
          <w:sz w:val="24"/>
          <w:szCs w:val="24"/>
        </w:rPr>
        <w:t xml:space="preserve">км против </w:t>
      </w:r>
      <w:r>
        <w:rPr>
          <w:rFonts w:ascii="Times New Roman" w:hAnsi="Times New Roman"/>
          <w:sz w:val="24"/>
          <w:szCs w:val="24"/>
        </w:rPr>
        <w:t>360</w:t>
      </w:r>
      <w:r w:rsidRPr="0080737A">
        <w:rPr>
          <w:rFonts w:ascii="Times New Roman" w:hAnsi="Times New Roman"/>
          <w:sz w:val="24"/>
          <w:szCs w:val="24"/>
        </w:rPr>
        <w:t xml:space="preserve"> км в </w:t>
      </w:r>
      <w:r>
        <w:rPr>
          <w:rFonts w:ascii="Times New Roman" w:hAnsi="Times New Roman"/>
          <w:sz w:val="24"/>
          <w:szCs w:val="24"/>
        </w:rPr>
        <w:t>прошлом</w:t>
      </w:r>
      <w:r w:rsidRPr="0080737A">
        <w:rPr>
          <w:rFonts w:ascii="Times New Roman" w:hAnsi="Times New Roman"/>
          <w:sz w:val="24"/>
          <w:szCs w:val="24"/>
        </w:rPr>
        <w:t xml:space="preserve"> год</w:t>
      </w:r>
      <w:r>
        <w:rPr>
          <w:rFonts w:ascii="Times New Roman" w:hAnsi="Times New Roman"/>
          <w:sz w:val="24"/>
          <w:szCs w:val="24"/>
        </w:rPr>
        <w:t>у</w:t>
      </w:r>
      <w:r w:rsidRPr="0080737A">
        <w:rPr>
          <w:rFonts w:ascii="Times New Roman" w:hAnsi="Times New Roman"/>
          <w:sz w:val="24"/>
          <w:szCs w:val="24"/>
        </w:rPr>
        <w:t xml:space="preserve">. </w:t>
      </w:r>
    </w:p>
    <w:p w:rsidR="00EB1C50" w:rsidRDefault="00EB1C50" w:rsidP="00EB1C50">
      <w:pPr>
        <w:spacing w:after="0" w:line="240" w:lineRule="auto"/>
        <w:ind w:firstLine="709"/>
        <w:jc w:val="both"/>
        <w:rPr>
          <w:rFonts w:ascii="Times New Roman" w:hAnsi="Times New Roman"/>
          <w:sz w:val="24"/>
          <w:szCs w:val="24"/>
        </w:rPr>
      </w:pPr>
      <w:r w:rsidRPr="00004A1E">
        <w:rPr>
          <w:rFonts w:ascii="Times New Roman" w:hAnsi="Times New Roman"/>
          <w:sz w:val="24"/>
          <w:szCs w:val="24"/>
        </w:rPr>
        <w:t xml:space="preserve">В целях увеличения численности охотфауны </w:t>
      </w:r>
      <w:r>
        <w:rPr>
          <w:rFonts w:ascii="Times New Roman" w:hAnsi="Times New Roman"/>
          <w:sz w:val="24"/>
          <w:szCs w:val="24"/>
        </w:rPr>
        <w:t xml:space="preserve">республики, в 2016 году </w:t>
      </w:r>
      <w:r w:rsidRPr="00004A1E">
        <w:rPr>
          <w:rFonts w:ascii="Times New Roman" w:hAnsi="Times New Roman"/>
          <w:sz w:val="24"/>
          <w:szCs w:val="24"/>
        </w:rPr>
        <w:t xml:space="preserve">выполнены биотехнические мероприятия в следующих объемах: </w:t>
      </w:r>
    </w:p>
    <w:p w:rsidR="00EB1C50" w:rsidRDefault="00EB1C50" w:rsidP="00EB1C50">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004A1E">
        <w:rPr>
          <w:rFonts w:ascii="Times New Roman" w:hAnsi="Times New Roman"/>
          <w:sz w:val="24"/>
          <w:szCs w:val="24"/>
        </w:rPr>
        <w:t xml:space="preserve">закладка кормовых полей – </w:t>
      </w:r>
      <w:r>
        <w:rPr>
          <w:rFonts w:ascii="Times New Roman" w:hAnsi="Times New Roman"/>
          <w:sz w:val="24"/>
          <w:szCs w:val="24"/>
        </w:rPr>
        <w:t>5</w:t>
      </w:r>
      <w:r w:rsidRPr="00004A1E">
        <w:rPr>
          <w:rFonts w:ascii="Times New Roman" w:hAnsi="Times New Roman"/>
          <w:sz w:val="24"/>
          <w:szCs w:val="24"/>
        </w:rPr>
        <w:t xml:space="preserve"> га (</w:t>
      </w:r>
      <w:r>
        <w:rPr>
          <w:rFonts w:ascii="Times New Roman" w:hAnsi="Times New Roman"/>
          <w:sz w:val="24"/>
          <w:szCs w:val="24"/>
        </w:rPr>
        <w:t xml:space="preserve">«+»8,7% к уровню </w:t>
      </w:r>
      <w:r w:rsidRPr="00004A1E">
        <w:rPr>
          <w:rFonts w:ascii="Times New Roman" w:hAnsi="Times New Roman"/>
          <w:sz w:val="24"/>
          <w:szCs w:val="24"/>
        </w:rPr>
        <w:t>201</w:t>
      </w:r>
      <w:r>
        <w:rPr>
          <w:rFonts w:ascii="Times New Roman" w:hAnsi="Times New Roman"/>
          <w:sz w:val="24"/>
          <w:szCs w:val="24"/>
        </w:rPr>
        <w:t>5</w:t>
      </w:r>
      <w:r w:rsidRPr="00004A1E">
        <w:rPr>
          <w:rFonts w:ascii="Times New Roman" w:hAnsi="Times New Roman"/>
          <w:sz w:val="24"/>
          <w:szCs w:val="24"/>
        </w:rPr>
        <w:t xml:space="preserve"> год</w:t>
      </w:r>
      <w:r>
        <w:rPr>
          <w:rFonts w:ascii="Times New Roman" w:hAnsi="Times New Roman"/>
          <w:sz w:val="24"/>
          <w:szCs w:val="24"/>
        </w:rPr>
        <w:t>а</w:t>
      </w:r>
      <w:r w:rsidRPr="00004A1E">
        <w:rPr>
          <w:rFonts w:ascii="Times New Roman" w:hAnsi="Times New Roman"/>
          <w:sz w:val="24"/>
          <w:szCs w:val="24"/>
        </w:rPr>
        <w:t>)</w:t>
      </w:r>
      <w:r>
        <w:rPr>
          <w:rFonts w:ascii="Times New Roman" w:hAnsi="Times New Roman"/>
          <w:sz w:val="24"/>
          <w:szCs w:val="24"/>
        </w:rPr>
        <w:t>;</w:t>
      </w:r>
    </w:p>
    <w:p w:rsidR="00EB1C50" w:rsidRDefault="00EB1C50" w:rsidP="00EB1C50">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004A1E">
        <w:rPr>
          <w:rFonts w:ascii="Times New Roman" w:hAnsi="Times New Roman"/>
          <w:sz w:val="24"/>
          <w:szCs w:val="24"/>
        </w:rPr>
        <w:t xml:space="preserve">заготовка сена – </w:t>
      </w:r>
      <w:r>
        <w:rPr>
          <w:rFonts w:ascii="Times New Roman" w:hAnsi="Times New Roman"/>
          <w:sz w:val="24"/>
          <w:szCs w:val="24"/>
        </w:rPr>
        <w:t>12,7</w:t>
      </w:r>
      <w:r w:rsidRPr="00004A1E">
        <w:rPr>
          <w:rFonts w:ascii="Times New Roman" w:hAnsi="Times New Roman"/>
          <w:sz w:val="24"/>
          <w:szCs w:val="24"/>
        </w:rPr>
        <w:t xml:space="preserve"> тонн (</w:t>
      </w:r>
      <w:r>
        <w:rPr>
          <w:rFonts w:ascii="Times New Roman" w:hAnsi="Times New Roman"/>
          <w:sz w:val="24"/>
          <w:szCs w:val="24"/>
        </w:rPr>
        <w:t xml:space="preserve">«-»3,8% к уровню </w:t>
      </w:r>
      <w:r w:rsidRPr="00004A1E">
        <w:rPr>
          <w:rFonts w:ascii="Times New Roman" w:hAnsi="Times New Roman"/>
          <w:sz w:val="24"/>
          <w:szCs w:val="24"/>
        </w:rPr>
        <w:t>201</w:t>
      </w:r>
      <w:r>
        <w:rPr>
          <w:rFonts w:ascii="Times New Roman" w:hAnsi="Times New Roman"/>
          <w:sz w:val="24"/>
          <w:szCs w:val="24"/>
        </w:rPr>
        <w:t>5</w:t>
      </w:r>
      <w:r w:rsidRPr="00004A1E">
        <w:rPr>
          <w:rFonts w:ascii="Times New Roman" w:hAnsi="Times New Roman"/>
          <w:sz w:val="24"/>
          <w:szCs w:val="24"/>
        </w:rPr>
        <w:t xml:space="preserve"> год</w:t>
      </w:r>
      <w:r>
        <w:rPr>
          <w:rFonts w:ascii="Times New Roman" w:hAnsi="Times New Roman"/>
          <w:sz w:val="24"/>
          <w:szCs w:val="24"/>
        </w:rPr>
        <w:t>а</w:t>
      </w:r>
      <w:r w:rsidRPr="00004A1E">
        <w:rPr>
          <w:rFonts w:ascii="Times New Roman" w:hAnsi="Times New Roman"/>
          <w:sz w:val="24"/>
          <w:szCs w:val="24"/>
        </w:rPr>
        <w:t>)</w:t>
      </w:r>
      <w:r>
        <w:rPr>
          <w:rFonts w:ascii="Times New Roman" w:hAnsi="Times New Roman"/>
          <w:sz w:val="24"/>
          <w:szCs w:val="24"/>
        </w:rPr>
        <w:t>;</w:t>
      </w:r>
    </w:p>
    <w:p w:rsidR="00EB1C50" w:rsidRDefault="00EB1C50" w:rsidP="00EB1C50">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004A1E">
        <w:rPr>
          <w:rFonts w:ascii="Times New Roman" w:hAnsi="Times New Roman"/>
          <w:sz w:val="24"/>
          <w:szCs w:val="24"/>
        </w:rPr>
        <w:t>заготовка веткорма –</w:t>
      </w:r>
      <w:r>
        <w:rPr>
          <w:rFonts w:ascii="Times New Roman" w:hAnsi="Times New Roman"/>
          <w:sz w:val="24"/>
          <w:szCs w:val="24"/>
        </w:rPr>
        <w:t xml:space="preserve"> 13</w:t>
      </w:r>
      <w:r w:rsidRPr="00004A1E">
        <w:rPr>
          <w:rFonts w:ascii="Times New Roman" w:hAnsi="Times New Roman"/>
          <w:sz w:val="24"/>
          <w:szCs w:val="24"/>
        </w:rPr>
        <w:t xml:space="preserve"> т.</w:t>
      </w:r>
      <w:r>
        <w:rPr>
          <w:rFonts w:ascii="Times New Roman" w:hAnsi="Times New Roman"/>
          <w:sz w:val="24"/>
          <w:szCs w:val="24"/>
        </w:rPr>
        <w:t xml:space="preserve"> </w:t>
      </w:r>
      <w:r w:rsidRPr="00004A1E">
        <w:rPr>
          <w:rFonts w:ascii="Times New Roman" w:hAnsi="Times New Roman"/>
          <w:sz w:val="24"/>
          <w:szCs w:val="24"/>
        </w:rPr>
        <w:t>шт.</w:t>
      </w:r>
      <w:r>
        <w:rPr>
          <w:rFonts w:ascii="Times New Roman" w:hAnsi="Times New Roman"/>
          <w:sz w:val="24"/>
          <w:szCs w:val="24"/>
        </w:rPr>
        <w:t xml:space="preserve"> (на уровне 2015 года);</w:t>
      </w:r>
    </w:p>
    <w:p w:rsidR="00EB1C50" w:rsidRDefault="00EB1C50" w:rsidP="00EB1C50">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004A1E">
        <w:rPr>
          <w:rFonts w:ascii="Times New Roman" w:hAnsi="Times New Roman"/>
          <w:sz w:val="24"/>
          <w:szCs w:val="24"/>
        </w:rPr>
        <w:t xml:space="preserve">выкладка веткорма </w:t>
      </w:r>
      <w:r>
        <w:rPr>
          <w:rFonts w:ascii="Times New Roman" w:hAnsi="Times New Roman"/>
          <w:sz w:val="24"/>
          <w:szCs w:val="24"/>
        </w:rPr>
        <w:t>- 13,6</w:t>
      </w:r>
      <w:r w:rsidRPr="00004A1E">
        <w:rPr>
          <w:rFonts w:ascii="Times New Roman" w:hAnsi="Times New Roman"/>
          <w:sz w:val="24"/>
          <w:szCs w:val="24"/>
        </w:rPr>
        <w:t xml:space="preserve"> тыс. шт. ((</w:t>
      </w:r>
      <w:r>
        <w:rPr>
          <w:rFonts w:ascii="Times New Roman" w:hAnsi="Times New Roman"/>
          <w:sz w:val="24"/>
          <w:szCs w:val="24"/>
        </w:rPr>
        <w:t xml:space="preserve">«+»23,6% к уровню </w:t>
      </w:r>
      <w:r w:rsidRPr="00004A1E">
        <w:rPr>
          <w:rFonts w:ascii="Times New Roman" w:hAnsi="Times New Roman"/>
          <w:sz w:val="24"/>
          <w:szCs w:val="24"/>
        </w:rPr>
        <w:t>201</w:t>
      </w:r>
      <w:r>
        <w:rPr>
          <w:rFonts w:ascii="Times New Roman" w:hAnsi="Times New Roman"/>
          <w:sz w:val="24"/>
          <w:szCs w:val="24"/>
        </w:rPr>
        <w:t>5</w:t>
      </w:r>
      <w:r w:rsidRPr="00004A1E">
        <w:rPr>
          <w:rFonts w:ascii="Times New Roman" w:hAnsi="Times New Roman"/>
          <w:sz w:val="24"/>
          <w:szCs w:val="24"/>
        </w:rPr>
        <w:t xml:space="preserve"> год</w:t>
      </w:r>
      <w:r>
        <w:rPr>
          <w:rFonts w:ascii="Times New Roman" w:hAnsi="Times New Roman"/>
          <w:sz w:val="24"/>
          <w:szCs w:val="24"/>
        </w:rPr>
        <w:t>а</w:t>
      </w:r>
      <w:r w:rsidRPr="00004A1E">
        <w:rPr>
          <w:rFonts w:ascii="Times New Roman" w:hAnsi="Times New Roman"/>
          <w:sz w:val="24"/>
          <w:szCs w:val="24"/>
        </w:rPr>
        <w:t>)</w:t>
      </w:r>
      <w:r>
        <w:rPr>
          <w:rFonts w:ascii="Times New Roman" w:hAnsi="Times New Roman"/>
          <w:sz w:val="24"/>
          <w:szCs w:val="24"/>
        </w:rPr>
        <w:t>;</w:t>
      </w:r>
    </w:p>
    <w:p w:rsidR="00EB1C50" w:rsidRDefault="00EB1C50" w:rsidP="00EB1C50">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004A1E">
        <w:rPr>
          <w:rFonts w:ascii="Times New Roman" w:hAnsi="Times New Roman"/>
          <w:sz w:val="24"/>
          <w:szCs w:val="24"/>
        </w:rPr>
        <w:t xml:space="preserve">выкладка сена </w:t>
      </w:r>
      <w:r>
        <w:rPr>
          <w:rFonts w:ascii="Times New Roman" w:hAnsi="Times New Roman"/>
          <w:sz w:val="24"/>
          <w:szCs w:val="24"/>
        </w:rPr>
        <w:t>- 13,1</w:t>
      </w:r>
      <w:r w:rsidRPr="00004A1E">
        <w:rPr>
          <w:rFonts w:ascii="Times New Roman" w:hAnsi="Times New Roman"/>
          <w:sz w:val="24"/>
          <w:szCs w:val="24"/>
        </w:rPr>
        <w:t xml:space="preserve"> тонн (</w:t>
      </w:r>
      <w:r>
        <w:rPr>
          <w:rFonts w:ascii="Times New Roman" w:hAnsi="Times New Roman"/>
          <w:sz w:val="24"/>
          <w:szCs w:val="24"/>
        </w:rPr>
        <w:t xml:space="preserve">«+»56,1% к уровню </w:t>
      </w:r>
      <w:r w:rsidRPr="00004A1E">
        <w:rPr>
          <w:rFonts w:ascii="Times New Roman" w:hAnsi="Times New Roman"/>
          <w:sz w:val="24"/>
          <w:szCs w:val="24"/>
        </w:rPr>
        <w:t>201</w:t>
      </w:r>
      <w:r>
        <w:rPr>
          <w:rFonts w:ascii="Times New Roman" w:hAnsi="Times New Roman"/>
          <w:sz w:val="24"/>
          <w:szCs w:val="24"/>
        </w:rPr>
        <w:t>5</w:t>
      </w:r>
      <w:r w:rsidRPr="00004A1E">
        <w:rPr>
          <w:rFonts w:ascii="Times New Roman" w:hAnsi="Times New Roman"/>
          <w:sz w:val="24"/>
          <w:szCs w:val="24"/>
        </w:rPr>
        <w:t xml:space="preserve"> год</w:t>
      </w:r>
      <w:r>
        <w:rPr>
          <w:rFonts w:ascii="Times New Roman" w:hAnsi="Times New Roman"/>
          <w:sz w:val="24"/>
          <w:szCs w:val="24"/>
        </w:rPr>
        <w:t>а</w:t>
      </w:r>
      <w:r w:rsidRPr="00004A1E">
        <w:rPr>
          <w:rFonts w:ascii="Times New Roman" w:hAnsi="Times New Roman"/>
          <w:sz w:val="24"/>
          <w:szCs w:val="24"/>
        </w:rPr>
        <w:t>)</w:t>
      </w:r>
      <w:r>
        <w:rPr>
          <w:rFonts w:ascii="Times New Roman" w:hAnsi="Times New Roman"/>
          <w:sz w:val="24"/>
          <w:szCs w:val="24"/>
        </w:rPr>
        <w:t>.</w:t>
      </w:r>
    </w:p>
    <w:p w:rsidR="00EB1C50" w:rsidRDefault="00EB1C50" w:rsidP="00EB1C50">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004A1E">
        <w:rPr>
          <w:rFonts w:ascii="Times New Roman" w:hAnsi="Times New Roman"/>
          <w:sz w:val="24"/>
          <w:szCs w:val="24"/>
        </w:rPr>
        <w:t>выкладк</w:t>
      </w:r>
      <w:r>
        <w:rPr>
          <w:rFonts w:ascii="Times New Roman" w:hAnsi="Times New Roman"/>
          <w:sz w:val="24"/>
          <w:szCs w:val="24"/>
        </w:rPr>
        <w:t>и</w:t>
      </w:r>
      <w:r w:rsidRPr="00004A1E">
        <w:rPr>
          <w:rFonts w:ascii="Times New Roman" w:hAnsi="Times New Roman"/>
          <w:sz w:val="24"/>
          <w:szCs w:val="24"/>
        </w:rPr>
        <w:t xml:space="preserve"> зерна и зерноотходов в общедоступных охотугодьях</w:t>
      </w:r>
      <w:r>
        <w:rPr>
          <w:rFonts w:ascii="Times New Roman" w:hAnsi="Times New Roman"/>
          <w:sz w:val="24"/>
          <w:szCs w:val="24"/>
        </w:rPr>
        <w:t xml:space="preserve"> и</w:t>
      </w:r>
      <w:r w:rsidRPr="00004A1E">
        <w:rPr>
          <w:rFonts w:ascii="Times New Roman" w:hAnsi="Times New Roman"/>
          <w:sz w:val="24"/>
          <w:szCs w:val="24"/>
        </w:rPr>
        <w:t xml:space="preserve"> в Гослесфонде</w:t>
      </w:r>
      <w:r>
        <w:rPr>
          <w:rFonts w:ascii="Times New Roman" w:hAnsi="Times New Roman"/>
          <w:sz w:val="24"/>
          <w:szCs w:val="24"/>
        </w:rPr>
        <w:t xml:space="preserve"> - 8 970</w:t>
      </w:r>
      <w:r w:rsidRPr="00004A1E">
        <w:rPr>
          <w:rFonts w:ascii="Times New Roman" w:hAnsi="Times New Roman"/>
          <w:sz w:val="24"/>
          <w:szCs w:val="24"/>
        </w:rPr>
        <w:t xml:space="preserve"> кг</w:t>
      </w:r>
      <w:r>
        <w:rPr>
          <w:rFonts w:ascii="Times New Roman" w:hAnsi="Times New Roman"/>
          <w:sz w:val="24"/>
          <w:szCs w:val="24"/>
        </w:rPr>
        <w:t xml:space="preserve"> (сокращение к уровню 2015 года в 2 раза, что связано с благоприятными условиями для диких животных, а также с отсутствием устойчивого снежного покрова в зимний период).</w:t>
      </w:r>
    </w:p>
    <w:p w:rsidR="00EB1C50" w:rsidRPr="00D80D14" w:rsidRDefault="00EB1C50" w:rsidP="00EB1C50">
      <w:pPr>
        <w:spacing w:after="0" w:line="240" w:lineRule="auto"/>
        <w:ind w:firstLine="709"/>
        <w:jc w:val="both"/>
        <w:rPr>
          <w:rFonts w:ascii="Times New Roman" w:hAnsi="Times New Roman"/>
          <w:sz w:val="24"/>
          <w:szCs w:val="24"/>
        </w:rPr>
      </w:pPr>
      <w:r w:rsidRPr="00D80D14">
        <w:rPr>
          <w:rFonts w:ascii="Times New Roman" w:hAnsi="Times New Roman"/>
          <w:sz w:val="24"/>
          <w:szCs w:val="24"/>
        </w:rPr>
        <w:t xml:space="preserve">В анализируемом периоде государственная политика в </w:t>
      </w:r>
      <w:r w:rsidRPr="00D80D14">
        <w:rPr>
          <w:rFonts w:ascii="Times New Roman" w:hAnsi="Times New Roman"/>
          <w:b/>
          <w:sz w:val="24"/>
          <w:szCs w:val="24"/>
        </w:rPr>
        <w:t>сфере геологического изучения и рационального использования недр</w:t>
      </w:r>
      <w:r w:rsidRPr="00D80D14">
        <w:rPr>
          <w:rFonts w:ascii="Times New Roman" w:hAnsi="Times New Roman"/>
          <w:sz w:val="24"/>
          <w:szCs w:val="24"/>
        </w:rPr>
        <w:t xml:space="preserve"> была направлена на обеспечение и реализацию работы в области геологического изучения недр.</w:t>
      </w:r>
    </w:p>
    <w:p w:rsidR="00EB1C50" w:rsidRDefault="00EB1C50" w:rsidP="00EB1C50">
      <w:pPr>
        <w:spacing w:after="0" w:line="240" w:lineRule="auto"/>
        <w:ind w:firstLine="709"/>
        <w:jc w:val="both"/>
        <w:rPr>
          <w:rFonts w:ascii="Times New Roman" w:hAnsi="Times New Roman"/>
          <w:sz w:val="24"/>
          <w:szCs w:val="24"/>
        </w:rPr>
      </w:pPr>
      <w:r w:rsidRPr="00D80D14">
        <w:rPr>
          <w:rFonts w:ascii="Times New Roman" w:hAnsi="Times New Roman"/>
          <w:sz w:val="24"/>
          <w:szCs w:val="24"/>
        </w:rPr>
        <w:t xml:space="preserve">Так, по данным сводного отчетного баланса запасов полезных ископаемых </w:t>
      </w:r>
      <w:r>
        <w:rPr>
          <w:rFonts w:ascii="Times New Roman" w:hAnsi="Times New Roman"/>
          <w:sz w:val="24"/>
          <w:szCs w:val="24"/>
        </w:rPr>
        <w:t>в</w:t>
      </w:r>
      <w:r w:rsidRPr="00D80D14">
        <w:rPr>
          <w:rFonts w:ascii="Times New Roman" w:hAnsi="Times New Roman"/>
          <w:sz w:val="24"/>
          <w:szCs w:val="24"/>
        </w:rPr>
        <w:t xml:space="preserve"> </w:t>
      </w:r>
      <w:r>
        <w:rPr>
          <w:rFonts w:ascii="Times New Roman" w:hAnsi="Times New Roman"/>
          <w:sz w:val="24"/>
          <w:szCs w:val="24"/>
        </w:rPr>
        <w:t>р</w:t>
      </w:r>
      <w:r w:rsidRPr="00D80D14">
        <w:rPr>
          <w:rFonts w:ascii="Times New Roman" w:hAnsi="Times New Roman"/>
          <w:sz w:val="24"/>
          <w:szCs w:val="24"/>
        </w:rPr>
        <w:t xml:space="preserve">еспублике </w:t>
      </w:r>
      <w:r>
        <w:rPr>
          <w:rFonts w:ascii="Times New Roman" w:hAnsi="Times New Roman"/>
          <w:sz w:val="24"/>
          <w:szCs w:val="24"/>
        </w:rPr>
        <w:t xml:space="preserve">зарегистрировано 84 месторождения, из которых: 11 - пильного известняка, </w:t>
      </w:r>
      <w:r>
        <w:rPr>
          <w:rFonts w:ascii="Times New Roman" w:hAnsi="Times New Roman"/>
          <w:sz w:val="24"/>
          <w:szCs w:val="24"/>
        </w:rPr>
        <w:br/>
        <w:t xml:space="preserve">6 – известняка на бут и щебень, 1 – известняка для сахарного сырья и производства извести, 6 – цементного сырья, 6 – кремнеземистых пород, 38 – песчано-гравийных пород, </w:t>
      </w:r>
      <w:r>
        <w:rPr>
          <w:rFonts w:ascii="Times New Roman" w:hAnsi="Times New Roman"/>
          <w:sz w:val="24"/>
          <w:szCs w:val="24"/>
        </w:rPr>
        <w:br/>
        <w:t>14 – кирпично-черепичного сырья, 1 – стекольных песков, 1 – песков-отощителей. По итогам 2016 года в разработку вовлечено 28 месторождений.</w:t>
      </w:r>
    </w:p>
    <w:p w:rsidR="00EB1C50" w:rsidRDefault="00EB1C50" w:rsidP="00EB1C50">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 фоне роста промышленного выпуска на добывающих предприятиях в январе-декабре 2016 года наблюдается рост объемов добычи нерудных полезных ископаемых </w:t>
      </w:r>
      <w:r>
        <w:rPr>
          <w:rFonts w:ascii="Times New Roman" w:hAnsi="Times New Roman"/>
          <w:sz w:val="24"/>
          <w:szCs w:val="24"/>
        </w:rPr>
        <w:br/>
        <w:t xml:space="preserve">в 2,7 раза к сопоставимому уровню 2015 года. В рамках заключенных Соглашений о безвозмездном отпуске строительных материалов (песок, ПГС) горнодобывающими предприятиями государственным администрациям Приднестровской Молдавской Республики, фактически отпущено 2 283,3 </w:t>
      </w:r>
      <w:r w:rsidRPr="00093043">
        <w:rPr>
          <w:rFonts w:ascii="Times New Roman" w:hAnsi="Times New Roman"/>
          <w:sz w:val="24"/>
          <w:szCs w:val="24"/>
        </w:rPr>
        <w:t>м</w:t>
      </w:r>
      <w:r w:rsidRPr="00093043">
        <w:rPr>
          <w:rFonts w:ascii="Times New Roman" w:hAnsi="Times New Roman"/>
          <w:sz w:val="24"/>
          <w:szCs w:val="24"/>
          <w:vertAlign w:val="superscript"/>
        </w:rPr>
        <w:t>3</w:t>
      </w:r>
      <w:r>
        <w:rPr>
          <w:rFonts w:ascii="Times New Roman" w:hAnsi="Times New Roman"/>
          <w:sz w:val="24"/>
          <w:szCs w:val="24"/>
        </w:rPr>
        <w:t xml:space="preserve"> </w:t>
      </w:r>
      <w:r w:rsidRPr="00093043">
        <w:rPr>
          <w:rFonts w:ascii="Times New Roman" w:hAnsi="Times New Roman"/>
          <w:sz w:val="24"/>
          <w:szCs w:val="24"/>
        </w:rPr>
        <w:t>нерудных</w:t>
      </w:r>
      <w:r>
        <w:rPr>
          <w:rFonts w:ascii="Times New Roman" w:hAnsi="Times New Roman"/>
          <w:sz w:val="24"/>
          <w:szCs w:val="24"/>
        </w:rPr>
        <w:t xml:space="preserve"> строительных материалов для выполнения мероприятий по благоустройству, ремонту дорог, а также для обеспечения строительными материалами социально-незащищенных категорий граждан в сельских (поселковых) населенных пунктах.</w:t>
      </w:r>
    </w:p>
    <w:p w:rsidR="00AB3853" w:rsidRDefault="00AB3853" w:rsidP="00EB1C50">
      <w:pPr>
        <w:spacing w:after="0" w:line="240" w:lineRule="auto"/>
        <w:ind w:firstLine="709"/>
        <w:jc w:val="both"/>
        <w:rPr>
          <w:rFonts w:ascii="Times New Roman" w:hAnsi="Times New Roman"/>
          <w:sz w:val="24"/>
          <w:szCs w:val="24"/>
        </w:rPr>
      </w:pPr>
    </w:p>
    <w:p w:rsidR="003E0203" w:rsidRPr="00093043" w:rsidRDefault="003E0203" w:rsidP="003E0203">
      <w:pPr>
        <w:spacing w:after="0" w:line="240" w:lineRule="auto"/>
        <w:ind w:firstLine="709"/>
        <w:jc w:val="right"/>
        <w:rPr>
          <w:rFonts w:ascii="Times New Roman" w:hAnsi="Times New Roman"/>
          <w:sz w:val="24"/>
          <w:szCs w:val="24"/>
        </w:rPr>
      </w:pPr>
      <w:r>
        <w:rPr>
          <w:rFonts w:ascii="Times New Roman" w:hAnsi="Times New Roman"/>
          <w:sz w:val="24"/>
          <w:szCs w:val="24"/>
        </w:rPr>
        <w:lastRenderedPageBreak/>
        <w:t>Таблица №14</w:t>
      </w:r>
    </w:p>
    <w:p w:rsidR="00EB1C50" w:rsidRDefault="00EB1C50" w:rsidP="00EB1C50">
      <w:pPr>
        <w:spacing w:after="0" w:line="240" w:lineRule="auto"/>
        <w:ind w:firstLine="709"/>
        <w:jc w:val="center"/>
        <w:rPr>
          <w:rFonts w:ascii="Times New Roman" w:hAnsi="Times New Roman"/>
          <w:b/>
          <w:sz w:val="24"/>
          <w:szCs w:val="24"/>
        </w:rPr>
      </w:pPr>
      <w:r w:rsidRPr="005A401C">
        <w:rPr>
          <w:rFonts w:ascii="Times New Roman" w:hAnsi="Times New Roman"/>
          <w:b/>
          <w:sz w:val="24"/>
          <w:szCs w:val="24"/>
        </w:rPr>
        <w:t xml:space="preserve">Объем добычи и </w:t>
      </w:r>
      <w:r>
        <w:rPr>
          <w:rFonts w:ascii="Times New Roman" w:hAnsi="Times New Roman"/>
          <w:b/>
          <w:sz w:val="24"/>
          <w:szCs w:val="24"/>
        </w:rPr>
        <w:t>начислений</w:t>
      </w:r>
      <w:r w:rsidRPr="005A401C">
        <w:rPr>
          <w:rFonts w:ascii="Times New Roman" w:hAnsi="Times New Roman"/>
          <w:b/>
          <w:sz w:val="24"/>
          <w:szCs w:val="24"/>
        </w:rPr>
        <w:t xml:space="preserve"> </w:t>
      </w:r>
      <w:r>
        <w:rPr>
          <w:rFonts w:ascii="Times New Roman" w:hAnsi="Times New Roman"/>
          <w:b/>
          <w:sz w:val="24"/>
          <w:szCs w:val="24"/>
        </w:rPr>
        <w:t xml:space="preserve">по </w:t>
      </w:r>
      <w:r w:rsidRPr="005A401C">
        <w:rPr>
          <w:rFonts w:ascii="Times New Roman" w:hAnsi="Times New Roman"/>
          <w:b/>
          <w:sz w:val="24"/>
          <w:szCs w:val="24"/>
        </w:rPr>
        <w:t>платеж</w:t>
      </w:r>
      <w:r>
        <w:rPr>
          <w:rFonts w:ascii="Times New Roman" w:hAnsi="Times New Roman"/>
          <w:b/>
          <w:sz w:val="24"/>
          <w:szCs w:val="24"/>
        </w:rPr>
        <w:t>ам</w:t>
      </w:r>
      <w:r w:rsidRPr="005A401C">
        <w:rPr>
          <w:rFonts w:ascii="Times New Roman" w:hAnsi="Times New Roman"/>
          <w:b/>
          <w:sz w:val="24"/>
          <w:szCs w:val="24"/>
        </w:rPr>
        <w:t xml:space="preserve"> </w:t>
      </w:r>
    </w:p>
    <w:p w:rsidR="00EB1C50" w:rsidRPr="005A401C" w:rsidRDefault="00EB1C50" w:rsidP="00EB1C50">
      <w:pPr>
        <w:spacing w:after="0" w:line="240" w:lineRule="auto"/>
        <w:ind w:firstLine="709"/>
        <w:jc w:val="center"/>
        <w:rPr>
          <w:rFonts w:ascii="Times New Roman" w:hAnsi="Times New Roman"/>
          <w:b/>
          <w:sz w:val="24"/>
          <w:szCs w:val="24"/>
        </w:rPr>
      </w:pPr>
      <w:r w:rsidRPr="005A401C">
        <w:rPr>
          <w:rFonts w:ascii="Times New Roman" w:hAnsi="Times New Roman"/>
          <w:b/>
          <w:sz w:val="24"/>
          <w:szCs w:val="24"/>
        </w:rPr>
        <w:t>за пользование природными ресурсами</w:t>
      </w:r>
      <w:r>
        <w:rPr>
          <w:rFonts w:ascii="Times New Roman" w:hAnsi="Times New Roman"/>
          <w:b/>
          <w:sz w:val="24"/>
          <w:szCs w:val="24"/>
        </w:rPr>
        <w:t xml:space="preserve"> в 2016 году</w:t>
      </w:r>
    </w:p>
    <w:tbl>
      <w:tblPr>
        <w:tblpPr w:leftFromText="180" w:rightFromText="180" w:vertAnchor="text" w:tblpX="108" w:tblpY="8"/>
        <w:tblW w:w="48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1066"/>
        <w:gridCol w:w="889"/>
        <w:gridCol w:w="1071"/>
        <w:gridCol w:w="891"/>
        <w:gridCol w:w="1094"/>
        <w:gridCol w:w="1055"/>
      </w:tblGrid>
      <w:tr w:rsidR="00EB1C50" w:rsidRPr="00327844" w:rsidTr="00AB3853">
        <w:trPr>
          <w:trHeight w:val="468"/>
        </w:trPr>
        <w:tc>
          <w:tcPr>
            <w:tcW w:w="1833" w:type="pct"/>
            <w:vMerge w:val="restar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ind w:right="-21"/>
              <w:jc w:val="center"/>
              <w:rPr>
                <w:rFonts w:ascii="Times New Roman" w:hAnsi="Times New Roman"/>
                <w:b/>
              </w:rPr>
            </w:pPr>
          </w:p>
        </w:tc>
        <w:tc>
          <w:tcPr>
            <w:tcW w:w="1021" w:type="pct"/>
            <w:gridSpan w:val="2"/>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b/>
              </w:rPr>
            </w:pPr>
            <w:r w:rsidRPr="00AB3853">
              <w:rPr>
                <w:rFonts w:ascii="Times New Roman" w:hAnsi="Times New Roman"/>
                <w:b/>
              </w:rPr>
              <w:t>Объем добычи,</w:t>
            </w:r>
          </w:p>
          <w:p w:rsidR="00EB1C50" w:rsidRPr="00AB3853" w:rsidRDefault="00EB1C50" w:rsidP="000077C4">
            <w:pPr>
              <w:spacing w:before="40" w:after="40" w:line="240" w:lineRule="auto"/>
              <w:jc w:val="center"/>
              <w:rPr>
                <w:rFonts w:ascii="Times New Roman" w:hAnsi="Times New Roman"/>
                <w:b/>
              </w:rPr>
            </w:pPr>
            <w:r w:rsidRPr="00AB3853">
              <w:rPr>
                <w:rFonts w:ascii="Times New Roman" w:hAnsi="Times New Roman"/>
                <w:b/>
              </w:rPr>
              <w:t>тыс. м</w:t>
            </w:r>
            <w:r w:rsidRPr="00AB3853">
              <w:rPr>
                <w:rFonts w:ascii="Times New Roman" w:hAnsi="Times New Roman"/>
                <w:b/>
                <w:vertAlign w:val="superscript"/>
              </w:rPr>
              <w:t>3</w:t>
            </w:r>
          </w:p>
        </w:tc>
        <w:tc>
          <w:tcPr>
            <w:tcW w:w="1024" w:type="pct"/>
            <w:gridSpan w:val="2"/>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ind w:left="-85" w:right="-133"/>
              <w:jc w:val="center"/>
              <w:rPr>
                <w:rFonts w:ascii="Times New Roman" w:hAnsi="Times New Roman"/>
                <w:b/>
              </w:rPr>
            </w:pPr>
            <w:r w:rsidRPr="00AB3853">
              <w:rPr>
                <w:rFonts w:ascii="Times New Roman" w:hAnsi="Times New Roman"/>
                <w:b/>
              </w:rPr>
              <w:t xml:space="preserve">Платежи за пользование недрами, </w:t>
            </w:r>
          </w:p>
          <w:p w:rsidR="00EB1C50" w:rsidRPr="00AB3853" w:rsidRDefault="00EB1C50" w:rsidP="000077C4">
            <w:pPr>
              <w:spacing w:before="40" w:after="40" w:line="240" w:lineRule="auto"/>
              <w:ind w:left="-85" w:right="-133"/>
              <w:jc w:val="center"/>
              <w:rPr>
                <w:rFonts w:ascii="Times New Roman" w:hAnsi="Times New Roman"/>
                <w:b/>
              </w:rPr>
            </w:pPr>
            <w:r w:rsidRPr="00AB3853">
              <w:rPr>
                <w:rFonts w:ascii="Times New Roman" w:hAnsi="Times New Roman"/>
                <w:b/>
              </w:rPr>
              <w:t>тыс. руб.</w:t>
            </w:r>
          </w:p>
        </w:tc>
        <w:tc>
          <w:tcPr>
            <w:tcW w:w="1122" w:type="pct"/>
            <w:gridSpan w:val="2"/>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ind w:left="-83" w:right="-1"/>
              <w:jc w:val="center"/>
              <w:rPr>
                <w:rFonts w:ascii="Times New Roman" w:hAnsi="Times New Roman"/>
                <w:b/>
              </w:rPr>
            </w:pPr>
            <w:r w:rsidRPr="00AB3853">
              <w:rPr>
                <w:rFonts w:ascii="Times New Roman" w:hAnsi="Times New Roman"/>
                <w:b/>
              </w:rPr>
              <w:t>Платежи на воспроизводство минерально-сырьевой базы, тыс. руб.</w:t>
            </w:r>
          </w:p>
        </w:tc>
      </w:tr>
      <w:tr w:rsidR="00EB1C50" w:rsidRPr="00327844" w:rsidTr="00AB3853">
        <w:trPr>
          <w:trHeight w:val="136"/>
        </w:trPr>
        <w:tc>
          <w:tcPr>
            <w:tcW w:w="1833" w:type="pct"/>
            <w:vMerge/>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ind w:left="-65" w:right="-21"/>
              <w:rPr>
                <w:rFonts w:ascii="Times New Roman" w:hAnsi="Times New Roman"/>
                <w:b/>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ind w:left="-26"/>
              <w:jc w:val="center"/>
              <w:rPr>
                <w:rFonts w:ascii="Times New Roman" w:hAnsi="Times New Roman"/>
                <w:b/>
              </w:rPr>
            </w:pPr>
            <w:r w:rsidRPr="00AB3853">
              <w:rPr>
                <w:rFonts w:ascii="Times New Roman" w:hAnsi="Times New Roman"/>
                <w:b/>
              </w:rPr>
              <w:t>2016г.</w:t>
            </w:r>
          </w:p>
        </w:tc>
        <w:tc>
          <w:tcPr>
            <w:tcW w:w="464"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b/>
              </w:rPr>
            </w:pPr>
            <w:r w:rsidRPr="00AB3853">
              <w:rPr>
                <w:rFonts w:ascii="Times New Roman" w:hAnsi="Times New Roman"/>
                <w:b/>
              </w:rPr>
              <w:t>в % к 2015г.</w:t>
            </w:r>
          </w:p>
        </w:tc>
        <w:tc>
          <w:tcPr>
            <w:tcW w:w="559"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b/>
              </w:rPr>
            </w:pPr>
            <w:r w:rsidRPr="00AB3853">
              <w:rPr>
                <w:rFonts w:ascii="Times New Roman" w:hAnsi="Times New Roman"/>
                <w:b/>
              </w:rPr>
              <w:t>2016г.</w:t>
            </w:r>
          </w:p>
        </w:tc>
        <w:tc>
          <w:tcPr>
            <w:tcW w:w="465"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b/>
              </w:rPr>
            </w:pPr>
            <w:r w:rsidRPr="00AB3853">
              <w:rPr>
                <w:rFonts w:ascii="Times New Roman" w:hAnsi="Times New Roman"/>
                <w:b/>
              </w:rPr>
              <w:t>в % к 2015г.</w:t>
            </w:r>
          </w:p>
        </w:tc>
        <w:tc>
          <w:tcPr>
            <w:tcW w:w="571"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b/>
              </w:rPr>
            </w:pPr>
            <w:r w:rsidRPr="00AB3853">
              <w:rPr>
                <w:rFonts w:ascii="Times New Roman" w:hAnsi="Times New Roman"/>
                <w:b/>
              </w:rPr>
              <w:t>2016г.</w:t>
            </w:r>
          </w:p>
        </w:tc>
        <w:tc>
          <w:tcPr>
            <w:tcW w:w="551"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b/>
              </w:rPr>
            </w:pPr>
            <w:r w:rsidRPr="00AB3853">
              <w:rPr>
                <w:rFonts w:ascii="Times New Roman" w:hAnsi="Times New Roman"/>
                <w:b/>
              </w:rPr>
              <w:t>в % к. 2015г.</w:t>
            </w:r>
          </w:p>
        </w:tc>
      </w:tr>
      <w:tr w:rsidR="00EB1C50" w:rsidRPr="00327844" w:rsidTr="00AB3853">
        <w:trPr>
          <w:trHeight w:val="241"/>
        </w:trPr>
        <w:tc>
          <w:tcPr>
            <w:tcW w:w="1833"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ind w:right="-21"/>
              <w:rPr>
                <w:rFonts w:ascii="Times New Roman" w:hAnsi="Times New Roman"/>
              </w:rPr>
            </w:pPr>
            <w:r w:rsidRPr="00AB3853">
              <w:rPr>
                <w:rFonts w:ascii="Times New Roman" w:hAnsi="Times New Roman"/>
              </w:rPr>
              <w:t>Нерудные полезные ископаемые</w:t>
            </w:r>
          </w:p>
        </w:tc>
        <w:tc>
          <w:tcPr>
            <w:tcW w:w="557"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color w:val="000000"/>
              </w:rPr>
            </w:pPr>
            <w:r w:rsidRPr="00AB3853">
              <w:rPr>
                <w:rFonts w:ascii="Times New Roman" w:hAnsi="Times New Roman"/>
                <w:color w:val="000000"/>
              </w:rPr>
              <w:t>1 426,5</w:t>
            </w:r>
          </w:p>
        </w:tc>
        <w:tc>
          <w:tcPr>
            <w:tcW w:w="464"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color w:val="000000"/>
              </w:rPr>
            </w:pPr>
            <w:r w:rsidRPr="00AB3853">
              <w:rPr>
                <w:rFonts w:ascii="Times New Roman" w:hAnsi="Times New Roman"/>
                <w:color w:val="000000"/>
              </w:rPr>
              <w:t xml:space="preserve">в 2,3 р. </w:t>
            </w:r>
          </w:p>
        </w:tc>
        <w:tc>
          <w:tcPr>
            <w:tcW w:w="559"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color w:val="000000"/>
              </w:rPr>
            </w:pPr>
            <w:r w:rsidRPr="00AB3853">
              <w:rPr>
                <w:rFonts w:ascii="Times New Roman" w:hAnsi="Times New Roman"/>
                <w:color w:val="000000"/>
              </w:rPr>
              <w:t>9 313,8</w:t>
            </w:r>
          </w:p>
        </w:tc>
        <w:tc>
          <w:tcPr>
            <w:tcW w:w="465"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color w:val="000000"/>
              </w:rPr>
            </w:pPr>
            <w:r w:rsidRPr="00AB3853">
              <w:rPr>
                <w:rFonts w:ascii="Times New Roman" w:hAnsi="Times New Roman"/>
                <w:color w:val="000000"/>
              </w:rPr>
              <w:t>159,8</w:t>
            </w:r>
          </w:p>
        </w:tc>
        <w:tc>
          <w:tcPr>
            <w:tcW w:w="571"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color w:val="000000"/>
              </w:rPr>
            </w:pPr>
            <w:r w:rsidRPr="00AB3853">
              <w:rPr>
                <w:rFonts w:ascii="Times New Roman" w:hAnsi="Times New Roman"/>
                <w:color w:val="000000"/>
              </w:rPr>
              <w:t>5 632,5</w:t>
            </w:r>
          </w:p>
        </w:tc>
        <w:tc>
          <w:tcPr>
            <w:tcW w:w="551"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color w:val="000000"/>
              </w:rPr>
            </w:pPr>
            <w:r w:rsidRPr="00AB3853">
              <w:rPr>
                <w:rFonts w:ascii="Times New Roman" w:hAnsi="Times New Roman"/>
                <w:color w:val="000000"/>
              </w:rPr>
              <w:t>135,8</w:t>
            </w:r>
          </w:p>
        </w:tc>
      </w:tr>
      <w:tr w:rsidR="00EB1C50" w:rsidRPr="00327844" w:rsidTr="00AB3853">
        <w:trPr>
          <w:trHeight w:val="241"/>
        </w:trPr>
        <w:tc>
          <w:tcPr>
            <w:tcW w:w="1833"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ind w:right="-143"/>
              <w:rPr>
                <w:rFonts w:ascii="Times New Roman" w:hAnsi="Times New Roman"/>
              </w:rPr>
            </w:pPr>
            <w:r w:rsidRPr="00AB3853">
              <w:rPr>
                <w:rFonts w:ascii="Times New Roman" w:hAnsi="Times New Roman"/>
              </w:rPr>
              <w:t>Минеральная вода</w:t>
            </w:r>
          </w:p>
        </w:tc>
        <w:tc>
          <w:tcPr>
            <w:tcW w:w="557"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color w:val="000000"/>
              </w:rPr>
            </w:pPr>
            <w:r w:rsidRPr="00AB3853">
              <w:rPr>
                <w:rFonts w:ascii="Times New Roman" w:hAnsi="Times New Roman"/>
                <w:color w:val="000000"/>
              </w:rPr>
              <w:t>6,2</w:t>
            </w:r>
          </w:p>
        </w:tc>
        <w:tc>
          <w:tcPr>
            <w:tcW w:w="464"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color w:val="000000"/>
              </w:rPr>
            </w:pPr>
            <w:r w:rsidRPr="00AB3853">
              <w:rPr>
                <w:rFonts w:ascii="Times New Roman" w:hAnsi="Times New Roman"/>
                <w:color w:val="000000"/>
              </w:rPr>
              <w:t>100,0</w:t>
            </w:r>
          </w:p>
        </w:tc>
        <w:tc>
          <w:tcPr>
            <w:tcW w:w="559"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color w:val="000000"/>
              </w:rPr>
            </w:pPr>
            <w:r w:rsidRPr="00AB3853">
              <w:rPr>
                <w:rFonts w:ascii="Times New Roman" w:hAnsi="Times New Roman"/>
                <w:color w:val="000000"/>
              </w:rPr>
              <w:t>191,1</w:t>
            </w:r>
          </w:p>
        </w:tc>
        <w:tc>
          <w:tcPr>
            <w:tcW w:w="465"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color w:val="000000"/>
              </w:rPr>
            </w:pPr>
            <w:r w:rsidRPr="00AB3853">
              <w:rPr>
                <w:rFonts w:ascii="Times New Roman" w:hAnsi="Times New Roman"/>
                <w:color w:val="000000"/>
              </w:rPr>
              <w:t>85,7</w:t>
            </w:r>
          </w:p>
        </w:tc>
        <w:tc>
          <w:tcPr>
            <w:tcW w:w="571"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color w:val="000000"/>
              </w:rPr>
            </w:pPr>
            <w:r w:rsidRPr="00AB3853">
              <w:rPr>
                <w:rFonts w:ascii="Times New Roman" w:hAnsi="Times New Roman"/>
                <w:color w:val="000000"/>
              </w:rPr>
              <w:t>64,2</w:t>
            </w:r>
          </w:p>
        </w:tc>
        <w:tc>
          <w:tcPr>
            <w:tcW w:w="551"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color w:val="000000"/>
              </w:rPr>
            </w:pPr>
            <w:r w:rsidRPr="00AB3853">
              <w:rPr>
                <w:rFonts w:ascii="Times New Roman" w:hAnsi="Times New Roman"/>
                <w:color w:val="000000"/>
              </w:rPr>
              <w:t>85,4</w:t>
            </w:r>
          </w:p>
        </w:tc>
      </w:tr>
      <w:tr w:rsidR="00EB1C50" w:rsidRPr="00327844" w:rsidTr="00AB3853">
        <w:trPr>
          <w:trHeight w:val="192"/>
        </w:trPr>
        <w:tc>
          <w:tcPr>
            <w:tcW w:w="1833"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ind w:right="-21"/>
              <w:rPr>
                <w:rFonts w:ascii="Times New Roman" w:hAnsi="Times New Roman"/>
                <w:b/>
              </w:rPr>
            </w:pPr>
            <w:r w:rsidRPr="00AB3853">
              <w:rPr>
                <w:rFonts w:ascii="Times New Roman" w:hAnsi="Times New Roman"/>
                <w:b/>
              </w:rPr>
              <w:t>Всего</w:t>
            </w:r>
          </w:p>
        </w:tc>
        <w:tc>
          <w:tcPr>
            <w:tcW w:w="557"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b/>
                <w:color w:val="000000"/>
              </w:rPr>
            </w:pPr>
            <w:r w:rsidRPr="00AB3853">
              <w:rPr>
                <w:rFonts w:ascii="Times New Roman" w:hAnsi="Times New Roman"/>
                <w:b/>
                <w:color w:val="000000"/>
              </w:rPr>
              <w:t>1 432,7,7</w:t>
            </w:r>
          </w:p>
        </w:tc>
        <w:tc>
          <w:tcPr>
            <w:tcW w:w="464"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ind w:left="-40" w:right="-138"/>
              <w:jc w:val="center"/>
              <w:rPr>
                <w:rFonts w:ascii="Times New Roman" w:hAnsi="Times New Roman"/>
                <w:b/>
                <w:color w:val="000000"/>
              </w:rPr>
            </w:pPr>
            <w:r w:rsidRPr="00AB3853">
              <w:rPr>
                <w:rFonts w:ascii="Times New Roman" w:hAnsi="Times New Roman"/>
                <w:b/>
                <w:color w:val="000000"/>
              </w:rPr>
              <w:t>в 2,3 р.</w:t>
            </w:r>
          </w:p>
        </w:tc>
        <w:tc>
          <w:tcPr>
            <w:tcW w:w="559"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b/>
                <w:color w:val="000000"/>
              </w:rPr>
            </w:pPr>
            <w:r w:rsidRPr="00AB3853">
              <w:rPr>
                <w:rFonts w:ascii="Times New Roman" w:hAnsi="Times New Roman"/>
                <w:b/>
                <w:color w:val="000000"/>
              </w:rPr>
              <w:t>9 504,9</w:t>
            </w:r>
          </w:p>
        </w:tc>
        <w:tc>
          <w:tcPr>
            <w:tcW w:w="465"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b/>
                <w:color w:val="000000"/>
              </w:rPr>
            </w:pPr>
            <w:r w:rsidRPr="00AB3853">
              <w:rPr>
                <w:rFonts w:ascii="Times New Roman" w:hAnsi="Times New Roman"/>
                <w:b/>
                <w:color w:val="000000"/>
              </w:rPr>
              <w:t>157,1</w:t>
            </w:r>
          </w:p>
        </w:tc>
        <w:tc>
          <w:tcPr>
            <w:tcW w:w="571"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b/>
                <w:color w:val="000000"/>
              </w:rPr>
            </w:pPr>
            <w:r w:rsidRPr="00AB3853">
              <w:rPr>
                <w:rFonts w:ascii="Times New Roman" w:hAnsi="Times New Roman"/>
                <w:b/>
                <w:color w:val="000000"/>
              </w:rPr>
              <w:t>5 696,7</w:t>
            </w:r>
          </w:p>
        </w:tc>
        <w:tc>
          <w:tcPr>
            <w:tcW w:w="551" w:type="pct"/>
            <w:tcBorders>
              <w:top w:val="single" w:sz="4" w:space="0" w:color="auto"/>
              <w:left w:val="single" w:sz="4" w:space="0" w:color="auto"/>
              <w:bottom w:val="single" w:sz="4" w:space="0" w:color="auto"/>
              <w:right w:val="single" w:sz="4" w:space="0" w:color="auto"/>
            </w:tcBorders>
            <w:vAlign w:val="center"/>
            <w:hideMark/>
          </w:tcPr>
          <w:p w:rsidR="00EB1C50" w:rsidRPr="00AB3853" w:rsidRDefault="00EB1C50" w:rsidP="000077C4">
            <w:pPr>
              <w:spacing w:before="40" w:after="40" w:line="240" w:lineRule="auto"/>
              <w:jc w:val="center"/>
              <w:rPr>
                <w:rFonts w:ascii="Times New Roman" w:hAnsi="Times New Roman"/>
                <w:b/>
                <w:color w:val="000000"/>
              </w:rPr>
            </w:pPr>
            <w:r w:rsidRPr="00AB3853">
              <w:rPr>
                <w:rFonts w:ascii="Times New Roman" w:hAnsi="Times New Roman"/>
                <w:b/>
                <w:color w:val="000000"/>
              </w:rPr>
              <w:t>134,9</w:t>
            </w:r>
          </w:p>
        </w:tc>
      </w:tr>
    </w:tbl>
    <w:p w:rsidR="00EB1C50" w:rsidRPr="000077C4" w:rsidRDefault="00EB1C50" w:rsidP="00EB1C50">
      <w:pPr>
        <w:spacing w:after="0" w:line="240" w:lineRule="auto"/>
        <w:ind w:firstLine="709"/>
        <w:jc w:val="both"/>
        <w:rPr>
          <w:rFonts w:ascii="Times New Roman" w:hAnsi="Times New Roman"/>
          <w:sz w:val="20"/>
          <w:szCs w:val="20"/>
        </w:rPr>
      </w:pPr>
    </w:p>
    <w:p w:rsidR="00EB1C50" w:rsidRPr="004F0388" w:rsidRDefault="00EB1C50" w:rsidP="00EB1C50">
      <w:pPr>
        <w:tabs>
          <w:tab w:val="left" w:pos="851"/>
        </w:tabs>
        <w:spacing w:after="0" w:line="240" w:lineRule="auto"/>
        <w:ind w:firstLine="709"/>
        <w:jc w:val="both"/>
        <w:rPr>
          <w:rFonts w:ascii="Times New Roman" w:hAnsi="Times New Roman"/>
          <w:sz w:val="24"/>
          <w:szCs w:val="24"/>
        </w:rPr>
      </w:pPr>
      <w:r w:rsidRPr="004F0388">
        <w:rPr>
          <w:rFonts w:ascii="Times New Roman" w:hAnsi="Times New Roman"/>
          <w:sz w:val="24"/>
          <w:szCs w:val="24"/>
        </w:rPr>
        <w:t xml:space="preserve">Из 9 разведанных на территории ПМР месторождений минеральных вод, ведется эксплуатация 5 месторождений по добыче гидроминеральных ресурсов, одно из которых месторождение радоновых вод. На базе 3 месторождений действуют курортно-оздоровительные санатории, на одном осуществляется розлив лечебно-столовой воды. </w:t>
      </w:r>
    </w:p>
    <w:p w:rsidR="00EB1C50" w:rsidRPr="005B454E" w:rsidRDefault="00EB1C50" w:rsidP="00EB1C50">
      <w:pPr>
        <w:spacing w:after="0" w:line="240" w:lineRule="auto"/>
        <w:ind w:firstLine="709"/>
        <w:jc w:val="both"/>
        <w:rPr>
          <w:rFonts w:ascii="Times New Roman" w:hAnsi="Times New Roman"/>
          <w:sz w:val="24"/>
          <w:szCs w:val="24"/>
        </w:rPr>
      </w:pPr>
      <w:r w:rsidRPr="005B454E">
        <w:rPr>
          <w:rFonts w:ascii="Times New Roman" w:hAnsi="Times New Roman"/>
          <w:sz w:val="24"/>
          <w:szCs w:val="24"/>
        </w:rPr>
        <w:t>Объем добычи гидроминеральных ресурсов в рассматриваемом периоде остался на уровне 2015 года, составив 6,2 тыс. м</w:t>
      </w:r>
      <w:r w:rsidRPr="005B454E">
        <w:rPr>
          <w:rFonts w:ascii="Times New Roman" w:hAnsi="Times New Roman"/>
          <w:sz w:val="24"/>
          <w:szCs w:val="24"/>
          <w:vertAlign w:val="superscript"/>
        </w:rPr>
        <w:t>3</w:t>
      </w:r>
      <w:r w:rsidRPr="005B454E">
        <w:rPr>
          <w:rFonts w:ascii="Times New Roman" w:hAnsi="Times New Roman"/>
          <w:sz w:val="24"/>
          <w:szCs w:val="24"/>
        </w:rPr>
        <w:t xml:space="preserve">, </w:t>
      </w:r>
      <w:r>
        <w:rPr>
          <w:rFonts w:ascii="Times New Roman" w:hAnsi="Times New Roman"/>
          <w:sz w:val="24"/>
          <w:szCs w:val="24"/>
        </w:rPr>
        <w:t>при этом</w:t>
      </w:r>
      <w:r w:rsidRPr="005B454E">
        <w:rPr>
          <w:rFonts w:ascii="Times New Roman" w:hAnsi="Times New Roman"/>
          <w:sz w:val="24"/>
          <w:szCs w:val="24"/>
        </w:rPr>
        <w:t xml:space="preserve"> прирост объемов реализации нерудных строительных материалов способствовал наращиванию общей суммы платежей за пользование недрами и отчислений на воспроизводство минерально-сырьевой базы до 15 201,6 тыс. руб., превысив базовый уровень прошлого года на 48,0%.</w:t>
      </w:r>
    </w:p>
    <w:p w:rsidR="00EB1C50" w:rsidRDefault="00EB1C50" w:rsidP="00EB1C50">
      <w:pPr>
        <w:tabs>
          <w:tab w:val="left" w:pos="851"/>
        </w:tabs>
        <w:spacing w:after="0" w:line="240" w:lineRule="auto"/>
        <w:ind w:firstLine="709"/>
        <w:jc w:val="both"/>
        <w:rPr>
          <w:rFonts w:ascii="Times New Roman" w:hAnsi="Times New Roman"/>
          <w:sz w:val="24"/>
          <w:szCs w:val="24"/>
        </w:rPr>
      </w:pPr>
      <w:r w:rsidRPr="005B454E">
        <w:rPr>
          <w:rFonts w:ascii="Times New Roman" w:hAnsi="Times New Roman"/>
          <w:sz w:val="24"/>
          <w:szCs w:val="24"/>
        </w:rPr>
        <w:t>В рассматриваемом периоде рекультивировано и передано прежнему землепользователю 4,0 га земель, нарушенных горными работами.</w:t>
      </w:r>
    </w:p>
    <w:p w:rsidR="00EB1C50" w:rsidRDefault="00EB1C50" w:rsidP="00EB1C50">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В рамках согласованных Мероприятий по развитию минерально-сырьевой базы и охраны недр Приднестровской Молдавской Республики на 2016 год проводились работы по:</w:t>
      </w:r>
    </w:p>
    <w:p w:rsidR="00EB1C50" w:rsidRDefault="00EB1C50" w:rsidP="00EB1C50">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изучению режима и баланса подземных вод с целью систематизации и составления перечня водных объектов, а также обобщения ежегодных данных об эксплуатационных запасах подземных вод;</w:t>
      </w:r>
    </w:p>
    <w:p w:rsidR="00EB1C50" w:rsidRDefault="00EB1C50" w:rsidP="00EB1C50">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наблюдению за водозаборными сооружениями подземных вод с целью защиты водоносных горизонтов от истощения и загрязнения, по результатам которых выполнялись работы по ликвидационному тампонажу неэксплуатируемых скважин;</w:t>
      </w:r>
    </w:p>
    <w:p w:rsidR="00EB1C50" w:rsidRDefault="00EB1C50" w:rsidP="00EB1C50">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изучению современных рельефообразующих геологических процессов с целью изучения и прогнозирования оползневых процессов на территории республики.</w:t>
      </w:r>
    </w:p>
    <w:p w:rsidR="00EB1C50" w:rsidRPr="0080737A" w:rsidRDefault="00EB1C50" w:rsidP="00EB1C50">
      <w:pPr>
        <w:tabs>
          <w:tab w:val="left" w:pos="851"/>
        </w:tabs>
        <w:spacing w:after="0" w:line="240" w:lineRule="auto"/>
        <w:ind w:firstLine="709"/>
        <w:jc w:val="both"/>
        <w:rPr>
          <w:rFonts w:ascii="Times New Roman" w:hAnsi="Times New Roman"/>
          <w:sz w:val="24"/>
          <w:szCs w:val="24"/>
        </w:rPr>
      </w:pPr>
    </w:p>
    <w:p w:rsidR="00EB1C50" w:rsidRPr="0080737A" w:rsidRDefault="00EB1C50" w:rsidP="00EB1C50">
      <w:pPr>
        <w:spacing w:after="0" w:line="240" w:lineRule="auto"/>
        <w:ind w:firstLine="720"/>
        <w:jc w:val="both"/>
        <w:rPr>
          <w:rFonts w:ascii="Times New Roman" w:hAnsi="Times New Roman"/>
          <w:b/>
          <w:sz w:val="24"/>
          <w:szCs w:val="24"/>
        </w:rPr>
      </w:pPr>
      <w:r w:rsidRPr="0080737A">
        <w:rPr>
          <w:rFonts w:ascii="Times New Roman" w:hAnsi="Times New Roman"/>
          <w:b/>
          <w:sz w:val="24"/>
          <w:szCs w:val="24"/>
        </w:rPr>
        <w:t>Состояние социальной сферы</w:t>
      </w:r>
    </w:p>
    <w:p w:rsidR="00EB1C50" w:rsidRPr="0080737A" w:rsidRDefault="00EB1C50" w:rsidP="00EB1C50">
      <w:pPr>
        <w:spacing w:after="0" w:line="240" w:lineRule="auto"/>
        <w:ind w:firstLine="720"/>
        <w:jc w:val="both"/>
        <w:rPr>
          <w:rFonts w:ascii="Times New Roman" w:hAnsi="Times New Roman"/>
          <w:sz w:val="24"/>
          <w:szCs w:val="24"/>
        </w:rPr>
      </w:pPr>
    </w:p>
    <w:p w:rsidR="00EB1C50" w:rsidRPr="0080737A" w:rsidRDefault="00EB1C50" w:rsidP="00EB1C50">
      <w:pPr>
        <w:widowControl w:val="0"/>
        <w:spacing w:after="0" w:line="240" w:lineRule="auto"/>
        <w:ind w:firstLineChars="302" w:firstLine="728"/>
        <w:jc w:val="both"/>
        <w:rPr>
          <w:rFonts w:ascii="Times New Roman" w:hAnsi="Times New Roman"/>
          <w:b/>
          <w:sz w:val="24"/>
          <w:szCs w:val="24"/>
        </w:rPr>
      </w:pPr>
      <w:r w:rsidRPr="0080737A">
        <w:rPr>
          <w:rFonts w:ascii="Times New Roman" w:hAnsi="Times New Roman"/>
          <w:b/>
          <w:sz w:val="24"/>
          <w:szCs w:val="24"/>
        </w:rPr>
        <w:t>Уровень жизни населения</w:t>
      </w:r>
    </w:p>
    <w:p w:rsidR="00EB1C50" w:rsidRPr="0080737A" w:rsidRDefault="00EB1C50" w:rsidP="00EB1C50">
      <w:pPr>
        <w:spacing w:after="0" w:line="240" w:lineRule="auto"/>
        <w:jc w:val="both"/>
        <w:rPr>
          <w:rFonts w:ascii="Times New Roman" w:hAnsi="Times New Roman"/>
          <w:sz w:val="24"/>
          <w:szCs w:val="24"/>
        </w:rPr>
      </w:pPr>
    </w:p>
    <w:p w:rsidR="00EB1C50" w:rsidRPr="00E40420" w:rsidRDefault="00EB1C50" w:rsidP="00EB1C50">
      <w:pPr>
        <w:spacing w:after="0" w:line="240" w:lineRule="auto"/>
        <w:ind w:firstLineChars="295" w:firstLine="708"/>
        <w:jc w:val="both"/>
        <w:rPr>
          <w:rFonts w:ascii="Times New Roman" w:hAnsi="Times New Roman"/>
          <w:sz w:val="24"/>
          <w:szCs w:val="24"/>
        </w:rPr>
      </w:pPr>
      <w:r w:rsidRPr="00E40420">
        <w:rPr>
          <w:rFonts w:ascii="Times New Roman" w:hAnsi="Times New Roman"/>
          <w:sz w:val="24"/>
          <w:szCs w:val="24"/>
          <w:shd w:val="clear" w:color="auto" w:fill="FFFFFF"/>
        </w:rPr>
        <w:t xml:space="preserve">Уровень жизни дает оценку экономической стороны качества жизни населения и служит критерием при выборе направлений и приоритетов экономической и социальной политики государства. </w:t>
      </w:r>
      <w:r w:rsidRPr="00E40420">
        <w:rPr>
          <w:rFonts w:ascii="Times New Roman" w:eastAsia="Calibri" w:hAnsi="Times New Roman"/>
          <w:sz w:val="24"/>
          <w:szCs w:val="24"/>
        </w:rPr>
        <w:t xml:space="preserve">Одним из наиболее важных индикаторов уровня жизни считается показатель доходов населения, доминирующей составляющей которых является заработная плата. </w:t>
      </w:r>
    </w:p>
    <w:p w:rsidR="00EB1C50" w:rsidRPr="00C84F2A" w:rsidRDefault="00EB1C50" w:rsidP="00EB1C50">
      <w:pPr>
        <w:tabs>
          <w:tab w:val="left" w:pos="851"/>
          <w:tab w:val="left" w:pos="993"/>
        </w:tabs>
        <w:spacing w:after="0" w:line="240" w:lineRule="auto"/>
        <w:ind w:firstLine="709"/>
        <w:jc w:val="both"/>
        <w:rPr>
          <w:rFonts w:ascii="Times New Roman" w:hAnsi="Times New Roman"/>
          <w:sz w:val="24"/>
          <w:szCs w:val="24"/>
          <w:shd w:val="clear" w:color="auto" w:fill="FFFFFF"/>
        </w:rPr>
      </w:pPr>
      <w:r w:rsidRPr="00E40420">
        <w:rPr>
          <w:rFonts w:ascii="Times New Roman" w:hAnsi="Times New Roman"/>
          <w:sz w:val="24"/>
          <w:szCs w:val="24"/>
          <w:shd w:val="clear" w:color="auto" w:fill="FFFFFF"/>
        </w:rPr>
        <w:t>Номинальная заработная плата в целом по республике за 2016 год (кроме субъектов малого предпринимательства и без учета силовых структур) сократилась на 0,</w:t>
      </w:r>
      <w:r>
        <w:rPr>
          <w:rFonts w:ascii="Times New Roman" w:hAnsi="Times New Roman"/>
          <w:sz w:val="24"/>
          <w:szCs w:val="24"/>
          <w:shd w:val="clear" w:color="auto" w:fill="FFFFFF"/>
        </w:rPr>
        <w:t>5</w:t>
      </w:r>
      <w:r w:rsidRPr="00E40420">
        <w:rPr>
          <w:rFonts w:ascii="Times New Roman" w:hAnsi="Times New Roman"/>
          <w:sz w:val="24"/>
          <w:szCs w:val="24"/>
          <w:shd w:val="clear" w:color="auto" w:fill="FFFFFF"/>
        </w:rPr>
        <w:t xml:space="preserve">%, </w:t>
      </w:r>
      <w:r>
        <w:rPr>
          <w:rFonts w:ascii="Times New Roman" w:hAnsi="Times New Roman"/>
          <w:sz w:val="24"/>
          <w:szCs w:val="24"/>
          <w:shd w:val="clear" w:color="auto" w:fill="FFFFFF"/>
        </w:rPr>
        <w:br/>
      </w:r>
      <w:r w:rsidRPr="00E40420">
        <w:rPr>
          <w:rFonts w:ascii="Times New Roman" w:hAnsi="Times New Roman"/>
          <w:sz w:val="24"/>
          <w:szCs w:val="24"/>
          <w:shd w:val="clear" w:color="auto" w:fill="FFFFFF"/>
        </w:rPr>
        <w:t>составив 3 844 руб., а с учетом удорожания жизни реальная величина заработной платы работающих в 2016 году сократилась по отношению к базовому периоду на 1,6%. В долларовом эквиваленте ее размер сократился на 2,0% и соответствовал 341 долл. США.</w:t>
      </w:r>
    </w:p>
    <w:p w:rsidR="00EB1C50" w:rsidRPr="00AB3853" w:rsidRDefault="00EB1C50" w:rsidP="00180663">
      <w:pPr>
        <w:spacing w:after="0"/>
        <w:jc w:val="center"/>
        <w:rPr>
          <w:rFonts w:ascii="Times New Roman" w:hAnsi="Times New Roman"/>
          <w:b/>
          <w:sz w:val="2"/>
          <w:szCs w:val="2"/>
        </w:rPr>
      </w:pPr>
      <w:r w:rsidRPr="00C84F2A">
        <w:rPr>
          <w:rFonts w:ascii="Times New Roman" w:hAnsi="Times New Roman"/>
          <w:b/>
          <w:noProof/>
          <w:sz w:val="24"/>
          <w:szCs w:val="24"/>
        </w:rPr>
        <w:lastRenderedPageBreak/>
        <w:drawing>
          <wp:inline distT="0" distB="0" distL="0" distR="0">
            <wp:extent cx="6115050" cy="3295650"/>
            <wp:effectExtent l="0" t="0" r="0" b="0"/>
            <wp:docPr id="5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B1C50" w:rsidRPr="00C67270" w:rsidRDefault="00EB1C50" w:rsidP="00180663">
      <w:pPr>
        <w:spacing w:after="0" w:line="240" w:lineRule="auto"/>
        <w:ind w:firstLine="709"/>
        <w:jc w:val="both"/>
        <w:rPr>
          <w:rFonts w:ascii="Times New Roman" w:hAnsi="Times New Roman"/>
          <w:sz w:val="24"/>
          <w:szCs w:val="24"/>
        </w:rPr>
      </w:pPr>
      <w:r w:rsidRPr="0043740B">
        <w:rPr>
          <w:rFonts w:ascii="Times New Roman" w:hAnsi="Times New Roman"/>
          <w:sz w:val="24"/>
          <w:szCs w:val="24"/>
        </w:rPr>
        <w:t xml:space="preserve">Значимым обстоятельством напряженности в обществе продолжает выступать степень дифференциации размера заработной платы. Превышение уровня заработной платы в высоко- и </w:t>
      </w:r>
      <w:r w:rsidRPr="00C22EA8">
        <w:rPr>
          <w:rFonts w:ascii="Times New Roman" w:hAnsi="Times New Roman"/>
          <w:sz w:val="24"/>
          <w:szCs w:val="24"/>
        </w:rPr>
        <w:t xml:space="preserve">низкооплачиваемых отраслях экономики составило 4,9 раза. Самый высокий уровень заработной платы наблюдался у работников таких отраслей экономики </w:t>
      </w:r>
      <w:r w:rsidRPr="008400DB">
        <w:rPr>
          <w:rFonts w:ascii="Times New Roman" w:hAnsi="Times New Roman"/>
          <w:sz w:val="24"/>
          <w:szCs w:val="24"/>
        </w:rPr>
        <w:t>как, «Электро и радиосвязь» 9 695 руб. («+»2,7%), «Банки и кредитование» 7 331 руб. («-»</w:t>
      </w:r>
      <w:r w:rsidRPr="00C67270">
        <w:rPr>
          <w:rFonts w:ascii="Times New Roman" w:hAnsi="Times New Roman"/>
          <w:sz w:val="24"/>
          <w:szCs w:val="24"/>
        </w:rPr>
        <w:t>7,3%), «Страхование» 6 931 руб. («+»12,1%).</w:t>
      </w:r>
    </w:p>
    <w:p w:rsidR="00EB1C50" w:rsidRPr="00642E0B" w:rsidRDefault="00EB1C50" w:rsidP="00EB1C50">
      <w:pPr>
        <w:spacing w:after="0" w:line="240" w:lineRule="auto"/>
        <w:ind w:firstLine="709"/>
        <w:jc w:val="both"/>
        <w:rPr>
          <w:rFonts w:ascii="Times New Roman" w:hAnsi="Times New Roman"/>
          <w:sz w:val="24"/>
          <w:szCs w:val="24"/>
        </w:rPr>
      </w:pPr>
      <w:r w:rsidRPr="00C67270">
        <w:rPr>
          <w:rFonts w:ascii="Times New Roman" w:hAnsi="Times New Roman"/>
          <w:sz w:val="24"/>
          <w:szCs w:val="24"/>
        </w:rPr>
        <w:t>Сокращение среднемесячной заработной платы отмечено у работников таких отраслей, как: «Заготовка металлолома и утиля» (на 24,8% до 3 400 руб.), «Железнодорожный транспорт» (на 12,9% до 3 673 руб.), «Непроизводственные виды бытового обслуживания» (на 1,0% до 2 426 руб.), ее размер сложился ниже среднереспубликанского уровня на 11,6%, 4,4%, 36,9% соответственно.</w:t>
      </w:r>
      <w:r w:rsidRPr="00642E0B">
        <w:rPr>
          <w:rFonts w:ascii="Times New Roman" w:hAnsi="Times New Roman"/>
          <w:sz w:val="24"/>
          <w:szCs w:val="24"/>
        </w:rPr>
        <w:t xml:space="preserve"> </w:t>
      </w:r>
    </w:p>
    <w:p w:rsidR="00EB1C50" w:rsidRDefault="00EB1C50" w:rsidP="00EB1C50">
      <w:pPr>
        <w:widowControl w:val="0"/>
        <w:spacing w:after="0" w:line="240" w:lineRule="auto"/>
        <w:ind w:firstLine="709"/>
        <w:jc w:val="both"/>
        <w:rPr>
          <w:rFonts w:ascii="Times New Roman" w:hAnsi="Times New Roman"/>
          <w:sz w:val="24"/>
          <w:szCs w:val="24"/>
        </w:rPr>
      </w:pPr>
      <w:r w:rsidRPr="00F91399">
        <w:rPr>
          <w:rFonts w:ascii="Times New Roman" w:hAnsi="Times New Roman"/>
          <w:sz w:val="24"/>
          <w:szCs w:val="24"/>
        </w:rPr>
        <w:t>В 2016 году на фоне умеренных темпов сокращения оплаты труда («-»0,5%)</w:t>
      </w:r>
      <w:r>
        <w:rPr>
          <w:rFonts w:ascii="Times New Roman" w:hAnsi="Times New Roman"/>
          <w:sz w:val="24"/>
          <w:szCs w:val="24"/>
        </w:rPr>
        <w:t>,</w:t>
      </w:r>
      <w:r w:rsidRPr="00F91399">
        <w:rPr>
          <w:rFonts w:ascii="Times New Roman" w:hAnsi="Times New Roman"/>
          <w:sz w:val="24"/>
          <w:szCs w:val="24"/>
        </w:rPr>
        <w:t xml:space="preserve"> а </w:t>
      </w:r>
      <w:r>
        <w:rPr>
          <w:rFonts w:ascii="Times New Roman" w:hAnsi="Times New Roman"/>
          <w:sz w:val="24"/>
          <w:szCs w:val="24"/>
        </w:rPr>
        <w:t>так</w:t>
      </w:r>
      <w:r w:rsidRPr="00F91399">
        <w:rPr>
          <w:rFonts w:ascii="Times New Roman" w:hAnsi="Times New Roman"/>
          <w:sz w:val="24"/>
          <w:szCs w:val="24"/>
        </w:rPr>
        <w:t>же незначительным изменением прожиточного минимума трудоспособного человека («-»0,6% до 1 369,69 руб.), размер покупательной способности заработной платы остался на уровне минувшего года и составил 2,8 набора прожиточного минимума.</w:t>
      </w:r>
    </w:p>
    <w:p w:rsidR="00EB1C50" w:rsidRDefault="00EB1C50" w:rsidP="00EB1C50">
      <w:r w:rsidRPr="00EB1C50">
        <w:rPr>
          <w:noProof/>
        </w:rPr>
        <w:drawing>
          <wp:inline distT="0" distB="0" distL="0" distR="0">
            <wp:extent cx="5943600" cy="3609975"/>
            <wp:effectExtent l="0" t="0" r="0" b="0"/>
            <wp:docPr id="5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266B9" w:rsidRPr="00C84F2A" w:rsidRDefault="00F266B9" w:rsidP="00F266B9">
      <w:pPr>
        <w:spacing w:after="0"/>
        <w:jc w:val="right"/>
        <w:rPr>
          <w:rFonts w:ascii="Times New Roman" w:hAnsi="Times New Roman"/>
          <w:sz w:val="24"/>
          <w:szCs w:val="24"/>
        </w:rPr>
      </w:pPr>
      <w:r w:rsidRPr="008440F9">
        <w:rPr>
          <w:rFonts w:ascii="Times New Roman" w:hAnsi="Times New Roman"/>
          <w:sz w:val="24"/>
          <w:szCs w:val="24"/>
        </w:rPr>
        <w:lastRenderedPageBreak/>
        <w:t>Таблица №</w:t>
      </w:r>
      <w:r w:rsidRPr="00C84F2A">
        <w:rPr>
          <w:rFonts w:ascii="Times New Roman" w:hAnsi="Times New Roman"/>
          <w:sz w:val="24"/>
          <w:szCs w:val="24"/>
        </w:rPr>
        <w:t xml:space="preserve"> </w:t>
      </w:r>
      <w:r w:rsidR="003E0203">
        <w:rPr>
          <w:rFonts w:ascii="Times New Roman" w:hAnsi="Times New Roman"/>
          <w:sz w:val="24"/>
          <w:szCs w:val="24"/>
        </w:rPr>
        <w:t>15</w:t>
      </w:r>
    </w:p>
    <w:p w:rsidR="00F266B9" w:rsidRDefault="00F266B9" w:rsidP="00F266B9">
      <w:pPr>
        <w:spacing w:after="0" w:line="240" w:lineRule="auto"/>
        <w:ind w:firstLine="709"/>
        <w:jc w:val="center"/>
        <w:rPr>
          <w:rFonts w:ascii="Times New Roman" w:hAnsi="Times New Roman"/>
          <w:b/>
          <w:sz w:val="24"/>
          <w:szCs w:val="24"/>
        </w:rPr>
      </w:pPr>
      <w:r w:rsidRPr="00642E0B">
        <w:rPr>
          <w:rFonts w:ascii="Times New Roman" w:hAnsi="Times New Roman"/>
          <w:b/>
          <w:sz w:val="24"/>
          <w:szCs w:val="24"/>
        </w:rPr>
        <w:t>Покупательная способность среднемесячной заработной платы</w:t>
      </w:r>
    </w:p>
    <w:tbl>
      <w:tblPr>
        <w:tblW w:w="9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90"/>
        <w:gridCol w:w="2006"/>
        <w:gridCol w:w="2006"/>
      </w:tblGrid>
      <w:tr w:rsidR="00F266B9" w:rsidRPr="00C84F2A" w:rsidTr="00AB3853">
        <w:trPr>
          <w:trHeight w:val="529"/>
        </w:trPr>
        <w:tc>
          <w:tcPr>
            <w:tcW w:w="5590" w:type="dxa"/>
            <w:shd w:val="clear" w:color="auto" w:fill="E0E0E0"/>
            <w:vAlign w:val="center"/>
          </w:tcPr>
          <w:p w:rsidR="00F266B9" w:rsidRPr="00AB3853" w:rsidRDefault="00F266B9" w:rsidP="002156EF">
            <w:pPr>
              <w:widowControl w:val="0"/>
              <w:spacing w:after="0" w:line="240" w:lineRule="auto"/>
              <w:rPr>
                <w:rFonts w:ascii="Times New Roman" w:hAnsi="Times New Roman"/>
                <w:b/>
              </w:rPr>
            </w:pPr>
            <w:r w:rsidRPr="00AB3853">
              <w:rPr>
                <w:rFonts w:ascii="Times New Roman" w:hAnsi="Times New Roman"/>
                <w:b/>
              </w:rPr>
              <w:t>Покупательная способность среднемесячной заработной платы</w:t>
            </w:r>
          </w:p>
        </w:tc>
        <w:tc>
          <w:tcPr>
            <w:tcW w:w="2006" w:type="dxa"/>
            <w:shd w:val="clear" w:color="auto" w:fill="E0E0E0"/>
            <w:vAlign w:val="center"/>
          </w:tcPr>
          <w:p w:rsidR="00F266B9" w:rsidRPr="00AB3853" w:rsidRDefault="00F266B9" w:rsidP="002156EF">
            <w:pPr>
              <w:widowControl w:val="0"/>
              <w:spacing w:after="0" w:line="240" w:lineRule="auto"/>
              <w:jc w:val="center"/>
              <w:rPr>
                <w:rFonts w:ascii="Times New Roman" w:hAnsi="Times New Roman"/>
                <w:b/>
              </w:rPr>
            </w:pPr>
            <w:r w:rsidRPr="00AB3853">
              <w:rPr>
                <w:rFonts w:ascii="Times New Roman" w:hAnsi="Times New Roman"/>
                <w:b/>
              </w:rPr>
              <w:t>2015 год</w:t>
            </w:r>
          </w:p>
        </w:tc>
        <w:tc>
          <w:tcPr>
            <w:tcW w:w="2006" w:type="dxa"/>
            <w:shd w:val="clear" w:color="auto" w:fill="E0E0E0"/>
            <w:vAlign w:val="center"/>
          </w:tcPr>
          <w:p w:rsidR="00F266B9" w:rsidRPr="00AB3853" w:rsidRDefault="00F266B9" w:rsidP="002156EF">
            <w:pPr>
              <w:widowControl w:val="0"/>
              <w:spacing w:after="0" w:line="240" w:lineRule="auto"/>
              <w:jc w:val="center"/>
              <w:rPr>
                <w:rFonts w:ascii="Times New Roman" w:hAnsi="Times New Roman"/>
                <w:b/>
              </w:rPr>
            </w:pPr>
            <w:r w:rsidRPr="00AB3853">
              <w:rPr>
                <w:rFonts w:ascii="Times New Roman" w:hAnsi="Times New Roman"/>
                <w:b/>
              </w:rPr>
              <w:t>2016 год</w:t>
            </w:r>
          </w:p>
        </w:tc>
      </w:tr>
      <w:tr w:rsidR="00F266B9" w:rsidRPr="00C84F2A" w:rsidTr="00AB3853">
        <w:trPr>
          <w:trHeight w:val="214"/>
        </w:trPr>
        <w:tc>
          <w:tcPr>
            <w:tcW w:w="5590" w:type="dxa"/>
            <w:vAlign w:val="center"/>
          </w:tcPr>
          <w:p w:rsidR="00F266B9" w:rsidRPr="00AB3853" w:rsidRDefault="00F266B9" w:rsidP="002156EF">
            <w:pPr>
              <w:widowControl w:val="0"/>
              <w:spacing w:after="0" w:line="240" w:lineRule="auto"/>
              <w:rPr>
                <w:rFonts w:ascii="Times New Roman" w:hAnsi="Times New Roman"/>
              </w:rPr>
            </w:pPr>
            <w:r w:rsidRPr="00AB3853">
              <w:rPr>
                <w:rFonts w:ascii="Times New Roman" w:hAnsi="Times New Roman"/>
              </w:rPr>
              <w:t>- в целом по республике</w:t>
            </w:r>
          </w:p>
        </w:tc>
        <w:tc>
          <w:tcPr>
            <w:tcW w:w="2006" w:type="dxa"/>
            <w:vAlign w:val="center"/>
          </w:tcPr>
          <w:p w:rsidR="00F266B9" w:rsidRPr="00AB3853" w:rsidRDefault="00F266B9" w:rsidP="002156EF">
            <w:pPr>
              <w:widowControl w:val="0"/>
              <w:spacing w:after="0" w:line="240" w:lineRule="auto"/>
              <w:jc w:val="center"/>
              <w:rPr>
                <w:rFonts w:ascii="Times New Roman" w:hAnsi="Times New Roman"/>
              </w:rPr>
            </w:pPr>
            <w:r w:rsidRPr="00AB3853">
              <w:rPr>
                <w:rFonts w:ascii="Times New Roman" w:hAnsi="Times New Roman"/>
              </w:rPr>
              <w:t>2,8</w:t>
            </w:r>
          </w:p>
        </w:tc>
        <w:tc>
          <w:tcPr>
            <w:tcW w:w="2006" w:type="dxa"/>
            <w:vAlign w:val="center"/>
          </w:tcPr>
          <w:p w:rsidR="00F266B9" w:rsidRPr="00AB3853" w:rsidRDefault="00F266B9" w:rsidP="002156EF">
            <w:pPr>
              <w:widowControl w:val="0"/>
              <w:spacing w:after="0" w:line="240" w:lineRule="auto"/>
              <w:jc w:val="center"/>
              <w:rPr>
                <w:rFonts w:ascii="Times New Roman" w:hAnsi="Times New Roman"/>
              </w:rPr>
            </w:pPr>
            <w:r w:rsidRPr="00AB3853">
              <w:rPr>
                <w:rFonts w:ascii="Times New Roman" w:hAnsi="Times New Roman"/>
              </w:rPr>
              <w:t>2,8</w:t>
            </w:r>
          </w:p>
        </w:tc>
      </w:tr>
      <w:tr w:rsidR="00F266B9" w:rsidRPr="00C84F2A" w:rsidTr="00AB3853">
        <w:trPr>
          <w:trHeight w:val="300"/>
        </w:trPr>
        <w:tc>
          <w:tcPr>
            <w:tcW w:w="5590" w:type="dxa"/>
            <w:vAlign w:val="center"/>
          </w:tcPr>
          <w:p w:rsidR="00F266B9" w:rsidRPr="00AB3853" w:rsidRDefault="00F266B9" w:rsidP="002156EF">
            <w:pPr>
              <w:widowControl w:val="0"/>
              <w:spacing w:after="0" w:line="240" w:lineRule="auto"/>
              <w:rPr>
                <w:rFonts w:ascii="Times New Roman" w:hAnsi="Times New Roman"/>
              </w:rPr>
            </w:pPr>
            <w:r w:rsidRPr="00AB3853">
              <w:rPr>
                <w:rFonts w:ascii="Times New Roman" w:hAnsi="Times New Roman"/>
              </w:rPr>
              <w:t xml:space="preserve">- в хозрасчетном секторе </w:t>
            </w:r>
          </w:p>
        </w:tc>
        <w:tc>
          <w:tcPr>
            <w:tcW w:w="2006" w:type="dxa"/>
            <w:vAlign w:val="center"/>
          </w:tcPr>
          <w:p w:rsidR="00F266B9" w:rsidRPr="00AB3853" w:rsidRDefault="00F266B9" w:rsidP="002156EF">
            <w:pPr>
              <w:widowControl w:val="0"/>
              <w:spacing w:after="0" w:line="240" w:lineRule="auto"/>
              <w:jc w:val="center"/>
              <w:rPr>
                <w:rFonts w:ascii="Times New Roman" w:hAnsi="Times New Roman"/>
              </w:rPr>
            </w:pPr>
            <w:r w:rsidRPr="00AB3853">
              <w:rPr>
                <w:rFonts w:ascii="Times New Roman" w:hAnsi="Times New Roman"/>
              </w:rPr>
              <w:t>3,6</w:t>
            </w:r>
          </w:p>
        </w:tc>
        <w:tc>
          <w:tcPr>
            <w:tcW w:w="2006" w:type="dxa"/>
            <w:vAlign w:val="center"/>
          </w:tcPr>
          <w:p w:rsidR="00F266B9" w:rsidRPr="00AB3853" w:rsidRDefault="00F266B9" w:rsidP="002156EF">
            <w:pPr>
              <w:widowControl w:val="0"/>
              <w:spacing w:after="0" w:line="240" w:lineRule="auto"/>
              <w:jc w:val="center"/>
              <w:rPr>
                <w:rFonts w:ascii="Times New Roman" w:hAnsi="Times New Roman"/>
              </w:rPr>
            </w:pPr>
            <w:r w:rsidRPr="00AB3853">
              <w:rPr>
                <w:rFonts w:ascii="Times New Roman" w:hAnsi="Times New Roman"/>
              </w:rPr>
              <w:t>3,5</w:t>
            </w:r>
          </w:p>
        </w:tc>
      </w:tr>
      <w:tr w:rsidR="00F266B9" w:rsidRPr="00C84F2A" w:rsidTr="00AB3853">
        <w:trPr>
          <w:trHeight w:val="275"/>
        </w:trPr>
        <w:tc>
          <w:tcPr>
            <w:tcW w:w="5590" w:type="dxa"/>
            <w:vAlign w:val="center"/>
          </w:tcPr>
          <w:p w:rsidR="00F266B9" w:rsidRPr="00AB3853" w:rsidRDefault="00F266B9" w:rsidP="002156EF">
            <w:pPr>
              <w:widowControl w:val="0"/>
              <w:spacing w:after="0" w:line="240" w:lineRule="auto"/>
              <w:rPr>
                <w:rFonts w:ascii="Times New Roman" w:hAnsi="Times New Roman"/>
              </w:rPr>
            </w:pPr>
            <w:r w:rsidRPr="00AB3853">
              <w:rPr>
                <w:rFonts w:ascii="Times New Roman" w:hAnsi="Times New Roman"/>
              </w:rPr>
              <w:t>- в бюджетной сфере</w:t>
            </w:r>
          </w:p>
        </w:tc>
        <w:tc>
          <w:tcPr>
            <w:tcW w:w="2006" w:type="dxa"/>
            <w:vAlign w:val="center"/>
          </w:tcPr>
          <w:p w:rsidR="00F266B9" w:rsidRPr="00AB3853" w:rsidRDefault="00F266B9" w:rsidP="002156EF">
            <w:pPr>
              <w:widowControl w:val="0"/>
              <w:spacing w:after="0" w:line="240" w:lineRule="auto"/>
              <w:jc w:val="center"/>
              <w:rPr>
                <w:rFonts w:ascii="Times New Roman" w:hAnsi="Times New Roman"/>
              </w:rPr>
            </w:pPr>
            <w:r w:rsidRPr="00AB3853">
              <w:rPr>
                <w:rFonts w:ascii="Times New Roman" w:hAnsi="Times New Roman"/>
              </w:rPr>
              <w:t>1,9</w:t>
            </w:r>
          </w:p>
        </w:tc>
        <w:tc>
          <w:tcPr>
            <w:tcW w:w="2006" w:type="dxa"/>
            <w:vAlign w:val="center"/>
          </w:tcPr>
          <w:p w:rsidR="00F266B9" w:rsidRPr="00AB3853" w:rsidRDefault="00F266B9" w:rsidP="002156EF">
            <w:pPr>
              <w:widowControl w:val="0"/>
              <w:spacing w:after="0" w:line="240" w:lineRule="auto"/>
              <w:jc w:val="center"/>
              <w:rPr>
                <w:rFonts w:ascii="Times New Roman" w:hAnsi="Times New Roman"/>
              </w:rPr>
            </w:pPr>
            <w:r w:rsidRPr="00AB3853">
              <w:rPr>
                <w:rFonts w:ascii="Times New Roman" w:hAnsi="Times New Roman"/>
              </w:rPr>
              <w:t>2,0</w:t>
            </w:r>
          </w:p>
        </w:tc>
      </w:tr>
    </w:tbl>
    <w:p w:rsidR="00F266B9" w:rsidRDefault="00F266B9" w:rsidP="00F266B9">
      <w:pPr>
        <w:widowControl w:val="0"/>
        <w:spacing w:after="0" w:line="240" w:lineRule="auto"/>
        <w:ind w:firstLine="720"/>
        <w:jc w:val="both"/>
        <w:rPr>
          <w:rFonts w:ascii="Times New Roman" w:hAnsi="Times New Roman"/>
          <w:b/>
          <w:sz w:val="24"/>
          <w:szCs w:val="24"/>
        </w:rPr>
      </w:pPr>
    </w:p>
    <w:p w:rsidR="00F266B9" w:rsidRPr="00D434D2" w:rsidRDefault="00F266B9" w:rsidP="00F266B9">
      <w:pPr>
        <w:widowControl w:val="0"/>
        <w:spacing w:after="0" w:line="240" w:lineRule="auto"/>
        <w:ind w:firstLine="720"/>
        <w:jc w:val="both"/>
        <w:rPr>
          <w:rFonts w:ascii="Times New Roman" w:hAnsi="Times New Roman"/>
          <w:sz w:val="24"/>
          <w:szCs w:val="24"/>
          <w:highlight w:val="yellow"/>
        </w:rPr>
      </w:pPr>
      <w:r w:rsidRPr="00756BEC">
        <w:rPr>
          <w:rFonts w:ascii="Times New Roman" w:hAnsi="Times New Roman"/>
          <w:b/>
          <w:sz w:val="24"/>
          <w:szCs w:val="24"/>
        </w:rPr>
        <w:t>Во внебюджетном (хозрасчетном) секторе</w:t>
      </w:r>
      <w:r w:rsidRPr="00756BEC">
        <w:rPr>
          <w:rFonts w:ascii="Times New Roman" w:hAnsi="Times New Roman"/>
          <w:sz w:val="24"/>
          <w:szCs w:val="24"/>
        </w:rPr>
        <w:t xml:space="preserve"> экономики начисленная среднемесячная заработная плата одного работника за 2016 год сократилась по отношению к базовому показателю 2015 года на 1,1% и сложилась в размере 4 857 руб., что с учетом корректировки на индекс инфляции соответствует ее реальному сокращению на 2,0%.</w:t>
      </w:r>
    </w:p>
    <w:p w:rsidR="00F266B9" w:rsidRPr="00C84F2A" w:rsidRDefault="00F266B9" w:rsidP="00F266B9">
      <w:pPr>
        <w:widowControl w:val="0"/>
        <w:spacing w:after="0" w:line="240" w:lineRule="auto"/>
        <w:ind w:firstLine="708"/>
        <w:jc w:val="both"/>
        <w:rPr>
          <w:rFonts w:ascii="Times New Roman" w:hAnsi="Times New Roman"/>
          <w:sz w:val="24"/>
          <w:szCs w:val="24"/>
        </w:rPr>
      </w:pPr>
      <w:r w:rsidRPr="00756BEC">
        <w:rPr>
          <w:rFonts w:ascii="Times New Roman" w:hAnsi="Times New Roman"/>
          <w:sz w:val="24"/>
          <w:szCs w:val="24"/>
        </w:rPr>
        <w:t xml:space="preserve">Повышение номинальной заработной платы за 2016 год по отношению к базовому показателю 2015 года в хозрасчетном (внебюджетном) секторе экономики варьировало от 3,4% в </w:t>
      </w:r>
      <w:r w:rsidRPr="00D92BDD">
        <w:rPr>
          <w:rFonts w:ascii="Times New Roman" w:hAnsi="Times New Roman"/>
          <w:sz w:val="24"/>
          <w:szCs w:val="24"/>
        </w:rPr>
        <w:t>организациях связи (7 168 руб.) до 28,8% в организациях лесного хозяйства                (2 539 руб.). При этом самыми высокооплачиваемыми отраслями в данном секторе экономики в 2016 году оставались «Связь» (7 331 руб.) и «Страхование» (6 931 руб.), где превышение среднереспубликанского уровня заработной платы организаций хозрасчетного сектора варьировало от 50,9% до 42,7%.</w:t>
      </w:r>
      <w:r w:rsidRPr="00C84F2A">
        <w:rPr>
          <w:rFonts w:ascii="Times New Roman" w:hAnsi="Times New Roman"/>
          <w:sz w:val="24"/>
          <w:szCs w:val="24"/>
        </w:rPr>
        <w:t xml:space="preserve"> </w:t>
      </w:r>
    </w:p>
    <w:p w:rsidR="00F266B9" w:rsidRDefault="00F266B9" w:rsidP="00F266B9">
      <w:r w:rsidRPr="00F266B9">
        <w:rPr>
          <w:noProof/>
        </w:rPr>
        <w:drawing>
          <wp:inline distT="0" distB="0" distL="0" distR="0">
            <wp:extent cx="6143625" cy="3171825"/>
            <wp:effectExtent l="0" t="0" r="0" b="0"/>
            <wp:docPr id="5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266B9" w:rsidRPr="00AA4E57" w:rsidRDefault="00F266B9" w:rsidP="00F266B9">
      <w:pPr>
        <w:spacing w:after="0" w:line="240" w:lineRule="auto"/>
        <w:ind w:firstLine="540"/>
        <w:jc w:val="both"/>
        <w:rPr>
          <w:rFonts w:ascii="Times New Roman" w:hAnsi="Times New Roman"/>
          <w:sz w:val="24"/>
          <w:szCs w:val="24"/>
        </w:rPr>
      </w:pPr>
      <w:r w:rsidRPr="00AA4E57">
        <w:rPr>
          <w:rFonts w:ascii="Times New Roman" w:hAnsi="Times New Roman"/>
          <w:sz w:val="24"/>
          <w:szCs w:val="24"/>
        </w:rPr>
        <w:t xml:space="preserve">Ситуация в индустриальном секторе республики в рассматриваемом периоде складывалась в условиях понижательной динамики объёмов производства в совокупности с продолжающимся воздействием внешнеполитических и экономических </w:t>
      </w:r>
      <w:r w:rsidRPr="00AA4E57">
        <w:rPr>
          <w:rFonts w:ascii="Times New Roman" w:hAnsi="Times New Roman"/>
          <w:sz w:val="24"/>
          <w:szCs w:val="24"/>
          <w:shd w:val="clear" w:color="auto" w:fill="FFFFFF"/>
        </w:rPr>
        <w:t>барьеров в отношении хозяйствующих субъектов республики со стороны соседних государств</w:t>
      </w:r>
      <w:r w:rsidRPr="00AA4E57">
        <w:rPr>
          <w:rFonts w:ascii="Times New Roman" w:hAnsi="Times New Roman"/>
          <w:sz w:val="24"/>
          <w:szCs w:val="24"/>
        </w:rPr>
        <w:t xml:space="preserve">, что </w:t>
      </w:r>
    </w:p>
    <w:p w:rsidR="00F266B9" w:rsidRPr="00AA4E57" w:rsidRDefault="00F266B9" w:rsidP="00F266B9">
      <w:pPr>
        <w:widowControl w:val="0"/>
        <w:spacing w:after="0" w:line="240" w:lineRule="auto"/>
        <w:jc w:val="both"/>
        <w:rPr>
          <w:rFonts w:ascii="Times New Roman" w:hAnsi="Times New Roman"/>
          <w:sz w:val="24"/>
          <w:szCs w:val="24"/>
        </w:rPr>
      </w:pPr>
      <w:r w:rsidRPr="00AA4E57">
        <w:rPr>
          <w:rFonts w:ascii="Times New Roman" w:hAnsi="Times New Roman"/>
          <w:sz w:val="24"/>
          <w:szCs w:val="24"/>
        </w:rPr>
        <w:t>обусловило</w:t>
      </w:r>
      <w:r w:rsidRPr="00AA4E57">
        <w:rPr>
          <w:rFonts w:ascii="Times New Roman" w:hAnsi="Times New Roman"/>
          <w:b/>
          <w:sz w:val="24"/>
          <w:szCs w:val="24"/>
        </w:rPr>
        <w:t xml:space="preserve"> </w:t>
      </w:r>
      <w:r w:rsidRPr="00AA4E57">
        <w:rPr>
          <w:rFonts w:ascii="Times New Roman" w:hAnsi="Times New Roman"/>
          <w:sz w:val="24"/>
          <w:szCs w:val="24"/>
        </w:rPr>
        <w:t>незначительное сокращение</w:t>
      </w:r>
      <w:r w:rsidRPr="00AA4E57">
        <w:rPr>
          <w:rFonts w:ascii="Times New Roman" w:hAnsi="Times New Roman"/>
          <w:b/>
          <w:sz w:val="24"/>
          <w:szCs w:val="24"/>
        </w:rPr>
        <w:t xml:space="preserve"> </w:t>
      </w:r>
      <w:r w:rsidRPr="00AA4E57">
        <w:rPr>
          <w:rFonts w:ascii="Times New Roman" w:hAnsi="Times New Roman"/>
          <w:sz w:val="24"/>
          <w:szCs w:val="24"/>
        </w:rPr>
        <w:t>среднемесячной номинальной заработной платы работников в 2016 году на 0,3%, что в абсолютной величине соответствовало 4 963 руб. или 441 дол. США. Вместе с этим, с учетом корректировки на индекс инфляции реальная ее величина сократилась на 1,3%.</w:t>
      </w:r>
    </w:p>
    <w:p w:rsidR="00F266B9" w:rsidRPr="00554463" w:rsidRDefault="00F266B9" w:rsidP="00F266B9">
      <w:pPr>
        <w:widowControl w:val="0"/>
        <w:spacing w:after="0" w:line="240" w:lineRule="auto"/>
        <w:ind w:firstLine="709"/>
        <w:jc w:val="both"/>
        <w:rPr>
          <w:rFonts w:ascii="Times New Roman" w:hAnsi="Times New Roman"/>
          <w:sz w:val="24"/>
          <w:szCs w:val="24"/>
        </w:rPr>
      </w:pPr>
      <w:r w:rsidRPr="00AA4E57">
        <w:rPr>
          <w:rFonts w:ascii="Times New Roman" w:hAnsi="Times New Roman"/>
          <w:sz w:val="24"/>
          <w:szCs w:val="24"/>
        </w:rPr>
        <w:t xml:space="preserve">В разрезе подотраслей промышленности динамика среднемесячной номинальной заработной платы за 2016 год по отношению к базовому показателю минувшего года варьировала от «-»11,8% в организациях полиграфии (суммарная величина – 4 234 руб.) до «+»3,9% в организациях машиностроения и металлообработки (суммарная величина – </w:t>
      </w:r>
      <w:r>
        <w:rPr>
          <w:rFonts w:ascii="Times New Roman" w:hAnsi="Times New Roman"/>
          <w:sz w:val="24"/>
          <w:szCs w:val="24"/>
        </w:rPr>
        <w:br/>
      </w:r>
      <w:r w:rsidRPr="00AA4E57">
        <w:rPr>
          <w:rFonts w:ascii="Times New Roman" w:hAnsi="Times New Roman"/>
          <w:sz w:val="24"/>
          <w:szCs w:val="24"/>
        </w:rPr>
        <w:t>5 215 руб.).</w:t>
      </w:r>
    </w:p>
    <w:p w:rsidR="00F266B9" w:rsidRDefault="00F266B9" w:rsidP="00F266B9">
      <w:r w:rsidRPr="00F266B9">
        <w:rPr>
          <w:noProof/>
        </w:rPr>
        <w:lastRenderedPageBreak/>
        <w:drawing>
          <wp:inline distT="0" distB="0" distL="0" distR="0">
            <wp:extent cx="6120130" cy="2580892"/>
            <wp:effectExtent l="19050" t="0" r="0" b="0"/>
            <wp:docPr id="5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266B9" w:rsidRPr="00644E48" w:rsidRDefault="00F266B9" w:rsidP="00F266B9">
      <w:pPr>
        <w:widowControl w:val="0"/>
        <w:spacing w:after="0" w:line="240" w:lineRule="auto"/>
        <w:ind w:firstLine="709"/>
        <w:jc w:val="both"/>
        <w:rPr>
          <w:rFonts w:ascii="Times New Roman" w:hAnsi="Times New Roman"/>
          <w:sz w:val="24"/>
          <w:szCs w:val="24"/>
          <w:highlight w:val="yellow"/>
        </w:rPr>
      </w:pPr>
      <w:r w:rsidRPr="00A77796">
        <w:rPr>
          <w:rFonts w:ascii="Times New Roman" w:hAnsi="Times New Roman"/>
          <w:sz w:val="24"/>
          <w:szCs w:val="24"/>
        </w:rPr>
        <w:t>Заработная плата у работников отрасли</w:t>
      </w:r>
      <w:r w:rsidRPr="00A77796">
        <w:rPr>
          <w:rFonts w:ascii="Times New Roman" w:hAnsi="Times New Roman"/>
          <w:b/>
          <w:sz w:val="24"/>
          <w:szCs w:val="24"/>
        </w:rPr>
        <w:t xml:space="preserve"> «Сельское хозяйство»</w:t>
      </w:r>
      <w:r w:rsidRPr="00A77796">
        <w:rPr>
          <w:rFonts w:ascii="Times New Roman" w:hAnsi="Times New Roman"/>
          <w:sz w:val="24"/>
          <w:szCs w:val="24"/>
        </w:rPr>
        <w:t xml:space="preserve"> в 2016 году выросла на 5,3% и составила 3 294 руб. (293 долл. США), с </w:t>
      </w:r>
      <w:r w:rsidRPr="00D4112D">
        <w:rPr>
          <w:rFonts w:ascii="Times New Roman" w:hAnsi="Times New Roman"/>
          <w:sz w:val="24"/>
          <w:szCs w:val="24"/>
        </w:rPr>
        <w:t>учетом корректировки на индекс инфляции материальное положение работников отрасли увеличилось на 4,3%, при этом номинальный ее размер сложился на 14,3% ниже среднереспубликанского уровня.</w:t>
      </w:r>
    </w:p>
    <w:p w:rsidR="00F266B9" w:rsidRPr="00C84F2A" w:rsidRDefault="00F266B9" w:rsidP="00F266B9">
      <w:pPr>
        <w:autoSpaceDE w:val="0"/>
        <w:autoSpaceDN w:val="0"/>
        <w:adjustRightInd w:val="0"/>
        <w:spacing w:after="0" w:line="240" w:lineRule="auto"/>
        <w:ind w:firstLine="709"/>
        <w:jc w:val="both"/>
        <w:rPr>
          <w:rFonts w:ascii="Times New Roman" w:hAnsi="Times New Roman"/>
          <w:sz w:val="24"/>
          <w:szCs w:val="24"/>
        </w:rPr>
      </w:pPr>
      <w:r w:rsidRPr="00614CA6">
        <w:rPr>
          <w:rFonts w:ascii="Times New Roman" w:hAnsi="Times New Roman"/>
          <w:sz w:val="24"/>
          <w:szCs w:val="24"/>
        </w:rPr>
        <w:t>Оплата труда в бюджетной сфере по итогам 2016 года относительно базового показателя 2015 года выросла на 2,0% и составила в среднем 2 709 руб. (241 долл.), составив 70,5% от среднереспубликанского уровня</w:t>
      </w:r>
      <w:r>
        <w:rPr>
          <w:rFonts w:ascii="Times New Roman" w:hAnsi="Times New Roman"/>
          <w:sz w:val="24"/>
          <w:szCs w:val="24"/>
        </w:rPr>
        <w:t>, что обусловлено увеличением расчетного уровня минимальной заработной платы (РУ МЗП) с 7,1 руб. до 7,3 руб.</w:t>
      </w:r>
      <w:r w:rsidRPr="00614CA6">
        <w:rPr>
          <w:rFonts w:ascii="Times New Roman" w:hAnsi="Times New Roman"/>
          <w:sz w:val="24"/>
          <w:szCs w:val="24"/>
        </w:rPr>
        <w:t xml:space="preserve"> С учетом корректировки на индекс инфляции материальное положение занятых в</w:t>
      </w:r>
      <w:r w:rsidRPr="00614CA6">
        <w:rPr>
          <w:rFonts w:ascii="Times New Roman" w:hAnsi="Times New Roman"/>
          <w:sz w:val="28"/>
          <w:szCs w:val="28"/>
        </w:rPr>
        <w:t xml:space="preserve"> </w:t>
      </w:r>
      <w:r w:rsidRPr="00614CA6">
        <w:rPr>
          <w:rFonts w:ascii="Times New Roman" w:hAnsi="Times New Roman"/>
          <w:sz w:val="24"/>
          <w:szCs w:val="24"/>
        </w:rPr>
        <w:t>бюджетном секторе (реальная заработная плата) выросло на 1,0%.</w:t>
      </w:r>
    </w:p>
    <w:p w:rsidR="00F266B9" w:rsidRDefault="00F266B9" w:rsidP="00F266B9">
      <w:r w:rsidRPr="00F266B9">
        <w:rPr>
          <w:noProof/>
        </w:rPr>
        <w:drawing>
          <wp:inline distT="0" distB="0" distL="0" distR="0">
            <wp:extent cx="6019800" cy="3819525"/>
            <wp:effectExtent l="0" t="0" r="0" b="0"/>
            <wp:docPr id="5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266B9" w:rsidRPr="008B6E12" w:rsidRDefault="00F266B9" w:rsidP="00F266B9">
      <w:pPr>
        <w:spacing w:after="0" w:line="240" w:lineRule="auto"/>
        <w:ind w:firstLine="709"/>
        <w:jc w:val="both"/>
        <w:rPr>
          <w:rFonts w:ascii="Times New Roman" w:hAnsi="Times New Roman"/>
          <w:sz w:val="24"/>
          <w:szCs w:val="24"/>
        </w:rPr>
      </w:pPr>
      <w:r w:rsidRPr="008B6E12">
        <w:rPr>
          <w:rFonts w:ascii="Times New Roman" w:hAnsi="Times New Roman"/>
          <w:sz w:val="24"/>
          <w:szCs w:val="24"/>
        </w:rPr>
        <w:t xml:space="preserve">Максимальная заработная плата </w:t>
      </w:r>
      <w:r>
        <w:rPr>
          <w:rFonts w:ascii="Times New Roman" w:hAnsi="Times New Roman"/>
          <w:sz w:val="24"/>
          <w:szCs w:val="24"/>
        </w:rPr>
        <w:t xml:space="preserve">из представленных отраслей </w:t>
      </w:r>
      <w:r w:rsidRPr="008B6E12">
        <w:rPr>
          <w:rFonts w:ascii="Times New Roman" w:hAnsi="Times New Roman"/>
          <w:sz w:val="24"/>
          <w:szCs w:val="24"/>
        </w:rPr>
        <w:t xml:space="preserve">сформировалась в организациях отрасли «Высшие учебные заведения» – 3 612 руб., в судебных органах власти – 3 510 руб. </w:t>
      </w:r>
    </w:p>
    <w:p w:rsidR="00F266B9" w:rsidRPr="00642E0B" w:rsidRDefault="00F266B9" w:rsidP="00F266B9">
      <w:pPr>
        <w:spacing w:after="0" w:line="240" w:lineRule="auto"/>
        <w:ind w:firstLine="709"/>
        <w:jc w:val="both"/>
        <w:rPr>
          <w:rFonts w:ascii="Times New Roman" w:hAnsi="Times New Roman"/>
          <w:sz w:val="24"/>
          <w:szCs w:val="24"/>
        </w:rPr>
      </w:pPr>
      <w:r w:rsidRPr="008B6E12">
        <w:rPr>
          <w:rFonts w:ascii="Times New Roman" w:hAnsi="Times New Roman"/>
          <w:sz w:val="24"/>
          <w:szCs w:val="24"/>
        </w:rPr>
        <w:t>Вместе с этим заработная плата в таких отраслях как: «Торговля и общепит», «Геология и метеорология», «Социальное обеспечение» сформировалась в пределах          46,1% – 55,9% от среднереспубликанской величины.</w:t>
      </w:r>
    </w:p>
    <w:p w:rsidR="00F266B9" w:rsidRPr="00C62054" w:rsidRDefault="00F266B9" w:rsidP="00F266B9">
      <w:pPr>
        <w:spacing w:after="0" w:line="240" w:lineRule="auto"/>
        <w:ind w:firstLine="708"/>
        <w:jc w:val="both"/>
        <w:rPr>
          <w:rFonts w:ascii="Times New Roman" w:hAnsi="Times New Roman"/>
          <w:sz w:val="24"/>
          <w:szCs w:val="24"/>
        </w:rPr>
      </w:pPr>
      <w:r w:rsidRPr="008C677D">
        <w:rPr>
          <w:rFonts w:ascii="Times New Roman" w:hAnsi="Times New Roman"/>
          <w:b/>
          <w:sz w:val="24"/>
          <w:szCs w:val="24"/>
        </w:rPr>
        <w:lastRenderedPageBreak/>
        <w:t>Суммарная задолженность</w:t>
      </w:r>
      <w:r w:rsidRPr="008C677D">
        <w:rPr>
          <w:rFonts w:ascii="Times New Roman" w:hAnsi="Times New Roman"/>
          <w:sz w:val="24"/>
          <w:szCs w:val="24"/>
        </w:rPr>
        <w:t xml:space="preserve"> по заработной плате в целом по республике на                      1 января 2017 года по сравнению с задолженностью на 1 января 2016 года </w:t>
      </w:r>
      <w:r>
        <w:rPr>
          <w:rFonts w:ascii="Times New Roman" w:hAnsi="Times New Roman"/>
          <w:sz w:val="24"/>
          <w:szCs w:val="24"/>
        </w:rPr>
        <w:t xml:space="preserve">в связи с выплатой задолженности бюджетному сектору </w:t>
      </w:r>
      <w:r w:rsidRPr="008C677D">
        <w:rPr>
          <w:rFonts w:ascii="Times New Roman" w:hAnsi="Times New Roman"/>
          <w:sz w:val="24"/>
          <w:szCs w:val="24"/>
        </w:rPr>
        <w:t>сократилась в 9,8 раза и составила</w:t>
      </w:r>
      <w:r>
        <w:rPr>
          <w:rFonts w:ascii="Times New Roman" w:hAnsi="Times New Roman"/>
          <w:sz w:val="24"/>
          <w:szCs w:val="24"/>
        </w:rPr>
        <w:t xml:space="preserve"> </w:t>
      </w:r>
      <w:r w:rsidRPr="008C677D">
        <w:rPr>
          <w:rFonts w:ascii="Times New Roman" w:hAnsi="Times New Roman"/>
          <w:bCs/>
          <w:sz w:val="24"/>
          <w:szCs w:val="24"/>
        </w:rPr>
        <w:t>25,2 млн</w:t>
      </w:r>
      <w:r w:rsidRPr="008C677D">
        <w:rPr>
          <w:rFonts w:ascii="Times New Roman" w:hAnsi="Times New Roman"/>
          <w:sz w:val="24"/>
          <w:szCs w:val="24"/>
        </w:rPr>
        <w:t xml:space="preserve">. руб. Наибольший удельный вес в общей суммарной задолженности приходится на организации промышленности, строительства и сельского хозяйства (88,9% общей суммарной задолженности по республике). Вся сумма задолженности по оплате труда приходится на </w:t>
      </w:r>
      <w:r w:rsidRPr="008C677D">
        <w:rPr>
          <w:rFonts w:ascii="Times New Roman" w:hAnsi="Times New Roman"/>
          <w:b/>
          <w:sz w:val="24"/>
          <w:szCs w:val="24"/>
        </w:rPr>
        <w:t>внебюджетный сектор,</w:t>
      </w:r>
      <w:r w:rsidRPr="008C677D">
        <w:rPr>
          <w:rFonts w:ascii="Times New Roman" w:hAnsi="Times New Roman"/>
          <w:sz w:val="24"/>
          <w:szCs w:val="24"/>
        </w:rPr>
        <w:t xml:space="preserve"> которая по сравнению с задолженностью на</w:t>
      </w:r>
      <w:r w:rsidR="008B31C7">
        <w:rPr>
          <w:rFonts w:ascii="Times New Roman" w:hAnsi="Times New Roman"/>
          <w:sz w:val="24"/>
          <w:szCs w:val="24"/>
        </w:rPr>
        <w:t xml:space="preserve"> </w:t>
      </w:r>
      <w:r w:rsidRPr="008C677D">
        <w:rPr>
          <w:rFonts w:ascii="Times New Roman" w:hAnsi="Times New Roman"/>
          <w:sz w:val="24"/>
          <w:szCs w:val="24"/>
        </w:rPr>
        <w:t xml:space="preserve">1 января </w:t>
      </w:r>
      <w:r w:rsidRPr="00C62054">
        <w:rPr>
          <w:rFonts w:ascii="Times New Roman" w:hAnsi="Times New Roman"/>
          <w:sz w:val="24"/>
          <w:szCs w:val="24"/>
        </w:rPr>
        <w:t>2016 года сократилась на 38,2%.</w:t>
      </w:r>
    </w:p>
    <w:p w:rsidR="00F266B9" w:rsidRPr="00AB3853" w:rsidRDefault="00F266B9" w:rsidP="00F266B9">
      <w:pPr>
        <w:rPr>
          <w:sz w:val="2"/>
          <w:szCs w:val="2"/>
        </w:rPr>
      </w:pPr>
      <w:r w:rsidRPr="00F266B9">
        <w:rPr>
          <w:noProof/>
        </w:rPr>
        <w:drawing>
          <wp:inline distT="0" distB="0" distL="0" distR="0">
            <wp:extent cx="5934075" cy="2095500"/>
            <wp:effectExtent l="0" t="0" r="0" b="0"/>
            <wp:docPr id="5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B31C7" w:rsidRPr="00C84F2A" w:rsidRDefault="008B31C7" w:rsidP="008B31C7">
      <w:pPr>
        <w:spacing w:after="0" w:line="240" w:lineRule="auto"/>
        <w:ind w:firstLine="709"/>
        <w:jc w:val="both"/>
        <w:rPr>
          <w:rFonts w:ascii="Times New Roman" w:hAnsi="Times New Roman"/>
          <w:sz w:val="24"/>
          <w:szCs w:val="24"/>
        </w:rPr>
      </w:pPr>
      <w:r w:rsidRPr="00C62054">
        <w:rPr>
          <w:rFonts w:ascii="Times New Roman" w:hAnsi="Times New Roman"/>
          <w:sz w:val="24"/>
          <w:szCs w:val="24"/>
        </w:rPr>
        <w:t xml:space="preserve">Следующей составляющей доходов населения и индикатором, характеризующим уровень жизни населения, является </w:t>
      </w:r>
      <w:r w:rsidRPr="00C62054">
        <w:rPr>
          <w:rFonts w:ascii="Times New Roman" w:hAnsi="Times New Roman"/>
          <w:b/>
          <w:sz w:val="24"/>
          <w:szCs w:val="24"/>
        </w:rPr>
        <w:t>пенсия.</w:t>
      </w:r>
    </w:p>
    <w:p w:rsidR="008B31C7" w:rsidRPr="00C84F2A" w:rsidRDefault="008B31C7" w:rsidP="008B31C7">
      <w:pPr>
        <w:spacing w:after="0" w:line="240" w:lineRule="auto"/>
        <w:ind w:firstLine="709"/>
        <w:jc w:val="both"/>
        <w:rPr>
          <w:rFonts w:ascii="Times New Roman" w:hAnsi="Times New Roman"/>
          <w:sz w:val="24"/>
          <w:szCs w:val="24"/>
        </w:rPr>
      </w:pPr>
      <w:r>
        <w:rPr>
          <w:rFonts w:ascii="Times New Roman" w:eastAsiaTheme="minorHAnsi" w:hAnsi="Times New Roman"/>
          <w:sz w:val="24"/>
          <w:szCs w:val="24"/>
          <w:lang w:eastAsia="en-US"/>
        </w:rPr>
        <w:t>На фоне выбытия пенсионеров и переоформления пенсий, ч</w:t>
      </w:r>
      <w:r w:rsidRPr="00AB19C2">
        <w:rPr>
          <w:rFonts w:ascii="Times New Roman" w:eastAsiaTheme="minorHAnsi" w:hAnsi="Times New Roman"/>
          <w:sz w:val="24"/>
          <w:szCs w:val="24"/>
          <w:lang w:eastAsia="en-US"/>
        </w:rPr>
        <w:t xml:space="preserve">исло получателей пенсий за 2016 год по сравнению с прошлым годом </w:t>
      </w:r>
      <w:r>
        <w:rPr>
          <w:rFonts w:ascii="Times New Roman" w:eastAsiaTheme="minorHAnsi" w:hAnsi="Times New Roman"/>
          <w:sz w:val="24"/>
          <w:szCs w:val="24"/>
          <w:lang w:eastAsia="en-US"/>
        </w:rPr>
        <w:t>сократилось</w:t>
      </w:r>
      <w:r w:rsidRPr="00AB19C2">
        <w:rPr>
          <w:rFonts w:ascii="Times New Roman" w:eastAsiaTheme="minorHAnsi" w:hAnsi="Times New Roman"/>
          <w:sz w:val="24"/>
          <w:szCs w:val="24"/>
          <w:lang w:eastAsia="en-US"/>
        </w:rPr>
        <w:t xml:space="preserve"> на </w:t>
      </w:r>
      <w:r>
        <w:rPr>
          <w:rFonts w:ascii="Times New Roman" w:eastAsiaTheme="minorHAnsi" w:hAnsi="Times New Roman"/>
          <w:sz w:val="24"/>
          <w:szCs w:val="24"/>
          <w:lang w:eastAsia="en-US"/>
        </w:rPr>
        <w:t xml:space="preserve">4 643 </w:t>
      </w:r>
      <w:r w:rsidRPr="00AB19C2">
        <w:rPr>
          <w:rFonts w:ascii="Times New Roman" w:eastAsiaTheme="minorHAnsi" w:hAnsi="Times New Roman"/>
          <w:sz w:val="24"/>
          <w:szCs w:val="24"/>
          <w:lang w:eastAsia="en-US"/>
        </w:rPr>
        <w:t xml:space="preserve">чел. или на </w:t>
      </w:r>
      <w:r>
        <w:rPr>
          <w:rFonts w:ascii="Times New Roman" w:eastAsiaTheme="minorHAnsi" w:hAnsi="Times New Roman"/>
          <w:sz w:val="24"/>
          <w:szCs w:val="24"/>
          <w:lang w:eastAsia="en-US"/>
        </w:rPr>
        <w:t>3,5% и составило</w:t>
      </w:r>
      <w:r w:rsidRPr="00AB19C2">
        <w:rPr>
          <w:rFonts w:ascii="Times New Roman" w:eastAsiaTheme="minorHAnsi" w:hAnsi="Times New Roman"/>
          <w:sz w:val="24"/>
          <w:szCs w:val="24"/>
          <w:lang w:eastAsia="en-US"/>
        </w:rPr>
        <w:t xml:space="preserve"> 126,</w:t>
      </w:r>
      <w:r>
        <w:rPr>
          <w:rFonts w:ascii="Times New Roman" w:eastAsiaTheme="minorHAnsi" w:hAnsi="Times New Roman"/>
          <w:sz w:val="24"/>
          <w:szCs w:val="24"/>
          <w:lang w:eastAsia="en-US"/>
        </w:rPr>
        <w:t>2</w:t>
      </w:r>
      <w:r w:rsidRPr="00AB19C2">
        <w:rPr>
          <w:rFonts w:ascii="Times New Roman" w:eastAsiaTheme="minorHAnsi" w:hAnsi="Times New Roman"/>
          <w:sz w:val="24"/>
          <w:szCs w:val="24"/>
          <w:lang w:eastAsia="en-US"/>
        </w:rPr>
        <w:t xml:space="preserve"> тыс. чел</w:t>
      </w:r>
      <w:r w:rsidRPr="00B00E6B">
        <w:rPr>
          <w:rFonts w:ascii="Times New Roman" w:eastAsiaTheme="minorHAnsi" w:hAnsi="Times New Roman"/>
          <w:sz w:val="24"/>
          <w:szCs w:val="24"/>
          <w:lang w:eastAsia="en-US"/>
        </w:rPr>
        <w:t>.</w:t>
      </w:r>
    </w:p>
    <w:p w:rsidR="008B31C7" w:rsidRPr="004A66EC" w:rsidRDefault="008B31C7" w:rsidP="008B31C7">
      <w:pPr>
        <w:tabs>
          <w:tab w:val="left" w:pos="851"/>
        </w:tabs>
        <w:spacing w:after="0" w:line="240" w:lineRule="auto"/>
        <w:ind w:firstLine="567"/>
        <w:jc w:val="both"/>
        <w:rPr>
          <w:rFonts w:ascii="Times New Roman" w:hAnsi="Times New Roman"/>
          <w:sz w:val="24"/>
          <w:szCs w:val="24"/>
        </w:rPr>
      </w:pPr>
      <w:r w:rsidRPr="004A66EC">
        <w:rPr>
          <w:rFonts w:ascii="Times New Roman" w:hAnsi="Times New Roman"/>
          <w:sz w:val="24"/>
          <w:szCs w:val="24"/>
        </w:rPr>
        <w:t xml:space="preserve">Поступления в доходную часть Единого государственного фонда социального страхования Приднестровской Молдавской Республики за 2016 года (с учетом кредитов из прочих источников, поступления средств ежемесячной гуманитарной помощи Российской Федерации, а также беспроцентного займа на выплату задолженности по ежемесячной дополнительной помощи к пенсиям) составили 2 746,4 млн. руб., что на 0,4% больше по сравнению с прошлым годом, исполнение расходной части бюджета составило </w:t>
      </w:r>
      <w:r>
        <w:rPr>
          <w:rFonts w:ascii="Times New Roman" w:hAnsi="Times New Roman"/>
          <w:sz w:val="24"/>
          <w:szCs w:val="24"/>
        </w:rPr>
        <w:t xml:space="preserve">                   </w:t>
      </w:r>
      <w:r w:rsidRPr="004A66EC">
        <w:rPr>
          <w:rFonts w:ascii="Times New Roman" w:hAnsi="Times New Roman"/>
          <w:sz w:val="24"/>
          <w:szCs w:val="24"/>
        </w:rPr>
        <w:t>2 680,5 млн. руб., что на 0,2% меньше по сравнению с 2015 годом. При этом, расходы для осуществления основных функций бюджета по пенсионному обеспечению составили 2 323,5</w:t>
      </w:r>
      <w:r w:rsidR="00DC2B8A">
        <w:rPr>
          <w:rFonts w:ascii="Times New Roman" w:hAnsi="Times New Roman"/>
          <w:sz w:val="24"/>
          <w:szCs w:val="24"/>
        </w:rPr>
        <w:t> </w:t>
      </w:r>
      <w:r w:rsidRPr="004A66EC">
        <w:rPr>
          <w:rFonts w:ascii="Times New Roman" w:hAnsi="Times New Roman"/>
          <w:sz w:val="24"/>
          <w:szCs w:val="24"/>
        </w:rPr>
        <w:t xml:space="preserve">млн. руб. или 84,6% от общих доходов, данные расходы производились за счет следующих источников: </w:t>
      </w:r>
    </w:p>
    <w:p w:rsidR="008B31C7" w:rsidRPr="004A66EC" w:rsidRDefault="008B31C7" w:rsidP="008B31C7">
      <w:pPr>
        <w:spacing w:after="0" w:line="240" w:lineRule="auto"/>
        <w:ind w:firstLine="709"/>
        <w:jc w:val="both"/>
        <w:rPr>
          <w:rFonts w:ascii="Times New Roman" w:hAnsi="Times New Roman"/>
          <w:sz w:val="24"/>
          <w:szCs w:val="24"/>
        </w:rPr>
      </w:pPr>
      <w:r w:rsidRPr="004A66EC">
        <w:rPr>
          <w:rFonts w:ascii="Times New Roman" w:hAnsi="Times New Roman"/>
          <w:sz w:val="24"/>
          <w:szCs w:val="24"/>
        </w:rPr>
        <w:t>а) средства фонда – 1 945,9 млн. руб. (83,8% от расходов по пенсионному обеспечению);</w:t>
      </w:r>
    </w:p>
    <w:p w:rsidR="008B31C7" w:rsidRPr="004A66EC" w:rsidRDefault="008B31C7" w:rsidP="008B31C7">
      <w:pPr>
        <w:spacing w:after="0" w:line="240" w:lineRule="auto"/>
        <w:ind w:firstLine="709"/>
        <w:jc w:val="both"/>
        <w:rPr>
          <w:rFonts w:ascii="Times New Roman" w:hAnsi="Times New Roman"/>
          <w:sz w:val="24"/>
          <w:szCs w:val="24"/>
        </w:rPr>
      </w:pPr>
      <w:r w:rsidRPr="004A66EC">
        <w:rPr>
          <w:rFonts w:ascii="Times New Roman" w:hAnsi="Times New Roman"/>
          <w:sz w:val="24"/>
          <w:szCs w:val="24"/>
        </w:rPr>
        <w:t xml:space="preserve">б) средства республиканского бюджета – 182,5млн. руб. (7,9% от расходов по пенсионному обеспечению); </w:t>
      </w:r>
    </w:p>
    <w:p w:rsidR="008B31C7" w:rsidRPr="004A66EC" w:rsidRDefault="008B31C7" w:rsidP="008B31C7">
      <w:pPr>
        <w:spacing w:after="0" w:line="240" w:lineRule="auto"/>
        <w:ind w:firstLine="709"/>
        <w:jc w:val="both"/>
        <w:rPr>
          <w:rFonts w:ascii="Times New Roman" w:hAnsi="Times New Roman"/>
          <w:sz w:val="24"/>
          <w:szCs w:val="24"/>
        </w:rPr>
      </w:pPr>
      <w:r w:rsidRPr="004A66EC">
        <w:rPr>
          <w:rFonts w:ascii="Times New Roman" w:hAnsi="Times New Roman"/>
          <w:sz w:val="24"/>
          <w:szCs w:val="24"/>
        </w:rPr>
        <w:t>в) средства гуманитарной помощи Российской Федерации – 195,2 млн. руб., (8,4% от расходов по пенсионному обеспечению).</w:t>
      </w:r>
    </w:p>
    <w:p w:rsidR="008B31C7" w:rsidRPr="004A66EC" w:rsidRDefault="008B31C7" w:rsidP="008B31C7">
      <w:pPr>
        <w:spacing w:after="0" w:line="240" w:lineRule="auto"/>
        <w:ind w:firstLine="709"/>
        <w:jc w:val="both"/>
        <w:rPr>
          <w:rFonts w:ascii="Times New Roman" w:hAnsi="Times New Roman"/>
          <w:sz w:val="24"/>
          <w:szCs w:val="24"/>
        </w:rPr>
      </w:pPr>
      <w:r w:rsidRPr="004A66EC">
        <w:rPr>
          <w:rFonts w:ascii="Times New Roman" w:hAnsi="Times New Roman"/>
          <w:sz w:val="24"/>
          <w:szCs w:val="24"/>
        </w:rPr>
        <w:t>В январе 2016 года осуществлен перерасчет минимального размера пенсии по возрасту при трудовом стаже и для исчисления надбавок и повышений. В результате средний размер назначенных пенсий с учетом проведенных индексаций увеличился на 20,04</w:t>
      </w:r>
      <w:r w:rsidR="00DC2B8A">
        <w:rPr>
          <w:rFonts w:ascii="Times New Roman" w:hAnsi="Times New Roman"/>
          <w:sz w:val="24"/>
          <w:szCs w:val="24"/>
        </w:rPr>
        <w:t> </w:t>
      </w:r>
      <w:r w:rsidRPr="004A66EC">
        <w:rPr>
          <w:rFonts w:ascii="Times New Roman" w:hAnsi="Times New Roman"/>
          <w:sz w:val="24"/>
          <w:szCs w:val="24"/>
        </w:rPr>
        <w:t>руб.</w:t>
      </w:r>
      <w:r w:rsidR="00DC2B8A">
        <w:rPr>
          <w:rFonts w:ascii="Times New Roman" w:hAnsi="Times New Roman"/>
          <w:sz w:val="24"/>
          <w:szCs w:val="24"/>
        </w:rPr>
        <w:t> </w:t>
      </w:r>
      <w:r w:rsidRPr="004A66EC">
        <w:rPr>
          <w:rFonts w:ascii="Times New Roman" w:hAnsi="Times New Roman"/>
          <w:sz w:val="24"/>
          <w:szCs w:val="24"/>
        </w:rPr>
        <w:t xml:space="preserve">ПМР («+»1,5%) и по состоянию на конец декабря составил 1 352,75 руб., превысив на 22,8% прожиточный минимум пенсионера. С учетом инфляции материальное положение пенсионеров повысилось на 0,5%. </w:t>
      </w:r>
    </w:p>
    <w:p w:rsidR="008B31C7" w:rsidRPr="004A66EC" w:rsidRDefault="008B31C7" w:rsidP="008B31C7">
      <w:pPr>
        <w:spacing w:after="0" w:line="240" w:lineRule="auto"/>
        <w:ind w:firstLine="709"/>
        <w:jc w:val="both"/>
        <w:rPr>
          <w:rFonts w:ascii="Times New Roman" w:hAnsi="Times New Roman"/>
          <w:sz w:val="24"/>
          <w:szCs w:val="24"/>
        </w:rPr>
      </w:pPr>
      <w:r w:rsidRPr="004A66EC">
        <w:rPr>
          <w:rFonts w:ascii="Times New Roman" w:hAnsi="Times New Roman"/>
          <w:sz w:val="24"/>
          <w:szCs w:val="24"/>
        </w:rPr>
        <w:t>В целях поддержания материального благосостояния пенсионеров республики дополнительно к пенсии в 2016 году производилась выплата ежемесячной гуманитарной помощи</w:t>
      </w:r>
      <w:r>
        <w:rPr>
          <w:rFonts w:ascii="Times New Roman" w:hAnsi="Times New Roman"/>
          <w:sz w:val="24"/>
          <w:szCs w:val="24"/>
        </w:rPr>
        <w:t xml:space="preserve"> Российской Федерации, средний размер которой составил 128,67 </w:t>
      </w:r>
      <w:r w:rsidRPr="004A66EC">
        <w:rPr>
          <w:rFonts w:ascii="Times New Roman" w:hAnsi="Times New Roman"/>
          <w:sz w:val="24"/>
          <w:szCs w:val="24"/>
        </w:rPr>
        <w:t>рублей.</w:t>
      </w:r>
    </w:p>
    <w:p w:rsidR="008B31C7" w:rsidRPr="004A66EC" w:rsidRDefault="008B31C7" w:rsidP="008B31C7">
      <w:pPr>
        <w:spacing w:after="0" w:line="240" w:lineRule="auto"/>
        <w:ind w:firstLine="709"/>
        <w:jc w:val="both"/>
        <w:rPr>
          <w:rFonts w:ascii="Times New Roman" w:hAnsi="Times New Roman"/>
          <w:sz w:val="24"/>
          <w:szCs w:val="24"/>
        </w:rPr>
      </w:pPr>
      <w:r w:rsidRPr="004A66EC">
        <w:rPr>
          <w:rFonts w:ascii="Times New Roman" w:hAnsi="Times New Roman"/>
          <w:b/>
          <w:sz w:val="24"/>
          <w:szCs w:val="24"/>
        </w:rPr>
        <w:t>Величина прожиточного минимума,</w:t>
      </w:r>
      <w:r w:rsidRPr="004A66EC">
        <w:rPr>
          <w:rFonts w:ascii="Times New Roman" w:hAnsi="Times New Roman"/>
          <w:sz w:val="24"/>
          <w:szCs w:val="24"/>
        </w:rPr>
        <w:t xml:space="preserve"> определяющая минимально допустимый уровень потребления человеком товаров и услуг, обеспечивающих удовлетворение основных физиологических, социально-культурных и иных его потребностей, дифференцированных по социально-демографическим группам 2016 год в среднем на душу населения составила </w:t>
      </w:r>
      <w:r w:rsidRPr="004A66EC">
        <w:rPr>
          <w:rFonts w:ascii="Times New Roman" w:hAnsi="Times New Roman"/>
          <w:sz w:val="24"/>
          <w:szCs w:val="24"/>
        </w:rPr>
        <w:lastRenderedPageBreak/>
        <w:t>1 285,54 руб. (спад на 0,7%), из которой расходы на питание составили 562,47 руб. («-»3,0%), затраты на непродовольственные товары – 275,13 руб. («+»3,5%), на оплату услуг – 424,41</w:t>
      </w:r>
      <w:r w:rsidR="00DC2B8A">
        <w:rPr>
          <w:rFonts w:ascii="Times New Roman" w:hAnsi="Times New Roman"/>
          <w:sz w:val="24"/>
          <w:szCs w:val="24"/>
        </w:rPr>
        <w:t> </w:t>
      </w:r>
      <w:r w:rsidRPr="004A66EC">
        <w:rPr>
          <w:rFonts w:ascii="Times New Roman" w:hAnsi="Times New Roman"/>
          <w:sz w:val="24"/>
          <w:szCs w:val="24"/>
        </w:rPr>
        <w:t>руб. («-»0,2%), а величина расходов по обязательным платежам и сборам – 23,54 руб. («-»2,2%).</w:t>
      </w:r>
    </w:p>
    <w:p w:rsidR="008B31C7" w:rsidRDefault="008B31C7" w:rsidP="00F266B9">
      <w:r w:rsidRPr="008B31C7">
        <w:rPr>
          <w:noProof/>
        </w:rPr>
        <w:drawing>
          <wp:inline distT="0" distB="0" distL="0" distR="0">
            <wp:extent cx="5886450" cy="2333625"/>
            <wp:effectExtent l="0" t="0" r="0" b="0"/>
            <wp:docPr id="6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B31C7" w:rsidRPr="004A66EC" w:rsidRDefault="008B31C7" w:rsidP="008B31C7">
      <w:pPr>
        <w:spacing w:after="0" w:line="240" w:lineRule="auto"/>
        <w:ind w:firstLine="709"/>
        <w:jc w:val="both"/>
        <w:rPr>
          <w:rFonts w:ascii="Times New Roman" w:hAnsi="Times New Roman"/>
          <w:sz w:val="24"/>
          <w:szCs w:val="24"/>
        </w:rPr>
      </w:pPr>
      <w:r w:rsidRPr="004A66EC">
        <w:rPr>
          <w:rFonts w:ascii="Times New Roman" w:hAnsi="Times New Roman"/>
          <w:sz w:val="24"/>
          <w:szCs w:val="24"/>
        </w:rPr>
        <w:t>В разрезе социально-демографических групп населения величина прожиточного минимума в 2016 году сложилась следующим образом:</w:t>
      </w:r>
    </w:p>
    <w:tbl>
      <w:tblPr>
        <w:tblW w:w="96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5"/>
        <w:gridCol w:w="1603"/>
        <w:gridCol w:w="1602"/>
        <w:gridCol w:w="2072"/>
      </w:tblGrid>
      <w:tr w:rsidR="008B31C7" w:rsidRPr="004A66EC" w:rsidTr="00AB3853">
        <w:trPr>
          <w:trHeight w:val="343"/>
        </w:trPr>
        <w:tc>
          <w:tcPr>
            <w:tcW w:w="4395" w:type="dxa"/>
            <w:vMerge w:val="restart"/>
            <w:vAlign w:val="center"/>
          </w:tcPr>
          <w:p w:rsidR="008B31C7" w:rsidRPr="004A66EC" w:rsidRDefault="008B31C7" w:rsidP="002156EF">
            <w:pPr>
              <w:spacing w:after="0"/>
              <w:ind w:left="34"/>
              <w:rPr>
                <w:rFonts w:ascii="Times New Roman" w:hAnsi="Times New Roman"/>
                <w:b/>
              </w:rPr>
            </w:pPr>
            <w:r w:rsidRPr="004A66EC">
              <w:rPr>
                <w:rFonts w:ascii="Times New Roman" w:hAnsi="Times New Roman"/>
                <w:b/>
              </w:rPr>
              <w:t>Социально-демографическая группа</w:t>
            </w:r>
          </w:p>
        </w:tc>
        <w:tc>
          <w:tcPr>
            <w:tcW w:w="3205" w:type="dxa"/>
            <w:gridSpan w:val="2"/>
            <w:vAlign w:val="center"/>
          </w:tcPr>
          <w:p w:rsidR="008B31C7" w:rsidRPr="004A66EC" w:rsidRDefault="008B31C7" w:rsidP="00DC2B8A">
            <w:pPr>
              <w:spacing w:after="0"/>
              <w:ind w:left="34"/>
              <w:jc w:val="center"/>
              <w:rPr>
                <w:rFonts w:ascii="Times New Roman" w:hAnsi="Times New Roman"/>
                <w:b/>
              </w:rPr>
            </w:pPr>
            <w:r w:rsidRPr="004A66EC">
              <w:rPr>
                <w:rFonts w:ascii="Times New Roman" w:hAnsi="Times New Roman"/>
                <w:b/>
              </w:rPr>
              <w:t>Величина ПМ, руб.</w:t>
            </w:r>
          </w:p>
        </w:tc>
        <w:tc>
          <w:tcPr>
            <w:tcW w:w="2072" w:type="dxa"/>
            <w:vMerge w:val="restart"/>
            <w:vAlign w:val="center"/>
          </w:tcPr>
          <w:p w:rsidR="008B31C7" w:rsidRPr="004A66EC" w:rsidRDefault="008B31C7" w:rsidP="00DC2B8A">
            <w:pPr>
              <w:spacing w:after="0"/>
              <w:ind w:left="-21" w:right="-108"/>
              <w:jc w:val="center"/>
              <w:rPr>
                <w:rFonts w:ascii="Times New Roman" w:hAnsi="Times New Roman"/>
                <w:b/>
              </w:rPr>
            </w:pPr>
            <w:r w:rsidRPr="004A66EC">
              <w:rPr>
                <w:rFonts w:ascii="Times New Roman" w:hAnsi="Times New Roman"/>
                <w:b/>
              </w:rPr>
              <w:t xml:space="preserve">Темп роста </w:t>
            </w:r>
          </w:p>
          <w:p w:rsidR="008B31C7" w:rsidRPr="004A66EC" w:rsidRDefault="008B31C7" w:rsidP="00DC2B8A">
            <w:pPr>
              <w:spacing w:after="0"/>
              <w:ind w:left="-21" w:right="-108"/>
              <w:jc w:val="center"/>
              <w:rPr>
                <w:rFonts w:ascii="Times New Roman" w:hAnsi="Times New Roman"/>
                <w:b/>
              </w:rPr>
            </w:pPr>
            <w:r w:rsidRPr="004A66EC">
              <w:rPr>
                <w:rFonts w:ascii="Times New Roman" w:hAnsi="Times New Roman"/>
                <w:b/>
              </w:rPr>
              <w:t>2016 г. к 2015 г., %</w:t>
            </w:r>
          </w:p>
        </w:tc>
      </w:tr>
      <w:tr w:rsidR="008B31C7" w:rsidRPr="004A66EC" w:rsidTr="00AB3853">
        <w:trPr>
          <w:trHeight w:val="126"/>
        </w:trPr>
        <w:tc>
          <w:tcPr>
            <w:tcW w:w="4395" w:type="dxa"/>
            <w:vMerge/>
            <w:vAlign w:val="center"/>
          </w:tcPr>
          <w:p w:rsidR="008B31C7" w:rsidRPr="004A66EC" w:rsidRDefault="008B31C7" w:rsidP="002156EF">
            <w:pPr>
              <w:spacing w:after="0"/>
              <w:ind w:left="34"/>
              <w:rPr>
                <w:rFonts w:ascii="Times New Roman" w:hAnsi="Times New Roman"/>
              </w:rPr>
            </w:pPr>
          </w:p>
        </w:tc>
        <w:tc>
          <w:tcPr>
            <w:tcW w:w="1603" w:type="dxa"/>
            <w:vAlign w:val="center"/>
          </w:tcPr>
          <w:p w:rsidR="008B31C7" w:rsidRPr="004A66EC" w:rsidRDefault="008B31C7" w:rsidP="002156EF">
            <w:pPr>
              <w:spacing w:after="0"/>
              <w:ind w:left="-76" w:right="-96"/>
              <w:jc w:val="center"/>
              <w:rPr>
                <w:rFonts w:ascii="Times New Roman" w:hAnsi="Times New Roman"/>
                <w:b/>
              </w:rPr>
            </w:pPr>
            <w:r w:rsidRPr="004A66EC">
              <w:rPr>
                <w:rFonts w:ascii="Times New Roman" w:hAnsi="Times New Roman"/>
                <w:b/>
              </w:rPr>
              <w:t>2015 год</w:t>
            </w:r>
          </w:p>
        </w:tc>
        <w:tc>
          <w:tcPr>
            <w:tcW w:w="1602" w:type="dxa"/>
            <w:vAlign w:val="center"/>
          </w:tcPr>
          <w:p w:rsidR="008B31C7" w:rsidRPr="004A66EC" w:rsidRDefault="008B31C7" w:rsidP="002156EF">
            <w:pPr>
              <w:spacing w:after="0"/>
              <w:ind w:left="34"/>
              <w:jc w:val="center"/>
              <w:rPr>
                <w:rFonts w:ascii="Times New Roman" w:hAnsi="Times New Roman"/>
                <w:b/>
              </w:rPr>
            </w:pPr>
            <w:r w:rsidRPr="004A66EC">
              <w:rPr>
                <w:rFonts w:ascii="Times New Roman" w:hAnsi="Times New Roman"/>
                <w:b/>
              </w:rPr>
              <w:t>2016 год</w:t>
            </w:r>
          </w:p>
        </w:tc>
        <w:tc>
          <w:tcPr>
            <w:tcW w:w="2072" w:type="dxa"/>
            <w:vMerge/>
            <w:vAlign w:val="center"/>
          </w:tcPr>
          <w:p w:rsidR="008B31C7" w:rsidRPr="004A66EC" w:rsidRDefault="008B31C7" w:rsidP="002156EF">
            <w:pPr>
              <w:spacing w:after="0"/>
              <w:ind w:firstLine="34"/>
              <w:jc w:val="center"/>
              <w:rPr>
                <w:rFonts w:ascii="Times New Roman" w:hAnsi="Times New Roman"/>
              </w:rPr>
            </w:pPr>
          </w:p>
        </w:tc>
      </w:tr>
      <w:tr w:rsidR="008B31C7" w:rsidRPr="004A66EC" w:rsidTr="00AB3853">
        <w:trPr>
          <w:trHeight w:val="244"/>
        </w:trPr>
        <w:tc>
          <w:tcPr>
            <w:tcW w:w="4395" w:type="dxa"/>
          </w:tcPr>
          <w:p w:rsidR="008B31C7" w:rsidRPr="004A66EC" w:rsidRDefault="008B31C7" w:rsidP="002156EF">
            <w:pPr>
              <w:spacing w:after="0"/>
              <w:ind w:left="34"/>
              <w:rPr>
                <w:rFonts w:ascii="Times New Roman" w:hAnsi="Times New Roman"/>
              </w:rPr>
            </w:pPr>
            <w:r w:rsidRPr="004A66EC">
              <w:rPr>
                <w:rFonts w:ascii="Times New Roman" w:hAnsi="Times New Roman"/>
              </w:rPr>
              <w:t>Мужчины трудоспособного возраста</w:t>
            </w:r>
          </w:p>
        </w:tc>
        <w:tc>
          <w:tcPr>
            <w:tcW w:w="1603" w:type="dxa"/>
            <w:vAlign w:val="center"/>
          </w:tcPr>
          <w:p w:rsidR="008B31C7" w:rsidRPr="004A66EC" w:rsidRDefault="008B31C7" w:rsidP="002156EF">
            <w:pPr>
              <w:spacing w:after="0"/>
              <w:ind w:firstLine="34"/>
              <w:jc w:val="center"/>
              <w:rPr>
                <w:rFonts w:ascii="Times New Roman" w:hAnsi="Times New Roman"/>
              </w:rPr>
            </w:pPr>
            <w:r w:rsidRPr="004A66EC">
              <w:rPr>
                <w:rFonts w:ascii="Times New Roman" w:hAnsi="Times New Roman"/>
              </w:rPr>
              <w:t>1 412,98</w:t>
            </w:r>
          </w:p>
        </w:tc>
        <w:tc>
          <w:tcPr>
            <w:tcW w:w="1602" w:type="dxa"/>
            <w:vAlign w:val="center"/>
          </w:tcPr>
          <w:p w:rsidR="008B31C7" w:rsidRPr="004A66EC" w:rsidRDefault="008B31C7" w:rsidP="002156EF">
            <w:pPr>
              <w:spacing w:after="0"/>
              <w:ind w:firstLine="34"/>
              <w:jc w:val="center"/>
              <w:rPr>
                <w:rFonts w:ascii="Times New Roman" w:hAnsi="Times New Roman"/>
              </w:rPr>
            </w:pPr>
            <w:r w:rsidRPr="004A66EC">
              <w:rPr>
                <w:rFonts w:ascii="Times New Roman" w:hAnsi="Times New Roman"/>
              </w:rPr>
              <w:t>1 404,74</w:t>
            </w:r>
          </w:p>
        </w:tc>
        <w:tc>
          <w:tcPr>
            <w:tcW w:w="2072" w:type="dxa"/>
            <w:vAlign w:val="center"/>
          </w:tcPr>
          <w:p w:rsidR="008B31C7" w:rsidRPr="004A66EC" w:rsidRDefault="008B31C7" w:rsidP="002156EF">
            <w:pPr>
              <w:spacing w:after="0"/>
              <w:ind w:firstLine="34"/>
              <w:jc w:val="center"/>
              <w:rPr>
                <w:rFonts w:ascii="Times New Roman" w:hAnsi="Times New Roman"/>
              </w:rPr>
            </w:pPr>
            <w:r w:rsidRPr="004A66EC">
              <w:rPr>
                <w:rFonts w:ascii="Times New Roman" w:hAnsi="Times New Roman"/>
              </w:rPr>
              <w:t>99,4</w:t>
            </w:r>
          </w:p>
        </w:tc>
      </w:tr>
      <w:tr w:rsidR="008B31C7" w:rsidRPr="004A66EC" w:rsidTr="00AB3853">
        <w:trPr>
          <w:trHeight w:val="257"/>
        </w:trPr>
        <w:tc>
          <w:tcPr>
            <w:tcW w:w="4395" w:type="dxa"/>
          </w:tcPr>
          <w:p w:rsidR="008B31C7" w:rsidRPr="004A66EC" w:rsidRDefault="008B31C7" w:rsidP="002156EF">
            <w:pPr>
              <w:spacing w:after="0"/>
              <w:ind w:left="34"/>
              <w:rPr>
                <w:rFonts w:ascii="Times New Roman" w:hAnsi="Times New Roman"/>
              </w:rPr>
            </w:pPr>
            <w:r w:rsidRPr="004A66EC">
              <w:rPr>
                <w:rFonts w:ascii="Times New Roman" w:hAnsi="Times New Roman"/>
              </w:rPr>
              <w:t>Женщины трудоспособного возраста</w:t>
            </w:r>
          </w:p>
        </w:tc>
        <w:tc>
          <w:tcPr>
            <w:tcW w:w="1603" w:type="dxa"/>
            <w:vAlign w:val="center"/>
          </w:tcPr>
          <w:p w:rsidR="008B31C7" w:rsidRPr="004A66EC" w:rsidRDefault="008B31C7" w:rsidP="002156EF">
            <w:pPr>
              <w:spacing w:after="0"/>
              <w:ind w:firstLine="34"/>
              <w:jc w:val="center"/>
              <w:rPr>
                <w:rFonts w:ascii="Times New Roman" w:hAnsi="Times New Roman"/>
              </w:rPr>
            </w:pPr>
            <w:r w:rsidRPr="004A66EC">
              <w:rPr>
                <w:rFonts w:ascii="Times New Roman" w:hAnsi="Times New Roman"/>
              </w:rPr>
              <w:t>1 341,82</w:t>
            </w:r>
          </w:p>
        </w:tc>
        <w:tc>
          <w:tcPr>
            <w:tcW w:w="1602" w:type="dxa"/>
            <w:vAlign w:val="center"/>
          </w:tcPr>
          <w:p w:rsidR="008B31C7" w:rsidRPr="004A66EC" w:rsidRDefault="008B31C7" w:rsidP="002156EF">
            <w:pPr>
              <w:spacing w:after="0"/>
              <w:ind w:firstLine="34"/>
              <w:jc w:val="center"/>
              <w:rPr>
                <w:rFonts w:ascii="Times New Roman" w:hAnsi="Times New Roman"/>
              </w:rPr>
            </w:pPr>
            <w:r w:rsidRPr="004A66EC">
              <w:rPr>
                <w:rFonts w:ascii="Times New Roman" w:hAnsi="Times New Roman"/>
              </w:rPr>
              <w:t>1 333,20</w:t>
            </w:r>
          </w:p>
        </w:tc>
        <w:tc>
          <w:tcPr>
            <w:tcW w:w="2072" w:type="dxa"/>
            <w:vAlign w:val="center"/>
          </w:tcPr>
          <w:p w:rsidR="008B31C7" w:rsidRPr="004A66EC" w:rsidRDefault="008B31C7" w:rsidP="002156EF">
            <w:pPr>
              <w:spacing w:after="0"/>
              <w:ind w:firstLine="34"/>
              <w:jc w:val="center"/>
              <w:rPr>
                <w:rFonts w:ascii="Times New Roman" w:hAnsi="Times New Roman"/>
              </w:rPr>
            </w:pPr>
            <w:r w:rsidRPr="004A66EC">
              <w:rPr>
                <w:rFonts w:ascii="Times New Roman" w:hAnsi="Times New Roman"/>
              </w:rPr>
              <w:t>99,4</w:t>
            </w:r>
          </w:p>
        </w:tc>
      </w:tr>
      <w:tr w:rsidR="008B31C7" w:rsidRPr="004A66EC" w:rsidTr="00AB3853">
        <w:trPr>
          <w:trHeight w:val="244"/>
        </w:trPr>
        <w:tc>
          <w:tcPr>
            <w:tcW w:w="4395" w:type="dxa"/>
          </w:tcPr>
          <w:p w:rsidR="008B31C7" w:rsidRPr="004A66EC" w:rsidRDefault="008B31C7" w:rsidP="002156EF">
            <w:pPr>
              <w:spacing w:after="0"/>
              <w:ind w:left="34"/>
              <w:rPr>
                <w:rFonts w:ascii="Times New Roman" w:hAnsi="Times New Roman"/>
              </w:rPr>
            </w:pPr>
            <w:r w:rsidRPr="004A66EC">
              <w:rPr>
                <w:rFonts w:ascii="Times New Roman" w:hAnsi="Times New Roman"/>
              </w:rPr>
              <w:t>Пенсионеры</w:t>
            </w:r>
          </w:p>
        </w:tc>
        <w:tc>
          <w:tcPr>
            <w:tcW w:w="1603" w:type="dxa"/>
            <w:vAlign w:val="center"/>
          </w:tcPr>
          <w:p w:rsidR="008B31C7" w:rsidRPr="004A66EC" w:rsidRDefault="008B31C7" w:rsidP="002156EF">
            <w:pPr>
              <w:spacing w:after="0"/>
              <w:ind w:firstLine="34"/>
              <w:jc w:val="center"/>
              <w:rPr>
                <w:rFonts w:ascii="Times New Roman" w:hAnsi="Times New Roman"/>
              </w:rPr>
            </w:pPr>
            <w:r w:rsidRPr="004A66EC">
              <w:rPr>
                <w:rFonts w:ascii="Times New Roman" w:hAnsi="Times New Roman"/>
              </w:rPr>
              <w:t>1 089,54</w:t>
            </w:r>
          </w:p>
        </w:tc>
        <w:tc>
          <w:tcPr>
            <w:tcW w:w="1602" w:type="dxa"/>
            <w:vAlign w:val="center"/>
          </w:tcPr>
          <w:p w:rsidR="008B31C7" w:rsidRPr="004A66EC" w:rsidRDefault="008B31C7" w:rsidP="002156EF">
            <w:pPr>
              <w:spacing w:after="0"/>
              <w:ind w:firstLine="34"/>
              <w:jc w:val="center"/>
              <w:rPr>
                <w:rFonts w:ascii="Times New Roman" w:hAnsi="Times New Roman"/>
              </w:rPr>
            </w:pPr>
            <w:r w:rsidRPr="004A66EC">
              <w:rPr>
                <w:rFonts w:ascii="Times New Roman" w:hAnsi="Times New Roman"/>
              </w:rPr>
              <w:t>1 081,01</w:t>
            </w:r>
          </w:p>
        </w:tc>
        <w:tc>
          <w:tcPr>
            <w:tcW w:w="2072" w:type="dxa"/>
            <w:vAlign w:val="center"/>
          </w:tcPr>
          <w:p w:rsidR="008B31C7" w:rsidRPr="004A66EC" w:rsidRDefault="008B31C7" w:rsidP="002156EF">
            <w:pPr>
              <w:spacing w:after="0"/>
              <w:ind w:firstLine="34"/>
              <w:jc w:val="center"/>
              <w:rPr>
                <w:rFonts w:ascii="Times New Roman" w:hAnsi="Times New Roman"/>
              </w:rPr>
            </w:pPr>
            <w:r w:rsidRPr="004A66EC">
              <w:rPr>
                <w:rFonts w:ascii="Times New Roman" w:hAnsi="Times New Roman"/>
              </w:rPr>
              <w:t>91,8</w:t>
            </w:r>
          </w:p>
        </w:tc>
      </w:tr>
      <w:tr w:rsidR="008B31C7" w:rsidRPr="004A66EC" w:rsidTr="00AB3853">
        <w:trPr>
          <w:trHeight w:val="257"/>
        </w:trPr>
        <w:tc>
          <w:tcPr>
            <w:tcW w:w="4395" w:type="dxa"/>
          </w:tcPr>
          <w:p w:rsidR="008B31C7" w:rsidRPr="004A66EC" w:rsidRDefault="008B31C7" w:rsidP="002156EF">
            <w:pPr>
              <w:spacing w:after="0"/>
              <w:ind w:left="34"/>
              <w:rPr>
                <w:rFonts w:ascii="Times New Roman" w:hAnsi="Times New Roman"/>
              </w:rPr>
            </w:pPr>
            <w:r w:rsidRPr="004A66EC">
              <w:rPr>
                <w:rFonts w:ascii="Times New Roman" w:hAnsi="Times New Roman"/>
              </w:rPr>
              <w:t>Дети от 0 до 6 лет</w:t>
            </w:r>
          </w:p>
        </w:tc>
        <w:tc>
          <w:tcPr>
            <w:tcW w:w="1603" w:type="dxa"/>
            <w:vAlign w:val="center"/>
          </w:tcPr>
          <w:p w:rsidR="008B31C7" w:rsidRPr="004A66EC" w:rsidRDefault="008B31C7" w:rsidP="002156EF">
            <w:pPr>
              <w:spacing w:after="0"/>
              <w:ind w:firstLine="34"/>
              <w:jc w:val="center"/>
              <w:rPr>
                <w:rFonts w:ascii="Times New Roman" w:hAnsi="Times New Roman"/>
              </w:rPr>
            </w:pPr>
            <w:r w:rsidRPr="004A66EC">
              <w:rPr>
                <w:rFonts w:ascii="Times New Roman" w:hAnsi="Times New Roman"/>
              </w:rPr>
              <w:t>1 177,62</w:t>
            </w:r>
          </w:p>
        </w:tc>
        <w:tc>
          <w:tcPr>
            <w:tcW w:w="1602" w:type="dxa"/>
            <w:vAlign w:val="center"/>
          </w:tcPr>
          <w:p w:rsidR="008B31C7" w:rsidRPr="004A66EC" w:rsidRDefault="008B31C7" w:rsidP="002156EF">
            <w:pPr>
              <w:spacing w:after="0"/>
              <w:ind w:firstLine="34"/>
              <w:jc w:val="center"/>
              <w:rPr>
                <w:rFonts w:ascii="Times New Roman" w:hAnsi="Times New Roman"/>
              </w:rPr>
            </w:pPr>
            <w:r w:rsidRPr="004A66EC">
              <w:rPr>
                <w:rFonts w:ascii="Times New Roman" w:hAnsi="Times New Roman"/>
              </w:rPr>
              <w:t>1 181,63</w:t>
            </w:r>
          </w:p>
        </w:tc>
        <w:tc>
          <w:tcPr>
            <w:tcW w:w="2072" w:type="dxa"/>
            <w:vAlign w:val="center"/>
          </w:tcPr>
          <w:p w:rsidR="008B31C7" w:rsidRPr="004A66EC" w:rsidRDefault="008B31C7" w:rsidP="002156EF">
            <w:pPr>
              <w:spacing w:after="0"/>
              <w:ind w:firstLine="34"/>
              <w:jc w:val="center"/>
              <w:rPr>
                <w:rFonts w:ascii="Times New Roman" w:hAnsi="Times New Roman"/>
              </w:rPr>
            </w:pPr>
            <w:r w:rsidRPr="004A66EC">
              <w:rPr>
                <w:rFonts w:ascii="Times New Roman" w:hAnsi="Times New Roman"/>
              </w:rPr>
              <w:t>100,3</w:t>
            </w:r>
          </w:p>
        </w:tc>
      </w:tr>
      <w:tr w:rsidR="008B31C7" w:rsidRPr="004A66EC" w:rsidTr="00AB3853">
        <w:trPr>
          <w:trHeight w:val="257"/>
        </w:trPr>
        <w:tc>
          <w:tcPr>
            <w:tcW w:w="4395" w:type="dxa"/>
          </w:tcPr>
          <w:p w:rsidR="008B31C7" w:rsidRPr="004A66EC" w:rsidRDefault="008B31C7" w:rsidP="002156EF">
            <w:pPr>
              <w:spacing w:after="0"/>
              <w:ind w:left="34"/>
              <w:rPr>
                <w:rFonts w:ascii="Times New Roman" w:hAnsi="Times New Roman"/>
              </w:rPr>
            </w:pPr>
            <w:r w:rsidRPr="004A66EC">
              <w:rPr>
                <w:rFonts w:ascii="Times New Roman" w:hAnsi="Times New Roman"/>
              </w:rPr>
              <w:t>Дети от 7 до 15 лет</w:t>
            </w:r>
          </w:p>
        </w:tc>
        <w:tc>
          <w:tcPr>
            <w:tcW w:w="1603" w:type="dxa"/>
            <w:vAlign w:val="center"/>
          </w:tcPr>
          <w:p w:rsidR="008B31C7" w:rsidRPr="004A66EC" w:rsidRDefault="008B31C7" w:rsidP="002156EF">
            <w:pPr>
              <w:spacing w:after="0"/>
              <w:ind w:firstLine="34"/>
              <w:jc w:val="center"/>
              <w:rPr>
                <w:rFonts w:ascii="Times New Roman" w:hAnsi="Times New Roman"/>
              </w:rPr>
            </w:pPr>
            <w:r w:rsidRPr="004A66EC">
              <w:rPr>
                <w:rFonts w:ascii="Times New Roman" w:hAnsi="Times New Roman"/>
              </w:rPr>
              <w:t>1 420,20</w:t>
            </w:r>
          </w:p>
        </w:tc>
        <w:tc>
          <w:tcPr>
            <w:tcW w:w="1602" w:type="dxa"/>
            <w:vAlign w:val="center"/>
          </w:tcPr>
          <w:p w:rsidR="008B31C7" w:rsidRPr="004A66EC" w:rsidRDefault="008B31C7" w:rsidP="002156EF">
            <w:pPr>
              <w:spacing w:after="0"/>
              <w:ind w:firstLine="34"/>
              <w:jc w:val="center"/>
              <w:rPr>
                <w:rFonts w:ascii="Times New Roman" w:hAnsi="Times New Roman"/>
              </w:rPr>
            </w:pPr>
            <w:r w:rsidRPr="004A66EC">
              <w:rPr>
                <w:rFonts w:ascii="Times New Roman" w:hAnsi="Times New Roman"/>
              </w:rPr>
              <w:t>1 417,61</w:t>
            </w:r>
          </w:p>
        </w:tc>
        <w:tc>
          <w:tcPr>
            <w:tcW w:w="2072" w:type="dxa"/>
            <w:vAlign w:val="center"/>
          </w:tcPr>
          <w:p w:rsidR="008B31C7" w:rsidRPr="004A66EC" w:rsidRDefault="008B31C7" w:rsidP="002156EF">
            <w:pPr>
              <w:spacing w:after="0"/>
              <w:ind w:firstLine="34"/>
              <w:jc w:val="center"/>
              <w:rPr>
                <w:rFonts w:ascii="Times New Roman" w:hAnsi="Times New Roman"/>
              </w:rPr>
            </w:pPr>
            <w:r w:rsidRPr="004A66EC">
              <w:rPr>
                <w:rFonts w:ascii="Times New Roman" w:hAnsi="Times New Roman"/>
              </w:rPr>
              <w:t>99,8</w:t>
            </w:r>
          </w:p>
        </w:tc>
      </w:tr>
    </w:tbl>
    <w:p w:rsidR="008B31C7" w:rsidRPr="00E75383" w:rsidRDefault="008B31C7" w:rsidP="008B31C7">
      <w:pPr>
        <w:spacing w:after="0" w:line="240" w:lineRule="auto"/>
        <w:ind w:firstLine="709"/>
        <w:jc w:val="both"/>
        <w:rPr>
          <w:rFonts w:ascii="Times New Roman" w:hAnsi="Times New Roman"/>
          <w:sz w:val="10"/>
          <w:szCs w:val="10"/>
        </w:rPr>
      </w:pPr>
    </w:p>
    <w:p w:rsidR="008B31C7" w:rsidRPr="009F2F0B" w:rsidRDefault="008B31C7" w:rsidP="008B31C7">
      <w:pPr>
        <w:spacing w:after="0" w:line="240" w:lineRule="auto"/>
        <w:ind w:firstLine="709"/>
        <w:contextualSpacing/>
        <w:jc w:val="both"/>
        <w:rPr>
          <w:rFonts w:ascii="Times New Roman" w:hAnsi="Times New Roman"/>
          <w:sz w:val="24"/>
          <w:szCs w:val="24"/>
        </w:rPr>
      </w:pPr>
      <w:r w:rsidRPr="004A66EC">
        <w:rPr>
          <w:rFonts w:ascii="Times New Roman" w:hAnsi="Times New Roman"/>
          <w:sz w:val="24"/>
          <w:szCs w:val="24"/>
        </w:rPr>
        <w:t>В помесячной динамике в течение 2016 года наблюдался прирост величины прожиточного минимума по отношению к предыдущему месяцу (на 0,1 – 3,5%%), за исключением февраля, июля и августа 2016 года. В связи с тем, что затраты на продукты питания занимают в структуре потребительской корзины наибольший удельный вес, динамика цен на продовольственные товары оказывает наибольшее влияние на колебания величины прожиточного минимума. В целом нестабильная валютная ситуация не повлияла на состав и стоимость потребительской корзины</w:t>
      </w:r>
      <w:r>
        <w:rPr>
          <w:rFonts w:ascii="Times New Roman" w:hAnsi="Times New Roman"/>
          <w:sz w:val="24"/>
          <w:szCs w:val="24"/>
        </w:rPr>
        <w:t>.</w:t>
      </w:r>
    </w:p>
    <w:p w:rsidR="00C74234" w:rsidRDefault="00C74234" w:rsidP="00C74234">
      <w:pPr>
        <w:spacing w:after="0" w:line="240" w:lineRule="auto"/>
        <w:ind w:firstLine="720"/>
        <w:jc w:val="both"/>
        <w:rPr>
          <w:rFonts w:ascii="Times New Roman" w:hAnsi="Times New Roman"/>
          <w:b/>
          <w:sz w:val="24"/>
          <w:szCs w:val="24"/>
        </w:rPr>
      </w:pPr>
    </w:p>
    <w:p w:rsidR="00C74234" w:rsidRPr="0080737A" w:rsidRDefault="00C74234" w:rsidP="00C74234">
      <w:pPr>
        <w:spacing w:after="0" w:line="240" w:lineRule="auto"/>
        <w:ind w:firstLine="720"/>
        <w:jc w:val="both"/>
        <w:rPr>
          <w:rFonts w:ascii="Times New Roman" w:hAnsi="Times New Roman"/>
          <w:b/>
          <w:sz w:val="24"/>
          <w:szCs w:val="24"/>
        </w:rPr>
      </w:pPr>
      <w:r w:rsidRPr="0080737A">
        <w:rPr>
          <w:rFonts w:ascii="Times New Roman" w:hAnsi="Times New Roman"/>
          <w:b/>
          <w:sz w:val="24"/>
          <w:szCs w:val="24"/>
        </w:rPr>
        <w:t>Рынок труда и сфера занятости</w:t>
      </w:r>
    </w:p>
    <w:p w:rsidR="00C74234" w:rsidRDefault="00C74234" w:rsidP="00C74234">
      <w:pPr>
        <w:spacing w:after="0" w:line="240" w:lineRule="auto"/>
        <w:ind w:firstLine="709"/>
        <w:jc w:val="both"/>
        <w:rPr>
          <w:rFonts w:ascii="Times New Roman" w:eastAsia="Times New Roman" w:hAnsi="Times New Roman" w:cs="Times New Roman"/>
          <w:sz w:val="24"/>
          <w:szCs w:val="24"/>
        </w:rPr>
      </w:pPr>
    </w:p>
    <w:p w:rsidR="00C74234" w:rsidRPr="00C74234" w:rsidRDefault="00C74234" w:rsidP="00C74234">
      <w:pPr>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Основные характеристики состояния рынка труда в 2016 году определялись социально-экономическими и демографическими процессами, происходящими в республике.</w:t>
      </w:r>
    </w:p>
    <w:p w:rsidR="00C74234" w:rsidRPr="00C74234" w:rsidRDefault="00C74234" w:rsidP="00C74234">
      <w:pPr>
        <w:spacing w:after="0" w:line="240" w:lineRule="auto"/>
        <w:ind w:firstLine="720"/>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Численность экономически активного населения по состоянию на 1 января               2017 года составила 13</w:t>
      </w:r>
      <w:r w:rsidR="002879F4">
        <w:rPr>
          <w:rFonts w:ascii="Times New Roman" w:eastAsia="Times New Roman" w:hAnsi="Times New Roman" w:cs="Times New Roman"/>
          <w:sz w:val="24"/>
          <w:szCs w:val="24"/>
        </w:rPr>
        <w:t>6</w:t>
      </w:r>
      <w:r w:rsidRPr="00C74234">
        <w:rPr>
          <w:rFonts w:ascii="Times New Roman" w:eastAsia="Times New Roman" w:hAnsi="Times New Roman" w:cs="Times New Roman"/>
          <w:sz w:val="24"/>
          <w:szCs w:val="24"/>
        </w:rPr>
        <w:t>,</w:t>
      </w:r>
      <w:r w:rsidR="002879F4">
        <w:rPr>
          <w:rFonts w:ascii="Times New Roman" w:eastAsia="Times New Roman" w:hAnsi="Times New Roman" w:cs="Times New Roman"/>
          <w:sz w:val="24"/>
          <w:szCs w:val="24"/>
        </w:rPr>
        <w:t>6</w:t>
      </w:r>
      <w:r w:rsidRPr="00C74234">
        <w:rPr>
          <w:rFonts w:ascii="Times New Roman" w:eastAsia="Times New Roman" w:hAnsi="Times New Roman" w:cs="Times New Roman"/>
          <w:sz w:val="24"/>
          <w:szCs w:val="24"/>
        </w:rPr>
        <w:t xml:space="preserve"> тыс. чел. (без учета работников силовых структур республики), уменьшившись по сравнению с 2015 годом на </w:t>
      </w:r>
      <w:r w:rsidR="002879F4">
        <w:rPr>
          <w:rFonts w:ascii="Times New Roman" w:eastAsia="Times New Roman" w:hAnsi="Times New Roman" w:cs="Times New Roman"/>
          <w:sz w:val="24"/>
          <w:szCs w:val="24"/>
        </w:rPr>
        <w:t>3,4</w:t>
      </w:r>
      <w:r w:rsidRPr="00C74234">
        <w:rPr>
          <w:rFonts w:ascii="Times New Roman" w:eastAsia="Times New Roman" w:hAnsi="Times New Roman" w:cs="Times New Roman"/>
          <w:sz w:val="24"/>
          <w:szCs w:val="24"/>
        </w:rPr>
        <w:t xml:space="preserve"> тыс. чел. В составе экономически активного населения 96,8%, или 13</w:t>
      </w:r>
      <w:r w:rsidR="002879F4">
        <w:rPr>
          <w:rFonts w:ascii="Times New Roman" w:eastAsia="Times New Roman" w:hAnsi="Times New Roman" w:cs="Times New Roman"/>
          <w:sz w:val="24"/>
          <w:szCs w:val="24"/>
        </w:rPr>
        <w:t>2,3</w:t>
      </w:r>
      <w:r w:rsidRPr="00C74234">
        <w:rPr>
          <w:rFonts w:ascii="Times New Roman" w:eastAsia="Times New Roman" w:hAnsi="Times New Roman" w:cs="Times New Roman"/>
          <w:sz w:val="24"/>
          <w:szCs w:val="24"/>
        </w:rPr>
        <w:t xml:space="preserve"> тыс. человек были заняты в экономике республики, а 4,3 тыс. человек не имели работы, но активно ее искали и состояли на учете в Центрах социального страхования и социальной защиты в качестве лиц ищущих подходящую работу.</w:t>
      </w:r>
    </w:p>
    <w:p w:rsidR="00C74234" w:rsidRPr="00C74234" w:rsidRDefault="00C74234" w:rsidP="00C74234">
      <w:pPr>
        <w:shd w:val="clear" w:color="auto" w:fill="FFFFFF" w:themeFill="background1"/>
        <w:tabs>
          <w:tab w:val="left" w:pos="900"/>
        </w:tabs>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 xml:space="preserve">Численность занятых в экономике республики (без учета субъектов малого </w:t>
      </w:r>
      <w:r w:rsidRPr="002879F4">
        <w:rPr>
          <w:rFonts w:ascii="Times New Roman" w:eastAsia="Times New Roman" w:hAnsi="Times New Roman" w:cs="Times New Roman"/>
          <w:sz w:val="24"/>
          <w:szCs w:val="24"/>
        </w:rPr>
        <w:t>предпринимательства) на 1 января 2017 года составила</w:t>
      </w:r>
      <w:r w:rsidRPr="002879F4">
        <w:rPr>
          <w:rFonts w:ascii="Times New Roman" w:eastAsia="Times New Roman" w:hAnsi="Times New Roman" w:cs="Times New Roman"/>
          <w:sz w:val="24"/>
          <w:szCs w:val="24"/>
          <w:shd w:val="clear" w:color="auto" w:fill="FFFFFF" w:themeFill="background1"/>
        </w:rPr>
        <w:t xml:space="preserve"> 97,5 тыс. чел.</w:t>
      </w:r>
      <w:r w:rsidRPr="00C74234">
        <w:rPr>
          <w:rFonts w:ascii="Times New Roman" w:eastAsia="Times New Roman" w:hAnsi="Times New Roman" w:cs="Times New Roman"/>
          <w:sz w:val="24"/>
          <w:szCs w:val="24"/>
        </w:rPr>
        <w:t xml:space="preserve"> Всего с начала            2016 года было принято на работу </w:t>
      </w:r>
      <w:r w:rsidRPr="00C74234">
        <w:rPr>
          <w:rFonts w:ascii="Times New Roman" w:eastAsia="Times New Roman" w:hAnsi="Times New Roman" w:cs="Times New Roman"/>
          <w:snapToGrid w:val="0"/>
          <w:sz w:val="24"/>
          <w:szCs w:val="24"/>
        </w:rPr>
        <w:t xml:space="preserve">15 777 </w:t>
      </w:r>
      <w:r w:rsidRPr="00C74234">
        <w:rPr>
          <w:rFonts w:ascii="Times New Roman" w:eastAsia="Times New Roman" w:hAnsi="Times New Roman" w:cs="Times New Roman"/>
          <w:sz w:val="24"/>
          <w:szCs w:val="24"/>
        </w:rPr>
        <w:t>чел., из них 901 чел. – на вновь созданные и дополнительно введенные рабочие места. Процент замещения выбывших работников новыми кадрами в рассматриваемом периоде составил 93,7%.</w:t>
      </w:r>
    </w:p>
    <w:p w:rsidR="00C74234" w:rsidRPr="00C74234" w:rsidRDefault="00C74234" w:rsidP="00C74234">
      <w:pPr>
        <w:tabs>
          <w:tab w:val="left" w:pos="900"/>
        </w:tabs>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 xml:space="preserve">В течение 2016 года из организаций и учреждений уволилось </w:t>
      </w:r>
      <w:r w:rsidRPr="00C74234">
        <w:rPr>
          <w:rFonts w:ascii="Times New Roman" w:eastAsia="Times New Roman" w:hAnsi="Times New Roman" w:cs="Times New Roman"/>
          <w:snapToGrid w:val="0"/>
          <w:sz w:val="24"/>
          <w:szCs w:val="24"/>
        </w:rPr>
        <w:t>16 853</w:t>
      </w:r>
      <w:r w:rsidRPr="00C74234">
        <w:rPr>
          <w:rFonts w:ascii="Times New Roman" w:eastAsia="Times New Roman" w:hAnsi="Times New Roman" w:cs="Times New Roman"/>
          <w:sz w:val="24"/>
          <w:szCs w:val="24"/>
        </w:rPr>
        <w:t xml:space="preserve"> чел. (в               2015 году – 21 938 чел.), что составляет 17,1% от списочной численности работников на </w:t>
      </w:r>
      <w:r w:rsidRPr="00C74234">
        <w:rPr>
          <w:rFonts w:ascii="Times New Roman" w:eastAsia="Times New Roman" w:hAnsi="Times New Roman" w:cs="Times New Roman"/>
          <w:sz w:val="24"/>
          <w:szCs w:val="24"/>
        </w:rPr>
        <w:lastRenderedPageBreak/>
        <w:t>начало года. Основной причиной</w:t>
      </w:r>
      <w:r w:rsidRPr="00C74234">
        <w:rPr>
          <w:rFonts w:ascii="Times New Roman" w:eastAsia="Times New Roman" w:hAnsi="Times New Roman" w:cs="Times New Roman"/>
          <w:sz w:val="28"/>
          <w:szCs w:val="28"/>
        </w:rPr>
        <w:t xml:space="preserve"> </w:t>
      </w:r>
      <w:r w:rsidRPr="00C74234">
        <w:rPr>
          <w:rFonts w:ascii="Times New Roman" w:eastAsia="Times New Roman" w:hAnsi="Times New Roman" w:cs="Times New Roman"/>
          <w:sz w:val="24"/>
          <w:szCs w:val="24"/>
        </w:rPr>
        <w:t>выбытия является увольнение по инициативе работника, на ее долю приходится 84,8% увольнений (14 273 чел.).</w:t>
      </w:r>
    </w:p>
    <w:p w:rsidR="00C74234" w:rsidRPr="00C74234" w:rsidRDefault="00C74234" w:rsidP="00C74234">
      <w:pPr>
        <w:spacing w:after="0" w:line="240" w:lineRule="auto"/>
        <w:ind w:firstLine="567"/>
        <w:jc w:val="both"/>
        <w:rPr>
          <w:rFonts w:ascii="Times New Roman" w:eastAsia="Times New Roman" w:hAnsi="Times New Roman" w:cs="Times New Roman"/>
          <w:sz w:val="24"/>
          <w:szCs w:val="24"/>
        </w:rPr>
      </w:pPr>
      <w:r w:rsidRPr="00C74234">
        <w:rPr>
          <w:rFonts w:ascii="Times New Roman" w:eastAsia="Times New Roman" w:hAnsi="Times New Roman" w:cs="Times New Roman"/>
          <w:color w:val="000000"/>
          <w:sz w:val="24"/>
          <w:szCs w:val="24"/>
        </w:rPr>
        <w:t xml:space="preserve">В рассматриваемом периоде 111 организаций республики предоставили в Центры социального страхования и социальной защиты городов и районов республики информацию </w:t>
      </w:r>
      <w:r w:rsidRPr="00C74234">
        <w:rPr>
          <w:rFonts w:ascii="Times New Roman" w:eastAsia="Times New Roman" w:hAnsi="Times New Roman" w:cs="Times New Roman"/>
          <w:sz w:val="24"/>
          <w:szCs w:val="24"/>
        </w:rPr>
        <w:t xml:space="preserve">о предстоящем проведении мероприятий по увольнению работников в связи с ликвидацией организации, сокращением численности или штата работников организации. В связи с проведением данных </w:t>
      </w:r>
      <w:r w:rsidRPr="002879F4">
        <w:rPr>
          <w:rFonts w:ascii="Times New Roman" w:eastAsia="Times New Roman" w:hAnsi="Times New Roman" w:cs="Times New Roman"/>
          <w:sz w:val="24"/>
          <w:szCs w:val="24"/>
        </w:rPr>
        <w:t xml:space="preserve">мероприятий к </w:t>
      </w:r>
      <w:r w:rsidR="002879F4" w:rsidRPr="002879F4">
        <w:rPr>
          <w:rFonts w:ascii="Times New Roman" w:eastAsia="Times New Roman" w:hAnsi="Times New Roman" w:cs="Times New Roman"/>
          <w:sz w:val="24"/>
          <w:szCs w:val="24"/>
        </w:rPr>
        <w:t xml:space="preserve">увольнению было намечено </w:t>
      </w:r>
      <w:r w:rsidRPr="002879F4">
        <w:rPr>
          <w:rFonts w:ascii="Times New Roman" w:eastAsia="Times New Roman" w:hAnsi="Times New Roman" w:cs="Times New Roman"/>
          <w:sz w:val="24"/>
          <w:szCs w:val="24"/>
        </w:rPr>
        <w:t>660 работника (в</w:t>
      </w:r>
      <w:r w:rsidRPr="00C74234">
        <w:rPr>
          <w:rFonts w:ascii="Times New Roman" w:eastAsia="Times New Roman" w:hAnsi="Times New Roman" w:cs="Times New Roman"/>
          <w:sz w:val="24"/>
          <w:szCs w:val="24"/>
        </w:rPr>
        <w:t xml:space="preserve"> 2015</w:t>
      </w:r>
      <w:r w:rsidR="00933EC9">
        <w:rPr>
          <w:rFonts w:ascii="Times New Roman" w:eastAsia="Times New Roman" w:hAnsi="Times New Roman" w:cs="Times New Roman"/>
          <w:sz w:val="24"/>
          <w:szCs w:val="24"/>
        </w:rPr>
        <w:t xml:space="preserve"> </w:t>
      </w:r>
      <w:r w:rsidRPr="00C74234">
        <w:rPr>
          <w:rFonts w:ascii="Times New Roman" w:eastAsia="Times New Roman" w:hAnsi="Times New Roman" w:cs="Times New Roman"/>
          <w:sz w:val="24"/>
          <w:szCs w:val="24"/>
        </w:rPr>
        <w:t>году – 2 018 чел.), однако фактически было уволено 309 работника, или 1,8% от общей численности выбывших.</w:t>
      </w:r>
    </w:p>
    <w:p w:rsidR="00C74234" w:rsidRPr="00C74234" w:rsidRDefault="00C74234" w:rsidP="00C74234">
      <w:pPr>
        <w:spacing w:after="0" w:line="240" w:lineRule="auto"/>
        <w:ind w:firstLine="567"/>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Среди намеченных к увольнению работников молодежь 16-29 лет составила 9,4%, граждане предпенсионного возраста – 9,1%.</w:t>
      </w:r>
    </w:p>
    <w:p w:rsidR="00C74234" w:rsidRPr="00C74234" w:rsidRDefault="00C74234" w:rsidP="00C74234">
      <w:pPr>
        <w:spacing w:after="0" w:line="240" w:lineRule="auto"/>
        <w:ind w:firstLine="567"/>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В разрезе отраслей экономики наибольшее количество</w:t>
      </w:r>
      <w:r w:rsidRPr="00C74234">
        <w:rPr>
          <w:rFonts w:ascii="Times New Roman" w:eastAsia="Times New Roman" w:hAnsi="Times New Roman" w:cs="Times New Roman"/>
          <w:b/>
          <w:sz w:val="24"/>
          <w:szCs w:val="24"/>
        </w:rPr>
        <w:t xml:space="preserve"> </w:t>
      </w:r>
      <w:r w:rsidRPr="00C74234">
        <w:rPr>
          <w:rFonts w:ascii="Times New Roman" w:eastAsia="Times New Roman" w:hAnsi="Times New Roman" w:cs="Times New Roman"/>
          <w:sz w:val="24"/>
          <w:szCs w:val="24"/>
        </w:rPr>
        <w:t>намеченных к высвобождению работников пришлось на промышленность – 62,7%, транспорт и связь –8,6%, жилищно-коммунальное хозяйство – 7,1%, образование – 2,7%.</w:t>
      </w:r>
    </w:p>
    <w:p w:rsidR="00C74234" w:rsidRPr="00C74234" w:rsidRDefault="00C74234" w:rsidP="00C74234">
      <w:pPr>
        <w:spacing w:after="0" w:line="240" w:lineRule="auto"/>
        <w:ind w:firstLine="567"/>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В 2016 году в Центры социального страхования и социальной зашиты городов и районов за содействием в поиске подходящей работы и получением консультаций обратилось около 25,8 тыс. человек, что составило 92,1% к уровню прошлого года.</w:t>
      </w:r>
    </w:p>
    <w:p w:rsidR="00C74234" w:rsidRPr="00C74234" w:rsidRDefault="00C74234" w:rsidP="00C74234">
      <w:pPr>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Численность граждан, получивших консультации по вопросам выбора места работы, законодательству о труде и занятости, возможности прохождения профессионального обучения и другим вопросам составила 13,1 тыс. человек (за 2015 год – 15,6 тыс. чел.). Услугами по профориентации воспользовались около 10,0 тыс. граждан, психологическую поддержку получили около 2,6 тыс. человек.</w:t>
      </w:r>
    </w:p>
    <w:p w:rsidR="00DB6B5C" w:rsidRPr="00DB6B5C" w:rsidRDefault="00C74234" w:rsidP="00DB6B5C">
      <w:pPr>
        <w:spacing w:after="0" w:line="240" w:lineRule="auto"/>
        <w:ind w:firstLine="540"/>
        <w:contextualSpacing/>
        <w:jc w:val="both"/>
        <w:rPr>
          <w:rFonts w:ascii="Times New Roman" w:eastAsia="Times New Roman" w:hAnsi="Times New Roman" w:cs="Times New Roman"/>
          <w:color w:val="000000"/>
          <w:sz w:val="24"/>
          <w:szCs w:val="24"/>
        </w:rPr>
      </w:pPr>
      <w:r w:rsidRPr="00C74234">
        <w:rPr>
          <w:rFonts w:ascii="Times New Roman" w:eastAsia="Times New Roman" w:hAnsi="Times New Roman" w:cs="Times New Roman"/>
          <w:sz w:val="24"/>
          <w:szCs w:val="24"/>
        </w:rPr>
        <w:t xml:space="preserve">В рассматриваемом периоде в качестве лиц ищущих подходящую работу было зарегистрировано 8 261 человек </w:t>
      </w:r>
      <w:r w:rsidRPr="00C74234">
        <w:rPr>
          <w:rFonts w:ascii="Times New Roman" w:eastAsia="Times New Roman" w:hAnsi="Times New Roman" w:cs="Times New Roman"/>
          <w:color w:val="000000"/>
          <w:sz w:val="24"/>
          <w:szCs w:val="24"/>
        </w:rPr>
        <w:t xml:space="preserve">(в </w:t>
      </w:r>
      <w:r w:rsidRPr="00C74234">
        <w:rPr>
          <w:rFonts w:ascii="Times New Roman" w:eastAsia="Times New Roman" w:hAnsi="Times New Roman" w:cs="Times New Roman"/>
          <w:sz w:val="24"/>
          <w:szCs w:val="24"/>
        </w:rPr>
        <w:t>2015 году – 8</w:t>
      </w:r>
      <w:r w:rsidRPr="00C74234">
        <w:rPr>
          <w:rFonts w:ascii="Times New Roman" w:eastAsia="Times New Roman" w:hAnsi="Times New Roman" w:cs="Times New Roman"/>
          <w:color w:val="000000"/>
          <w:sz w:val="24"/>
          <w:szCs w:val="24"/>
        </w:rPr>
        <w:t xml:space="preserve"> 207 чел.)</w:t>
      </w:r>
      <w:r w:rsidRPr="00C74234">
        <w:rPr>
          <w:rFonts w:ascii="Times New Roman" w:eastAsia="Times New Roman" w:hAnsi="Times New Roman" w:cs="Times New Roman"/>
          <w:sz w:val="24"/>
          <w:szCs w:val="24"/>
        </w:rPr>
        <w:t xml:space="preserve">, официально признаны безработными 6 327 человек </w:t>
      </w:r>
      <w:r w:rsidRPr="00C74234">
        <w:rPr>
          <w:rFonts w:ascii="Times New Roman" w:eastAsia="Times New Roman" w:hAnsi="Times New Roman" w:cs="Times New Roman"/>
          <w:color w:val="000000"/>
          <w:sz w:val="24"/>
          <w:szCs w:val="24"/>
        </w:rPr>
        <w:t xml:space="preserve">(в </w:t>
      </w:r>
      <w:r w:rsidRPr="00C74234">
        <w:rPr>
          <w:rFonts w:ascii="Times New Roman" w:eastAsia="Times New Roman" w:hAnsi="Times New Roman" w:cs="Times New Roman"/>
          <w:sz w:val="24"/>
          <w:szCs w:val="24"/>
        </w:rPr>
        <w:t>2015 году – 5</w:t>
      </w:r>
      <w:r w:rsidRPr="00C74234">
        <w:rPr>
          <w:rFonts w:ascii="Times New Roman" w:eastAsia="Times New Roman" w:hAnsi="Times New Roman" w:cs="Times New Roman"/>
          <w:color w:val="000000"/>
          <w:sz w:val="24"/>
          <w:szCs w:val="24"/>
        </w:rPr>
        <w:t xml:space="preserve"> 460 чел.).</w:t>
      </w:r>
    </w:p>
    <w:p w:rsidR="00C74234" w:rsidRDefault="00C74234" w:rsidP="00C74234">
      <w:pPr>
        <w:spacing w:after="0" w:line="240" w:lineRule="auto"/>
        <w:ind w:right="-284"/>
        <w:contextualSpacing/>
        <w:jc w:val="both"/>
        <w:rPr>
          <w:rFonts w:ascii="Times New Roman" w:eastAsia="Times New Roman" w:hAnsi="Times New Roman" w:cs="Times New Roman"/>
          <w:sz w:val="24"/>
          <w:szCs w:val="24"/>
        </w:rPr>
      </w:pPr>
      <w:r w:rsidRPr="00C74234">
        <w:rPr>
          <w:rFonts w:ascii="Times New Roman" w:eastAsia="Times New Roman" w:hAnsi="Times New Roman" w:cs="Times New Roman"/>
          <w:noProof/>
          <w:sz w:val="24"/>
          <w:szCs w:val="24"/>
        </w:rPr>
        <w:drawing>
          <wp:inline distT="0" distB="0" distL="0" distR="0">
            <wp:extent cx="6124575" cy="2514600"/>
            <wp:effectExtent l="0" t="0" r="0" b="0"/>
            <wp:docPr id="6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B6B5C" w:rsidRPr="00DB6B5C" w:rsidRDefault="00DB6B5C" w:rsidP="00C74234">
      <w:pPr>
        <w:spacing w:after="0" w:line="240" w:lineRule="auto"/>
        <w:ind w:right="-284"/>
        <w:contextualSpacing/>
        <w:jc w:val="both"/>
        <w:rPr>
          <w:rFonts w:ascii="Times New Roman" w:eastAsia="Times New Roman" w:hAnsi="Times New Roman" w:cs="Times New Roman"/>
          <w:sz w:val="20"/>
          <w:szCs w:val="20"/>
        </w:rPr>
      </w:pPr>
    </w:p>
    <w:p w:rsidR="00C74234" w:rsidRPr="00C74234" w:rsidRDefault="00C74234" w:rsidP="00C74234">
      <w:pPr>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В целом по республике 63,8% зарегистрированных граждан в качестве лиц ищущих подходящую работу являлись жителями городов. В то же время, по трем районам республики в числе зарегистрированных граждан преобладали жители сельской местности, удельный вес которых составил:</w:t>
      </w:r>
    </w:p>
    <w:p w:rsidR="00C74234" w:rsidRPr="00C74234" w:rsidRDefault="00C74234" w:rsidP="00C74234">
      <w:pPr>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 xml:space="preserve">- в Григориопольском районе – 80,3%, </w:t>
      </w:r>
    </w:p>
    <w:p w:rsidR="00C74234" w:rsidRPr="00C74234" w:rsidRDefault="00C74234" w:rsidP="00C74234">
      <w:pPr>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 в Слободзейском районе – 64,4%,</w:t>
      </w:r>
    </w:p>
    <w:p w:rsidR="00C74234" w:rsidRPr="00C74234" w:rsidRDefault="00C74234" w:rsidP="00C74234">
      <w:pPr>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 в Каменском районе – 57,6%.</w:t>
      </w:r>
    </w:p>
    <w:p w:rsidR="00C74234" w:rsidRPr="00C74234" w:rsidRDefault="00C74234" w:rsidP="00C74234">
      <w:pPr>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 xml:space="preserve">Наибольшее количество зарегистрированных граждан пришлось на следующие Центры социального страхования и социальной защиты: г. Рыбница и Рыбницкий район – 1 146 человек, г. Слободзея и Слободзейский район – 1 157 человек, г. Тирасполь – </w:t>
      </w:r>
      <w:r>
        <w:rPr>
          <w:rFonts w:ascii="Times New Roman" w:eastAsia="Times New Roman" w:hAnsi="Times New Roman" w:cs="Times New Roman"/>
          <w:sz w:val="24"/>
          <w:szCs w:val="24"/>
        </w:rPr>
        <w:br/>
      </w:r>
      <w:r w:rsidRPr="00C74234">
        <w:rPr>
          <w:rFonts w:ascii="Times New Roman" w:eastAsia="Times New Roman" w:hAnsi="Times New Roman" w:cs="Times New Roman"/>
          <w:sz w:val="24"/>
          <w:szCs w:val="24"/>
        </w:rPr>
        <w:t>777 человек. На данные административно-территориальные образования пришлось 72,2% граждан зарегистрированных, в качестве лиц ищущих работу от их общей численности.</w:t>
      </w:r>
    </w:p>
    <w:p w:rsidR="00C74234" w:rsidRPr="00C74234" w:rsidRDefault="00C74234" w:rsidP="00C74234">
      <w:pPr>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lastRenderedPageBreak/>
        <w:t>Среди граждан, зарегистрированных в Центрах социального страхования и социальной защиты в качестве лиц</w:t>
      </w:r>
      <w:r w:rsidR="00550CF6">
        <w:rPr>
          <w:rFonts w:ascii="Times New Roman" w:eastAsia="Times New Roman" w:hAnsi="Times New Roman" w:cs="Times New Roman"/>
          <w:sz w:val="24"/>
          <w:szCs w:val="24"/>
        </w:rPr>
        <w:t>,</w:t>
      </w:r>
      <w:r w:rsidRPr="00C74234">
        <w:rPr>
          <w:rFonts w:ascii="Times New Roman" w:eastAsia="Times New Roman" w:hAnsi="Times New Roman" w:cs="Times New Roman"/>
          <w:sz w:val="24"/>
          <w:szCs w:val="24"/>
        </w:rPr>
        <w:t xml:space="preserve"> ищущих работу в 2016 год</w:t>
      </w:r>
      <w:r w:rsidR="00550CF6">
        <w:rPr>
          <w:rFonts w:ascii="Times New Roman" w:eastAsia="Times New Roman" w:hAnsi="Times New Roman" w:cs="Times New Roman"/>
          <w:sz w:val="24"/>
          <w:szCs w:val="24"/>
        </w:rPr>
        <w:t>у</w:t>
      </w:r>
      <w:r w:rsidRPr="00C74234">
        <w:rPr>
          <w:rFonts w:ascii="Times New Roman" w:eastAsia="Times New Roman" w:hAnsi="Times New Roman" w:cs="Times New Roman"/>
          <w:sz w:val="24"/>
          <w:szCs w:val="24"/>
        </w:rPr>
        <w:t>, наиболее многочисленными являлись следующие категории граждан:</w:t>
      </w:r>
    </w:p>
    <w:p w:rsidR="00C74234" w:rsidRPr="00C74234" w:rsidRDefault="00C74234" w:rsidP="00C74234">
      <w:pPr>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 граждане, имеющие длительный (более года) перерыв в работе – 4 589 человек, их удельный вес в общей численности, зарегистрированных граждан, составил 55,5% против 46,0% годом ранее;</w:t>
      </w:r>
    </w:p>
    <w:p w:rsidR="00C74234" w:rsidRPr="00C74234" w:rsidRDefault="00C74234" w:rsidP="00C74234">
      <w:pPr>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 граждане, ранее не работавшие, ищущие работу впервые – 1 395 человек, их удельный вес в общей численности, зарегистрированных граждан, составил 16,9% против 17,8% годом ранее;</w:t>
      </w:r>
    </w:p>
    <w:p w:rsidR="00C74234" w:rsidRPr="00C74234" w:rsidRDefault="00C74234" w:rsidP="00C74234">
      <w:pPr>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 граждане, уволенные с последнего места работы в связи с ликвидацией организации, сокращением численности или штата работников организации и обратившиеся в службу занятости в течение года - 502 чел., их удельный вес в общей численности, зарегистрированных граждан, составил 6,1% против 11,8% годом ранее.</w:t>
      </w:r>
    </w:p>
    <w:p w:rsidR="00C74234" w:rsidRPr="00C74234" w:rsidRDefault="00C74234" w:rsidP="00C74234">
      <w:pPr>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 xml:space="preserve">По состоянию на 1 января 2017 года численность зарегистрированных граждан в качестве лиц, ищущих работу, составила 4 262 чел. (на 1 января 2016 года – 3 591 чел.), из них 3 403 гражданина имели статус безработного, т. е. получали пособие по безработице </w:t>
      </w:r>
      <w:r>
        <w:rPr>
          <w:rFonts w:ascii="Times New Roman" w:eastAsia="Times New Roman" w:hAnsi="Times New Roman" w:cs="Times New Roman"/>
          <w:sz w:val="24"/>
          <w:szCs w:val="24"/>
        </w:rPr>
        <w:br/>
      </w:r>
      <w:r w:rsidRPr="00C74234">
        <w:rPr>
          <w:rFonts w:ascii="Times New Roman" w:eastAsia="Times New Roman" w:hAnsi="Times New Roman" w:cs="Times New Roman"/>
          <w:sz w:val="24"/>
          <w:szCs w:val="24"/>
        </w:rPr>
        <w:t>(на 1 января 2016 года – 2 684 чел.).</w:t>
      </w:r>
    </w:p>
    <w:p w:rsidR="00C74234" w:rsidRPr="00C74234" w:rsidRDefault="00C74234" w:rsidP="00C74234">
      <w:pPr>
        <w:spacing w:after="0" w:line="240" w:lineRule="auto"/>
        <w:ind w:firstLine="540"/>
        <w:contextualSpacing/>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Уровень регистрируемой безработицы в среднем по республике по состоянию на               1 января 2017 года составил 3,15% к численности экономически активного населения (без учета численности работающих в силовых структурах), увеличившись по сравнению с уровнем регистрируемой безработицы на 1 января 2016 года на 0,58 процентных пункта.</w:t>
      </w:r>
    </w:p>
    <w:p w:rsidR="00C74234" w:rsidRPr="00C74234" w:rsidRDefault="00C74234" w:rsidP="00C74234">
      <w:pPr>
        <w:spacing w:after="0" w:line="240" w:lineRule="auto"/>
        <w:jc w:val="both"/>
        <w:rPr>
          <w:rFonts w:ascii="Calibri" w:eastAsia="Times New Roman" w:hAnsi="Calibri" w:cs="Times New Roman"/>
          <w:noProof/>
        </w:rPr>
      </w:pPr>
      <w:r w:rsidRPr="00C74234">
        <w:rPr>
          <w:rFonts w:ascii="Calibri" w:eastAsia="Times New Roman" w:hAnsi="Calibri" w:cs="Times New Roman"/>
          <w:noProof/>
        </w:rPr>
        <w:drawing>
          <wp:inline distT="0" distB="0" distL="0" distR="0">
            <wp:extent cx="6124575" cy="3057525"/>
            <wp:effectExtent l="19050" t="0" r="0" b="0"/>
            <wp:docPr id="67"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74234" w:rsidRPr="00C74234" w:rsidRDefault="00C74234" w:rsidP="00C74234">
      <w:pPr>
        <w:spacing w:after="0" w:line="240" w:lineRule="auto"/>
        <w:ind w:firstLine="709"/>
        <w:jc w:val="both"/>
        <w:rPr>
          <w:rFonts w:ascii="Times New Roman" w:eastAsia="Times New Roman" w:hAnsi="Times New Roman" w:cs="Times New Roman"/>
          <w:noProof/>
          <w:sz w:val="24"/>
          <w:szCs w:val="24"/>
        </w:rPr>
      </w:pPr>
      <w:r w:rsidRPr="00C74234">
        <w:rPr>
          <w:rFonts w:ascii="Times New Roman" w:eastAsia="Times New Roman" w:hAnsi="Times New Roman" w:cs="Times New Roman"/>
          <w:sz w:val="24"/>
          <w:szCs w:val="24"/>
        </w:rPr>
        <w:t>За 2016 год в Центры социального страхования и социальной защиты республики работодателями заявлено 2 480 вакантных рабочих места (должности) (за 2015 года –</w:t>
      </w:r>
      <w:r>
        <w:rPr>
          <w:rFonts w:ascii="Times New Roman" w:eastAsia="Times New Roman" w:hAnsi="Times New Roman" w:cs="Times New Roman"/>
          <w:sz w:val="24"/>
          <w:szCs w:val="24"/>
        </w:rPr>
        <w:br/>
      </w:r>
      <w:r w:rsidRPr="00C74234">
        <w:rPr>
          <w:rFonts w:ascii="Times New Roman" w:eastAsia="Times New Roman" w:hAnsi="Times New Roman" w:cs="Times New Roman"/>
          <w:sz w:val="24"/>
          <w:szCs w:val="24"/>
        </w:rPr>
        <w:t>2</w:t>
      </w:r>
      <w:r w:rsidR="00933EC9">
        <w:rPr>
          <w:rFonts w:ascii="Times New Roman" w:eastAsia="Times New Roman" w:hAnsi="Times New Roman" w:cs="Times New Roman"/>
          <w:sz w:val="24"/>
          <w:szCs w:val="24"/>
        </w:rPr>
        <w:t> </w:t>
      </w:r>
      <w:r w:rsidRPr="00C74234">
        <w:rPr>
          <w:rFonts w:ascii="Times New Roman" w:eastAsia="Times New Roman" w:hAnsi="Times New Roman" w:cs="Times New Roman"/>
          <w:sz w:val="24"/>
          <w:szCs w:val="24"/>
        </w:rPr>
        <w:t>518 ед.), однако следует отметить, что по состоянию на 1 января 2017 года в банке вакансий числилось 931 вакансия. Среди заявленных в 2016 году работодателями вакансий 80,0</w:t>
      </w:r>
      <w:r w:rsidRPr="00C74234">
        <w:rPr>
          <w:rFonts w:ascii="Times New Roman" w:eastAsia="Times New Roman" w:hAnsi="Times New Roman" w:cs="Times New Roman"/>
          <w:color w:val="000000"/>
          <w:sz w:val="24"/>
          <w:szCs w:val="24"/>
        </w:rPr>
        <w:t>% составляли вакантные места по рабочим профессиям и 20,0% - вакансии для специалистов и служащих.</w:t>
      </w:r>
    </w:p>
    <w:p w:rsidR="00C74234" w:rsidRPr="00C74234" w:rsidRDefault="00C74234" w:rsidP="00C74234">
      <w:pPr>
        <w:spacing w:after="0" w:line="240" w:lineRule="auto"/>
        <w:ind w:firstLine="709"/>
        <w:jc w:val="both"/>
        <w:rPr>
          <w:rFonts w:ascii="Times New Roman" w:eastAsia="Times New Roman" w:hAnsi="Times New Roman" w:cs="Times New Roman"/>
          <w:sz w:val="28"/>
          <w:szCs w:val="28"/>
        </w:rPr>
      </w:pPr>
      <w:r w:rsidRPr="00C74234">
        <w:rPr>
          <w:rFonts w:ascii="Times New Roman" w:eastAsia="Times New Roman" w:hAnsi="Times New Roman" w:cs="Times New Roman"/>
          <w:sz w:val="24"/>
          <w:szCs w:val="24"/>
        </w:rPr>
        <w:t>В разрезе отраслей экономики наибольшее количество заявленных вакансий приходилось на следующие отрасли: образование – 20,6% от общего количества представленных вакантных рабочих мест (должностей); промышленность – 16,0%, жилищно–коммунальное хозяйство – 8,9%, торговля и общественное питание – 7,9%, здравоохранение – 7,6%.</w:t>
      </w:r>
    </w:p>
    <w:p w:rsidR="00C74234" w:rsidRPr="00C74234" w:rsidRDefault="00C74234" w:rsidP="00C74234">
      <w:pPr>
        <w:spacing w:after="0" w:line="240" w:lineRule="auto"/>
        <w:ind w:firstLine="567"/>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 xml:space="preserve">Коэффициент напряженности на рынке труда (отношение </w:t>
      </w:r>
      <w:r w:rsidRPr="00C74234">
        <w:rPr>
          <w:rFonts w:ascii="Times New Roman" w:eastAsia="Times New Roman" w:hAnsi="Times New Roman" w:cs="Times New Roman"/>
          <w:color w:val="000000"/>
          <w:sz w:val="24"/>
          <w:szCs w:val="24"/>
        </w:rPr>
        <w:t>численности населения, не занятого трудовой деятельностью</w:t>
      </w:r>
      <w:r w:rsidRPr="00C74234">
        <w:rPr>
          <w:rFonts w:ascii="Times New Roman" w:eastAsia="Times New Roman" w:hAnsi="Times New Roman" w:cs="Times New Roman"/>
          <w:sz w:val="24"/>
          <w:szCs w:val="24"/>
        </w:rPr>
        <w:t xml:space="preserve"> к </w:t>
      </w:r>
      <w:r w:rsidRPr="00C74234">
        <w:rPr>
          <w:rFonts w:ascii="Times New Roman" w:eastAsia="Times New Roman" w:hAnsi="Times New Roman" w:cs="Times New Roman"/>
          <w:color w:val="000000"/>
          <w:sz w:val="24"/>
          <w:szCs w:val="24"/>
        </w:rPr>
        <w:t>числу вакантных должностей)</w:t>
      </w:r>
      <w:r w:rsidRPr="00C74234">
        <w:rPr>
          <w:rFonts w:ascii="Times New Roman" w:eastAsia="Times New Roman" w:hAnsi="Times New Roman" w:cs="Times New Roman"/>
          <w:sz w:val="24"/>
          <w:szCs w:val="24"/>
        </w:rPr>
        <w:t xml:space="preserve"> по состоянию на                1 января 2017 года составил 4,6 человека на 1 вакантное место (на 1 января 2016 года – 4,0 человека на 1 вакантное место).</w:t>
      </w:r>
    </w:p>
    <w:p w:rsidR="00C74234" w:rsidRPr="00C74234" w:rsidRDefault="00C74234" w:rsidP="00E75383">
      <w:pPr>
        <w:spacing w:after="0" w:line="240" w:lineRule="auto"/>
        <w:ind w:left="-284" w:right="-284"/>
        <w:jc w:val="both"/>
        <w:rPr>
          <w:rFonts w:ascii="Times New Roman" w:eastAsia="Times New Roman" w:hAnsi="Times New Roman" w:cs="Times New Roman"/>
          <w:sz w:val="24"/>
          <w:szCs w:val="24"/>
        </w:rPr>
      </w:pPr>
      <w:r w:rsidRPr="00C74234">
        <w:rPr>
          <w:rFonts w:ascii="Times New Roman" w:eastAsia="Times New Roman" w:hAnsi="Times New Roman" w:cs="Times New Roman"/>
          <w:noProof/>
          <w:sz w:val="24"/>
          <w:szCs w:val="24"/>
        </w:rPr>
        <w:lastRenderedPageBreak/>
        <w:drawing>
          <wp:inline distT="0" distB="0" distL="0" distR="0">
            <wp:extent cx="6324600" cy="2543175"/>
            <wp:effectExtent l="0" t="0" r="0" b="0"/>
            <wp:docPr id="6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74234" w:rsidRPr="00C74234" w:rsidRDefault="00C74234" w:rsidP="00C74234">
      <w:pPr>
        <w:spacing w:after="0" w:line="240" w:lineRule="auto"/>
        <w:ind w:left="-567" w:right="-284"/>
        <w:jc w:val="both"/>
        <w:rPr>
          <w:rFonts w:ascii="Times New Roman" w:eastAsia="Times New Roman" w:hAnsi="Times New Roman" w:cs="Times New Roman"/>
          <w:sz w:val="20"/>
          <w:szCs w:val="20"/>
        </w:rPr>
      </w:pPr>
    </w:p>
    <w:p w:rsidR="00C74234" w:rsidRPr="00C74234" w:rsidRDefault="00C74234" w:rsidP="00C74234">
      <w:pPr>
        <w:spacing w:after="0" w:line="240" w:lineRule="auto"/>
        <w:ind w:firstLine="567"/>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Деятельность в области занятости населения в отчетном периоде была направлена на обеспечение гарантированной государством материальной поддержки безработных граждан, проведение программ активной политики занятости, направленных на повышение конкурентоспособности безработных граждан на рынке труда и их скорейшему трудоустройству, путем таких разнообразных мер, как помощь в трудоустройстве, организация общественных работ, профессиональное обучение и консультирование и др.</w:t>
      </w:r>
    </w:p>
    <w:p w:rsidR="00C74234" w:rsidRPr="00C74234" w:rsidRDefault="00C74234" w:rsidP="00C74234">
      <w:pPr>
        <w:spacing w:after="0" w:line="240" w:lineRule="auto"/>
        <w:ind w:firstLine="567"/>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За 2016 год при содействии Центров социального страхования и социальной защиты трудоустроено 1 401 безработный гражданин (за 2015 год – 1 651 человек), из которых число трудоустроенных граждан, относящихся к категории пенсионеров – 20 человек, из них численность граждан, относящихся к категории инвалидов – 17 человек.</w:t>
      </w:r>
    </w:p>
    <w:p w:rsidR="00C74234" w:rsidRPr="00C74234" w:rsidRDefault="00C74234" w:rsidP="00C74234">
      <w:pPr>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В рассматриваемом периоде в рамках активной политики занятости реализованы следующие мероприятия:</w:t>
      </w:r>
    </w:p>
    <w:p w:rsidR="00C74234" w:rsidRPr="00C74234" w:rsidRDefault="00C74234" w:rsidP="00C74234">
      <w:pPr>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а) в соответствии с договорами, заключенными с организациями республики, в общественных работах приняли участие 37 безработных граждан, что больше значение достигнутого в 2015 году на 26 человек. Участниками отработано на общественных работах 247 человеко-дней, средняя продолжительность участия составила 22,5 дня. Общественные работы проводились в Военных комиссариатах (оформление личных дел, выписка повесток и их рассылка, уточнение списков призывников);</w:t>
      </w:r>
    </w:p>
    <w:p w:rsidR="00C74234" w:rsidRPr="00C74234" w:rsidRDefault="00C74234" w:rsidP="00C74234">
      <w:pPr>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б) на курсовую профессиональную подготовку, переподготовку, повышение квалификации направлено 5 человек. Обучение проводилось по востребованным на рынке труда профессиям таким как: автослесарь, штукатур – маляр, продавец-кассир.</w:t>
      </w:r>
    </w:p>
    <w:p w:rsidR="00C74234" w:rsidRPr="00C74234" w:rsidRDefault="00C74234" w:rsidP="00C74234">
      <w:pPr>
        <w:tabs>
          <w:tab w:val="left" w:pos="1134"/>
        </w:tabs>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в) оформлено на досрочную пенсию 73 гражданина предпенсионного возраста, уволенных с последнего места работы в связи с ликвидацией организации, сокращением численности или штата работников организации.</w:t>
      </w:r>
    </w:p>
    <w:p w:rsidR="00DB6B5C" w:rsidRDefault="00C74234" w:rsidP="00DB6B5C">
      <w:pPr>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В 2016 году проведены 5 «Ярмарок учебных мест» и 4 мини-ярмарки вакансий в          г. Бендеры, из них: для женщин в возрасте от 18-35 лет, с полным и средним профессиональным образованием, владеющих рабочей специальностью, для студентов торгово-технологического техникума, для безработных граждан с представителями             ООО ТФФ «Интерцентрлюкс», а также с ЗАО «Швейная фирма «Вестра». Данные мероприятия посетили 2 139 человек. Выпускникам школ республики и молодым людям, ранее окончившим учебные заведения, а также участникам ярмарки была представлена возможность ознакомиться с условиями приема и обучения в учебных организациях профессионального образования республики. Центрами социального страхования и социальной защиты городов и районов республики было оказано содействие в профессиональном самоопределении около 1,6 тысячи человек (проведены мероприятия по профессиональной ориентации).</w:t>
      </w:r>
    </w:p>
    <w:p w:rsidR="00C74234" w:rsidRPr="00C74234" w:rsidRDefault="00C74234" w:rsidP="00DB6B5C">
      <w:pPr>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t>На реализацию программ активной политики занятости в 2016 году израсходовано 131,5 тыс. рублей, на материальную поддержку безработных граждан израсходовано около 15,7 млн. рублей.</w:t>
      </w:r>
    </w:p>
    <w:p w:rsidR="00C74234" w:rsidRPr="00C74234" w:rsidRDefault="00C74234" w:rsidP="00C74234">
      <w:pPr>
        <w:spacing w:after="0" w:line="240" w:lineRule="auto"/>
        <w:ind w:firstLine="709"/>
        <w:jc w:val="both"/>
        <w:rPr>
          <w:rFonts w:ascii="Times New Roman" w:eastAsia="Times New Roman" w:hAnsi="Times New Roman" w:cs="Times New Roman"/>
          <w:sz w:val="24"/>
          <w:szCs w:val="24"/>
        </w:rPr>
      </w:pPr>
      <w:r w:rsidRPr="00C74234">
        <w:rPr>
          <w:rFonts w:ascii="Times New Roman" w:eastAsia="Times New Roman" w:hAnsi="Times New Roman" w:cs="Times New Roman"/>
          <w:sz w:val="24"/>
          <w:szCs w:val="24"/>
        </w:rPr>
        <w:lastRenderedPageBreak/>
        <w:t>Средний размер пособия по безработице в отчетном периоде составил                     428,23 рублей, против 426,04 рублей в 2015 году. Среднесписочная численность безработных ежемесячно получавших пособие по безработице в рассматриваемом периоде составила</w:t>
      </w:r>
      <w:r>
        <w:rPr>
          <w:rFonts w:ascii="Times New Roman" w:eastAsia="Times New Roman" w:hAnsi="Times New Roman" w:cs="Times New Roman"/>
          <w:sz w:val="24"/>
          <w:szCs w:val="24"/>
        </w:rPr>
        <w:br/>
      </w:r>
      <w:r w:rsidRPr="00C74234">
        <w:rPr>
          <w:rFonts w:ascii="Times New Roman" w:eastAsia="Times New Roman" w:hAnsi="Times New Roman" w:cs="Times New Roman"/>
          <w:sz w:val="24"/>
          <w:szCs w:val="24"/>
        </w:rPr>
        <w:t>3 011 человека, увеличившись на 120 человек по отношению к 2015 году.</w:t>
      </w:r>
    </w:p>
    <w:p w:rsidR="00C74234" w:rsidRDefault="00C74234" w:rsidP="00C74234">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74234">
        <w:rPr>
          <w:rFonts w:ascii="Times New Roman" w:eastAsia="Times New Roman" w:hAnsi="Times New Roman" w:cs="Times New Roman"/>
          <w:sz w:val="24"/>
          <w:szCs w:val="24"/>
          <w:shd w:val="clear" w:color="auto" w:fill="FFFFFF"/>
        </w:rPr>
        <w:t xml:space="preserve">Трудовая миграция населения, </w:t>
      </w:r>
      <w:r w:rsidRPr="00C74234">
        <w:rPr>
          <w:rFonts w:ascii="Times New Roman" w:eastAsia="Times New Roman" w:hAnsi="Times New Roman" w:cs="Times New Roman"/>
          <w:color w:val="000000"/>
          <w:sz w:val="24"/>
          <w:szCs w:val="24"/>
        </w:rPr>
        <w:t xml:space="preserve">в совокупности с </w:t>
      </w:r>
      <w:r w:rsidRPr="00C74234">
        <w:rPr>
          <w:rFonts w:ascii="Times New Roman" w:eastAsia="Times New Roman" w:hAnsi="Times New Roman" w:cs="Times New Roman"/>
          <w:color w:val="000000"/>
          <w:sz w:val="24"/>
          <w:szCs w:val="24"/>
          <w:shd w:val="clear" w:color="auto" w:fill="FFFFFF"/>
        </w:rPr>
        <w:t>ухудшением демографических показателей ведет к уменьшению численности трудовых ресурсов и ухудшению их качественных характеристик, что в совокупности с низким жизненным уровнем населения значимо влияет на формирование трудового потенциала региона. Устойчивый экономический рост невозможен в условиях снижения трудового потенциала, в связи с чем, потребуется изменение политики и практики в социально-трудовой сфере с упором на качественные аспекты ее совершенствования.</w:t>
      </w:r>
    </w:p>
    <w:p w:rsidR="00EB0F10" w:rsidRDefault="00EB0F10" w:rsidP="00C74234">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EB0F10" w:rsidRDefault="00EB0F10" w:rsidP="00C74234">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EB0F10" w:rsidRDefault="00EB0F10" w:rsidP="00C74234">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EB0F10" w:rsidRDefault="00EB0F10" w:rsidP="00C74234">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EB0F10" w:rsidRDefault="00EB0F10" w:rsidP="00C74234">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EB0F10" w:rsidRDefault="00EB0F10" w:rsidP="00C74234">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EB0F10" w:rsidRDefault="00EB0F10" w:rsidP="00C74234">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E75383" w:rsidRDefault="00E75383">
      <w:pP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br w:type="page"/>
      </w:r>
    </w:p>
    <w:tbl>
      <w:tblPr>
        <w:tblpPr w:leftFromText="180" w:rightFromText="180" w:bottomFromText="200" w:vertAnchor="page" w:horzAnchor="margin" w:tblpXSpec="center" w:tblpY="451"/>
        <w:tblW w:w="10170" w:type="dxa"/>
        <w:tblLayout w:type="fixed"/>
        <w:tblLook w:val="00A0"/>
      </w:tblPr>
      <w:tblGrid>
        <w:gridCol w:w="4217"/>
        <w:gridCol w:w="991"/>
        <w:gridCol w:w="1134"/>
        <w:gridCol w:w="709"/>
        <w:gridCol w:w="287"/>
        <w:gridCol w:w="682"/>
        <w:gridCol w:w="168"/>
        <w:gridCol w:w="848"/>
        <w:gridCol w:w="286"/>
        <w:gridCol w:w="796"/>
        <w:gridCol w:w="52"/>
      </w:tblGrid>
      <w:tr w:rsidR="00EB0F10" w:rsidTr="008176B9">
        <w:trPr>
          <w:gridAfter w:val="1"/>
          <w:wAfter w:w="52" w:type="dxa"/>
          <w:trHeight w:val="322"/>
        </w:trPr>
        <w:tc>
          <w:tcPr>
            <w:tcW w:w="10118" w:type="dxa"/>
            <w:gridSpan w:val="10"/>
            <w:vAlign w:val="center"/>
            <w:hideMark/>
          </w:tcPr>
          <w:tbl>
            <w:tblPr>
              <w:tblpPr w:leftFromText="180" w:rightFromText="180" w:bottomFromText="200" w:horzAnchor="page" w:tblpX="448" w:tblpY="-615"/>
              <w:tblW w:w="11340" w:type="dxa"/>
              <w:tblLayout w:type="fixed"/>
              <w:tblLook w:val="00A0"/>
            </w:tblPr>
            <w:tblGrid>
              <w:gridCol w:w="11340"/>
            </w:tblGrid>
            <w:tr w:rsidR="00EB0F10" w:rsidTr="008176B9">
              <w:trPr>
                <w:trHeight w:val="423"/>
              </w:trPr>
              <w:tc>
                <w:tcPr>
                  <w:tcW w:w="11339" w:type="dxa"/>
                  <w:vAlign w:val="bottom"/>
                </w:tcPr>
                <w:p w:rsidR="00EB0F10" w:rsidRDefault="00EB0F10" w:rsidP="008176B9">
                  <w:pPr>
                    <w:tabs>
                      <w:tab w:val="left" w:pos="7122"/>
                    </w:tabs>
                    <w:spacing w:after="0" w:line="240" w:lineRule="auto"/>
                    <w:ind w:left="-142" w:right="1167" w:firstLine="142"/>
                    <w:jc w:val="right"/>
                    <w:rPr>
                      <w:rFonts w:ascii="Times New Roman" w:hAnsi="Times New Roman"/>
                      <w:b/>
                      <w:bCs/>
                      <w:color w:val="000000"/>
                      <w:sz w:val="24"/>
                      <w:szCs w:val="24"/>
                    </w:rPr>
                  </w:pPr>
                  <w:r>
                    <w:rPr>
                      <w:rFonts w:ascii="Times New Roman" w:hAnsi="Times New Roman"/>
                      <w:b/>
                      <w:bCs/>
                      <w:color w:val="000000"/>
                      <w:sz w:val="24"/>
                      <w:szCs w:val="24"/>
                    </w:rPr>
                    <w:lastRenderedPageBreak/>
                    <w:t>Приложение №1</w:t>
                  </w:r>
                </w:p>
                <w:p w:rsidR="00EB0F10" w:rsidRDefault="00EB0F10" w:rsidP="008176B9">
                  <w:pPr>
                    <w:tabs>
                      <w:tab w:val="left" w:pos="7122"/>
                    </w:tabs>
                    <w:spacing w:after="0" w:line="240" w:lineRule="auto"/>
                    <w:ind w:left="-142" w:right="1167" w:firstLine="142"/>
                    <w:jc w:val="right"/>
                    <w:rPr>
                      <w:rFonts w:ascii="Times New Roman" w:hAnsi="Times New Roman"/>
                      <w:b/>
                      <w:bCs/>
                      <w:color w:val="000000"/>
                      <w:sz w:val="24"/>
                      <w:szCs w:val="24"/>
                    </w:rPr>
                  </w:pPr>
                </w:p>
                <w:p w:rsidR="00EB0F10" w:rsidRDefault="00EB0F10" w:rsidP="008176B9">
                  <w:pPr>
                    <w:spacing w:after="0" w:line="240" w:lineRule="auto"/>
                    <w:ind w:left="-142" w:firstLine="142"/>
                    <w:jc w:val="center"/>
                    <w:rPr>
                      <w:rFonts w:ascii="Times New Roman" w:hAnsi="Times New Roman"/>
                      <w:b/>
                      <w:bCs/>
                      <w:color w:val="000000"/>
                    </w:rPr>
                  </w:pPr>
                </w:p>
              </w:tc>
            </w:tr>
            <w:tr w:rsidR="00EB0F10" w:rsidTr="008176B9">
              <w:trPr>
                <w:trHeight w:val="420"/>
              </w:trPr>
              <w:tc>
                <w:tcPr>
                  <w:tcW w:w="11339" w:type="dxa"/>
                  <w:vAlign w:val="bottom"/>
                  <w:hideMark/>
                </w:tcPr>
                <w:p w:rsidR="00EB0F10" w:rsidRDefault="00EB0F10" w:rsidP="008176B9">
                  <w:pPr>
                    <w:spacing w:after="0" w:line="240" w:lineRule="auto"/>
                    <w:ind w:left="-108"/>
                    <w:jc w:val="center"/>
                    <w:rPr>
                      <w:rFonts w:ascii="Times New Roman" w:hAnsi="Times New Roman"/>
                      <w:b/>
                      <w:bCs/>
                      <w:color w:val="000000"/>
                      <w:sz w:val="24"/>
                      <w:szCs w:val="24"/>
                    </w:rPr>
                  </w:pPr>
                  <w:r>
                    <w:rPr>
                      <w:rFonts w:ascii="Times New Roman" w:hAnsi="Times New Roman"/>
                      <w:b/>
                      <w:bCs/>
                      <w:color w:val="000000"/>
                      <w:sz w:val="24"/>
                      <w:szCs w:val="24"/>
                    </w:rPr>
                    <w:t>Основные макроэкономические показатели</w:t>
                  </w:r>
                </w:p>
                <w:p w:rsidR="00EB0F10" w:rsidRDefault="00EB0F10" w:rsidP="008176B9">
                  <w:pPr>
                    <w:spacing w:after="0" w:line="240" w:lineRule="auto"/>
                    <w:ind w:left="-108"/>
                    <w:jc w:val="center"/>
                    <w:rPr>
                      <w:rFonts w:ascii="Times New Roman" w:hAnsi="Times New Roman"/>
                      <w:b/>
                      <w:bCs/>
                      <w:color w:val="000000"/>
                      <w:sz w:val="24"/>
                      <w:szCs w:val="24"/>
                    </w:rPr>
                  </w:pPr>
                  <w:r>
                    <w:rPr>
                      <w:rFonts w:ascii="Times New Roman" w:hAnsi="Times New Roman"/>
                      <w:b/>
                      <w:bCs/>
                      <w:color w:val="000000"/>
                      <w:sz w:val="24"/>
                      <w:szCs w:val="24"/>
                    </w:rPr>
                    <w:t>Приднестровской Молдавской Республики за 2016 год</w:t>
                  </w:r>
                </w:p>
              </w:tc>
            </w:tr>
          </w:tbl>
          <w:p w:rsidR="00EB0F10" w:rsidRDefault="00EB0F10" w:rsidP="008176B9">
            <w:pPr>
              <w:spacing w:after="0"/>
            </w:pPr>
          </w:p>
        </w:tc>
      </w:tr>
      <w:tr w:rsidR="00EB0F10" w:rsidTr="00EB0F10">
        <w:trPr>
          <w:trHeight w:val="1271"/>
        </w:trPr>
        <w:tc>
          <w:tcPr>
            <w:tcW w:w="4217" w:type="dxa"/>
            <w:tcBorders>
              <w:top w:val="single" w:sz="4" w:space="0" w:color="auto"/>
              <w:left w:val="single" w:sz="4" w:space="0" w:color="auto"/>
              <w:bottom w:val="single" w:sz="4" w:space="0" w:color="auto"/>
              <w:right w:val="single" w:sz="4" w:space="0" w:color="auto"/>
            </w:tcBorders>
            <w:noWrap/>
            <w:vAlign w:val="center"/>
            <w:hideMark/>
          </w:tcPr>
          <w:p w:rsidR="00EB0F10" w:rsidRDefault="00EB0F10" w:rsidP="008176B9">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Показатели</w:t>
            </w:r>
          </w:p>
        </w:tc>
        <w:tc>
          <w:tcPr>
            <w:tcW w:w="991"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Ед. изм.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left="-142" w:firstLine="34"/>
              <w:jc w:val="center"/>
              <w:rPr>
                <w:rFonts w:ascii="Times New Roman" w:hAnsi="Times New Roman"/>
                <w:b/>
                <w:bCs/>
                <w:color w:val="000000"/>
                <w:sz w:val="20"/>
                <w:szCs w:val="20"/>
              </w:rPr>
            </w:pPr>
            <w:r>
              <w:rPr>
                <w:rFonts w:ascii="Times New Roman" w:hAnsi="Times New Roman"/>
                <w:b/>
                <w:bCs/>
                <w:color w:val="000000"/>
                <w:sz w:val="20"/>
                <w:szCs w:val="20"/>
              </w:rPr>
              <w:t xml:space="preserve">Факт </w:t>
            </w:r>
          </w:p>
          <w:p w:rsidR="00EB0F10" w:rsidRDefault="00EB0F10" w:rsidP="008176B9">
            <w:pPr>
              <w:spacing w:after="0" w:line="240" w:lineRule="auto"/>
              <w:ind w:left="-142" w:firstLine="34"/>
              <w:jc w:val="center"/>
              <w:rPr>
                <w:rFonts w:ascii="Times New Roman" w:hAnsi="Times New Roman"/>
                <w:b/>
                <w:bCs/>
                <w:color w:val="000000"/>
                <w:sz w:val="20"/>
                <w:szCs w:val="20"/>
              </w:rPr>
            </w:pPr>
            <w:r>
              <w:rPr>
                <w:rFonts w:ascii="Times New Roman" w:hAnsi="Times New Roman"/>
                <w:b/>
                <w:bCs/>
                <w:color w:val="000000"/>
                <w:sz w:val="20"/>
                <w:szCs w:val="20"/>
              </w:rPr>
              <w:t>2014 г.</w:t>
            </w:r>
          </w:p>
        </w:tc>
        <w:tc>
          <w:tcPr>
            <w:tcW w:w="996" w:type="dxa"/>
            <w:gridSpan w:val="2"/>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tabs>
                <w:tab w:val="left" w:pos="918"/>
              </w:tabs>
              <w:spacing w:after="0" w:line="240" w:lineRule="auto"/>
              <w:ind w:left="-142" w:firstLine="34"/>
              <w:jc w:val="center"/>
              <w:rPr>
                <w:rFonts w:ascii="Times New Roman" w:hAnsi="Times New Roman"/>
                <w:b/>
                <w:bCs/>
                <w:color w:val="000000"/>
                <w:sz w:val="20"/>
                <w:szCs w:val="20"/>
              </w:rPr>
            </w:pPr>
            <w:r>
              <w:rPr>
                <w:rFonts w:ascii="Times New Roman" w:hAnsi="Times New Roman"/>
                <w:b/>
                <w:bCs/>
                <w:color w:val="000000"/>
                <w:sz w:val="20"/>
                <w:szCs w:val="20"/>
              </w:rPr>
              <w:t xml:space="preserve">Факт </w:t>
            </w:r>
          </w:p>
          <w:p w:rsidR="00EB0F10" w:rsidRDefault="00EB0F10" w:rsidP="008176B9">
            <w:pPr>
              <w:tabs>
                <w:tab w:val="left" w:pos="918"/>
              </w:tabs>
              <w:spacing w:after="0" w:line="240" w:lineRule="auto"/>
              <w:ind w:left="-142" w:firstLine="34"/>
              <w:jc w:val="center"/>
              <w:rPr>
                <w:rFonts w:ascii="Times New Roman" w:hAnsi="Times New Roman"/>
                <w:b/>
                <w:bCs/>
                <w:color w:val="000000"/>
                <w:sz w:val="20"/>
                <w:szCs w:val="20"/>
              </w:rPr>
            </w:pPr>
            <w:r>
              <w:rPr>
                <w:rFonts w:ascii="Times New Roman" w:hAnsi="Times New Roman"/>
                <w:b/>
                <w:bCs/>
                <w:color w:val="000000"/>
                <w:sz w:val="20"/>
                <w:szCs w:val="20"/>
              </w:rPr>
              <w:t>2015 г.</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left="-95" w:right="-80" w:firstLine="10"/>
              <w:jc w:val="center"/>
              <w:rPr>
                <w:rFonts w:ascii="Times New Roman" w:hAnsi="Times New Roman"/>
                <w:b/>
                <w:bCs/>
                <w:color w:val="000000"/>
                <w:sz w:val="20"/>
                <w:szCs w:val="20"/>
              </w:rPr>
            </w:pPr>
            <w:r>
              <w:rPr>
                <w:rFonts w:ascii="Times New Roman" w:hAnsi="Times New Roman"/>
                <w:b/>
                <w:bCs/>
                <w:color w:val="000000"/>
                <w:sz w:val="20"/>
                <w:szCs w:val="20"/>
              </w:rPr>
              <w:t>Темп роста* 2015 г. к 2014 г., %</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left="-142" w:right="-108" w:firstLine="34"/>
              <w:jc w:val="center"/>
              <w:rPr>
                <w:rFonts w:ascii="Times New Roman" w:hAnsi="Times New Roman"/>
                <w:b/>
                <w:bCs/>
                <w:color w:val="000000"/>
                <w:sz w:val="20"/>
                <w:szCs w:val="20"/>
              </w:rPr>
            </w:pPr>
            <w:r>
              <w:rPr>
                <w:rFonts w:ascii="Times New Roman" w:hAnsi="Times New Roman"/>
                <w:b/>
                <w:bCs/>
                <w:color w:val="000000"/>
                <w:sz w:val="20"/>
                <w:szCs w:val="20"/>
              </w:rPr>
              <w:t xml:space="preserve">Факт </w:t>
            </w:r>
          </w:p>
          <w:p w:rsidR="00EB0F10" w:rsidRDefault="00EB0F10" w:rsidP="008176B9">
            <w:pPr>
              <w:spacing w:after="0" w:line="240" w:lineRule="auto"/>
              <w:ind w:left="-142" w:right="-108" w:firstLine="34"/>
              <w:jc w:val="center"/>
              <w:rPr>
                <w:rFonts w:ascii="Times New Roman" w:hAnsi="Times New Roman"/>
                <w:b/>
                <w:bCs/>
                <w:color w:val="000000"/>
                <w:sz w:val="20"/>
                <w:szCs w:val="20"/>
              </w:rPr>
            </w:pPr>
            <w:r>
              <w:rPr>
                <w:rFonts w:ascii="Times New Roman" w:hAnsi="Times New Roman"/>
                <w:b/>
                <w:bCs/>
                <w:color w:val="000000"/>
                <w:sz w:val="20"/>
                <w:szCs w:val="20"/>
              </w:rPr>
              <w:t>2016 г.</w:t>
            </w:r>
          </w:p>
        </w:tc>
        <w:tc>
          <w:tcPr>
            <w:tcW w:w="848" w:type="dxa"/>
            <w:gridSpan w:val="2"/>
            <w:tcBorders>
              <w:top w:val="single" w:sz="4" w:space="0" w:color="auto"/>
              <w:left w:val="single" w:sz="4" w:space="0" w:color="auto"/>
              <w:bottom w:val="single" w:sz="4" w:space="0" w:color="auto"/>
              <w:right w:val="single" w:sz="4" w:space="0" w:color="auto"/>
            </w:tcBorders>
            <w:hideMark/>
          </w:tcPr>
          <w:p w:rsidR="00EB0F10" w:rsidRDefault="00EB0F10" w:rsidP="008176B9">
            <w:pPr>
              <w:spacing w:after="0" w:line="240" w:lineRule="auto"/>
              <w:ind w:left="-105" w:right="-111" w:hanging="62"/>
              <w:jc w:val="center"/>
              <w:rPr>
                <w:rFonts w:ascii="Times New Roman" w:hAnsi="Times New Roman"/>
                <w:b/>
                <w:bCs/>
                <w:color w:val="000000"/>
                <w:sz w:val="20"/>
                <w:szCs w:val="20"/>
              </w:rPr>
            </w:pPr>
            <w:r>
              <w:rPr>
                <w:rFonts w:ascii="Times New Roman" w:hAnsi="Times New Roman"/>
                <w:b/>
                <w:bCs/>
                <w:color w:val="000000"/>
                <w:sz w:val="20"/>
                <w:szCs w:val="20"/>
              </w:rPr>
              <w:t>Темп роста* 2016 г. к 2015 г., %</w:t>
            </w:r>
          </w:p>
        </w:tc>
      </w:tr>
      <w:tr w:rsidR="00EB0F10" w:rsidTr="008176B9">
        <w:trPr>
          <w:trHeight w:val="97"/>
        </w:trPr>
        <w:tc>
          <w:tcPr>
            <w:tcW w:w="4217"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991" w:type="dxa"/>
            <w:tcBorders>
              <w:top w:val="single" w:sz="4" w:space="0" w:color="auto"/>
              <w:left w:val="single" w:sz="4" w:space="0" w:color="auto"/>
              <w:bottom w:val="single" w:sz="4" w:space="0" w:color="auto"/>
              <w:right w:val="single" w:sz="4" w:space="0" w:color="auto"/>
            </w:tcBorders>
            <w:noWrap/>
            <w:vAlign w:val="center"/>
            <w:hideMark/>
          </w:tcPr>
          <w:p w:rsidR="00EB0F10" w:rsidRDefault="00EB0F10" w:rsidP="008176B9">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848" w:type="dxa"/>
            <w:gridSpan w:val="2"/>
            <w:tcBorders>
              <w:top w:val="single" w:sz="4" w:space="0" w:color="auto"/>
              <w:left w:val="single" w:sz="4" w:space="0" w:color="auto"/>
              <w:bottom w:val="single" w:sz="4" w:space="0" w:color="auto"/>
              <w:right w:val="single" w:sz="4" w:space="0" w:color="auto"/>
            </w:tcBorders>
            <w:hideMark/>
          </w:tcPr>
          <w:p w:rsidR="00EB0F10" w:rsidRDefault="00EB0F10" w:rsidP="008176B9">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7</w:t>
            </w:r>
          </w:p>
        </w:tc>
      </w:tr>
      <w:tr w:rsidR="00EB0F10" w:rsidTr="008176B9">
        <w:trPr>
          <w:trHeight w:val="225"/>
        </w:trPr>
        <w:tc>
          <w:tcPr>
            <w:tcW w:w="42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Валовой внутренний продукт</w:t>
            </w:r>
          </w:p>
        </w:tc>
        <w:tc>
          <w:tcPr>
            <w:tcW w:w="9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0"/>
              <w:jc w:val="right"/>
              <w:rPr>
                <w:rFonts w:ascii="Times New Roman" w:hAnsi="Times New Roman"/>
                <w:color w:val="000000"/>
                <w:sz w:val="20"/>
                <w:szCs w:val="20"/>
              </w:rPr>
            </w:pPr>
            <w:r>
              <w:rPr>
                <w:rFonts w:ascii="Times New Roman" w:hAnsi="Times New Roman"/>
                <w:color w:val="000000"/>
                <w:sz w:val="20"/>
                <w:szCs w:val="20"/>
              </w:rPr>
              <w:t>12 396,3</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9 653,3</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77,4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11 464,6</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114,5</w:t>
            </w:r>
          </w:p>
        </w:tc>
      </w:tr>
      <w:tr w:rsidR="00EB0F10" w:rsidTr="008176B9">
        <w:trPr>
          <w:trHeight w:val="272"/>
        </w:trPr>
        <w:tc>
          <w:tcPr>
            <w:tcW w:w="42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Валовой внутренний продукт</w:t>
            </w:r>
          </w:p>
        </w:tc>
        <w:tc>
          <w:tcPr>
            <w:tcW w:w="9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1 116,8</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869,7</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77,4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1 018,3</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112,9</w:t>
            </w:r>
          </w:p>
        </w:tc>
      </w:tr>
      <w:tr w:rsidR="00EB0F10" w:rsidTr="008176B9">
        <w:trPr>
          <w:trHeight w:val="409"/>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Объем промышленного производства (оценка)</w:t>
            </w:r>
            <w:r>
              <w:rPr>
                <w:rFonts w:ascii="Times New Roman" w:hAnsi="Times New Roman"/>
                <w:color w:val="000000"/>
                <w:sz w:val="20"/>
                <w:szCs w:val="20"/>
                <w:vertAlign w:val="superscript"/>
              </w:rPr>
              <w:t>1</w:t>
            </w:r>
            <w:r>
              <w:rPr>
                <w:rFonts w:ascii="Times New Roman" w:hAnsi="Times New Roman"/>
                <w:color w:val="000000"/>
                <w:sz w:val="20"/>
                <w:szCs w:val="20"/>
              </w:rPr>
              <w:t xml:space="preserve"> (в текущих ценах)</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jc w:val="right"/>
              <w:rPr>
                <w:rFonts w:ascii="Times New Roman" w:hAnsi="Times New Roman"/>
                <w:sz w:val="20"/>
                <w:szCs w:val="20"/>
              </w:rPr>
            </w:pPr>
            <w:r>
              <w:rPr>
                <w:rFonts w:ascii="Times New Roman" w:hAnsi="Times New Roman"/>
                <w:sz w:val="20"/>
                <w:szCs w:val="20"/>
              </w:rPr>
              <w:t>10 721,7</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9 067,5</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84,3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8 573,3</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90,1</w:t>
            </w:r>
          </w:p>
        </w:tc>
      </w:tr>
      <w:tr w:rsidR="00EB0F10" w:rsidTr="008176B9">
        <w:trPr>
          <w:trHeight w:val="359"/>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том числе по предприятия промышленности (в текущих ценах)</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jc w:val="right"/>
              <w:rPr>
                <w:rFonts w:ascii="Times New Roman" w:hAnsi="Times New Roman"/>
                <w:sz w:val="20"/>
                <w:szCs w:val="20"/>
              </w:rPr>
            </w:pPr>
            <w:r>
              <w:rPr>
                <w:rFonts w:ascii="Times New Roman" w:hAnsi="Times New Roman"/>
                <w:sz w:val="20"/>
                <w:szCs w:val="20"/>
              </w:rPr>
              <w:t>10 044,9</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8 517,0</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84,6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8 047,6</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89,5</w:t>
            </w:r>
          </w:p>
        </w:tc>
      </w:tr>
      <w:tr w:rsidR="00EB0F10" w:rsidTr="008176B9">
        <w:trPr>
          <w:trHeight w:val="324"/>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 xml:space="preserve">Объем промышленного производства по полному кругу предприятий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jc w:val="right"/>
              <w:rPr>
                <w:rFonts w:ascii="Times New Roman" w:hAnsi="Times New Roman"/>
                <w:sz w:val="20"/>
                <w:szCs w:val="20"/>
              </w:rPr>
            </w:pPr>
            <w:r>
              <w:rPr>
                <w:rFonts w:ascii="Times New Roman" w:hAnsi="Times New Roman"/>
                <w:sz w:val="20"/>
                <w:szCs w:val="20"/>
              </w:rPr>
              <w:t>965,9</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816,9</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84,3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761,5</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88,8</w:t>
            </w:r>
          </w:p>
        </w:tc>
      </w:tr>
      <w:tr w:rsidR="00EB0F10" w:rsidTr="008176B9">
        <w:trPr>
          <w:trHeight w:val="274"/>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 xml:space="preserve">в том числе по предприятия промышленности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jc w:val="right"/>
              <w:rPr>
                <w:rFonts w:ascii="Times New Roman" w:hAnsi="Times New Roman"/>
                <w:sz w:val="20"/>
                <w:szCs w:val="20"/>
              </w:rPr>
            </w:pPr>
            <w:r>
              <w:rPr>
                <w:rFonts w:ascii="Times New Roman" w:hAnsi="Times New Roman"/>
                <w:sz w:val="20"/>
                <w:szCs w:val="20"/>
              </w:rPr>
              <w:t>904,9</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767,3</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84,6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714,8</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88,2</w:t>
            </w:r>
          </w:p>
        </w:tc>
      </w:tr>
      <w:tr w:rsidR="00EB0F10" w:rsidTr="008176B9">
        <w:trPr>
          <w:trHeight w:val="419"/>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vertAlign w:val="superscript"/>
              </w:rPr>
            </w:pPr>
            <w:r>
              <w:rPr>
                <w:rFonts w:ascii="Times New Roman" w:hAnsi="Times New Roman"/>
                <w:color w:val="000000"/>
                <w:sz w:val="20"/>
                <w:szCs w:val="20"/>
              </w:rPr>
              <w:t>Объем сельскохозяйственного производства (в текущих ценах)</w:t>
            </w:r>
            <w:r>
              <w:rPr>
                <w:rFonts w:ascii="Times New Roman" w:hAnsi="Times New Roman"/>
                <w:color w:val="000000"/>
                <w:sz w:val="20"/>
                <w:szCs w:val="20"/>
                <w:vertAlign w:val="superscript"/>
              </w:rPr>
              <w:t>2</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jc w:val="right"/>
              <w:rPr>
                <w:rFonts w:ascii="Times New Roman" w:hAnsi="Times New Roman"/>
                <w:sz w:val="20"/>
                <w:szCs w:val="20"/>
              </w:rPr>
            </w:pPr>
            <w:r>
              <w:rPr>
                <w:rFonts w:ascii="Times New Roman" w:hAnsi="Times New Roman"/>
                <w:sz w:val="20"/>
                <w:szCs w:val="20"/>
              </w:rPr>
              <w:t>2 243,8</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2 037,1</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90,8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2 209,1</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108,6</w:t>
            </w:r>
          </w:p>
        </w:tc>
      </w:tr>
      <w:tr w:rsidR="00EB0F10" w:rsidTr="008176B9">
        <w:trPr>
          <w:trHeight w:val="186"/>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Объем сельскохозяйственного производства</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jc w:val="right"/>
              <w:rPr>
                <w:rFonts w:ascii="Times New Roman" w:hAnsi="Times New Roman"/>
                <w:sz w:val="20"/>
                <w:szCs w:val="20"/>
              </w:rPr>
            </w:pPr>
            <w:r>
              <w:rPr>
                <w:rFonts w:ascii="Times New Roman" w:hAnsi="Times New Roman"/>
                <w:sz w:val="20"/>
                <w:szCs w:val="20"/>
              </w:rPr>
              <w:t>202,1</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183,5</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90,8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196,2</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107,0</w:t>
            </w:r>
          </w:p>
        </w:tc>
      </w:tr>
      <w:tr w:rsidR="00EB0F10" w:rsidRPr="00502E7A" w:rsidTr="008176B9">
        <w:trPr>
          <w:trHeight w:val="361"/>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 xml:space="preserve">Объем перевозок грузов организациями автомобильного транспорта </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тыс. тонн</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jc w:val="right"/>
              <w:rPr>
                <w:rFonts w:ascii="Times New Roman" w:hAnsi="Times New Roman"/>
                <w:sz w:val="20"/>
                <w:szCs w:val="20"/>
              </w:rPr>
            </w:pPr>
            <w:r>
              <w:rPr>
                <w:rFonts w:ascii="Times New Roman" w:hAnsi="Times New Roman"/>
                <w:sz w:val="20"/>
                <w:szCs w:val="20"/>
              </w:rPr>
              <w:t>2 527,3</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2 104,5</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83,2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502E7A" w:rsidRDefault="00EB0F10" w:rsidP="008176B9">
            <w:pPr>
              <w:spacing w:after="0" w:line="240" w:lineRule="auto"/>
              <w:ind w:left="-142" w:firstLine="142"/>
              <w:jc w:val="right"/>
              <w:rPr>
                <w:rFonts w:ascii="Times New Roman" w:hAnsi="Times New Roman"/>
                <w:color w:val="000000"/>
                <w:sz w:val="20"/>
                <w:szCs w:val="20"/>
              </w:rPr>
            </w:pPr>
            <w:r w:rsidRPr="00502E7A">
              <w:rPr>
                <w:rFonts w:ascii="Times New Roman" w:hAnsi="Times New Roman"/>
                <w:sz w:val="20"/>
                <w:szCs w:val="20"/>
              </w:rPr>
              <w:t>2</w:t>
            </w:r>
            <w:r>
              <w:rPr>
                <w:rFonts w:ascii="Times New Roman" w:hAnsi="Times New Roman"/>
                <w:sz w:val="20"/>
                <w:szCs w:val="20"/>
              </w:rPr>
              <w:t> </w:t>
            </w:r>
            <w:r w:rsidRPr="00502E7A">
              <w:rPr>
                <w:rFonts w:ascii="Times New Roman" w:hAnsi="Times New Roman"/>
                <w:sz w:val="20"/>
                <w:szCs w:val="20"/>
              </w:rPr>
              <w:t>493</w:t>
            </w:r>
            <w:r>
              <w:rPr>
                <w:rFonts w:ascii="Times New Roman" w:hAnsi="Times New Roman"/>
                <w:sz w:val="20"/>
                <w:szCs w:val="20"/>
              </w:rPr>
              <w:t>,</w:t>
            </w:r>
            <w:r w:rsidRPr="00502E7A">
              <w:rPr>
                <w:rFonts w:ascii="Times New Roman" w:hAnsi="Times New Roman"/>
                <w:sz w:val="20"/>
                <w:szCs w:val="20"/>
              </w:rPr>
              <w:t>2</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Pr="00502E7A" w:rsidRDefault="00EB0F10" w:rsidP="008176B9">
            <w:pPr>
              <w:spacing w:after="0" w:line="240" w:lineRule="auto"/>
              <w:ind w:left="-142" w:firstLine="142"/>
              <w:jc w:val="right"/>
              <w:rPr>
                <w:rFonts w:ascii="Times New Roman" w:hAnsi="Times New Roman"/>
                <w:color w:val="000000"/>
                <w:sz w:val="20"/>
                <w:szCs w:val="20"/>
              </w:rPr>
            </w:pPr>
            <w:r w:rsidRPr="00502E7A">
              <w:rPr>
                <w:rFonts w:ascii="Times New Roman" w:hAnsi="Times New Roman"/>
                <w:sz w:val="20"/>
                <w:szCs w:val="20"/>
              </w:rPr>
              <w:t>118,5</w:t>
            </w:r>
          </w:p>
        </w:tc>
      </w:tr>
      <w:tr w:rsidR="00EB0F10" w:rsidTr="008176B9">
        <w:trPr>
          <w:trHeight w:val="750"/>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Инвестиции в основной капитал, с учетом оценки субъектов малого предпринимательства и индивидуальных застройщиков (в текущих ценах)</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jc w:val="right"/>
              <w:rPr>
                <w:rFonts w:ascii="Times New Roman" w:hAnsi="Times New Roman"/>
                <w:sz w:val="20"/>
                <w:szCs w:val="20"/>
              </w:rPr>
            </w:pPr>
            <w:r>
              <w:rPr>
                <w:rFonts w:ascii="Times New Roman" w:hAnsi="Times New Roman"/>
                <w:sz w:val="20"/>
                <w:szCs w:val="20"/>
              </w:rPr>
              <w:t>1 899,0</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1 660,5</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78,7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1 377,3</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82,8</w:t>
            </w:r>
          </w:p>
        </w:tc>
      </w:tr>
      <w:tr w:rsidR="00EB0F10" w:rsidTr="008176B9">
        <w:trPr>
          <w:trHeight w:val="476"/>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Ввод в действие жилых домов</w:t>
            </w:r>
          </w:p>
        </w:tc>
        <w:tc>
          <w:tcPr>
            <w:tcW w:w="991" w:type="dxa"/>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кв. м. общей площади</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jc w:val="right"/>
              <w:rPr>
                <w:rFonts w:ascii="Times New Roman" w:hAnsi="Times New Roman"/>
                <w:sz w:val="20"/>
                <w:szCs w:val="20"/>
              </w:rPr>
            </w:pPr>
            <w:r>
              <w:rPr>
                <w:rFonts w:ascii="Times New Roman" w:hAnsi="Times New Roman"/>
                <w:sz w:val="20"/>
                <w:szCs w:val="20"/>
              </w:rPr>
              <w:t>31 407,4</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27 714,9</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88,2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39 731,3</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143,4</w:t>
            </w:r>
          </w:p>
        </w:tc>
      </w:tr>
      <w:tr w:rsidR="00EB0F10" w:rsidTr="008176B9">
        <w:trPr>
          <w:trHeight w:val="647"/>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Общий объем розничного товарооборота + общественное питание и платные услуги населению</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jc w:val="right"/>
              <w:rPr>
                <w:rFonts w:ascii="Times New Roman" w:hAnsi="Times New Roman"/>
                <w:sz w:val="20"/>
                <w:szCs w:val="20"/>
              </w:rPr>
            </w:pPr>
            <w:r>
              <w:rPr>
                <w:rFonts w:ascii="Times New Roman" w:hAnsi="Times New Roman"/>
                <w:sz w:val="20"/>
                <w:szCs w:val="20"/>
              </w:rPr>
              <w:t>9 793,5</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7 729,5</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79,2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7 748,1</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100,6</w:t>
            </w:r>
          </w:p>
        </w:tc>
      </w:tr>
      <w:tr w:rsidR="00EB0F10" w:rsidTr="00EB0F10">
        <w:trPr>
          <w:trHeight w:val="522"/>
        </w:trPr>
        <w:tc>
          <w:tcPr>
            <w:tcW w:w="42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Розничный товарооборот +общественное питание</w:t>
            </w:r>
          </w:p>
        </w:tc>
        <w:tc>
          <w:tcPr>
            <w:tcW w:w="99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B0F10" w:rsidRDefault="00EB0F10" w:rsidP="008176B9">
            <w:pPr>
              <w:spacing w:after="0"/>
            </w:pP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 </w:t>
            </w:r>
          </w:p>
        </w:tc>
        <w:tc>
          <w:tcPr>
            <w:tcW w:w="996"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rsidR="00EB0F10" w:rsidRDefault="00EB0F10" w:rsidP="008176B9">
            <w:pPr>
              <w:spacing w:after="0" w:line="240" w:lineRule="auto"/>
              <w:ind w:left="-142" w:firstLine="142"/>
              <w:jc w:val="right"/>
              <w:rPr>
                <w:rFonts w:ascii="Times New Roman" w:hAnsi="Times New Roman"/>
                <w:color w:val="000000"/>
                <w:sz w:val="20"/>
                <w:szCs w:val="20"/>
              </w:rPr>
            </w:pPr>
          </w:p>
        </w:tc>
      </w:tr>
      <w:tr w:rsidR="00EB0F10" w:rsidRPr="002919C7" w:rsidTr="008176B9">
        <w:trPr>
          <w:trHeight w:val="284"/>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текущих ценах</w:t>
            </w:r>
          </w:p>
        </w:tc>
        <w:tc>
          <w:tcPr>
            <w:tcW w:w="991" w:type="dxa"/>
            <w:tcBorders>
              <w:top w:val="single" w:sz="4" w:space="0" w:color="auto"/>
              <w:left w:val="single" w:sz="4" w:space="0" w:color="auto"/>
              <w:bottom w:val="single" w:sz="4" w:space="0" w:color="auto"/>
              <w:right w:val="single" w:sz="4" w:space="0" w:color="auto"/>
            </w:tcBorders>
            <w:noWrap/>
            <w:vAlign w:val="center"/>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jc w:val="right"/>
              <w:rPr>
                <w:rFonts w:ascii="Times New Roman" w:hAnsi="Times New Roman"/>
                <w:sz w:val="20"/>
                <w:szCs w:val="20"/>
              </w:rPr>
            </w:pPr>
            <w:r>
              <w:rPr>
                <w:rFonts w:ascii="Times New Roman" w:hAnsi="Times New Roman"/>
                <w:sz w:val="20"/>
                <w:szCs w:val="20"/>
              </w:rPr>
              <w:t>7 580,8</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5 555,2</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73,6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5 546,1</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Pr="002919C7" w:rsidRDefault="00EB0F10" w:rsidP="008176B9">
            <w:pPr>
              <w:spacing w:after="0" w:line="240" w:lineRule="auto"/>
              <w:ind w:left="-142" w:firstLine="142"/>
              <w:jc w:val="right"/>
              <w:rPr>
                <w:rFonts w:ascii="Times New Roman" w:hAnsi="Times New Roman"/>
                <w:color w:val="000000"/>
                <w:sz w:val="20"/>
                <w:szCs w:val="20"/>
                <w:highlight w:val="yellow"/>
              </w:rPr>
            </w:pPr>
            <w:r w:rsidRPr="00411DF7">
              <w:rPr>
                <w:rFonts w:ascii="Times New Roman" w:hAnsi="Times New Roman"/>
                <w:color w:val="000000"/>
                <w:sz w:val="20"/>
                <w:szCs w:val="20"/>
              </w:rPr>
              <w:t>100,3</w:t>
            </w:r>
          </w:p>
        </w:tc>
      </w:tr>
      <w:tr w:rsidR="00EB0F10" w:rsidTr="00DB6B5C">
        <w:trPr>
          <w:trHeight w:val="281"/>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сопоставимых ценах</w:t>
            </w:r>
          </w:p>
        </w:tc>
        <w:tc>
          <w:tcPr>
            <w:tcW w:w="991" w:type="dxa"/>
            <w:tcBorders>
              <w:top w:val="single" w:sz="4" w:space="0" w:color="auto"/>
              <w:left w:val="single" w:sz="4" w:space="0" w:color="auto"/>
              <w:bottom w:val="single" w:sz="4" w:space="0" w:color="auto"/>
              <w:right w:val="single" w:sz="4" w:space="0" w:color="auto"/>
            </w:tcBorders>
            <w:noWrap/>
            <w:vAlign w:val="center"/>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jc w:val="right"/>
              <w:rPr>
                <w:rFonts w:ascii="Times New Roman" w:hAnsi="Times New Roman"/>
                <w:sz w:val="20"/>
                <w:szCs w:val="20"/>
              </w:rPr>
            </w:pPr>
            <w:r>
              <w:rPr>
                <w:rFonts w:ascii="Times New Roman" w:hAnsi="Times New Roman"/>
                <w:sz w:val="20"/>
                <w:szCs w:val="20"/>
              </w:rPr>
              <w:t>95,8</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76,0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EB0F10" w:rsidRDefault="00EB0F10" w:rsidP="008176B9">
            <w:pPr>
              <w:spacing w:after="0" w:line="240" w:lineRule="auto"/>
              <w:ind w:left="-142" w:firstLine="142"/>
              <w:jc w:val="center"/>
              <w:rPr>
                <w:rFonts w:ascii="Times New Roman" w:hAnsi="Times New Roman"/>
                <w:color w:val="000000"/>
                <w:sz w:val="20"/>
                <w:szCs w:val="20"/>
              </w:rPr>
            </w:pPr>
            <w:r>
              <w:rPr>
                <w:rFonts w:ascii="Times New Roman" w:hAnsi="Times New Roman"/>
                <w:sz w:val="20"/>
                <w:szCs w:val="20"/>
              </w:rPr>
              <w:t>х</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99,4</w:t>
            </w:r>
          </w:p>
        </w:tc>
        <w:tc>
          <w:tcPr>
            <w:tcW w:w="848" w:type="dxa"/>
            <w:gridSpan w:val="2"/>
            <w:tcBorders>
              <w:top w:val="single" w:sz="4" w:space="0" w:color="auto"/>
              <w:left w:val="single" w:sz="4" w:space="0" w:color="auto"/>
              <w:bottom w:val="single" w:sz="4" w:space="0" w:color="auto"/>
              <w:right w:val="single" w:sz="4" w:space="0" w:color="auto"/>
            </w:tcBorders>
            <w:hideMark/>
          </w:tcPr>
          <w:p w:rsidR="00EB0F10" w:rsidRDefault="00EB0F10" w:rsidP="008176B9">
            <w:pPr>
              <w:spacing w:after="0" w:line="240" w:lineRule="auto"/>
              <w:ind w:left="-142" w:firstLine="142"/>
              <w:jc w:val="center"/>
              <w:rPr>
                <w:rFonts w:ascii="Times New Roman" w:hAnsi="Times New Roman"/>
                <w:color w:val="000000"/>
                <w:sz w:val="20"/>
                <w:szCs w:val="20"/>
              </w:rPr>
            </w:pPr>
            <w:r>
              <w:rPr>
                <w:rFonts w:ascii="Times New Roman" w:hAnsi="Times New Roman"/>
                <w:sz w:val="20"/>
                <w:szCs w:val="20"/>
              </w:rPr>
              <w:t>х</w:t>
            </w:r>
          </w:p>
        </w:tc>
      </w:tr>
      <w:tr w:rsidR="00EB0F10" w:rsidTr="008176B9">
        <w:trPr>
          <w:trHeight w:val="270"/>
        </w:trPr>
        <w:tc>
          <w:tcPr>
            <w:tcW w:w="42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Объем платных услуг</w:t>
            </w:r>
          </w:p>
        </w:tc>
        <w:tc>
          <w:tcPr>
            <w:tcW w:w="99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B0F10" w:rsidRDefault="00EB0F10" w:rsidP="008176B9">
            <w:pPr>
              <w:spacing w:after="0"/>
            </w:pP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 </w:t>
            </w:r>
          </w:p>
        </w:tc>
        <w:tc>
          <w:tcPr>
            <w:tcW w:w="996"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rsidR="00EB0F10" w:rsidRDefault="00EB0F10" w:rsidP="008176B9">
            <w:pPr>
              <w:spacing w:after="0" w:line="240" w:lineRule="auto"/>
              <w:ind w:left="-142" w:firstLine="142"/>
              <w:jc w:val="right"/>
              <w:rPr>
                <w:rFonts w:ascii="Times New Roman" w:hAnsi="Times New Roman"/>
                <w:color w:val="000000"/>
                <w:sz w:val="20"/>
                <w:szCs w:val="20"/>
              </w:rPr>
            </w:pPr>
          </w:p>
        </w:tc>
      </w:tr>
      <w:tr w:rsidR="00EB0F10" w:rsidTr="008176B9">
        <w:trPr>
          <w:trHeight w:val="225"/>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текущих ценах</w:t>
            </w:r>
          </w:p>
        </w:tc>
        <w:tc>
          <w:tcPr>
            <w:tcW w:w="991" w:type="dxa"/>
            <w:tcBorders>
              <w:top w:val="single" w:sz="4" w:space="0" w:color="auto"/>
              <w:left w:val="single" w:sz="4" w:space="0" w:color="auto"/>
              <w:bottom w:val="single" w:sz="4" w:space="0" w:color="auto"/>
              <w:right w:val="single" w:sz="4" w:space="0" w:color="auto"/>
            </w:tcBorders>
            <w:noWrap/>
            <w:vAlign w:val="center"/>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jc w:val="right"/>
              <w:rPr>
                <w:rFonts w:ascii="Times New Roman" w:hAnsi="Times New Roman"/>
                <w:sz w:val="20"/>
                <w:szCs w:val="20"/>
              </w:rPr>
            </w:pPr>
            <w:r>
              <w:rPr>
                <w:rFonts w:ascii="Times New Roman" w:hAnsi="Times New Roman"/>
                <w:sz w:val="20"/>
                <w:szCs w:val="20"/>
              </w:rPr>
              <w:t>2 212,7</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2 174,3</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98,4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2 201,9</w:t>
            </w:r>
          </w:p>
        </w:tc>
        <w:tc>
          <w:tcPr>
            <w:tcW w:w="848" w:type="dxa"/>
            <w:gridSpan w:val="2"/>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101,5</w:t>
            </w:r>
          </w:p>
        </w:tc>
      </w:tr>
      <w:tr w:rsidR="00EB0F10" w:rsidTr="008176B9">
        <w:trPr>
          <w:trHeight w:val="270"/>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сопоставимых ценах</w:t>
            </w:r>
          </w:p>
        </w:tc>
        <w:tc>
          <w:tcPr>
            <w:tcW w:w="991" w:type="dxa"/>
            <w:tcBorders>
              <w:top w:val="single" w:sz="4" w:space="0" w:color="auto"/>
              <w:left w:val="single" w:sz="4" w:space="0" w:color="auto"/>
              <w:bottom w:val="single" w:sz="4" w:space="0" w:color="auto"/>
              <w:right w:val="single" w:sz="4" w:space="0" w:color="auto"/>
            </w:tcBorders>
            <w:noWrap/>
            <w:vAlign w:val="center"/>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jc w:val="right"/>
              <w:rPr>
                <w:rFonts w:ascii="Times New Roman" w:hAnsi="Times New Roman"/>
                <w:sz w:val="20"/>
                <w:szCs w:val="20"/>
              </w:rPr>
            </w:pPr>
            <w:r>
              <w:rPr>
                <w:rFonts w:ascii="Times New Roman" w:hAnsi="Times New Roman"/>
                <w:sz w:val="20"/>
                <w:szCs w:val="20"/>
              </w:rPr>
              <w:t>102,6</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91,4</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center"/>
              <w:rPr>
                <w:rFonts w:ascii="Times New Roman" w:hAnsi="Times New Roman"/>
                <w:color w:val="000000"/>
                <w:sz w:val="20"/>
                <w:szCs w:val="20"/>
              </w:rPr>
            </w:pPr>
            <w:r>
              <w:rPr>
                <w:rFonts w:ascii="Times New Roman" w:hAnsi="Times New Roman"/>
                <w:sz w:val="20"/>
                <w:szCs w:val="20"/>
              </w:rPr>
              <w:t>х</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101,0</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center"/>
              <w:rPr>
                <w:rFonts w:ascii="Times New Roman" w:hAnsi="Times New Roman"/>
                <w:color w:val="000000"/>
                <w:sz w:val="20"/>
                <w:szCs w:val="20"/>
              </w:rPr>
            </w:pPr>
            <w:r>
              <w:rPr>
                <w:rFonts w:ascii="Times New Roman" w:hAnsi="Times New Roman"/>
                <w:sz w:val="20"/>
                <w:szCs w:val="20"/>
              </w:rPr>
              <w:t>х</w:t>
            </w:r>
          </w:p>
        </w:tc>
      </w:tr>
      <w:tr w:rsidR="00EB0F10" w:rsidTr="008176B9">
        <w:trPr>
          <w:trHeight w:val="283"/>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Внешнеторговый оборот</w:t>
            </w:r>
          </w:p>
        </w:tc>
        <w:tc>
          <w:tcPr>
            <w:tcW w:w="991" w:type="dxa"/>
            <w:tcBorders>
              <w:top w:val="single" w:sz="4" w:space="0" w:color="auto"/>
              <w:left w:val="single" w:sz="4" w:space="0" w:color="auto"/>
              <w:bottom w:val="single" w:sz="4" w:space="0" w:color="auto"/>
              <w:right w:val="single" w:sz="4" w:space="0" w:color="auto"/>
            </w:tcBorders>
            <w:noWrap/>
            <w:vAlign w:val="center"/>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jc w:val="right"/>
              <w:rPr>
                <w:rFonts w:ascii="Times New Roman" w:hAnsi="Times New Roman"/>
                <w:sz w:val="20"/>
                <w:szCs w:val="20"/>
              </w:rPr>
            </w:pPr>
            <w:r>
              <w:rPr>
                <w:rFonts w:ascii="Times New Roman" w:hAnsi="Times New Roman"/>
                <w:sz w:val="20"/>
                <w:szCs w:val="20"/>
              </w:rPr>
              <w:t>2 350,8</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1 749,4</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74,4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1 388,2</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79,4</w:t>
            </w:r>
          </w:p>
        </w:tc>
      </w:tr>
      <w:tr w:rsidR="00EB0F10" w:rsidTr="008176B9">
        <w:trPr>
          <w:trHeight w:val="285"/>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Экспорт товаров</w:t>
            </w:r>
          </w:p>
        </w:tc>
        <w:tc>
          <w:tcPr>
            <w:tcW w:w="991" w:type="dxa"/>
            <w:tcBorders>
              <w:top w:val="single" w:sz="4" w:space="0" w:color="auto"/>
              <w:left w:val="single" w:sz="4" w:space="0" w:color="auto"/>
              <w:bottom w:val="single" w:sz="4" w:space="0" w:color="auto"/>
              <w:right w:val="single" w:sz="4" w:space="0" w:color="auto"/>
            </w:tcBorders>
            <w:noWrap/>
            <w:vAlign w:val="center"/>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jc w:val="right"/>
              <w:rPr>
                <w:rFonts w:ascii="Times New Roman" w:hAnsi="Times New Roman"/>
                <w:sz w:val="20"/>
                <w:szCs w:val="20"/>
              </w:rPr>
            </w:pPr>
            <w:r>
              <w:rPr>
                <w:rFonts w:ascii="Times New Roman" w:hAnsi="Times New Roman"/>
                <w:sz w:val="20"/>
                <w:szCs w:val="20"/>
              </w:rPr>
              <w:t>715,9</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611,0</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85,3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530,4</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86,8</w:t>
            </w:r>
          </w:p>
        </w:tc>
      </w:tr>
      <w:tr w:rsidR="00EB0F10" w:rsidTr="008176B9">
        <w:trPr>
          <w:trHeight w:val="255"/>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Импорт товаров</w:t>
            </w:r>
          </w:p>
        </w:tc>
        <w:tc>
          <w:tcPr>
            <w:tcW w:w="991" w:type="dxa"/>
            <w:tcBorders>
              <w:top w:val="single" w:sz="4" w:space="0" w:color="auto"/>
              <w:left w:val="single" w:sz="4" w:space="0" w:color="auto"/>
              <w:bottom w:val="single" w:sz="4" w:space="0" w:color="auto"/>
              <w:right w:val="single" w:sz="4" w:space="0" w:color="auto"/>
            </w:tcBorders>
            <w:noWrap/>
            <w:vAlign w:val="center"/>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jc w:val="right"/>
              <w:rPr>
                <w:rFonts w:ascii="Times New Roman" w:hAnsi="Times New Roman"/>
                <w:sz w:val="20"/>
                <w:szCs w:val="20"/>
              </w:rPr>
            </w:pPr>
            <w:r>
              <w:rPr>
                <w:rFonts w:ascii="Times New Roman" w:hAnsi="Times New Roman"/>
                <w:sz w:val="20"/>
                <w:szCs w:val="20"/>
              </w:rPr>
              <w:t>1 634,9</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1 138,4</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69,6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857,8</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75,4</w:t>
            </w:r>
          </w:p>
        </w:tc>
      </w:tr>
      <w:tr w:rsidR="00EB0F10" w:rsidTr="008176B9">
        <w:trPr>
          <w:trHeight w:val="157"/>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Сальдо внешнеторгового оборота (+;-)</w:t>
            </w:r>
          </w:p>
        </w:tc>
        <w:tc>
          <w:tcPr>
            <w:tcW w:w="991" w:type="dxa"/>
            <w:tcBorders>
              <w:top w:val="single" w:sz="4" w:space="0" w:color="auto"/>
              <w:left w:val="single" w:sz="4" w:space="0" w:color="auto"/>
              <w:bottom w:val="single" w:sz="4" w:space="0" w:color="auto"/>
              <w:right w:val="single" w:sz="4" w:space="0" w:color="auto"/>
            </w:tcBorders>
            <w:noWrap/>
            <w:vAlign w:val="center"/>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jc w:val="right"/>
              <w:rPr>
                <w:rFonts w:ascii="Times New Roman" w:hAnsi="Times New Roman"/>
                <w:sz w:val="20"/>
                <w:szCs w:val="20"/>
              </w:rPr>
            </w:pPr>
            <w:r>
              <w:rPr>
                <w:rFonts w:ascii="Times New Roman" w:hAnsi="Times New Roman"/>
                <w:sz w:val="20"/>
                <w:szCs w:val="20"/>
              </w:rPr>
              <w:t>-919,0</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-527,4</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center"/>
              <w:rPr>
                <w:rFonts w:ascii="Times New Roman" w:hAnsi="Times New Roman"/>
                <w:color w:val="000000"/>
                <w:sz w:val="20"/>
                <w:szCs w:val="20"/>
              </w:rPr>
            </w:pPr>
            <w:r>
              <w:rPr>
                <w:rFonts w:ascii="Times New Roman" w:hAnsi="Times New Roman"/>
                <w:sz w:val="20"/>
                <w:szCs w:val="20"/>
              </w:rPr>
              <w:t>х</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-327,4</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center"/>
              <w:rPr>
                <w:rFonts w:ascii="Times New Roman" w:hAnsi="Times New Roman"/>
                <w:color w:val="000000"/>
                <w:sz w:val="20"/>
                <w:szCs w:val="20"/>
              </w:rPr>
            </w:pPr>
            <w:r>
              <w:rPr>
                <w:rFonts w:ascii="Times New Roman" w:hAnsi="Times New Roman"/>
                <w:sz w:val="20"/>
                <w:szCs w:val="20"/>
              </w:rPr>
              <w:t>х</w:t>
            </w:r>
          </w:p>
        </w:tc>
      </w:tr>
      <w:tr w:rsidR="00EB0F10" w:rsidTr="008176B9">
        <w:trPr>
          <w:trHeight w:val="322"/>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Фонд заработной платы, включая субъекты предпринимательства (оценка)</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Pr="002C12E1" w:rsidRDefault="00EB0F10" w:rsidP="008176B9">
            <w:pPr>
              <w:spacing w:after="0" w:line="240" w:lineRule="auto"/>
              <w:jc w:val="right"/>
              <w:rPr>
                <w:rFonts w:ascii="Times New Roman" w:hAnsi="Times New Roman"/>
                <w:sz w:val="20"/>
                <w:szCs w:val="20"/>
              </w:rPr>
            </w:pPr>
            <w:r w:rsidRPr="002C12E1">
              <w:rPr>
                <w:rFonts w:ascii="Times New Roman" w:hAnsi="Times New Roman"/>
                <w:sz w:val="20"/>
                <w:szCs w:val="20"/>
              </w:rPr>
              <w:t>5 092,2</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4 667,1</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91,8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4 521,7</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97,0</w:t>
            </w:r>
          </w:p>
        </w:tc>
      </w:tr>
      <w:tr w:rsidR="00EB0F10" w:rsidTr="008176B9">
        <w:trPr>
          <w:trHeight w:val="257"/>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Фонд заработной платы</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Pr="002C12E1" w:rsidRDefault="00EB0F10" w:rsidP="008176B9">
            <w:pPr>
              <w:spacing w:after="0" w:line="240" w:lineRule="auto"/>
              <w:jc w:val="right"/>
              <w:rPr>
                <w:rFonts w:ascii="Times New Roman" w:hAnsi="Times New Roman"/>
                <w:sz w:val="20"/>
                <w:szCs w:val="20"/>
              </w:rPr>
            </w:pPr>
            <w:r w:rsidRPr="002C12E1">
              <w:rPr>
                <w:rFonts w:ascii="Times New Roman" w:hAnsi="Times New Roman"/>
                <w:sz w:val="20"/>
                <w:szCs w:val="20"/>
              </w:rPr>
              <w:t>4 556,2</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4 155,2</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91,7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4 061,1</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97,9</w:t>
            </w:r>
          </w:p>
        </w:tc>
      </w:tr>
      <w:tr w:rsidR="00EB0F10" w:rsidTr="008176B9">
        <w:trPr>
          <w:trHeight w:val="715"/>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Среднесписочная численность работающих, включая субъекты предпринимательства (оценка)</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тыс. чел.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Pr="002C12E1" w:rsidRDefault="00EB0F10" w:rsidP="008176B9">
            <w:pPr>
              <w:spacing w:after="0" w:line="240" w:lineRule="auto"/>
              <w:jc w:val="right"/>
              <w:rPr>
                <w:rFonts w:ascii="Times New Roman" w:hAnsi="Times New Roman"/>
                <w:sz w:val="20"/>
                <w:szCs w:val="20"/>
              </w:rPr>
            </w:pPr>
            <w:r w:rsidRPr="002C12E1">
              <w:rPr>
                <w:rFonts w:ascii="Times New Roman" w:hAnsi="Times New Roman"/>
                <w:sz w:val="20"/>
                <w:szCs w:val="20"/>
              </w:rPr>
              <w:t>122,8</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2C12E1" w:rsidRDefault="00EB0F10" w:rsidP="008176B9">
            <w:pPr>
              <w:spacing w:after="0" w:line="240" w:lineRule="auto"/>
              <w:ind w:left="-142" w:firstLine="142"/>
              <w:jc w:val="right"/>
              <w:rPr>
                <w:rFonts w:ascii="Times New Roman" w:hAnsi="Times New Roman"/>
                <w:sz w:val="20"/>
                <w:szCs w:val="20"/>
              </w:rPr>
            </w:pPr>
            <w:r w:rsidRPr="002C12E1">
              <w:rPr>
                <w:rFonts w:ascii="Times New Roman" w:hAnsi="Times New Roman"/>
                <w:sz w:val="20"/>
                <w:szCs w:val="20"/>
              </w:rPr>
              <w:t>118,8</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97,1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115,3</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97,5</w:t>
            </w:r>
          </w:p>
        </w:tc>
      </w:tr>
      <w:tr w:rsidR="00EB0F10" w:rsidTr="008176B9">
        <w:trPr>
          <w:trHeight w:val="309"/>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Среднемесячная заработная плата, включая субъекты предпринимательства (оценка)</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Pr="002C12E1" w:rsidRDefault="00EB0F10" w:rsidP="008176B9">
            <w:pPr>
              <w:spacing w:after="0" w:line="240" w:lineRule="auto"/>
              <w:jc w:val="right"/>
              <w:rPr>
                <w:rFonts w:ascii="Times New Roman" w:hAnsi="Times New Roman"/>
                <w:sz w:val="20"/>
                <w:szCs w:val="20"/>
              </w:rPr>
            </w:pPr>
            <w:r w:rsidRPr="002C12E1">
              <w:rPr>
                <w:rFonts w:ascii="Times New Roman" w:hAnsi="Times New Roman"/>
                <w:sz w:val="20"/>
                <w:szCs w:val="20"/>
              </w:rPr>
              <w:t>3 947</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2C12E1" w:rsidRDefault="00EB0F10" w:rsidP="008176B9">
            <w:pPr>
              <w:spacing w:after="0" w:line="240" w:lineRule="auto"/>
              <w:ind w:left="-142" w:firstLine="142"/>
              <w:jc w:val="right"/>
              <w:rPr>
                <w:rFonts w:ascii="Times New Roman" w:hAnsi="Times New Roman"/>
                <w:sz w:val="20"/>
                <w:szCs w:val="20"/>
              </w:rPr>
            </w:pPr>
            <w:r w:rsidRPr="002C12E1">
              <w:rPr>
                <w:rFonts w:ascii="Times New Roman" w:hAnsi="Times New Roman"/>
                <w:sz w:val="20"/>
                <w:szCs w:val="20"/>
              </w:rPr>
              <w:t>3 805</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96,5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3 786</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99,4</w:t>
            </w:r>
          </w:p>
        </w:tc>
      </w:tr>
      <w:tr w:rsidR="00EB0F10" w:rsidTr="008176B9">
        <w:trPr>
          <w:trHeight w:val="574"/>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vertAlign w:val="superscript"/>
              </w:rPr>
            </w:pPr>
            <w:r>
              <w:rPr>
                <w:rFonts w:ascii="Times New Roman" w:hAnsi="Times New Roman"/>
                <w:color w:val="000000"/>
                <w:sz w:val="20"/>
                <w:szCs w:val="20"/>
              </w:rPr>
              <w:t>Среднемесячная заработная плата одного работника</w:t>
            </w:r>
            <w:r>
              <w:rPr>
                <w:rFonts w:ascii="Times New Roman" w:hAnsi="Times New Roman"/>
                <w:color w:val="000000"/>
                <w:sz w:val="20"/>
                <w:szCs w:val="20"/>
                <w:vertAlign w:val="superscript"/>
              </w:rPr>
              <w:t>3</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jc w:val="right"/>
              <w:rPr>
                <w:rFonts w:ascii="Times New Roman" w:hAnsi="Times New Roman"/>
                <w:sz w:val="20"/>
                <w:szCs w:val="20"/>
              </w:rPr>
            </w:pPr>
            <w:r>
              <w:rPr>
                <w:rFonts w:ascii="Times New Roman" w:hAnsi="Times New Roman"/>
                <w:sz w:val="20"/>
                <w:szCs w:val="20"/>
              </w:rPr>
              <w:t>4 039</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3 865</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95,8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3 844</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99,4</w:t>
            </w:r>
          </w:p>
        </w:tc>
      </w:tr>
      <w:tr w:rsidR="00EB0F10" w:rsidTr="008176B9">
        <w:trPr>
          <w:trHeight w:val="554"/>
        </w:trPr>
        <w:tc>
          <w:tcPr>
            <w:tcW w:w="4217" w:type="dxa"/>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Среднемесячная заработная плата одного работника</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jc w:val="right"/>
              <w:rPr>
                <w:rFonts w:ascii="Times New Roman" w:hAnsi="Times New Roman"/>
                <w:sz w:val="20"/>
                <w:szCs w:val="20"/>
              </w:rPr>
            </w:pPr>
            <w:r>
              <w:rPr>
                <w:rFonts w:ascii="Times New Roman" w:hAnsi="Times New Roman"/>
                <w:sz w:val="20"/>
                <w:szCs w:val="20"/>
              </w:rPr>
              <w:t>363,9</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348,2</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95,8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341,4</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98,0</w:t>
            </w:r>
          </w:p>
        </w:tc>
      </w:tr>
      <w:tr w:rsidR="00EB0F10" w:rsidTr="008176B9">
        <w:trPr>
          <w:trHeight w:val="70"/>
        </w:trPr>
        <w:tc>
          <w:tcPr>
            <w:tcW w:w="4217" w:type="dxa"/>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right="-108"/>
              <w:jc w:val="center"/>
              <w:rPr>
                <w:rFonts w:ascii="Times New Roman" w:hAnsi="Times New Roman"/>
                <w:b/>
                <w:bCs/>
                <w:color w:val="000000"/>
                <w:sz w:val="20"/>
                <w:szCs w:val="20"/>
              </w:rPr>
            </w:pPr>
            <w:r>
              <w:rPr>
                <w:rFonts w:ascii="Times New Roman" w:hAnsi="Times New Roman"/>
                <w:b/>
                <w:bCs/>
                <w:color w:val="000000"/>
                <w:sz w:val="20"/>
                <w:szCs w:val="20"/>
              </w:rPr>
              <w:lastRenderedPageBreak/>
              <w:t>1</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Default="009F1CB8" w:rsidP="008176B9">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9F1CB8" w:rsidP="008176B9">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EB0F10" w:rsidRDefault="009F1CB8" w:rsidP="008176B9">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9F1CB8" w:rsidP="008176B9">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848" w:type="dxa"/>
            <w:gridSpan w:val="2"/>
            <w:tcBorders>
              <w:top w:val="single" w:sz="4" w:space="0" w:color="auto"/>
              <w:left w:val="single" w:sz="4" w:space="0" w:color="auto"/>
              <w:bottom w:val="single" w:sz="4" w:space="0" w:color="auto"/>
              <w:right w:val="single" w:sz="4" w:space="0" w:color="auto"/>
            </w:tcBorders>
            <w:hideMark/>
          </w:tcPr>
          <w:p w:rsidR="00EB0F10" w:rsidRDefault="009F1CB8" w:rsidP="008176B9">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7</w:t>
            </w:r>
          </w:p>
        </w:tc>
      </w:tr>
      <w:tr w:rsidR="00EB0F10" w:rsidRPr="002919C7" w:rsidTr="008176B9">
        <w:trPr>
          <w:trHeight w:val="454"/>
        </w:trPr>
        <w:tc>
          <w:tcPr>
            <w:tcW w:w="4217" w:type="dxa"/>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Сводный индекс потребительских цен (инфляция)</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ind w:left="-142" w:firstLine="142"/>
              <w:jc w:val="right"/>
              <w:rPr>
                <w:rFonts w:ascii="Times New Roman" w:hAnsi="Times New Roman"/>
                <w:sz w:val="20"/>
                <w:szCs w:val="20"/>
                <w:vertAlign w:val="superscript"/>
              </w:rPr>
            </w:pPr>
            <w:r w:rsidRPr="00933EC9">
              <w:rPr>
                <w:rFonts w:ascii="Times New Roman" w:hAnsi="Times New Roman"/>
                <w:sz w:val="20"/>
                <w:szCs w:val="20"/>
              </w:rPr>
              <w:t>100,98</w:t>
            </w:r>
            <w:r w:rsidRPr="00933EC9">
              <w:rPr>
                <w:rFonts w:ascii="Times New Roman" w:hAnsi="Times New Roman"/>
                <w:sz w:val="20"/>
                <w:szCs w:val="20"/>
                <w:vertAlign w:val="superscript"/>
              </w:rPr>
              <w:t>4</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ind w:left="-142" w:firstLine="142"/>
              <w:jc w:val="right"/>
              <w:rPr>
                <w:rFonts w:ascii="Times New Roman" w:hAnsi="Times New Roman"/>
                <w:sz w:val="20"/>
                <w:szCs w:val="20"/>
                <w:vertAlign w:val="superscript"/>
              </w:rPr>
            </w:pPr>
            <w:r w:rsidRPr="00933EC9">
              <w:rPr>
                <w:rFonts w:ascii="Times New Roman" w:hAnsi="Times New Roman"/>
                <w:sz w:val="20"/>
                <w:szCs w:val="20"/>
              </w:rPr>
              <w:t>98,23</w:t>
            </w:r>
            <w:r w:rsidRPr="00933EC9">
              <w:rPr>
                <w:rFonts w:ascii="Times New Roman" w:hAnsi="Times New Roman"/>
                <w:sz w:val="20"/>
                <w:szCs w:val="20"/>
                <w:vertAlign w:val="superscript"/>
              </w:rPr>
              <w:t>4</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100,98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2919C7" w:rsidRDefault="00EB0F10" w:rsidP="008176B9">
            <w:pPr>
              <w:spacing w:after="0" w:line="240" w:lineRule="auto"/>
              <w:ind w:left="-142" w:firstLine="142"/>
              <w:jc w:val="right"/>
              <w:rPr>
                <w:rFonts w:ascii="Times New Roman" w:hAnsi="Times New Roman"/>
                <w:color w:val="000000"/>
                <w:sz w:val="20"/>
                <w:szCs w:val="20"/>
                <w:vertAlign w:val="superscript"/>
              </w:rPr>
            </w:pPr>
            <w:r w:rsidRPr="002919C7">
              <w:rPr>
                <w:rFonts w:ascii="Times New Roman" w:hAnsi="Times New Roman"/>
                <w:color w:val="000000"/>
                <w:sz w:val="20"/>
                <w:szCs w:val="20"/>
              </w:rPr>
              <w:t>101,44</w:t>
            </w:r>
            <w:r>
              <w:rPr>
                <w:rFonts w:ascii="Times New Roman" w:hAnsi="Times New Roman"/>
                <w:color w:val="000000"/>
                <w:sz w:val="20"/>
                <w:szCs w:val="20"/>
                <w:vertAlign w:val="superscript"/>
              </w:rPr>
              <w:t>4</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Pr="002919C7"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100,97</w:t>
            </w:r>
          </w:p>
        </w:tc>
      </w:tr>
      <w:tr w:rsidR="00EB0F10" w:rsidRPr="002919C7" w:rsidTr="008176B9">
        <w:trPr>
          <w:trHeight w:val="525"/>
        </w:trPr>
        <w:tc>
          <w:tcPr>
            <w:tcW w:w="4217" w:type="dxa"/>
            <w:tcBorders>
              <w:top w:val="single" w:sz="4" w:space="0" w:color="auto"/>
              <w:left w:val="single" w:sz="4" w:space="0" w:color="auto"/>
              <w:bottom w:val="single" w:sz="4" w:space="0" w:color="auto"/>
              <w:right w:val="single" w:sz="4" w:space="0" w:color="auto"/>
            </w:tcBorders>
            <w:vAlign w:val="bottom"/>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Индекс цен производителей на промышленную продукцию</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ind w:left="-142" w:firstLine="142"/>
              <w:jc w:val="right"/>
              <w:rPr>
                <w:rFonts w:ascii="Times New Roman" w:hAnsi="Times New Roman"/>
                <w:sz w:val="20"/>
                <w:szCs w:val="20"/>
                <w:vertAlign w:val="superscript"/>
              </w:rPr>
            </w:pPr>
            <w:r w:rsidRPr="00933EC9">
              <w:rPr>
                <w:rFonts w:ascii="Times New Roman" w:hAnsi="Times New Roman"/>
                <w:sz w:val="20"/>
                <w:szCs w:val="20"/>
              </w:rPr>
              <w:t>107,7</w:t>
            </w:r>
            <w:r w:rsidRPr="00933EC9">
              <w:rPr>
                <w:rFonts w:ascii="Times New Roman" w:hAnsi="Times New Roman"/>
                <w:sz w:val="20"/>
                <w:szCs w:val="20"/>
                <w:vertAlign w:val="superscript"/>
              </w:rPr>
              <w:t>4</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ind w:left="-142" w:firstLine="142"/>
              <w:jc w:val="right"/>
              <w:rPr>
                <w:rFonts w:ascii="Times New Roman" w:hAnsi="Times New Roman"/>
                <w:sz w:val="20"/>
                <w:szCs w:val="20"/>
                <w:vertAlign w:val="superscript"/>
              </w:rPr>
            </w:pPr>
            <w:r w:rsidRPr="00933EC9">
              <w:rPr>
                <w:rFonts w:ascii="Times New Roman" w:hAnsi="Times New Roman"/>
                <w:sz w:val="20"/>
                <w:szCs w:val="20"/>
              </w:rPr>
              <w:t>79,9</w:t>
            </w:r>
            <w:r w:rsidRPr="00933EC9">
              <w:rPr>
                <w:rFonts w:ascii="Times New Roman" w:hAnsi="Times New Roman"/>
                <w:sz w:val="20"/>
                <w:szCs w:val="20"/>
                <w:vertAlign w:val="superscript"/>
              </w:rPr>
              <w:t>4</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90,1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2919C7" w:rsidRDefault="00EB0F10" w:rsidP="008176B9">
            <w:pPr>
              <w:spacing w:after="0" w:line="240" w:lineRule="auto"/>
              <w:ind w:left="-142" w:firstLine="142"/>
              <w:jc w:val="right"/>
              <w:rPr>
                <w:rFonts w:ascii="Times New Roman" w:hAnsi="Times New Roman"/>
                <w:color w:val="000000"/>
                <w:sz w:val="20"/>
                <w:szCs w:val="20"/>
                <w:vertAlign w:val="superscript"/>
              </w:rPr>
            </w:pPr>
            <w:r>
              <w:rPr>
                <w:rFonts w:ascii="Times New Roman" w:hAnsi="Times New Roman"/>
                <w:color w:val="000000"/>
                <w:sz w:val="20"/>
                <w:szCs w:val="20"/>
              </w:rPr>
              <w:t>110,3</w:t>
            </w:r>
            <w:r>
              <w:rPr>
                <w:rFonts w:ascii="Times New Roman" w:hAnsi="Times New Roman"/>
                <w:color w:val="000000"/>
                <w:sz w:val="20"/>
                <w:szCs w:val="20"/>
                <w:vertAlign w:val="superscript"/>
              </w:rPr>
              <w:t>4</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Pr="002919C7"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92,1</w:t>
            </w:r>
          </w:p>
        </w:tc>
      </w:tr>
      <w:tr w:rsidR="00EB0F10" w:rsidRPr="00010D76" w:rsidTr="008176B9">
        <w:trPr>
          <w:trHeight w:val="300"/>
        </w:trPr>
        <w:tc>
          <w:tcPr>
            <w:tcW w:w="4217" w:type="dxa"/>
            <w:vMerge w:val="restart"/>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Доходы Консолидированного бюджета</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jc w:val="right"/>
              <w:rPr>
                <w:rFonts w:ascii="Times New Roman" w:hAnsi="Times New Roman"/>
                <w:sz w:val="20"/>
                <w:szCs w:val="20"/>
              </w:rPr>
            </w:pPr>
            <w:r w:rsidRPr="00933EC9">
              <w:rPr>
                <w:rFonts w:ascii="Times New Roman" w:hAnsi="Times New Roman"/>
                <w:sz w:val="20"/>
                <w:szCs w:val="20"/>
              </w:rPr>
              <w:t>3 175,1</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ind w:left="-142" w:firstLine="142"/>
              <w:jc w:val="right"/>
              <w:rPr>
                <w:rFonts w:ascii="Times New Roman" w:hAnsi="Times New Roman"/>
                <w:sz w:val="20"/>
                <w:szCs w:val="20"/>
              </w:rPr>
            </w:pPr>
            <w:r w:rsidRPr="00933EC9">
              <w:rPr>
                <w:rFonts w:ascii="Times New Roman" w:hAnsi="Times New Roman"/>
                <w:sz w:val="20"/>
                <w:szCs w:val="20"/>
              </w:rPr>
              <w:t>2 322,0</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73,1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2919C7"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2 337,7</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Pr="00010D76" w:rsidRDefault="00EB0F10" w:rsidP="008176B9">
            <w:pPr>
              <w:spacing w:after="0" w:line="240" w:lineRule="auto"/>
              <w:jc w:val="center"/>
              <w:rPr>
                <w:rFonts w:ascii="Times New Roman" w:hAnsi="Times New Roman"/>
                <w:color w:val="000000"/>
                <w:sz w:val="20"/>
                <w:szCs w:val="20"/>
              </w:rPr>
            </w:pPr>
            <w:r w:rsidRPr="00010D76">
              <w:rPr>
                <w:rFonts w:ascii="Times New Roman" w:hAnsi="Times New Roman"/>
                <w:color w:val="000000"/>
                <w:sz w:val="20"/>
                <w:szCs w:val="20"/>
              </w:rPr>
              <w:t>100,7</w:t>
            </w:r>
          </w:p>
        </w:tc>
      </w:tr>
      <w:tr w:rsidR="00EB0F10" w:rsidRPr="00010D76" w:rsidTr="008176B9">
        <w:trPr>
          <w:trHeight w:val="300"/>
        </w:trPr>
        <w:tc>
          <w:tcPr>
            <w:tcW w:w="4217" w:type="dxa"/>
            <w:vMerge/>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rPr>
                <w:rFonts w:ascii="Times New Roman" w:hAnsi="Times New Roman"/>
                <w:color w:val="000000"/>
                <w:sz w:val="20"/>
                <w:szCs w:val="20"/>
              </w:rPr>
            </w:pP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jc w:val="right"/>
              <w:rPr>
                <w:rFonts w:ascii="Times New Roman" w:hAnsi="Times New Roman"/>
                <w:sz w:val="20"/>
                <w:szCs w:val="20"/>
              </w:rPr>
            </w:pPr>
            <w:r w:rsidRPr="00933EC9">
              <w:rPr>
                <w:rFonts w:ascii="Times New Roman" w:hAnsi="Times New Roman"/>
                <w:sz w:val="20"/>
                <w:szCs w:val="20"/>
              </w:rPr>
              <w:t>286,0</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ind w:left="-142" w:firstLine="142"/>
              <w:jc w:val="right"/>
              <w:rPr>
                <w:rFonts w:ascii="Times New Roman" w:hAnsi="Times New Roman"/>
                <w:sz w:val="20"/>
                <w:szCs w:val="20"/>
              </w:rPr>
            </w:pPr>
            <w:r w:rsidRPr="00933EC9">
              <w:rPr>
                <w:rFonts w:ascii="Times New Roman" w:hAnsi="Times New Roman"/>
                <w:sz w:val="20"/>
                <w:szCs w:val="20"/>
              </w:rPr>
              <w:t>209,2</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73,1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2919C7"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207,6</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Pr="00010D76" w:rsidRDefault="00EB0F10" w:rsidP="008176B9">
            <w:pPr>
              <w:spacing w:after="0" w:line="240" w:lineRule="auto"/>
              <w:jc w:val="center"/>
              <w:rPr>
                <w:rFonts w:ascii="Times New Roman" w:hAnsi="Times New Roman"/>
                <w:color w:val="000000"/>
                <w:sz w:val="20"/>
                <w:szCs w:val="20"/>
              </w:rPr>
            </w:pPr>
            <w:r w:rsidRPr="00010D76">
              <w:rPr>
                <w:rFonts w:ascii="Times New Roman" w:hAnsi="Times New Roman"/>
                <w:color w:val="000000"/>
                <w:sz w:val="20"/>
                <w:szCs w:val="20"/>
              </w:rPr>
              <w:t>99,2</w:t>
            </w:r>
          </w:p>
        </w:tc>
      </w:tr>
      <w:tr w:rsidR="00EB0F10" w:rsidRPr="00010D76" w:rsidTr="008176B9">
        <w:trPr>
          <w:trHeight w:val="300"/>
        </w:trPr>
        <w:tc>
          <w:tcPr>
            <w:tcW w:w="4217" w:type="dxa"/>
            <w:vMerge w:val="restart"/>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Доходы Республиканского бюджета</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jc w:val="right"/>
              <w:rPr>
                <w:rFonts w:ascii="Times New Roman" w:hAnsi="Times New Roman"/>
                <w:sz w:val="20"/>
                <w:szCs w:val="20"/>
              </w:rPr>
            </w:pPr>
            <w:r w:rsidRPr="00933EC9">
              <w:rPr>
                <w:rFonts w:ascii="Times New Roman" w:hAnsi="Times New Roman"/>
                <w:sz w:val="20"/>
                <w:szCs w:val="20"/>
              </w:rPr>
              <w:t>2 221,5</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ind w:left="-142" w:firstLine="142"/>
              <w:jc w:val="right"/>
              <w:rPr>
                <w:rFonts w:ascii="Times New Roman" w:hAnsi="Times New Roman"/>
                <w:sz w:val="20"/>
                <w:szCs w:val="20"/>
              </w:rPr>
            </w:pPr>
            <w:r w:rsidRPr="00933EC9">
              <w:rPr>
                <w:rFonts w:ascii="Times New Roman" w:hAnsi="Times New Roman"/>
                <w:sz w:val="20"/>
                <w:szCs w:val="20"/>
              </w:rPr>
              <w:t>1 468,9</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66,1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2919C7"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1 512,3</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Pr="00010D76" w:rsidRDefault="00EB0F10" w:rsidP="008176B9">
            <w:pPr>
              <w:spacing w:after="0" w:line="240" w:lineRule="auto"/>
              <w:jc w:val="center"/>
              <w:rPr>
                <w:rFonts w:ascii="Times New Roman" w:hAnsi="Times New Roman"/>
                <w:color w:val="000000"/>
                <w:sz w:val="20"/>
                <w:szCs w:val="20"/>
              </w:rPr>
            </w:pPr>
            <w:r w:rsidRPr="00010D76">
              <w:rPr>
                <w:rFonts w:ascii="Times New Roman" w:hAnsi="Times New Roman"/>
                <w:color w:val="000000"/>
                <w:sz w:val="20"/>
                <w:szCs w:val="20"/>
              </w:rPr>
              <w:t>103,0</w:t>
            </w:r>
          </w:p>
        </w:tc>
      </w:tr>
      <w:tr w:rsidR="00EB0F10" w:rsidRPr="00010D76" w:rsidTr="008176B9">
        <w:trPr>
          <w:trHeight w:val="300"/>
        </w:trPr>
        <w:tc>
          <w:tcPr>
            <w:tcW w:w="4217" w:type="dxa"/>
            <w:vMerge/>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rPr>
                <w:rFonts w:ascii="Times New Roman" w:hAnsi="Times New Roman"/>
                <w:color w:val="000000"/>
                <w:sz w:val="20"/>
                <w:szCs w:val="20"/>
              </w:rPr>
            </w:pP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jc w:val="right"/>
              <w:rPr>
                <w:rFonts w:ascii="Times New Roman" w:hAnsi="Times New Roman"/>
                <w:sz w:val="20"/>
                <w:szCs w:val="20"/>
              </w:rPr>
            </w:pPr>
            <w:r w:rsidRPr="00933EC9">
              <w:rPr>
                <w:rFonts w:ascii="Times New Roman" w:hAnsi="Times New Roman"/>
                <w:sz w:val="20"/>
                <w:szCs w:val="20"/>
              </w:rPr>
              <w:t>200,1</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ind w:left="-142" w:firstLine="142"/>
              <w:jc w:val="right"/>
              <w:rPr>
                <w:rFonts w:ascii="Times New Roman" w:hAnsi="Times New Roman"/>
                <w:sz w:val="20"/>
                <w:szCs w:val="20"/>
              </w:rPr>
            </w:pPr>
            <w:r w:rsidRPr="00933EC9">
              <w:rPr>
                <w:rFonts w:ascii="Times New Roman" w:hAnsi="Times New Roman"/>
                <w:sz w:val="20"/>
                <w:szCs w:val="20"/>
              </w:rPr>
              <w:t>132,3</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66,1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2919C7"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134,3</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Pr="00010D76" w:rsidRDefault="00EB0F10" w:rsidP="008176B9">
            <w:pPr>
              <w:spacing w:after="0" w:line="240" w:lineRule="auto"/>
              <w:jc w:val="center"/>
              <w:rPr>
                <w:rFonts w:ascii="Times New Roman" w:hAnsi="Times New Roman"/>
                <w:color w:val="000000"/>
                <w:sz w:val="20"/>
                <w:szCs w:val="20"/>
              </w:rPr>
            </w:pPr>
            <w:r w:rsidRPr="00010D76">
              <w:rPr>
                <w:rFonts w:ascii="Times New Roman" w:hAnsi="Times New Roman"/>
                <w:color w:val="000000"/>
                <w:sz w:val="20"/>
                <w:szCs w:val="20"/>
              </w:rPr>
              <w:t>101,5</w:t>
            </w:r>
          </w:p>
        </w:tc>
      </w:tr>
      <w:tr w:rsidR="00EB0F10" w:rsidRPr="00010D76" w:rsidTr="008176B9">
        <w:trPr>
          <w:trHeight w:val="300"/>
        </w:trPr>
        <w:tc>
          <w:tcPr>
            <w:tcW w:w="4217" w:type="dxa"/>
            <w:vMerge w:val="restart"/>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Доходы местных бюджетов</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jc w:val="right"/>
              <w:rPr>
                <w:rFonts w:ascii="Times New Roman" w:hAnsi="Times New Roman"/>
                <w:sz w:val="20"/>
                <w:szCs w:val="20"/>
              </w:rPr>
            </w:pPr>
            <w:r w:rsidRPr="00933EC9">
              <w:rPr>
                <w:rFonts w:ascii="Times New Roman" w:hAnsi="Times New Roman"/>
                <w:sz w:val="20"/>
                <w:szCs w:val="20"/>
              </w:rPr>
              <w:t>953,6</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ind w:left="-142" w:firstLine="142"/>
              <w:jc w:val="right"/>
              <w:rPr>
                <w:rFonts w:ascii="Times New Roman" w:hAnsi="Times New Roman"/>
                <w:sz w:val="20"/>
                <w:szCs w:val="20"/>
              </w:rPr>
            </w:pPr>
            <w:r w:rsidRPr="00933EC9">
              <w:rPr>
                <w:rFonts w:ascii="Times New Roman" w:hAnsi="Times New Roman"/>
                <w:sz w:val="20"/>
                <w:szCs w:val="20"/>
              </w:rPr>
              <w:t>853,1</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89,5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2919C7"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825,4</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Pr="00010D76" w:rsidRDefault="00EB0F10" w:rsidP="008176B9">
            <w:pPr>
              <w:spacing w:after="0" w:line="240" w:lineRule="auto"/>
              <w:jc w:val="center"/>
              <w:rPr>
                <w:rFonts w:ascii="Times New Roman" w:hAnsi="Times New Roman"/>
                <w:color w:val="000000"/>
                <w:sz w:val="20"/>
                <w:szCs w:val="20"/>
              </w:rPr>
            </w:pPr>
            <w:r w:rsidRPr="00010D76">
              <w:rPr>
                <w:rFonts w:ascii="Times New Roman" w:hAnsi="Times New Roman"/>
                <w:color w:val="000000"/>
                <w:sz w:val="20"/>
                <w:szCs w:val="20"/>
              </w:rPr>
              <w:t>96,8</w:t>
            </w:r>
          </w:p>
        </w:tc>
      </w:tr>
      <w:tr w:rsidR="00EB0F10" w:rsidRPr="00010D76" w:rsidTr="008176B9">
        <w:trPr>
          <w:trHeight w:val="300"/>
        </w:trPr>
        <w:tc>
          <w:tcPr>
            <w:tcW w:w="4217" w:type="dxa"/>
            <w:vMerge/>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rPr>
                <w:rFonts w:ascii="Times New Roman" w:hAnsi="Times New Roman"/>
                <w:color w:val="000000"/>
                <w:sz w:val="20"/>
                <w:szCs w:val="20"/>
              </w:rPr>
            </w:pP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jc w:val="right"/>
              <w:rPr>
                <w:rFonts w:ascii="Times New Roman" w:hAnsi="Times New Roman"/>
                <w:sz w:val="20"/>
                <w:szCs w:val="20"/>
              </w:rPr>
            </w:pPr>
            <w:r w:rsidRPr="00933EC9">
              <w:rPr>
                <w:rFonts w:ascii="Times New Roman" w:hAnsi="Times New Roman"/>
                <w:sz w:val="20"/>
                <w:szCs w:val="20"/>
              </w:rPr>
              <w:t>85,9</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ind w:left="-142" w:firstLine="142"/>
              <w:jc w:val="right"/>
              <w:rPr>
                <w:rFonts w:ascii="Times New Roman" w:hAnsi="Times New Roman"/>
                <w:sz w:val="20"/>
                <w:szCs w:val="20"/>
              </w:rPr>
            </w:pPr>
            <w:r w:rsidRPr="00933EC9">
              <w:rPr>
                <w:rFonts w:ascii="Times New Roman" w:hAnsi="Times New Roman"/>
                <w:sz w:val="20"/>
                <w:szCs w:val="20"/>
              </w:rPr>
              <w:t>76,9</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89,5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73,3</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Pr="00010D76" w:rsidRDefault="00EB0F10" w:rsidP="008176B9">
            <w:pPr>
              <w:spacing w:after="0" w:line="240" w:lineRule="auto"/>
              <w:jc w:val="center"/>
              <w:rPr>
                <w:rFonts w:ascii="Times New Roman" w:hAnsi="Times New Roman"/>
                <w:color w:val="000000"/>
                <w:sz w:val="20"/>
                <w:szCs w:val="20"/>
              </w:rPr>
            </w:pPr>
            <w:r w:rsidRPr="00010D76">
              <w:rPr>
                <w:rFonts w:ascii="Times New Roman" w:hAnsi="Times New Roman"/>
                <w:color w:val="000000"/>
                <w:sz w:val="20"/>
                <w:szCs w:val="20"/>
              </w:rPr>
              <w:t>95,3</w:t>
            </w:r>
          </w:p>
        </w:tc>
      </w:tr>
      <w:tr w:rsidR="00EB0F10" w:rsidRPr="00010D76" w:rsidTr="008176B9">
        <w:trPr>
          <w:trHeight w:val="300"/>
        </w:trPr>
        <w:tc>
          <w:tcPr>
            <w:tcW w:w="4217" w:type="dxa"/>
            <w:vMerge w:val="restart"/>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Расходы Консолидированного бюджета</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jc w:val="right"/>
              <w:rPr>
                <w:rFonts w:ascii="Times New Roman" w:hAnsi="Times New Roman"/>
                <w:sz w:val="20"/>
                <w:szCs w:val="20"/>
              </w:rPr>
            </w:pPr>
            <w:r w:rsidRPr="00933EC9">
              <w:rPr>
                <w:rFonts w:ascii="Times New Roman" w:hAnsi="Times New Roman"/>
                <w:sz w:val="20"/>
                <w:szCs w:val="20"/>
              </w:rPr>
              <w:t>4 073,1</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ind w:left="-142" w:firstLine="142"/>
              <w:jc w:val="right"/>
              <w:rPr>
                <w:rFonts w:ascii="Times New Roman" w:hAnsi="Times New Roman"/>
                <w:sz w:val="20"/>
                <w:szCs w:val="20"/>
              </w:rPr>
            </w:pPr>
            <w:r w:rsidRPr="00933EC9">
              <w:rPr>
                <w:rFonts w:ascii="Times New Roman" w:hAnsi="Times New Roman"/>
                <w:sz w:val="20"/>
                <w:szCs w:val="20"/>
              </w:rPr>
              <w:t>3 104,2</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76,2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3 993,0</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Pr="00010D76" w:rsidRDefault="00EB0F10" w:rsidP="008176B9">
            <w:pPr>
              <w:spacing w:after="0" w:line="240" w:lineRule="auto"/>
              <w:jc w:val="center"/>
              <w:rPr>
                <w:rFonts w:ascii="Times New Roman" w:hAnsi="Times New Roman"/>
                <w:color w:val="000000"/>
                <w:sz w:val="20"/>
                <w:szCs w:val="20"/>
              </w:rPr>
            </w:pPr>
            <w:r w:rsidRPr="00010D76">
              <w:rPr>
                <w:rFonts w:ascii="Times New Roman" w:hAnsi="Times New Roman"/>
                <w:color w:val="000000"/>
                <w:sz w:val="20"/>
                <w:szCs w:val="20"/>
              </w:rPr>
              <w:t>128,6</w:t>
            </w:r>
          </w:p>
        </w:tc>
      </w:tr>
      <w:tr w:rsidR="00EB0F10" w:rsidRPr="00010D76" w:rsidTr="008176B9">
        <w:trPr>
          <w:trHeight w:val="300"/>
        </w:trPr>
        <w:tc>
          <w:tcPr>
            <w:tcW w:w="4217" w:type="dxa"/>
            <w:vMerge/>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rPr>
                <w:rFonts w:ascii="Times New Roman" w:hAnsi="Times New Roman"/>
                <w:color w:val="000000"/>
                <w:sz w:val="20"/>
                <w:szCs w:val="20"/>
              </w:rPr>
            </w:pP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jc w:val="right"/>
              <w:rPr>
                <w:rFonts w:ascii="Times New Roman" w:hAnsi="Times New Roman"/>
                <w:sz w:val="20"/>
                <w:szCs w:val="20"/>
              </w:rPr>
            </w:pPr>
            <w:r w:rsidRPr="00933EC9">
              <w:rPr>
                <w:rFonts w:ascii="Times New Roman" w:hAnsi="Times New Roman"/>
                <w:sz w:val="20"/>
                <w:szCs w:val="20"/>
              </w:rPr>
              <w:t>366,9</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ind w:left="-142" w:firstLine="142"/>
              <w:jc w:val="right"/>
              <w:rPr>
                <w:rFonts w:ascii="Times New Roman" w:hAnsi="Times New Roman"/>
                <w:sz w:val="20"/>
                <w:szCs w:val="20"/>
              </w:rPr>
            </w:pPr>
            <w:r w:rsidRPr="00933EC9">
              <w:rPr>
                <w:rFonts w:ascii="Times New Roman" w:hAnsi="Times New Roman"/>
                <w:sz w:val="20"/>
                <w:szCs w:val="20"/>
              </w:rPr>
              <w:t>279,7</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76,2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354,6</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Pr="00010D76" w:rsidRDefault="00EB0F10" w:rsidP="008176B9">
            <w:pPr>
              <w:spacing w:after="0" w:line="240" w:lineRule="auto"/>
              <w:jc w:val="center"/>
              <w:rPr>
                <w:rFonts w:ascii="Times New Roman" w:hAnsi="Times New Roman"/>
                <w:color w:val="000000"/>
                <w:sz w:val="20"/>
                <w:szCs w:val="20"/>
              </w:rPr>
            </w:pPr>
            <w:r w:rsidRPr="00010D76">
              <w:rPr>
                <w:rFonts w:ascii="Times New Roman" w:hAnsi="Times New Roman"/>
                <w:color w:val="000000"/>
                <w:sz w:val="20"/>
                <w:szCs w:val="20"/>
              </w:rPr>
              <w:t>126,8</w:t>
            </w:r>
          </w:p>
        </w:tc>
      </w:tr>
      <w:tr w:rsidR="00EB0F10" w:rsidRPr="00010D76" w:rsidTr="008176B9">
        <w:trPr>
          <w:trHeight w:val="300"/>
        </w:trPr>
        <w:tc>
          <w:tcPr>
            <w:tcW w:w="4217" w:type="dxa"/>
            <w:vMerge w:val="restart"/>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Расходы Республиканского бюджета</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jc w:val="right"/>
              <w:rPr>
                <w:rFonts w:ascii="Times New Roman" w:hAnsi="Times New Roman"/>
                <w:sz w:val="20"/>
                <w:szCs w:val="20"/>
              </w:rPr>
            </w:pPr>
            <w:r w:rsidRPr="00933EC9">
              <w:rPr>
                <w:rFonts w:ascii="Times New Roman" w:hAnsi="Times New Roman"/>
                <w:sz w:val="20"/>
                <w:szCs w:val="20"/>
              </w:rPr>
              <w:t>2 811,8</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ind w:left="-142" w:firstLine="142"/>
              <w:jc w:val="right"/>
              <w:rPr>
                <w:rFonts w:ascii="Times New Roman" w:hAnsi="Times New Roman"/>
                <w:sz w:val="20"/>
                <w:szCs w:val="20"/>
              </w:rPr>
            </w:pPr>
            <w:r w:rsidRPr="00933EC9">
              <w:rPr>
                <w:rFonts w:ascii="Times New Roman" w:hAnsi="Times New Roman"/>
                <w:sz w:val="20"/>
                <w:szCs w:val="20"/>
              </w:rPr>
              <w:t>2 081,1</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74,0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2 777,9</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Pr="00010D76" w:rsidRDefault="00EB0F10" w:rsidP="008176B9">
            <w:pPr>
              <w:spacing w:after="0" w:line="240" w:lineRule="auto"/>
              <w:jc w:val="center"/>
              <w:rPr>
                <w:rFonts w:ascii="Times New Roman" w:hAnsi="Times New Roman"/>
                <w:color w:val="000000"/>
                <w:sz w:val="20"/>
                <w:szCs w:val="20"/>
              </w:rPr>
            </w:pPr>
            <w:r w:rsidRPr="00010D76">
              <w:rPr>
                <w:rFonts w:ascii="Times New Roman" w:hAnsi="Times New Roman"/>
                <w:color w:val="000000"/>
                <w:sz w:val="20"/>
                <w:szCs w:val="20"/>
              </w:rPr>
              <w:t>133,5</w:t>
            </w:r>
          </w:p>
        </w:tc>
      </w:tr>
      <w:tr w:rsidR="00EB0F10" w:rsidRPr="00010D76" w:rsidTr="008176B9">
        <w:trPr>
          <w:trHeight w:val="300"/>
        </w:trPr>
        <w:tc>
          <w:tcPr>
            <w:tcW w:w="4217" w:type="dxa"/>
            <w:vMerge/>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rPr>
                <w:rFonts w:ascii="Times New Roman" w:hAnsi="Times New Roman"/>
                <w:color w:val="000000"/>
                <w:sz w:val="20"/>
                <w:szCs w:val="20"/>
              </w:rPr>
            </w:pP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jc w:val="right"/>
              <w:rPr>
                <w:rFonts w:ascii="Times New Roman" w:hAnsi="Times New Roman"/>
                <w:sz w:val="20"/>
                <w:szCs w:val="20"/>
              </w:rPr>
            </w:pPr>
            <w:r w:rsidRPr="00933EC9">
              <w:rPr>
                <w:rFonts w:ascii="Times New Roman" w:hAnsi="Times New Roman"/>
                <w:sz w:val="20"/>
                <w:szCs w:val="20"/>
              </w:rPr>
              <w:t>253,3</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ind w:left="-142" w:firstLine="142"/>
              <w:jc w:val="right"/>
              <w:rPr>
                <w:rFonts w:ascii="Times New Roman" w:hAnsi="Times New Roman"/>
                <w:sz w:val="20"/>
                <w:szCs w:val="20"/>
              </w:rPr>
            </w:pPr>
            <w:r w:rsidRPr="00933EC9">
              <w:rPr>
                <w:rFonts w:ascii="Times New Roman" w:hAnsi="Times New Roman"/>
                <w:sz w:val="20"/>
                <w:szCs w:val="20"/>
              </w:rPr>
              <w:t>187,5</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74,0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246,7</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Pr="00010D76" w:rsidRDefault="00EB0F10" w:rsidP="008176B9">
            <w:pPr>
              <w:spacing w:after="0" w:line="240" w:lineRule="auto"/>
              <w:jc w:val="center"/>
              <w:rPr>
                <w:rFonts w:ascii="Times New Roman" w:hAnsi="Times New Roman"/>
                <w:color w:val="000000"/>
                <w:sz w:val="20"/>
                <w:szCs w:val="20"/>
              </w:rPr>
            </w:pPr>
            <w:r w:rsidRPr="00010D76">
              <w:rPr>
                <w:rFonts w:ascii="Times New Roman" w:hAnsi="Times New Roman"/>
                <w:color w:val="000000"/>
                <w:sz w:val="20"/>
                <w:szCs w:val="20"/>
              </w:rPr>
              <w:t>131,6</w:t>
            </w:r>
          </w:p>
        </w:tc>
      </w:tr>
      <w:tr w:rsidR="00EB0F10" w:rsidRPr="00010D76" w:rsidTr="008176B9">
        <w:trPr>
          <w:trHeight w:val="300"/>
        </w:trPr>
        <w:tc>
          <w:tcPr>
            <w:tcW w:w="4217" w:type="dxa"/>
            <w:vMerge w:val="restart"/>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Расходы местных бюджетов</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jc w:val="right"/>
              <w:rPr>
                <w:rFonts w:ascii="Times New Roman" w:hAnsi="Times New Roman"/>
                <w:sz w:val="20"/>
                <w:szCs w:val="20"/>
              </w:rPr>
            </w:pPr>
            <w:r w:rsidRPr="00933EC9">
              <w:rPr>
                <w:rFonts w:ascii="Times New Roman" w:hAnsi="Times New Roman"/>
                <w:sz w:val="20"/>
                <w:szCs w:val="20"/>
              </w:rPr>
              <w:t>1 261,4</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ind w:left="-142" w:firstLine="142"/>
              <w:jc w:val="right"/>
              <w:rPr>
                <w:rFonts w:ascii="Times New Roman" w:hAnsi="Times New Roman"/>
                <w:sz w:val="20"/>
                <w:szCs w:val="20"/>
              </w:rPr>
            </w:pPr>
            <w:r w:rsidRPr="00933EC9">
              <w:rPr>
                <w:rFonts w:ascii="Times New Roman" w:hAnsi="Times New Roman"/>
                <w:sz w:val="20"/>
                <w:szCs w:val="20"/>
              </w:rPr>
              <w:t>1 023,1</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81,1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1 215,1</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Pr="00010D76" w:rsidRDefault="00EB0F10" w:rsidP="008176B9">
            <w:pPr>
              <w:spacing w:after="0" w:line="240" w:lineRule="auto"/>
              <w:jc w:val="center"/>
              <w:rPr>
                <w:rFonts w:ascii="Times New Roman" w:hAnsi="Times New Roman"/>
                <w:color w:val="000000"/>
                <w:sz w:val="20"/>
                <w:szCs w:val="20"/>
              </w:rPr>
            </w:pPr>
            <w:r w:rsidRPr="00010D76">
              <w:rPr>
                <w:rFonts w:ascii="Times New Roman" w:hAnsi="Times New Roman"/>
                <w:color w:val="000000"/>
                <w:sz w:val="20"/>
                <w:szCs w:val="20"/>
              </w:rPr>
              <w:t>118,8</w:t>
            </w:r>
          </w:p>
        </w:tc>
      </w:tr>
      <w:tr w:rsidR="00EB0F10" w:rsidRPr="00010D76" w:rsidTr="008176B9">
        <w:trPr>
          <w:trHeight w:val="300"/>
        </w:trPr>
        <w:tc>
          <w:tcPr>
            <w:tcW w:w="4217" w:type="dxa"/>
            <w:vMerge/>
            <w:tcBorders>
              <w:top w:val="single" w:sz="4" w:space="0" w:color="auto"/>
              <w:left w:val="single" w:sz="4" w:space="0" w:color="auto"/>
              <w:bottom w:val="single" w:sz="4" w:space="0" w:color="auto"/>
              <w:right w:val="single" w:sz="4" w:space="0" w:color="auto"/>
            </w:tcBorders>
            <w:vAlign w:val="center"/>
            <w:hideMark/>
          </w:tcPr>
          <w:p w:rsidR="00EB0F10" w:rsidRDefault="00EB0F10" w:rsidP="008176B9">
            <w:pPr>
              <w:spacing w:after="0" w:line="240" w:lineRule="auto"/>
              <w:rPr>
                <w:rFonts w:ascii="Times New Roman" w:hAnsi="Times New Roman"/>
                <w:color w:val="000000"/>
                <w:sz w:val="20"/>
                <w:szCs w:val="20"/>
              </w:rPr>
            </w:pP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jc w:val="right"/>
              <w:rPr>
                <w:rFonts w:ascii="Times New Roman" w:hAnsi="Times New Roman"/>
                <w:sz w:val="20"/>
                <w:szCs w:val="20"/>
              </w:rPr>
            </w:pPr>
            <w:r w:rsidRPr="00933EC9">
              <w:rPr>
                <w:rFonts w:ascii="Times New Roman" w:hAnsi="Times New Roman"/>
                <w:sz w:val="20"/>
                <w:szCs w:val="20"/>
              </w:rPr>
              <w:t>113,6</w:t>
            </w:r>
          </w:p>
        </w:tc>
        <w:tc>
          <w:tcPr>
            <w:tcW w:w="996"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Pr="00933EC9" w:rsidRDefault="00EB0F10" w:rsidP="008176B9">
            <w:pPr>
              <w:spacing w:after="0" w:line="240" w:lineRule="auto"/>
              <w:ind w:left="-142" w:firstLine="142"/>
              <w:jc w:val="right"/>
              <w:rPr>
                <w:rFonts w:ascii="Times New Roman" w:hAnsi="Times New Roman"/>
                <w:sz w:val="20"/>
                <w:szCs w:val="20"/>
              </w:rPr>
            </w:pPr>
            <w:r w:rsidRPr="00933EC9">
              <w:rPr>
                <w:rFonts w:ascii="Times New Roman" w:hAnsi="Times New Roman"/>
                <w:sz w:val="20"/>
                <w:szCs w:val="20"/>
              </w:rPr>
              <w:t>92,2</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81,2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EB0F10" w:rsidRDefault="00EB0F10" w:rsidP="008176B9">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107,9</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EB0F10" w:rsidRPr="00010D76" w:rsidRDefault="00EB0F10" w:rsidP="008176B9">
            <w:pPr>
              <w:spacing w:after="0" w:line="240" w:lineRule="auto"/>
              <w:jc w:val="center"/>
              <w:rPr>
                <w:rFonts w:ascii="Times New Roman" w:hAnsi="Times New Roman"/>
                <w:color w:val="000000"/>
                <w:sz w:val="20"/>
                <w:szCs w:val="20"/>
              </w:rPr>
            </w:pPr>
            <w:r w:rsidRPr="00010D76">
              <w:rPr>
                <w:rFonts w:ascii="Times New Roman" w:hAnsi="Times New Roman"/>
                <w:color w:val="000000"/>
                <w:sz w:val="20"/>
                <w:szCs w:val="20"/>
              </w:rPr>
              <w:t>117,0</w:t>
            </w:r>
          </w:p>
        </w:tc>
      </w:tr>
      <w:tr w:rsidR="00EB0F10" w:rsidTr="008176B9">
        <w:trPr>
          <w:gridAfter w:val="1"/>
          <w:wAfter w:w="52" w:type="dxa"/>
          <w:trHeight w:val="300"/>
        </w:trPr>
        <w:tc>
          <w:tcPr>
            <w:tcW w:w="5208" w:type="dxa"/>
            <w:gridSpan w:val="2"/>
            <w:tcBorders>
              <w:top w:val="single" w:sz="4" w:space="0" w:color="auto"/>
              <w:left w:val="nil"/>
              <w:bottom w:val="nil"/>
              <w:right w:val="nil"/>
            </w:tcBorders>
            <w:noWrap/>
            <w:vAlign w:val="bottom"/>
            <w:hideMark/>
          </w:tcPr>
          <w:p w:rsidR="00EB0F10" w:rsidRDefault="00EB0F10" w:rsidP="008176B9">
            <w:pPr>
              <w:spacing w:after="0" w:line="240" w:lineRule="auto"/>
              <w:ind w:left="-142" w:firstLine="142"/>
              <w:rPr>
                <w:rFonts w:ascii="Times New Roman" w:hAnsi="Times New Roman"/>
                <w:color w:val="000000"/>
                <w:sz w:val="20"/>
                <w:szCs w:val="20"/>
              </w:rPr>
            </w:pPr>
            <w:r>
              <w:rPr>
                <w:rFonts w:ascii="Times New Roman" w:hAnsi="Times New Roman"/>
                <w:color w:val="000000"/>
                <w:sz w:val="20"/>
                <w:szCs w:val="20"/>
              </w:rPr>
              <w:t>* - темпы пересчитаны к уточненным данным;</w:t>
            </w:r>
          </w:p>
        </w:tc>
        <w:tc>
          <w:tcPr>
            <w:tcW w:w="1134" w:type="dxa"/>
            <w:tcBorders>
              <w:top w:val="single" w:sz="4" w:space="0" w:color="auto"/>
              <w:left w:val="nil"/>
              <w:bottom w:val="nil"/>
              <w:right w:val="nil"/>
            </w:tcBorders>
            <w:vAlign w:val="bottom"/>
          </w:tcPr>
          <w:p w:rsidR="00EB0F10" w:rsidRDefault="00EB0F10" w:rsidP="008176B9">
            <w:pPr>
              <w:spacing w:after="0" w:line="240" w:lineRule="auto"/>
              <w:ind w:left="-142" w:firstLine="142"/>
              <w:rPr>
                <w:color w:val="000000"/>
              </w:rPr>
            </w:pPr>
          </w:p>
        </w:tc>
        <w:tc>
          <w:tcPr>
            <w:tcW w:w="709" w:type="dxa"/>
            <w:tcBorders>
              <w:top w:val="single" w:sz="4" w:space="0" w:color="auto"/>
              <w:left w:val="nil"/>
              <w:bottom w:val="nil"/>
              <w:right w:val="nil"/>
            </w:tcBorders>
            <w:noWrap/>
            <w:vAlign w:val="bottom"/>
          </w:tcPr>
          <w:p w:rsidR="00EB0F10" w:rsidRDefault="00EB0F10" w:rsidP="008176B9">
            <w:pPr>
              <w:spacing w:after="0" w:line="240" w:lineRule="auto"/>
              <w:ind w:left="-142" w:firstLine="142"/>
              <w:rPr>
                <w:color w:val="000000"/>
              </w:rPr>
            </w:pPr>
          </w:p>
        </w:tc>
        <w:tc>
          <w:tcPr>
            <w:tcW w:w="969" w:type="dxa"/>
            <w:gridSpan w:val="2"/>
            <w:tcBorders>
              <w:top w:val="single" w:sz="4" w:space="0" w:color="auto"/>
              <w:left w:val="nil"/>
              <w:bottom w:val="nil"/>
              <w:right w:val="nil"/>
            </w:tcBorders>
            <w:noWrap/>
            <w:vAlign w:val="bottom"/>
          </w:tcPr>
          <w:p w:rsidR="00EB0F10" w:rsidRDefault="00EB0F10" w:rsidP="008176B9">
            <w:pPr>
              <w:spacing w:after="0" w:line="240" w:lineRule="auto"/>
              <w:ind w:left="-142" w:firstLine="142"/>
              <w:rPr>
                <w:color w:val="000000"/>
              </w:rPr>
            </w:pPr>
          </w:p>
        </w:tc>
        <w:tc>
          <w:tcPr>
            <w:tcW w:w="1016" w:type="dxa"/>
            <w:gridSpan w:val="2"/>
            <w:tcBorders>
              <w:top w:val="single" w:sz="4" w:space="0" w:color="auto"/>
              <w:left w:val="nil"/>
              <w:bottom w:val="nil"/>
              <w:right w:val="nil"/>
            </w:tcBorders>
            <w:noWrap/>
            <w:vAlign w:val="bottom"/>
          </w:tcPr>
          <w:p w:rsidR="00EB0F10" w:rsidRDefault="00EB0F10" w:rsidP="008176B9">
            <w:pPr>
              <w:spacing w:after="0" w:line="240" w:lineRule="auto"/>
              <w:ind w:left="-142" w:firstLine="142"/>
              <w:rPr>
                <w:color w:val="000000"/>
              </w:rPr>
            </w:pPr>
          </w:p>
        </w:tc>
        <w:tc>
          <w:tcPr>
            <w:tcW w:w="1082" w:type="dxa"/>
            <w:gridSpan w:val="2"/>
            <w:tcBorders>
              <w:top w:val="single" w:sz="4" w:space="0" w:color="auto"/>
              <w:left w:val="nil"/>
              <w:bottom w:val="nil"/>
              <w:right w:val="nil"/>
            </w:tcBorders>
          </w:tcPr>
          <w:p w:rsidR="00EB0F10" w:rsidRDefault="00EB0F10" w:rsidP="008176B9">
            <w:pPr>
              <w:spacing w:after="0" w:line="240" w:lineRule="auto"/>
              <w:ind w:left="-142" w:firstLine="142"/>
              <w:rPr>
                <w:color w:val="000000"/>
              </w:rPr>
            </w:pPr>
          </w:p>
        </w:tc>
      </w:tr>
      <w:tr w:rsidR="00EB0F10" w:rsidTr="008176B9">
        <w:trPr>
          <w:gridAfter w:val="1"/>
          <w:wAfter w:w="52" w:type="dxa"/>
          <w:trHeight w:val="300"/>
        </w:trPr>
        <w:tc>
          <w:tcPr>
            <w:tcW w:w="6342" w:type="dxa"/>
            <w:gridSpan w:val="3"/>
            <w:noWrap/>
            <w:vAlign w:val="bottom"/>
            <w:hideMark/>
          </w:tcPr>
          <w:p w:rsidR="00EB0F10" w:rsidRDefault="00EB0F10" w:rsidP="008176B9">
            <w:pPr>
              <w:spacing w:after="0" w:line="240" w:lineRule="auto"/>
              <w:ind w:left="-142" w:firstLine="142"/>
              <w:rPr>
                <w:rFonts w:ascii="Times New Roman" w:hAnsi="Times New Roman"/>
                <w:color w:val="000000"/>
                <w:sz w:val="20"/>
                <w:szCs w:val="20"/>
              </w:rPr>
            </w:pPr>
            <w:r>
              <w:rPr>
                <w:rFonts w:ascii="Times New Roman" w:hAnsi="Times New Roman"/>
                <w:color w:val="000000"/>
                <w:sz w:val="20"/>
                <w:szCs w:val="20"/>
                <w:vertAlign w:val="superscript"/>
              </w:rPr>
              <w:t>1</w:t>
            </w:r>
            <w:r>
              <w:rPr>
                <w:rFonts w:ascii="Times New Roman" w:hAnsi="Times New Roman"/>
                <w:color w:val="000000"/>
                <w:sz w:val="20"/>
                <w:szCs w:val="20"/>
              </w:rPr>
              <w:t xml:space="preserve"> - с учетом объемов субъектов малого предпринимательства;</w:t>
            </w:r>
          </w:p>
          <w:p w:rsidR="00EB0F10" w:rsidRDefault="00EB0F10" w:rsidP="008176B9">
            <w:pPr>
              <w:spacing w:after="0" w:line="240" w:lineRule="auto"/>
              <w:ind w:left="-142" w:firstLine="142"/>
              <w:rPr>
                <w:rFonts w:ascii="Times New Roman" w:hAnsi="Times New Roman"/>
                <w:color w:val="000000"/>
                <w:sz w:val="20"/>
                <w:szCs w:val="20"/>
              </w:rPr>
            </w:pPr>
            <w:r>
              <w:rPr>
                <w:rFonts w:ascii="Times New Roman" w:hAnsi="Times New Roman"/>
                <w:color w:val="000000"/>
                <w:sz w:val="20"/>
                <w:szCs w:val="20"/>
                <w:vertAlign w:val="superscript"/>
              </w:rPr>
              <w:t>2</w:t>
            </w:r>
            <w:r>
              <w:rPr>
                <w:rFonts w:ascii="Times New Roman" w:hAnsi="Times New Roman"/>
                <w:color w:val="000000"/>
                <w:sz w:val="20"/>
                <w:szCs w:val="20"/>
              </w:rPr>
              <w:t xml:space="preserve"> - </w:t>
            </w:r>
            <w:r>
              <w:rPr>
                <w:rFonts w:ascii="Times New Roman" w:hAnsi="Times New Roman"/>
                <w:color w:val="000000"/>
                <w:sz w:val="20"/>
                <w:szCs w:val="20"/>
                <w:vertAlign w:val="superscript"/>
              </w:rPr>
              <w:t xml:space="preserve"> </w:t>
            </w:r>
            <w:r>
              <w:rPr>
                <w:rFonts w:ascii="Times New Roman" w:hAnsi="Times New Roman"/>
                <w:color w:val="000000"/>
                <w:sz w:val="20"/>
                <w:szCs w:val="20"/>
              </w:rPr>
              <w:t>во всех категориях хозяйств;</w:t>
            </w:r>
          </w:p>
          <w:p w:rsidR="00EB0F10" w:rsidRDefault="00EB0F10" w:rsidP="008176B9">
            <w:pPr>
              <w:spacing w:after="0" w:line="240" w:lineRule="auto"/>
              <w:ind w:left="-142" w:firstLine="142"/>
              <w:rPr>
                <w:rFonts w:ascii="Times New Roman" w:hAnsi="Times New Roman"/>
                <w:color w:val="000000"/>
                <w:sz w:val="20"/>
                <w:szCs w:val="20"/>
              </w:rPr>
            </w:pPr>
            <w:r>
              <w:rPr>
                <w:rFonts w:ascii="Times New Roman" w:hAnsi="Times New Roman"/>
                <w:color w:val="000000"/>
                <w:sz w:val="20"/>
                <w:szCs w:val="20"/>
                <w:vertAlign w:val="superscript"/>
              </w:rPr>
              <w:t xml:space="preserve">3 – </w:t>
            </w:r>
            <w:r>
              <w:rPr>
                <w:rFonts w:ascii="Times New Roman" w:hAnsi="Times New Roman"/>
                <w:color w:val="000000"/>
                <w:sz w:val="20"/>
                <w:szCs w:val="20"/>
              </w:rPr>
              <w:t xml:space="preserve">без силовых структур и таможенных органов; </w:t>
            </w:r>
          </w:p>
        </w:tc>
        <w:tc>
          <w:tcPr>
            <w:tcW w:w="709" w:type="dxa"/>
            <w:noWrap/>
            <w:vAlign w:val="bottom"/>
          </w:tcPr>
          <w:p w:rsidR="00EB0F10" w:rsidRDefault="00EB0F10" w:rsidP="008176B9">
            <w:pPr>
              <w:spacing w:after="0" w:line="240" w:lineRule="auto"/>
              <w:ind w:left="-142" w:firstLine="142"/>
              <w:rPr>
                <w:color w:val="000000"/>
              </w:rPr>
            </w:pPr>
          </w:p>
        </w:tc>
        <w:tc>
          <w:tcPr>
            <w:tcW w:w="969" w:type="dxa"/>
            <w:gridSpan w:val="2"/>
            <w:noWrap/>
            <w:vAlign w:val="bottom"/>
          </w:tcPr>
          <w:p w:rsidR="00EB0F10" w:rsidRDefault="00EB0F10" w:rsidP="008176B9">
            <w:pPr>
              <w:spacing w:after="0" w:line="240" w:lineRule="auto"/>
              <w:ind w:left="-142" w:firstLine="142"/>
              <w:rPr>
                <w:color w:val="000000"/>
              </w:rPr>
            </w:pPr>
          </w:p>
        </w:tc>
        <w:tc>
          <w:tcPr>
            <w:tcW w:w="1016" w:type="dxa"/>
            <w:gridSpan w:val="2"/>
            <w:noWrap/>
            <w:vAlign w:val="bottom"/>
          </w:tcPr>
          <w:p w:rsidR="00EB0F10" w:rsidRDefault="00EB0F10" w:rsidP="008176B9">
            <w:pPr>
              <w:spacing w:after="0" w:line="240" w:lineRule="auto"/>
              <w:ind w:left="-142" w:firstLine="142"/>
              <w:rPr>
                <w:color w:val="000000"/>
              </w:rPr>
            </w:pPr>
          </w:p>
        </w:tc>
        <w:tc>
          <w:tcPr>
            <w:tcW w:w="1082" w:type="dxa"/>
            <w:gridSpan w:val="2"/>
          </w:tcPr>
          <w:p w:rsidR="00EB0F10" w:rsidRDefault="00EB0F10" w:rsidP="008176B9">
            <w:pPr>
              <w:spacing w:after="0" w:line="240" w:lineRule="auto"/>
              <w:ind w:left="-142" w:firstLine="142"/>
              <w:rPr>
                <w:color w:val="000000"/>
              </w:rPr>
            </w:pPr>
          </w:p>
        </w:tc>
      </w:tr>
      <w:tr w:rsidR="00EB0F10" w:rsidTr="008176B9">
        <w:trPr>
          <w:gridAfter w:val="1"/>
          <w:wAfter w:w="52" w:type="dxa"/>
          <w:trHeight w:val="300"/>
        </w:trPr>
        <w:tc>
          <w:tcPr>
            <w:tcW w:w="4217" w:type="dxa"/>
            <w:noWrap/>
            <w:vAlign w:val="bottom"/>
            <w:hideMark/>
          </w:tcPr>
          <w:p w:rsidR="00EB0F10" w:rsidRDefault="00EB0F10" w:rsidP="008176B9">
            <w:pPr>
              <w:spacing w:after="0" w:line="240" w:lineRule="auto"/>
              <w:ind w:left="-142" w:firstLine="142"/>
              <w:rPr>
                <w:rFonts w:ascii="Times New Roman" w:hAnsi="Times New Roman"/>
                <w:color w:val="000000"/>
                <w:sz w:val="20"/>
                <w:szCs w:val="20"/>
              </w:rPr>
            </w:pPr>
            <w:r>
              <w:rPr>
                <w:rFonts w:ascii="Times New Roman" w:hAnsi="Times New Roman"/>
                <w:color w:val="000000"/>
                <w:sz w:val="20"/>
                <w:szCs w:val="20"/>
                <w:vertAlign w:val="superscript"/>
              </w:rPr>
              <w:t>4</w:t>
            </w:r>
            <w:r>
              <w:rPr>
                <w:rFonts w:ascii="Times New Roman" w:hAnsi="Times New Roman"/>
                <w:color w:val="000000"/>
                <w:sz w:val="20"/>
                <w:szCs w:val="20"/>
              </w:rPr>
              <w:t xml:space="preserve"> - к декабрю предыдущего года</w:t>
            </w:r>
          </w:p>
        </w:tc>
        <w:tc>
          <w:tcPr>
            <w:tcW w:w="2125" w:type="dxa"/>
            <w:gridSpan w:val="2"/>
            <w:vAlign w:val="bottom"/>
          </w:tcPr>
          <w:p w:rsidR="00EB0F10" w:rsidRDefault="00EB0F10" w:rsidP="008176B9">
            <w:pPr>
              <w:spacing w:after="0" w:line="240" w:lineRule="auto"/>
              <w:ind w:left="-142" w:firstLine="142"/>
              <w:rPr>
                <w:color w:val="000000"/>
              </w:rPr>
            </w:pPr>
          </w:p>
        </w:tc>
        <w:tc>
          <w:tcPr>
            <w:tcW w:w="709" w:type="dxa"/>
            <w:noWrap/>
            <w:vAlign w:val="bottom"/>
          </w:tcPr>
          <w:p w:rsidR="00EB0F10" w:rsidRDefault="00EB0F10" w:rsidP="008176B9">
            <w:pPr>
              <w:spacing w:after="0" w:line="240" w:lineRule="auto"/>
              <w:ind w:left="-142" w:firstLine="142"/>
              <w:rPr>
                <w:color w:val="000000"/>
              </w:rPr>
            </w:pPr>
          </w:p>
        </w:tc>
        <w:tc>
          <w:tcPr>
            <w:tcW w:w="969" w:type="dxa"/>
            <w:gridSpan w:val="2"/>
            <w:noWrap/>
            <w:vAlign w:val="bottom"/>
          </w:tcPr>
          <w:p w:rsidR="00EB0F10" w:rsidRDefault="00EB0F10" w:rsidP="008176B9">
            <w:pPr>
              <w:spacing w:after="0" w:line="240" w:lineRule="auto"/>
              <w:ind w:left="-142" w:firstLine="142"/>
              <w:rPr>
                <w:color w:val="000000"/>
              </w:rPr>
            </w:pPr>
          </w:p>
        </w:tc>
        <w:tc>
          <w:tcPr>
            <w:tcW w:w="1016" w:type="dxa"/>
            <w:gridSpan w:val="2"/>
            <w:noWrap/>
            <w:vAlign w:val="bottom"/>
          </w:tcPr>
          <w:p w:rsidR="00EB0F10" w:rsidRDefault="00EB0F10" w:rsidP="008176B9">
            <w:pPr>
              <w:spacing w:after="0" w:line="240" w:lineRule="auto"/>
              <w:ind w:left="-142" w:firstLine="142"/>
              <w:rPr>
                <w:color w:val="000000"/>
              </w:rPr>
            </w:pPr>
          </w:p>
        </w:tc>
        <w:tc>
          <w:tcPr>
            <w:tcW w:w="1082" w:type="dxa"/>
            <w:gridSpan w:val="2"/>
          </w:tcPr>
          <w:p w:rsidR="00EB0F10" w:rsidRDefault="00EB0F10" w:rsidP="008176B9">
            <w:pPr>
              <w:spacing w:after="0" w:line="240" w:lineRule="auto"/>
              <w:ind w:left="-142" w:firstLine="142"/>
              <w:rPr>
                <w:color w:val="000000"/>
              </w:rPr>
            </w:pPr>
          </w:p>
        </w:tc>
      </w:tr>
    </w:tbl>
    <w:p w:rsidR="00EB0F10" w:rsidRDefault="00EB0F10" w:rsidP="00C74234">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EB0F10" w:rsidRPr="00C74234" w:rsidRDefault="00EB0F10" w:rsidP="00C74234">
      <w:pPr>
        <w:spacing w:after="0" w:line="240" w:lineRule="auto"/>
        <w:ind w:firstLine="709"/>
        <w:jc w:val="both"/>
        <w:rPr>
          <w:rFonts w:ascii="Times New Roman" w:eastAsia="Times New Roman" w:hAnsi="Times New Roman" w:cs="Times New Roman"/>
          <w:sz w:val="24"/>
          <w:szCs w:val="24"/>
        </w:rPr>
      </w:pPr>
    </w:p>
    <w:p w:rsidR="004C04EF" w:rsidRPr="0080737A" w:rsidRDefault="004C04EF" w:rsidP="004C04EF">
      <w:pPr>
        <w:spacing w:after="0" w:line="240" w:lineRule="auto"/>
        <w:ind w:firstLine="709"/>
        <w:jc w:val="both"/>
        <w:rPr>
          <w:rFonts w:ascii="Times New Roman" w:hAnsi="Times New Roman"/>
          <w:sz w:val="24"/>
          <w:szCs w:val="24"/>
          <w:shd w:val="clear" w:color="auto" w:fill="FFFFFF"/>
        </w:rPr>
      </w:pPr>
    </w:p>
    <w:p w:rsidR="004C04EF" w:rsidRPr="0080737A" w:rsidRDefault="004C04EF" w:rsidP="004C04EF">
      <w:pPr>
        <w:spacing w:after="0" w:line="240" w:lineRule="auto"/>
        <w:jc w:val="both"/>
        <w:rPr>
          <w:rFonts w:ascii="Times New Roman" w:hAnsi="Times New Roman"/>
          <w:sz w:val="24"/>
          <w:szCs w:val="24"/>
        </w:rPr>
        <w:sectPr w:rsidR="004C04EF" w:rsidRPr="0080737A" w:rsidSect="0059595E">
          <w:pgSz w:w="11906" w:h="16838" w:code="9"/>
          <w:pgMar w:top="567" w:right="567" w:bottom="1134" w:left="1701" w:header="709" w:footer="709" w:gutter="0"/>
          <w:pgNumType w:start="2"/>
          <w:cols w:space="708"/>
          <w:titlePg/>
          <w:docGrid w:linePitch="360"/>
        </w:sectPr>
      </w:pPr>
    </w:p>
    <w:p w:rsidR="00F63602" w:rsidRPr="00EB0F10" w:rsidRDefault="00F63602" w:rsidP="00F63602">
      <w:pPr>
        <w:keepNext/>
        <w:spacing w:after="0" w:line="240" w:lineRule="auto"/>
        <w:jc w:val="right"/>
        <w:rPr>
          <w:rFonts w:ascii="Times New Roman" w:eastAsia="Times New Roman" w:hAnsi="Times New Roman"/>
          <w:b/>
          <w:bCs/>
          <w:sz w:val="24"/>
          <w:szCs w:val="24"/>
        </w:rPr>
      </w:pPr>
      <w:r w:rsidRPr="00EB0F10">
        <w:rPr>
          <w:rFonts w:ascii="Times New Roman" w:eastAsia="Times New Roman" w:hAnsi="Times New Roman"/>
          <w:b/>
          <w:bCs/>
          <w:sz w:val="24"/>
          <w:szCs w:val="24"/>
        </w:rPr>
        <w:lastRenderedPageBreak/>
        <w:t>Приложение №2</w:t>
      </w:r>
    </w:p>
    <w:p w:rsidR="00F63602" w:rsidRPr="00EB0F10" w:rsidRDefault="00F63602" w:rsidP="00F63602">
      <w:pPr>
        <w:spacing w:after="0" w:line="240" w:lineRule="auto"/>
        <w:ind w:firstLine="709"/>
        <w:jc w:val="right"/>
        <w:rPr>
          <w:rFonts w:ascii="Times New Roman" w:hAnsi="Times New Roman"/>
          <w:b/>
          <w:sz w:val="24"/>
          <w:szCs w:val="24"/>
        </w:rPr>
      </w:pPr>
    </w:p>
    <w:p w:rsidR="00F63602" w:rsidRPr="00EB0F10" w:rsidRDefault="00F63602" w:rsidP="00F63602">
      <w:pPr>
        <w:spacing w:after="0" w:line="240" w:lineRule="auto"/>
        <w:jc w:val="center"/>
        <w:rPr>
          <w:rFonts w:ascii="Times New Roman" w:hAnsi="Times New Roman"/>
          <w:b/>
          <w:sz w:val="24"/>
          <w:szCs w:val="24"/>
        </w:rPr>
      </w:pPr>
      <w:r w:rsidRPr="00EB0F10">
        <w:rPr>
          <w:rFonts w:ascii="Times New Roman" w:hAnsi="Times New Roman"/>
          <w:b/>
          <w:sz w:val="24"/>
          <w:szCs w:val="24"/>
        </w:rPr>
        <w:t>Динамика и структура промышленного производства и реализации продукции по отраслям промышленности</w:t>
      </w:r>
    </w:p>
    <w:p w:rsidR="00F63602" w:rsidRPr="004C49D8" w:rsidRDefault="00F63602" w:rsidP="00F63602">
      <w:pPr>
        <w:spacing w:after="0" w:line="240" w:lineRule="auto"/>
        <w:jc w:val="center"/>
        <w:rPr>
          <w:rFonts w:ascii="Times New Roman" w:hAnsi="Times New Roman"/>
          <w:b/>
          <w:sz w:val="28"/>
          <w:szCs w:val="28"/>
        </w:rPr>
      </w:pPr>
    </w:p>
    <w:tbl>
      <w:tblPr>
        <w:tblW w:w="9622" w:type="dxa"/>
        <w:tblInd w:w="-72" w:type="dxa"/>
        <w:tblLayout w:type="fixed"/>
        <w:tblLook w:val="0000"/>
      </w:tblPr>
      <w:tblGrid>
        <w:gridCol w:w="3299"/>
        <w:gridCol w:w="817"/>
        <w:gridCol w:w="784"/>
        <w:gridCol w:w="1140"/>
        <w:gridCol w:w="862"/>
        <w:gridCol w:w="791"/>
        <w:gridCol w:w="934"/>
        <w:gridCol w:w="995"/>
      </w:tblGrid>
      <w:tr w:rsidR="00F63602" w:rsidRPr="004C49D8" w:rsidTr="002156EF">
        <w:trPr>
          <w:cantSplit/>
          <w:trHeight w:val="366"/>
        </w:trPr>
        <w:tc>
          <w:tcPr>
            <w:tcW w:w="32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63602" w:rsidRPr="004C49D8" w:rsidRDefault="00F63602" w:rsidP="002156EF">
            <w:pPr>
              <w:spacing w:after="0" w:line="240" w:lineRule="auto"/>
              <w:ind w:left="-108" w:right="-108"/>
              <w:jc w:val="center"/>
              <w:rPr>
                <w:rFonts w:ascii="Times New Roman" w:hAnsi="Times New Roman"/>
                <w:sz w:val="24"/>
                <w:szCs w:val="24"/>
              </w:rPr>
            </w:pPr>
            <w:r w:rsidRPr="004C49D8">
              <w:rPr>
                <w:rFonts w:ascii="Times New Roman" w:hAnsi="Times New Roman"/>
                <w:sz w:val="24"/>
                <w:szCs w:val="24"/>
              </w:rPr>
              <w:t>Название отраслей промышленности</w:t>
            </w:r>
          </w:p>
        </w:tc>
        <w:tc>
          <w:tcPr>
            <w:tcW w:w="3603" w:type="dxa"/>
            <w:gridSpan w:val="4"/>
            <w:tcBorders>
              <w:top w:val="single" w:sz="4" w:space="0" w:color="auto"/>
              <w:left w:val="nil"/>
              <w:bottom w:val="single" w:sz="4" w:space="0" w:color="auto"/>
              <w:right w:val="single" w:sz="4" w:space="0" w:color="auto"/>
            </w:tcBorders>
            <w:shd w:val="clear" w:color="auto" w:fill="auto"/>
            <w:noWrap/>
            <w:vAlign w:val="center"/>
          </w:tcPr>
          <w:p w:rsidR="00F63602" w:rsidRPr="004C49D8" w:rsidRDefault="00F63602" w:rsidP="002156EF">
            <w:pPr>
              <w:spacing w:after="0" w:line="240" w:lineRule="auto"/>
              <w:jc w:val="center"/>
              <w:rPr>
                <w:rFonts w:ascii="Times New Roman" w:hAnsi="Times New Roman"/>
                <w:sz w:val="24"/>
                <w:szCs w:val="24"/>
              </w:rPr>
            </w:pPr>
            <w:r w:rsidRPr="004C49D8">
              <w:rPr>
                <w:rFonts w:ascii="Times New Roman" w:hAnsi="Times New Roman"/>
                <w:sz w:val="24"/>
                <w:szCs w:val="24"/>
              </w:rPr>
              <w:t>Объем промышленного производства</w:t>
            </w:r>
          </w:p>
        </w:tc>
        <w:tc>
          <w:tcPr>
            <w:tcW w:w="79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63602" w:rsidRPr="004C49D8" w:rsidRDefault="00F63602" w:rsidP="002156EF">
            <w:pPr>
              <w:spacing w:after="0" w:line="240" w:lineRule="auto"/>
              <w:jc w:val="center"/>
              <w:rPr>
                <w:rFonts w:ascii="Times New Roman" w:hAnsi="Times New Roman"/>
                <w:sz w:val="24"/>
                <w:szCs w:val="24"/>
              </w:rPr>
            </w:pPr>
            <w:r w:rsidRPr="004C49D8">
              <w:rPr>
                <w:rFonts w:ascii="Times New Roman" w:hAnsi="Times New Roman"/>
                <w:sz w:val="24"/>
                <w:szCs w:val="24"/>
              </w:rPr>
              <w:t>Удельный вес отрасли в общем объеме производства, %</w:t>
            </w:r>
          </w:p>
        </w:tc>
        <w:tc>
          <w:tcPr>
            <w:tcW w:w="1929" w:type="dxa"/>
            <w:gridSpan w:val="2"/>
            <w:tcBorders>
              <w:top w:val="single" w:sz="4" w:space="0" w:color="auto"/>
              <w:left w:val="nil"/>
              <w:bottom w:val="single" w:sz="4" w:space="0" w:color="auto"/>
              <w:right w:val="single" w:sz="4" w:space="0" w:color="auto"/>
            </w:tcBorders>
            <w:shd w:val="clear" w:color="auto" w:fill="auto"/>
          </w:tcPr>
          <w:p w:rsidR="00F63602" w:rsidRPr="004C49D8" w:rsidRDefault="00F63602" w:rsidP="002156EF">
            <w:pPr>
              <w:spacing w:after="0" w:line="240" w:lineRule="auto"/>
              <w:ind w:left="-169"/>
              <w:jc w:val="center"/>
              <w:rPr>
                <w:rFonts w:ascii="Times New Roman" w:hAnsi="Times New Roman"/>
                <w:sz w:val="24"/>
                <w:szCs w:val="24"/>
              </w:rPr>
            </w:pPr>
            <w:r w:rsidRPr="004C49D8">
              <w:rPr>
                <w:rFonts w:ascii="Times New Roman" w:hAnsi="Times New Roman"/>
                <w:sz w:val="24"/>
                <w:szCs w:val="24"/>
              </w:rPr>
              <w:t>Объем реализованной продукции</w:t>
            </w:r>
          </w:p>
        </w:tc>
      </w:tr>
      <w:tr w:rsidR="00F63602" w:rsidRPr="004C49D8" w:rsidTr="002156EF">
        <w:trPr>
          <w:cantSplit/>
          <w:trHeight w:val="2587"/>
        </w:trPr>
        <w:tc>
          <w:tcPr>
            <w:tcW w:w="32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63602" w:rsidRPr="004C49D8" w:rsidRDefault="00F63602" w:rsidP="002156EF">
            <w:pPr>
              <w:spacing w:after="0" w:line="240" w:lineRule="auto"/>
              <w:ind w:left="-108" w:right="-108"/>
              <w:rPr>
                <w:rFonts w:ascii="Times New Roman" w:hAnsi="Times New Roman"/>
                <w:sz w:val="24"/>
                <w:szCs w:val="24"/>
              </w:rPr>
            </w:pPr>
          </w:p>
        </w:tc>
        <w:tc>
          <w:tcPr>
            <w:tcW w:w="817" w:type="dxa"/>
            <w:tcBorders>
              <w:top w:val="single" w:sz="4" w:space="0" w:color="auto"/>
              <w:left w:val="nil"/>
              <w:bottom w:val="single" w:sz="4" w:space="0" w:color="auto"/>
              <w:right w:val="single" w:sz="4" w:space="0" w:color="auto"/>
            </w:tcBorders>
            <w:shd w:val="clear" w:color="auto" w:fill="auto"/>
            <w:textDirection w:val="btLr"/>
            <w:vAlign w:val="center"/>
          </w:tcPr>
          <w:p w:rsidR="00F63602" w:rsidRDefault="00F63602" w:rsidP="002156EF">
            <w:pPr>
              <w:suppressAutoHyphens/>
              <w:spacing w:after="0" w:line="240" w:lineRule="auto"/>
              <w:jc w:val="center"/>
              <w:rPr>
                <w:rFonts w:ascii="Times New Roman" w:hAnsi="Times New Roman"/>
                <w:snapToGrid w:val="0"/>
                <w:sz w:val="24"/>
                <w:szCs w:val="24"/>
              </w:rPr>
            </w:pPr>
            <w:r w:rsidRPr="004C49D8">
              <w:rPr>
                <w:rFonts w:ascii="Times New Roman" w:hAnsi="Times New Roman"/>
                <w:snapToGrid w:val="0"/>
                <w:sz w:val="24"/>
                <w:szCs w:val="24"/>
              </w:rPr>
              <w:t>20</w:t>
            </w:r>
            <w:r>
              <w:rPr>
                <w:rFonts w:ascii="Times New Roman" w:hAnsi="Times New Roman"/>
                <w:snapToGrid w:val="0"/>
                <w:sz w:val="24"/>
                <w:szCs w:val="24"/>
              </w:rPr>
              <w:t>16</w:t>
            </w:r>
            <w:r w:rsidRPr="004C49D8">
              <w:rPr>
                <w:rFonts w:ascii="Times New Roman" w:hAnsi="Times New Roman"/>
                <w:snapToGrid w:val="0"/>
                <w:sz w:val="24"/>
                <w:szCs w:val="24"/>
              </w:rPr>
              <w:t xml:space="preserve"> г.,</w:t>
            </w:r>
          </w:p>
          <w:p w:rsidR="00F63602" w:rsidRPr="004C49D8" w:rsidRDefault="00F63602" w:rsidP="002156EF">
            <w:pPr>
              <w:suppressAutoHyphens/>
              <w:spacing w:after="0" w:line="240" w:lineRule="auto"/>
              <w:jc w:val="center"/>
              <w:rPr>
                <w:rFonts w:ascii="Times New Roman" w:hAnsi="Times New Roman"/>
                <w:snapToGrid w:val="0"/>
                <w:sz w:val="24"/>
                <w:szCs w:val="24"/>
              </w:rPr>
            </w:pPr>
            <w:r w:rsidRPr="004C49D8">
              <w:rPr>
                <w:rFonts w:ascii="Times New Roman" w:hAnsi="Times New Roman"/>
                <w:snapToGrid w:val="0"/>
                <w:sz w:val="24"/>
                <w:szCs w:val="24"/>
              </w:rPr>
              <w:t>млн. дол</w:t>
            </w:r>
            <w:r>
              <w:rPr>
                <w:rFonts w:ascii="Times New Roman" w:hAnsi="Times New Roman"/>
                <w:snapToGrid w:val="0"/>
                <w:sz w:val="24"/>
                <w:szCs w:val="24"/>
              </w:rPr>
              <w:t>л</w:t>
            </w:r>
            <w:r w:rsidRPr="004C49D8">
              <w:rPr>
                <w:rFonts w:ascii="Times New Roman" w:hAnsi="Times New Roman"/>
                <w:snapToGrid w:val="0"/>
                <w:sz w:val="24"/>
                <w:szCs w:val="24"/>
              </w:rPr>
              <w:t>.</w:t>
            </w:r>
          </w:p>
        </w:tc>
        <w:tc>
          <w:tcPr>
            <w:tcW w:w="784" w:type="dxa"/>
            <w:tcBorders>
              <w:top w:val="single" w:sz="4" w:space="0" w:color="auto"/>
              <w:left w:val="nil"/>
              <w:bottom w:val="single" w:sz="4" w:space="0" w:color="auto"/>
              <w:right w:val="single" w:sz="4" w:space="0" w:color="auto"/>
            </w:tcBorders>
            <w:shd w:val="clear" w:color="auto" w:fill="auto"/>
            <w:textDirection w:val="btLr"/>
            <w:vAlign w:val="center"/>
          </w:tcPr>
          <w:p w:rsidR="00F63602" w:rsidRPr="00FE5CAF" w:rsidRDefault="00F63602" w:rsidP="002156EF">
            <w:pPr>
              <w:pStyle w:val="af2"/>
              <w:ind w:left="0" w:right="0"/>
              <w:rPr>
                <w:b w:val="0"/>
                <w:snapToGrid w:val="0"/>
                <w:sz w:val="24"/>
                <w:szCs w:val="24"/>
              </w:rPr>
            </w:pPr>
            <w:r w:rsidRPr="00FE5CAF">
              <w:rPr>
                <w:b w:val="0"/>
                <w:sz w:val="24"/>
                <w:szCs w:val="24"/>
              </w:rPr>
              <w:t>Темп роста</w:t>
            </w:r>
          </w:p>
          <w:p w:rsidR="00F63602" w:rsidRPr="005B23DB" w:rsidRDefault="00F63602" w:rsidP="002156EF">
            <w:pPr>
              <w:pStyle w:val="af2"/>
              <w:ind w:left="0" w:right="0"/>
              <w:rPr>
                <w:b w:val="0"/>
                <w:snapToGrid w:val="0"/>
                <w:sz w:val="24"/>
                <w:szCs w:val="24"/>
              </w:rPr>
            </w:pPr>
            <w:r w:rsidRPr="00FE5CAF">
              <w:rPr>
                <w:b w:val="0"/>
                <w:snapToGrid w:val="0"/>
                <w:sz w:val="24"/>
                <w:szCs w:val="24"/>
              </w:rPr>
              <w:t>201</w:t>
            </w:r>
            <w:r>
              <w:rPr>
                <w:b w:val="0"/>
                <w:snapToGrid w:val="0"/>
                <w:sz w:val="24"/>
                <w:szCs w:val="24"/>
              </w:rPr>
              <w:t>6</w:t>
            </w:r>
            <w:r w:rsidRPr="00FE5CAF">
              <w:rPr>
                <w:b w:val="0"/>
                <w:snapToGrid w:val="0"/>
                <w:sz w:val="24"/>
                <w:szCs w:val="24"/>
              </w:rPr>
              <w:t xml:space="preserve"> г</w:t>
            </w:r>
            <w:r w:rsidRPr="005B23DB">
              <w:rPr>
                <w:b w:val="0"/>
                <w:snapToGrid w:val="0"/>
                <w:sz w:val="24"/>
                <w:szCs w:val="24"/>
              </w:rPr>
              <w:t>. к 2015 г.</w:t>
            </w:r>
            <w:r w:rsidRPr="005B23DB">
              <w:rPr>
                <w:b w:val="0"/>
                <w:sz w:val="24"/>
                <w:szCs w:val="24"/>
              </w:rPr>
              <w:t>, %</w:t>
            </w:r>
          </w:p>
        </w:tc>
        <w:tc>
          <w:tcPr>
            <w:tcW w:w="1140" w:type="dxa"/>
            <w:tcBorders>
              <w:top w:val="single" w:sz="4" w:space="0" w:color="auto"/>
              <w:left w:val="nil"/>
              <w:bottom w:val="single" w:sz="4" w:space="0" w:color="auto"/>
              <w:right w:val="single" w:sz="4" w:space="0" w:color="auto"/>
            </w:tcBorders>
            <w:shd w:val="clear" w:color="auto" w:fill="auto"/>
            <w:textDirection w:val="btLr"/>
            <w:vAlign w:val="center"/>
          </w:tcPr>
          <w:p w:rsidR="00F63602" w:rsidRDefault="00F63602" w:rsidP="002156EF">
            <w:pPr>
              <w:spacing w:after="0" w:line="240" w:lineRule="auto"/>
              <w:jc w:val="center"/>
              <w:rPr>
                <w:rFonts w:ascii="Times New Roman" w:hAnsi="Times New Roman"/>
                <w:snapToGrid w:val="0"/>
                <w:sz w:val="24"/>
                <w:szCs w:val="24"/>
              </w:rPr>
            </w:pPr>
            <w:r w:rsidRPr="004C49D8">
              <w:rPr>
                <w:rFonts w:ascii="Times New Roman" w:hAnsi="Times New Roman"/>
                <w:snapToGrid w:val="0"/>
                <w:sz w:val="24"/>
                <w:szCs w:val="24"/>
              </w:rPr>
              <w:t>20</w:t>
            </w:r>
            <w:r>
              <w:rPr>
                <w:rFonts w:ascii="Times New Roman" w:hAnsi="Times New Roman"/>
                <w:snapToGrid w:val="0"/>
                <w:sz w:val="24"/>
                <w:szCs w:val="24"/>
              </w:rPr>
              <w:t>16</w:t>
            </w:r>
            <w:r w:rsidRPr="004C49D8">
              <w:rPr>
                <w:rFonts w:ascii="Times New Roman" w:hAnsi="Times New Roman"/>
                <w:snapToGrid w:val="0"/>
                <w:sz w:val="24"/>
                <w:szCs w:val="24"/>
              </w:rPr>
              <w:t xml:space="preserve"> г.</w:t>
            </w:r>
            <w:r>
              <w:rPr>
                <w:rFonts w:ascii="Times New Roman" w:hAnsi="Times New Roman"/>
                <w:snapToGrid w:val="0"/>
                <w:sz w:val="24"/>
                <w:szCs w:val="24"/>
              </w:rPr>
              <w:t xml:space="preserve"> </w:t>
            </w:r>
          </w:p>
          <w:p w:rsidR="00F63602" w:rsidRPr="004C49D8" w:rsidRDefault="00F63602" w:rsidP="002156EF">
            <w:pPr>
              <w:spacing w:after="0" w:line="240" w:lineRule="auto"/>
              <w:jc w:val="center"/>
              <w:rPr>
                <w:rFonts w:ascii="Times New Roman" w:hAnsi="Times New Roman"/>
                <w:sz w:val="24"/>
                <w:szCs w:val="24"/>
              </w:rPr>
            </w:pPr>
            <w:r w:rsidRPr="004C49D8">
              <w:rPr>
                <w:rFonts w:ascii="Times New Roman" w:hAnsi="Times New Roman"/>
                <w:sz w:val="24"/>
                <w:szCs w:val="24"/>
              </w:rPr>
              <w:t>в текущих ценах</w:t>
            </w:r>
            <w:r>
              <w:rPr>
                <w:rFonts w:ascii="Times New Roman" w:hAnsi="Times New Roman"/>
                <w:sz w:val="24"/>
                <w:szCs w:val="24"/>
              </w:rPr>
              <w:t>,</w:t>
            </w:r>
          </w:p>
          <w:p w:rsidR="00F63602" w:rsidRPr="004C49D8" w:rsidRDefault="00F63602" w:rsidP="002156EF">
            <w:pPr>
              <w:spacing w:after="0" w:line="240" w:lineRule="auto"/>
              <w:jc w:val="center"/>
              <w:rPr>
                <w:rFonts w:ascii="Times New Roman" w:hAnsi="Times New Roman"/>
                <w:sz w:val="24"/>
                <w:szCs w:val="24"/>
              </w:rPr>
            </w:pPr>
            <w:r w:rsidRPr="004C49D8">
              <w:rPr>
                <w:rFonts w:ascii="Times New Roman" w:hAnsi="Times New Roman"/>
                <w:sz w:val="24"/>
                <w:szCs w:val="24"/>
              </w:rPr>
              <w:t>млн. руб.</w:t>
            </w:r>
          </w:p>
        </w:tc>
        <w:tc>
          <w:tcPr>
            <w:tcW w:w="862" w:type="dxa"/>
            <w:tcBorders>
              <w:top w:val="single" w:sz="4" w:space="0" w:color="auto"/>
              <w:left w:val="nil"/>
              <w:bottom w:val="single" w:sz="4" w:space="0" w:color="auto"/>
              <w:right w:val="single" w:sz="4" w:space="0" w:color="auto"/>
            </w:tcBorders>
            <w:shd w:val="clear" w:color="auto" w:fill="auto"/>
            <w:textDirection w:val="btLr"/>
            <w:vAlign w:val="center"/>
          </w:tcPr>
          <w:p w:rsidR="00F63602" w:rsidRPr="00FE5CAF" w:rsidRDefault="00F63602" w:rsidP="002156EF">
            <w:pPr>
              <w:pStyle w:val="af2"/>
              <w:ind w:left="0" w:right="0"/>
              <w:rPr>
                <w:b w:val="0"/>
                <w:snapToGrid w:val="0"/>
                <w:sz w:val="24"/>
                <w:szCs w:val="24"/>
              </w:rPr>
            </w:pPr>
            <w:r w:rsidRPr="00FE5CAF">
              <w:rPr>
                <w:b w:val="0"/>
                <w:sz w:val="24"/>
                <w:szCs w:val="24"/>
              </w:rPr>
              <w:t>Темп роста</w:t>
            </w:r>
          </w:p>
          <w:p w:rsidR="00F63602" w:rsidRPr="005B23DB" w:rsidRDefault="00F63602" w:rsidP="002156EF">
            <w:pPr>
              <w:pStyle w:val="af2"/>
              <w:ind w:left="0" w:right="0"/>
              <w:rPr>
                <w:b w:val="0"/>
                <w:snapToGrid w:val="0"/>
                <w:sz w:val="24"/>
                <w:szCs w:val="24"/>
              </w:rPr>
            </w:pPr>
            <w:r w:rsidRPr="00FE5CAF">
              <w:rPr>
                <w:b w:val="0"/>
                <w:snapToGrid w:val="0"/>
                <w:sz w:val="24"/>
                <w:szCs w:val="24"/>
              </w:rPr>
              <w:t>201</w:t>
            </w:r>
            <w:r>
              <w:rPr>
                <w:b w:val="0"/>
                <w:snapToGrid w:val="0"/>
                <w:sz w:val="24"/>
                <w:szCs w:val="24"/>
              </w:rPr>
              <w:t>6</w:t>
            </w:r>
            <w:r w:rsidRPr="00FE5CAF">
              <w:rPr>
                <w:b w:val="0"/>
                <w:snapToGrid w:val="0"/>
                <w:sz w:val="24"/>
                <w:szCs w:val="24"/>
              </w:rPr>
              <w:t xml:space="preserve"> г</w:t>
            </w:r>
            <w:r w:rsidRPr="005B23DB">
              <w:rPr>
                <w:b w:val="0"/>
                <w:snapToGrid w:val="0"/>
                <w:sz w:val="24"/>
                <w:szCs w:val="24"/>
              </w:rPr>
              <w:t>. к 2015 г.</w:t>
            </w:r>
            <w:r w:rsidRPr="005B23DB">
              <w:rPr>
                <w:b w:val="0"/>
                <w:sz w:val="24"/>
                <w:szCs w:val="24"/>
              </w:rPr>
              <w:t>, %</w:t>
            </w:r>
          </w:p>
        </w:tc>
        <w:tc>
          <w:tcPr>
            <w:tcW w:w="791" w:type="dxa"/>
            <w:vMerge/>
            <w:tcBorders>
              <w:top w:val="single" w:sz="4" w:space="0" w:color="auto"/>
              <w:left w:val="single" w:sz="4" w:space="0" w:color="auto"/>
              <w:bottom w:val="single" w:sz="4" w:space="0" w:color="auto"/>
              <w:right w:val="single" w:sz="4" w:space="0" w:color="auto"/>
            </w:tcBorders>
            <w:shd w:val="clear" w:color="auto" w:fill="auto"/>
            <w:vAlign w:val="center"/>
          </w:tcPr>
          <w:p w:rsidR="00F63602" w:rsidRPr="004C49D8" w:rsidRDefault="00F63602" w:rsidP="002156EF">
            <w:pPr>
              <w:spacing w:after="0" w:line="240" w:lineRule="auto"/>
              <w:jc w:val="center"/>
              <w:rPr>
                <w:rFonts w:ascii="Times New Roman" w:hAnsi="Times New Roman"/>
                <w:sz w:val="24"/>
                <w:szCs w:val="24"/>
              </w:rPr>
            </w:pPr>
          </w:p>
        </w:tc>
        <w:tc>
          <w:tcPr>
            <w:tcW w:w="934" w:type="dxa"/>
            <w:tcBorders>
              <w:top w:val="nil"/>
              <w:left w:val="nil"/>
              <w:bottom w:val="single" w:sz="4" w:space="0" w:color="auto"/>
              <w:right w:val="single" w:sz="4" w:space="0" w:color="auto"/>
            </w:tcBorders>
            <w:shd w:val="clear" w:color="auto" w:fill="auto"/>
            <w:textDirection w:val="btLr"/>
            <w:vAlign w:val="center"/>
          </w:tcPr>
          <w:p w:rsidR="00F63602" w:rsidRPr="003A38B4" w:rsidRDefault="00F63602" w:rsidP="002156EF">
            <w:pPr>
              <w:spacing w:after="0" w:line="240" w:lineRule="auto"/>
              <w:jc w:val="center"/>
              <w:rPr>
                <w:rFonts w:ascii="Times New Roman" w:hAnsi="Times New Roman"/>
                <w:snapToGrid w:val="0"/>
                <w:sz w:val="24"/>
                <w:szCs w:val="24"/>
              </w:rPr>
            </w:pPr>
            <w:r w:rsidRPr="004C49D8">
              <w:rPr>
                <w:rFonts w:ascii="Times New Roman" w:hAnsi="Times New Roman"/>
                <w:snapToGrid w:val="0"/>
                <w:sz w:val="24"/>
                <w:szCs w:val="24"/>
              </w:rPr>
              <w:t>20</w:t>
            </w:r>
            <w:r>
              <w:rPr>
                <w:rFonts w:ascii="Times New Roman" w:hAnsi="Times New Roman"/>
                <w:snapToGrid w:val="0"/>
                <w:sz w:val="24"/>
                <w:szCs w:val="24"/>
              </w:rPr>
              <w:t>16</w:t>
            </w:r>
            <w:r w:rsidRPr="004C49D8">
              <w:rPr>
                <w:rFonts w:ascii="Times New Roman" w:hAnsi="Times New Roman"/>
                <w:snapToGrid w:val="0"/>
                <w:sz w:val="24"/>
                <w:szCs w:val="24"/>
              </w:rPr>
              <w:t xml:space="preserve"> г.</w:t>
            </w:r>
            <w:r>
              <w:rPr>
                <w:rFonts w:ascii="Times New Roman" w:hAnsi="Times New Roman"/>
                <w:snapToGrid w:val="0"/>
                <w:sz w:val="24"/>
                <w:szCs w:val="24"/>
              </w:rPr>
              <w:t>,</w:t>
            </w:r>
          </w:p>
          <w:p w:rsidR="00F63602" w:rsidRPr="004C49D8" w:rsidRDefault="00F63602" w:rsidP="002156EF">
            <w:pPr>
              <w:spacing w:after="0" w:line="240" w:lineRule="auto"/>
              <w:jc w:val="center"/>
              <w:rPr>
                <w:rFonts w:ascii="Times New Roman" w:hAnsi="Times New Roman"/>
                <w:sz w:val="24"/>
                <w:szCs w:val="24"/>
              </w:rPr>
            </w:pPr>
            <w:r w:rsidRPr="004C49D8">
              <w:rPr>
                <w:rFonts w:ascii="Times New Roman" w:hAnsi="Times New Roman"/>
                <w:sz w:val="24"/>
                <w:szCs w:val="24"/>
              </w:rPr>
              <w:t>млн. руб.</w:t>
            </w:r>
          </w:p>
        </w:tc>
        <w:tc>
          <w:tcPr>
            <w:tcW w:w="995" w:type="dxa"/>
            <w:tcBorders>
              <w:top w:val="nil"/>
              <w:left w:val="nil"/>
              <w:bottom w:val="single" w:sz="4" w:space="0" w:color="auto"/>
              <w:right w:val="single" w:sz="4" w:space="0" w:color="auto"/>
            </w:tcBorders>
            <w:shd w:val="clear" w:color="auto" w:fill="auto"/>
            <w:textDirection w:val="btLr"/>
            <w:vAlign w:val="center"/>
          </w:tcPr>
          <w:p w:rsidR="00F63602" w:rsidRPr="00FE5CAF" w:rsidRDefault="00F63602" w:rsidP="002156EF">
            <w:pPr>
              <w:pStyle w:val="af2"/>
              <w:ind w:left="0" w:right="0"/>
              <w:rPr>
                <w:b w:val="0"/>
                <w:snapToGrid w:val="0"/>
                <w:sz w:val="24"/>
                <w:szCs w:val="24"/>
              </w:rPr>
            </w:pPr>
            <w:r w:rsidRPr="00FE5CAF">
              <w:rPr>
                <w:b w:val="0"/>
                <w:sz w:val="24"/>
                <w:szCs w:val="24"/>
              </w:rPr>
              <w:t>Темп роста</w:t>
            </w:r>
          </w:p>
          <w:p w:rsidR="00F63602" w:rsidRPr="005B23DB" w:rsidRDefault="00F63602" w:rsidP="002156EF">
            <w:pPr>
              <w:pStyle w:val="af2"/>
              <w:ind w:left="0" w:right="0"/>
              <w:rPr>
                <w:b w:val="0"/>
                <w:snapToGrid w:val="0"/>
                <w:sz w:val="24"/>
                <w:szCs w:val="24"/>
              </w:rPr>
            </w:pPr>
            <w:r w:rsidRPr="00FE5CAF">
              <w:rPr>
                <w:b w:val="0"/>
                <w:snapToGrid w:val="0"/>
                <w:sz w:val="24"/>
                <w:szCs w:val="24"/>
              </w:rPr>
              <w:t>201</w:t>
            </w:r>
            <w:r>
              <w:rPr>
                <w:b w:val="0"/>
                <w:snapToGrid w:val="0"/>
                <w:sz w:val="24"/>
                <w:szCs w:val="24"/>
              </w:rPr>
              <w:t>6</w:t>
            </w:r>
            <w:r w:rsidRPr="00FE5CAF">
              <w:rPr>
                <w:b w:val="0"/>
                <w:snapToGrid w:val="0"/>
                <w:sz w:val="24"/>
                <w:szCs w:val="24"/>
              </w:rPr>
              <w:t xml:space="preserve"> г</w:t>
            </w:r>
            <w:r w:rsidRPr="005B23DB">
              <w:rPr>
                <w:b w:val="0"/>
                <w:snapToGrid w:val="0"/>
                <w:sz w:val="24"/>
                <w:szCs w:val="24"/>
              </w:rPr>
              <w:t>. к 2015 г.</w:t>
            </w:r>
            <w:r w:rsidRPr="005B23DB">
              <w:rPr>
                <w:b w:val="0"/>
                <w:sz w:val="24"/>
                <w:szCs w:val="24"/>
              </w:rPr>
              <w:t>, %</w:t>
            </w:r>
          </w:p>
        </w:tc>
      </w:tr>
      <w:tr w:rsidR="00F63602" w:rsidRPr="007074C7" w:rsidTr="002156EF">
        <w:trPr>
          <w:trHeight w:val="332"/>
        </w:trPr>
        <w:tc>
          <w:tcPr>
            <w:tcW w:w="3299" w:type="dxa"/>
            <w:tcBorders>
              <w:top w:val="nil"/>
              <w:left w:val="single" w:sz="4" w:space="0" w:color="auto"/>
              <w:bottom w:val="single" w:sz="4" w:space="0" w:color="auto"/>
              <w:right w:val="single" w:sz="4" w:space="0" w:color="auto"/>
            </w:tcBorders>
            <w:shd w:val="clear" w:color="auto" w:fill="auto"/>
            <w:vAlign w:val="bottom"/>
          </w:tcPr>
          <w:p w:rsidR="00F63602" w:rsidRPr="004C49D8" w:rsidRDefault="00F63602" w:rsidP="00EB0F10">
            <w:pPr>
              <w:spacing w:after="0" w:line="240" w:lineRule="auto"/>
              <w:ind w:left="-70" w:right="-108"/>
              <w:rPr>
                <w:rFonts w:ascii="Times New Roman" w:hAnsi="Times New Roman"/>
                <w:sz w:val="24"/>
                <w:szCs w:val="24"/>
              </w:rPr>
            </w:pPr>
            <w:r w:rsidRPr="004C49D8">
              <w:rPr>
                <w:rFonts w:ascii="Times New Roman" w:hAnsi="Times New Roman"/>
                <w:sz w:val="24"/>
                <w:szCs w:val="24"/>
              </w:rPr>
              <w:t>Электроэнергетика</w:t>
            </w:r>
          </w:p>
        </w:tc>
        <w:tc>
          <w:tcPr>
            <w:tcW w:w="817" w:type="dxa"/>
            <w:tcBorders>
              <w:top w:val="single" w:sz="4" w:space="0" w:color="auto"/>
              <w:left w:val="nil"/>
              <w:bottom w:val="single" w:sz="6" w:space="0" w:color="auto"/>
              <w:right w:val="single" w:sz="6" w:space="0" w:color="auto"/>
            </w:tcBorders>
            <w:shd w:val="clear" w:color="auto" w:fill="auto"/>
            <w:vAlign w:val="bottom"/>
          </w:tcPr>
          <w:p w:rsidR="00F63602" w:rsidRPr="00DE5227" w:rsidRDefault="00F63602" w:rsidP="002156EF">
            <w:pPr>
              <w:spacing w:after="0" w:line="240" w:lineRule="auto"/>
              <w:ind w:right="-108"/>
              <w:jc w:val="center"/>
              <w:rPr>
                <w:rFonts w:ascii="Times New Roman" w:hAnsi="Times New Roman"/>
                <w:sz w:val="24"/>
                <w:szCs w:val="24"/>
              </w:rPr>
            </w:pPr>
            <w:r>
              <w:rPr>
                <w:rFonts w:ascii="Times New Roman" w:hAnsi="Times New Roman"/>
                <w:sz w:val="24"/>
                <w:szCs w:val="24"/>
              </w:rPr>
              <w:t>359,9</w:t>
            </w:r>
          </w:p>
        </w:tc>
        <w:tc>
          <w:tcPr>
            <w:tcW w:w="784" w:type="dxa"/>
            <w:tcBorders>
              <w:top w:val="single" w:sz="4"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ind w:right="-108"/>
              <w:jc w:val="center"/>
              <w:rPr>
                <w:rFonts w:ascii="Times New Roman" w:hAnsi="Times New Roman"/>
                <w:sz w:val="24"/>
                <w:szCs w:val="24"/>
              </w:rPr>
            </w:pPr>
            <w:r>
              <w:rPr>
                <w:rFonts w:ascii="Times New Roman" w:hAnsi="Times New Roman"/>
                <w:sz w:val="24"/>
                <w:szCs w:val="24"/>
              </w:rPr>
              <w:t>85,6</w:t>
            </w:r>
          </w:p>
        </w:tc>
        <w:tc>
          <w:tcPr>
            <w:tcW w:w="1140" w:type="dxa"/>
            <w:tcBorders>
              <w:top w:val="single" w:sz="4"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4 048,7</w:t>
            </w:r>
          </w:p>
        </w:tc>
        <w:tc>
          <w:tcPr>
            <w:tcW w:w="862" w:type="dxa"/>
            <w:tcBorders>
              <w:top w:val="single" w:sz="4" w:space="0" w:color="auto"/>
              <w:left w:val="single" w:sz="6" w:space="0" w:color="auto"/>
              <w:bottom w:val="single" w:sz="6"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86,7</w:t>
            </w:r>
          </w:p>
        </w:tc>
        <w:tc>
          <w:tcPr>
            <w:tcW w:w="791"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50,3</w:t>
            </w:r>
          </w:p>
        </w:tc>
        <w:tc>
          <w:tcPr>
            <w:tcW w:w="934" w:type="dxa"/>
            <w:tcBorders>
              <w:top w:val="nil"/>
              <w:left w:val="nil"/>
              <w:bottom w:val="single" w:sz="4" w:space="0" w:color="auto"/>
              <w:right w:val="single" w:sz="4" w:space="0" w:color="auto"/>
            </w:tcBorders>
            <w:shd w:val="clear" w:color="auto" w:fill="auto"/>
            <w:noWrap/>
            <w:vAlign w:val="bottom"/>
          </w:tcPr>
          <w:p w:rsidR="00F63602" w:rsidRPr="00DE5227" w:rsidRDefault="00F63602" w:rsidP="002156EF">
            <w:pPr>
              <w:spacing w:after="0" w:line="240" w:lineRule="auto"/>
              <w:ind w:left="-108" w:right="-66"/>
              <w:jc w:val="center"/>
              <w:rPr>
                <w:rFonts w:ascii="Times New Roman" w:hAnsi="Times New Roman"/>
                <w:sz w:val="24"/>
                <w:szCs w:val="24"/>
              </w:rPr>
            </w:pPr>
            <w:r>
              <w:rPr>
                <w:rFonts w:ascii="Times New Roman" w:hAnsi="Times New Roman"/>
                <w:sz w:val="24"/>
                <w:szCs w:val="24"/>
              </w:rPr>
              <w:t>3 985,7</w:t>
            </w:r>
          </w:p>
        </w:tc>
        <w:tc>
          <w:tcPr>
            <w:tcW w:w="995" w:type="dxa"/>
            <w:tcBorders>
              <w:top w:val="nil"/>
              <w:left w:val="nil"/>
              <w:bottom w:val="single" w:sz="4" w:space="0" w:color="auto"/>
              <w:right w:val="single" w:sz="4" w:space="0" w:color="auto"/>
            </w:tcBorders>
            <w:shd w:val="clear" w:color="auto" w:fill="auto"/>
            <w:noWrap/>
            <w:vAlign w:val="bottom"/>
          </w:tcPr>
          <w:p w:rsidR="00F63602" w:rsidRPr="00DE5227" w:rsidRDefault="00F63602" w:rsidP="002156EF">
            <w:pPr>
              <w:spacing w:after="0" w:line="240" w:lineRule="auto"/>
              <w:ind w:left="-65"/>
              <w:jc w:val="center"/>
              <w:rPr>
                <w:rFonts w:ascii="Times New Roman" w:hAnsi="Times New Roman"/>
                <w:sz w:val="24"/>
                <w:szCs w:val="24"/>
              </w:rPr>
            </w:pPr>
            <w:r w:rsidRPr="00DE5227">
              <w:rPr>
                <w:rFonts w:ascii="Times New Roman" w:hAnsi="Times New Roman"/>
                <w:sz w:val="24"/>
                <w:szCs w:val="24"/>
              </w:rPr>
              <w:t>8</w:t>
            </w:r>
            <w:r>
              <w:rPr>
                <w:rFonts w:ascii="Times New Roman" w:hAnsi="Times New Roman"/>
                <w:sz w:val="24"/>
                <w:szCs w:val="24"/>
              </w:rPr>
              <w:t>6</w:t>
            </w:r>
            <w:r w:rsidRPr="00DE5227">
              <w:rPr>
                <w:rFonts w:ascii="Times New Roman" w:hAnsi="Times New Roman"/>
                <w:sz w:val="24"/>
                <w:szCs w:val="24"/>
              </w:rPr>
              <w:t>,</w:t>
            </w:r>
            <w:r>
              <w:rPr>
                <w:rFonts w:ascii="Times New Roman" w:hAnsi="Times New Roman"/>
                <w:sz w:val="24"/>
                <w:szCs w:val="24"/>
              </w:rPr>
              <w:t>3</w:t>
            </w:r>
          </w:p>
        </w:tc>
      </w:tr>
      <w:tr w:rsidR="00F63602" w:rsidRPr="004C49D8" w:rsidTr="002156EF">
        <w:trPr>
          <w:trHeight w:val="302"/>
        </w:trPr>
        <w:tc>
          <w:tcPr>
            <w:tcW w:w="3299" w:type="dxa"/>
            <w:tcBorders>
              <w:top w:val="nil"/>
              <w:left w:val="single" w:sz="4" w:space="0" w:color="auto"/>
              <w:bottom w:val="single" w:sz="4" w:space="0" w:color="auto"/>
              <w:right w:val="single" w:sz="4" w:space="0" w:color="auto"/>
            </w:tcBorders>
            <w:shd w:val="clear" w:color="auto" w:fill="auto"/>
            <w:vAlign w:val="bottom"/>
          </w:tcPr>
          <w:p w:rsidR="00F63602" w:rsidRPr="004C49D8" w:rsidRDefault="00F63602" w:rsidP="00EB0F10">
            <w:pPr>
              <w:spacing w:after="0" w:line="240" w:lineRule="auto"/>
              <w:ind w:left="-70" w:right="-108"/>
              <w:rPr>
                <w:rFonts w:ascii="Times New Roman" w:hAnsi="Times New Roman"/>
                <w:sz w:val="24"/>
                <w:szCs w:val="24"/>
              </w:rPr>
            </w:pPr>
            <w:r w:rsidRPr="004C49D8">
              <w:rPr>
                <w:rFonts w:ascii="Times New Roman" w:hAnsi="Times New Roman"/>
                <w:sz w:val="24"/>
                <w:szCs w:val="24"/>
              </w:rPr>
              <w:t>Черная металлургия</w:t>
            </w:r>
          </w:p>
        </w:tc>
        <w:tc>
          <w:tcPr>
            <w:tcW w:w="817" w:type="dxa"/>
            <w:tcBorders>
              <w:top w:val="single" w:sz="6" w:space="0" w:color="auto"/>
              <w:left w:val="nil"/>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71,7</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ind w:right="-108"/>
              <w:jc w:val="center"/>
              <w:rPr>
                <w:rFonts w:ascii="Times New Roman" w:hAnsi="Times New Roman"/>
                <w:sz w:val="24"/>
                <w:szCs w:val="24"/>
              </w:rPr>
            </w:pPr>
            <w:r>
              <w:rPr>
                <w:rFonts w:ascii="Times New Roman" w:hAnsi="Times New Roman"/>
                <w:sz w:val="24"/>
                <w:szCs w:val="24"/>
              </w:rPr>
              <w:t>60</w:t>
            </w:r>
            <w:r w:rsidRPr="00DE5227">
              <w:rPr>
                <w:rFonts w:ascii="Times New Roman" w:hAnsi="Times New Roman"/>
                <w:sz w:val="24"/>
                <w:szCs w:val="24"/>
              </w:rPr>
              <w:t>,4</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807,0</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61</w:t>
            </w:r>
            <w:r w:rsidRPr="00DE5227">
              <w:rPr>
                <w:rFonts w:ascii="Times New Roman" w:hAnsi="Times New Roman"/>
                <w:sz w:val="24"/>
                <w:szCs w:val="24"/>
              </w:rPr>
              <w:t>,3</w:t>
            </w:r>
          </w:p>
        </w:tc>
        <w:tc>
          <w:tcPr>
            <w:tcW w:w="791"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w:t>
            </w:r>
          </w:p>
        </w:tc>
        <w:tc>
          <w:tcPr>
            <w:tcW w:w="934" w:type="dxa"/>
            <w:tcBorders>
              <w:top w:val="nil"/>
              <w:left w:val="nil"/>
              <w:bottom w:val="single" w:sz="4" w:space="0" w:color="auto"/>
              <w:right w:val="single" w:sz="4" w:space="0" w:color="auto"/>
            </w:tcBorders>
            <w:shd w:val="clear" w:color="auto" w:fill="auto"/>
            <w:noWrap/>
            <w:vAlign w:val="bottom"/>
          </w:tcPr>
          <w:p w:rsidR="00F63602" w:rsidRPr="00DE5227" w:rsidRDefault="00F63602" w:rsidP="002156EF">
            <w:pPr>
              <w:spacing w:after="0" w:line="240" w:lineRule="auto"/>
              <w:ind w:left="-108" w:right="-66"/>
              <w:jc w:val="center"/>
              <w:rPr>
                <w:rFonts w:ascii="Times New Roman" w:hAnsi="Times New Roman"/>
                <w:sz w:val="24"/>
                <w:szCs w:val="24"/>
              </w:rPr>
            </w:pPr>
            <w:r>
              <w:rPr>
                <w:rFonts w:ascii="Times New Roman" w:hAnsi="Times New Roman"/>
                <w:sz w:val="24"/>
                <w:szCs w:val="24"/>
              </w:rPr>
              <w:t>812,4</w:t>
            </w:r>
          </w:p>
        </w:tc>
        <w:tc>
          <w:tcPr>
            <w:tcW w:w="995" w:type="dxa"/>
            <w:tcBorders>
              <w:top w:val="nil"/>
              <w:left w:val="nil"/>
              <w:bottom w:val="single" w:sz="4" w:space="0" w:color="auto"/>
              <w:right w:val="single" w:sz="4" w:space="0" w:color="auto"/>
            </w:tcBorders>
            <w:shd w:val="clear" w:color="auto" w:fill="auto"/>
            <w:noWrap/>
            <w:vAlign w:val="bottom"/>
          </w:tcPr>
          <w:p w:rsidR="00F63602" w:rsidRPr="00DE5227" w:rsidRDefault="00F63602" w:rsidP="002156EF">
            <w:pPr>
              <w:spacing w:after="0" w:line="240" w:lineRule="auto"/>
              <w:ind w:left="-95"/>
              <w:jc w:val="center"/>
              <w:rPr>
                <w:rFonts w:ascii="Times New Roman" w:hAnsi="Times New Roman"/>
                <w:sz w:val="24"/>
                <w:szCs w:val="24"/>
              </w:rPr>
            </w:pPr>
            <w:r>
              <w:rPr>
                <w:rFonts w:ascii="Times New Roman" w:hAnsi="Times New Roman"/>
                <w:sz w:val="24"/>
                <w:szCs w:val="24"/>
              </w:rPr>
              <w:t>61,8</w:t>
            </w:r>
          </w:p>
        </w:tc>
      </w:tr>
      <w:tr w:rsidR="00F63602" w:rsidRPr="00DE750C" w:rsidTr="002156EF">
        <w:trPr>
          <w:trHeight w:val="235"/>
        </w:trPr>
        <w:tc>
          <w:tcPr>
            <w:tcW w:w="3299" w:type="dxa"/>
            <w:tcBorders>
              <w:top w:val="nil"/>
              <w:left w:val="single" w:sz="4" w:space="0" w:color="auto"/>
              <w:bottom w:val="single" w:sz="4" w:space="0" w:color="auto"/>
              <w:right w:val="single" w:sz="4" w:space="0" w:color="auto"/>
            </w:tcBorders>
            <w:shd w:val="clear" w:color="auto" w:fill="auto"/>
            <w:vAlign w:val="bottom"/>
          </w:tcPr>
          <w:p w:rsidR="00F63602" w:rsidRPr="004C49D8" w:rsidRDefault="00F63602" w:rsidP="00EB0F10">
            <w:pPr>
              <w:spacing w:after="0" w:line="240" w:lineRule="auto"/>
              <w:ind w:left="-70" w:right="-108"/>
              <w:rPr>
                <w:rFonts w:ascii="Times New Roman" w:hAnsi="Times New Roman"/>
                <w:sz w:val="24"/>
                <w:szCs w:val="24"/>
              </w:rPr>
            </w:pPr>
            <w:r w:rsidRPr="004C49D8">
              <w:rPr>
                <w:rFonts w:ascii="Times New Roman" w:hAnsi="Times New Roman"/>
                <w:sz w:val="24"/>
                <w:szCs w:val="24"/>
              </w:rPr>
              <w:t>Химическая промышленность</w:t>
            </w:r>
          </w:p>
        </w:tc>
        <w:tc>
          <w:tcPr>
            <w:tcW w:w="817" w:type="dxa"/>
            <w:tcBorders>
              <w:top w:val="single" w:sz="6" w:space="0" w:color="auto"/>
              <w:left w:val="nil"/>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13,5</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ind w:right="-108"/>
              <w:jc w:val="center"/>
              <w:rPr>
                <w:rFonts w:ascii="Times New Roman" w:hAnsi="Times New Roman"/>
                <w:sz w:val="24"/>
                <w:szCs w:val="24"/>
              </w:rPr>
            </w:pPr>
            <w:r w:rsidRPr="00DE5227">
              <w:rPr>
                <w:rFonts w:ascii="Times New Roman" w:hAnsi="Times New Roman"/>
                <w:sz w:val="24"/>
                <w:szCs w:val="24"/>
              </w:rPr>
              <w:t>1</w:t>
            </w:r>
            <w:r>
              <w:rPr>
                <w:rFonts w:ascii="Times New Roman" w:hAnsi="Times New Roman"/>
                <w:sz w:val="24"/>
                <w:szCs w:val="24"/>
              </w:rPr>
              <w:t>34</w:t>
            </w:r>
            <w:r w:rsidRPr="00DE5227">
              <w:rPr>
                <w:rFonts w:ascii="Times New Roman" w:hAnsi="Times New Roman"/>
                <w:sz w:val="24"/>
                <w:szCs w:val="24"/>
              </w:rPr>
              <w:t>,</w:t>
            </w:r>
            <w:r>
              <w:rPr>
                <w:rFonts w:ascii="Times New Roman" w:hAnsi="Times New Roman"/>
                <w:sz w:val="24"/>
                <w:szCs w:val="24"/>
              </w:rPr>
              <w:t>2</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152</w:t>
            </w:r>
            <w:r w:rsidRPr="00DE5227">
              <w:rPr>
                <w:rFonts w:ascii="Times New Roman" w:hAnsi="Times New Roman"/>
                <w:sz w:val="24"/>
                <w:szCs w:val="24"/>
              </w:rPr>
              <w:t>,3</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136,1</w:t>
            </w:r>
          </w:p>
        </w:tc>
        <w:tc>
          <w:tcPr>
            <w:tcW w:w="791"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w:t>
            </w:r>
          </w:p>
        </w:tc>
        <w:tc>
          <w:tcPr>
            <w:tcW w:w="934"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ind w:left="-108" w:right="-66"/>
              <w:jc w:val="center"/>
              <w:rPr>
                <w:rFonts w:ascii="Times New Roman" w:hAnsi="Times New Roman"/>
                <w:sz w:val="24"/>
                <w:szCs w:val="24"/>
              </w:rPr>
            </w:pPr>
            <w:r>
              <w:rPr>
                <w:rFonts w:ascii="Times New Roman" w:hAnsi="Times New Roman"/>
                <w:sz w:val="24"/>
                <w:szCs w:val="24"/>
              </w:rPr>
              <w:t>127,1</w:t>
            </w:r>
          </w:p>
        </w:tc>
        <w:tc>
          <w:tcPr>
            <w:tcW w:w="995"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ind w:right="-108"/>
              <w:jc w:val="center"/>
              <w:rPr>
                <w:rFonts w:ascii="Times New Roman" w:hAnsi="Times New Roman"/>
                <w:sz w:val="24"/>
                <w:szCs w:val="24"/>
              </w:rPr>
            </w:pPr>
            <w:r>
              <w:rPr>
                <w:rFonts w:ascii="Times New Roman" w:hAnsi="Times New Roman"/>
                <w:sz w:val="24"/>
                <w:szCs w:val="24"/>
              </w:rPr>
              <w:t>127,1</w:t>
            </w:r>
          </w:p>
        </w:tc>
      </w:tr>
      <w:tr w:rsidR="00F63602" w:rsidRPr="004C49D8" w:rsidTr="002156EF">
        <w:trPr>
          <w:trHeight w:val="335"/>
        </w:trPr>
        <w:tc>
          <w:tcPr>
            <w:tcW w:w="3299" w:type="dxa"/>
            <w:tcBorders>
              <w:top w:val="nil"/>
              <w:left w:val="single" w:sz="4" w:space="0" w:color="auto"/>
              <w:bottom w:val="single" w:sz="4" w:space="0" w:color="auto"/>
              <w:right w:val="single" w:sz="4" w:space="0" w:color="auto"/>
            </w:tcBorders>
            <w:shd w:val="clear" w:color="auto" w:fill="auto"/>
            <w:vAlign w:val="bottom"/>
          </w:tcPr>
          <w:p w:rsidR="00F63602" w:rsidRPr="004C49D8" w:rsidRDefault="00F63602" w:rsidP="00EB0F10">
            <w:pPr>
              <w:spacing w:after="0" w:line="240" w:lineRule="auto"/>
              <w:ind w:left="-70" w:right="-108"/>
              <w:rPr>
                <w:rFonts w:ascii="Times New Roman" w:hAnsi="Times New Roman"/>
                <w:sz w:val="24"/>
                <w:szCs w:val="24"/>
              </w:rPr>
            </w:pPr>
            <w:r w:rsidRPr="004C49D8">
              <w:rPr>
                <w:rFonts w:ascii="Times New Roman" w:hAnsi="Times New Roman"/>
                <w:sz w:val="24"/>
                <w:szCs w:val="24"/>
              </w:rPr>
              <w:t>Машиностроение</w:t>
            </w:r>
            <w:r>
              <w:rPr>
                <w:rFonts w:ascii="Times New Roman" w:hAnsi="Times New Roman"/>
                <w:sz w:val="24"/>
                <w:szCs w:val="24"/>
              </w:rPr>
              <w:t xml:space="preserve"> и </w:t>
            </w:r>
            <w:r w:rsidRPr="004C49D8">
              <w:rPr>
                <w:rFonts w:ascii="Times New Roman" w:hAnsi="Times New Roman"/>
                <w:sz w:val="24"/>
                <w:szCs w:val="24"/>
              </w:rPr>
              <w:t>металлообработка</w:t>
            </w:r>
          </w:p>
        </w:tc>
        <w:tc>
          <w:tcPr>
            <w:tcW w:w="817" w:type="dxa"/>
            <w:tcBorders>
              <w:top w:val="single" w:sz="6" w:space="0" w:color="auto"/>
              <w:left w:val="nil"/>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18,3</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ind w:right="-108"/>
              <w:jc w:val="center"/>
              <w:rPr>
                <w:rFonts w:ascii="Times New Roman" w:hAnsi="Times New Roman"/>
                <w:sz w:val="24"/>
                <w:szCs w:val="24"/>
              </w:rPr>
            </w:pPr>
            <w:r>
              <w:rPr>
                <w:rFonts w:ascii="Times New Roman" w:hAnsi="Times New Roman"/>
                <w:sz w:val="24"/>
                <w:szCs w:val="24"/>
              </w:rPr>
              <w:t>108</w:t>
            </w:r>
            <w:r w:rsidRPr="00DE5227">
              <w:rPr>
                <w:rFonts w:ascii="Times New Roman" w:hAnsi="Times New Roman"/>
                <w:sz w:val="24"/>
                <w:szCs w:val="24"/>
              </w:rPr>
              <w:t>,</w:t>
            </w:r>
            <w:r>
              <w:rPr>
                <w:rFonts w:ascii="Times New Roman" w:hAnsi="Times New Roman"/>
                <w:sz w:val="24"/>
                <w:szCs w:val="24"/>
              </w:rPr>
              <w:t>5</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206,5</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110,2</w:t>
            </w:r>
          </w:p>
        </w:tc>
        <w:tc>
          <w:tcPr>
            <w:tcW w:w="791"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color w:val="000000"/>
                <w:sz w:val="24"/>
                <w:szCs w:val="24"/>
              </w:rPr>
            </w:pPr>
            <w:r w:rsidRPr="00DE5227">
              <w:rPr>
                <w:rFonts w:ascii="Times New Roman" w:hAnsi="Times New Roman"/>
                <w:color w:val="000000"/>
                <w:sz w:val="24"/>
                <w:szCs w:val="24"/>
              </w:rPr>
              <w:t>2,</w:t>
            </w:r>
            <w:r>
              <w:rPr>
                <w:rFonts w:ascii="Times New Roman" w:hAnsi="Times New Roman"/>
                <w:color w:val="000000"/>
                <w:sz w:val="24"/>
                <w:szCs w:val="24"/>
              </w:rPr>
              <w:t>6</w:t>
            </w:r>
          </w:p>
        </w:tc>
        <w:tc>
          <w:tcPr>
            <w:tcW w:w="934"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ind w:left="-108" w:right="-66"/>
              <w:jc w:val="center"/>
              <w:rPr>
                <w:rFonts w:ascii="Times New Roman" w:hAnsi="Times New Roman"/>
                <w:sz w:val="24"/>
                <w:szCs w:val="24"/>
              </w:rPr>
            </w:pPr>
            <w:r>
              <w:rPr>
                <w:rFonts w:ascii="Times New Roman" w:hAnsi="Times New Roman"/>
                <w:sz w:val="24"/>
                <w:szCs w:val="24"/>
              </w:rPr>
              <w:t>211,0</w:t>
            </w:r>
          </w:p>
        </w:tc>
        <w:tc>
          <w:tcPr>
            <w:tcW w:w="995"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112,9</w:t>
            </w:r>
          </w:p>
        </w:tc>
      </w:tr>
      <w:tr w:rsidR="00F63602" w:rsidRPr="004C49D8" w:rsidTr="002156EF">
        <w:trPr>
          <w:trHeight w:val="414"/>
        </w:trPr>
        <w:tc>
          <w:tcPr>
            <w:tcW w:w="3299" w:type="dxa"/>
            <w:tcBorders>
              <w:top w:val="nil"/>
              <w:left w:val="single" w:sz="4" w:space="0" w:color="auto"/>
              <w:bottom w:val="single" w:sz="4" w:space="0" w:color="auto"/>
              <w:right w:val="single" w:sz="4" w:space="0" w:color="auto"/>
            </w:tcBorders>
            <w:shd w:val="clear" w:color="auto" w:fill="auto"/>
            <w:vAlign w:val="bottom"/>
          </w:tcPr>
          <w:p w:rsidR="00F63602" w:rsidRPr="004C49D8" w:rsidRDefault="00F63602" w:rsidP="00EB0F10">
            <w:pPr>
              <w:spacing w:after="0" w:line="240" w:lineRule="auto"/>
              <w:ind w:left="-70" w:right="-108"/>
              <w:rPr>
                <w:rFonts w:ascii="Times New Roman" w:hAnsi="Times New Roman"/>
                <w:sz w:val="24"/>
                <w:szCs w:val="24"/>
              </w:rPr>
            </w:pPr>
            <w:r w:rsidRPr="004C49D8">
              <w:rPr>
                <w:rFonts w:ascii="Times New Roman" w:hAnsi="Times New Roman"/>
                <w:sz w:val="24"/>
                <w:szCs w:val="24"/>
              </w:rPr>
              <w:t>Электротехническая промышленность</w:t>
            </w:r>
          </w:p>
        </w:tc>
        <w:tc>
          <w:tcPr>
            <w:tcW w:w="817" w:type="dxa"/>
            <w:tcBorders>
              <w:top w:val="single" w:sz="6" w:space="0" w:color="auto"/>
              <w:left w:val="nil"/>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9,4</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ind w:right="-108"/>
              <w:jc w:val="center"/>
              <w:rPr>
                <w:rFonts w:ascii="Times New Roman" w:hAnsi="Times New Roman"/>
                <w:sz w:val="24"/>
                <w:szCs w:val="24"/>
              </w:rPr>
            </w:pPr>
            <w:r>
              <w:rPr>
                <w:rFonts w:ascii="Times New Roman" w:hAnsi="Times New Roman"/>
                <w:sz w:val="24"/>
                <w:szCs w:val="24"/>
              </w:rPr>
              <w:t>79,7</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106,2</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sidRPr="00DE5227">
              <w:rPr>
                <w:rFonts w:ascii="Times New Roman" w:hAnsi="Times New Roman"/>
                <w:sz w:val="24"/>
                <w:szCs w:val="24"/>
              </w:rPr>
              <w:t>81,</w:t>
            </w:r>
            <w:r>
              <w:rPr>
                <w:rFonts w:ascii="Times New Roman" w:hAnsi="Times New Roman"/>
                <w:sz w:val="24"/>
                <w:szCs w:val="24"/>
              </w:rPr>
              <w:t>0</w:t>
            </w:r>
          </w:p>
        </w:tc>
        <w:tc>
          <w:tcPr>
            <w:tcW w:w="791"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color w:val="000000"/>
                <w:sz w:val="24"/>
                <w:szCs w:val="24"/>
              </w:rPr>
            </w:pPr>
            <w:r w:rsidRPr="00DE5227">
              <w:rPr>
                <w:rFonts w:ascii="Times New Roman" w:hAnsi="Times New Roman"/>
                <w:color w:val="000000"/>
                <w:sz w:val="24"/>
                <w:szCs w:val="24"/>
              </w:rPr>
              <w:t>1,</w:t>
            </w:r>
            <w:r>
              <w:rPr>
                <w:rFonts w:ascii="Times New Roman" w:hAnsi="Times New Roman"/>
                <w:color w:val="000000"/>
                <w:sz w:val="24"/>
                <w:szCs w:val="24"/>
              </w:rPr>
              <w:t>3</w:t>
            </w:r>
          </w:p>
        </w:tc>
        <w:tc>
          <w:tcPr>
            <w:tcW w:w="934"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ind w:left="-108" w:right="-66"/>
              <w:jc w:val="center"/>
              <w:rPr>
                <w:rFonts w:ascii="Times New Roman" w:hAnsi="Times New Roman"/>
                <w:sz w:val="24"/>
                <w:szCs w:val="24"/>
              </w:rPr>
            </w:pPr>
            <w:r>
              <w:rPr>
                <w:rFonts w:ascii="Times New Roman" w:hAnsi="Times New Roman"/>
                <w:sz w:val="24"/>
                <w:szCs w:val="24"/>
              </w:rPr>
              <w:t>114,8</w:t>
            </w:r>
          </w:p>
        </w:tc>
        <w:tc>
          <w:tcPr>
            <w:tcW w:w="995"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84,3</w:t>
            </w:r>
          </w:p>
        </w:tc>
      </w:tr>
      <w:tr w:rsidR="00F63602" w:rsidRPr="004C49D8" w:rsidTr="002156EF">
        <w:trPr>
          <w:trHeight w:val="492"/>
        </w:trPr>
        <w:tc>
          <w:tcPr>
            <w:tcW w:w="3299" w:type="dxa"/>
            <w:tcBorders>
              <w:top w:val="nil"/>
              <w:left w:val="single" w:sz="4" w:space="0" w:color="auto"/>
              <w:bottom w:val="single" w:sz="4" w:space="0" w:color="auto"/>
              <w:right w:val="single" w:sz="4" w:space="0" w:color="auto"/>
            </w:tcBorders>
            <w:shd w:val="clear" w:color="auto" w:fill="auto"/>
            <w:vAlign w:val="bottom"/>
          </w:tcPr>
          <w:p w:rsidR="00F63602" w:rsidRPr="004C49D8" w:rsidRDefault="00F63602" w:rsidP="00EB0F10">
            <w:pPr>
              <w:spacing w:after="0" w:line="240" w:lineRule="auto"/>
              <w:ind w:left="-70" w:right="-108"/>
              <w:rPr>
                <w:rFonts w:ascii="Times New Roman" w:hAnsi="Times New Roman"/>
                <w:sz w:val="24"/>
                <w:szCs w:val="24"/>
              </w:rPr>
            </w:pPr>
            <w:r>
              <w:rPr>
                <w:rFonts w:ascii="Times New Roman" w:hAnsi="Times New Roman"/>
                <w:sz w:val="24"/>
                <w:szCs w:val="24"/>
              </w:rPr>
              <w:t>Лесная и д</w:t>
            </w:r>
            <w:r w:rsidRPr="004C49D8">
              <w:rPr>
                <w:rFonts w:ascii="Times New Roman" w:hAnsi="Times New Roman"/>
                <w:sz w:val="24"/>
                <w:szCs w:val="24"/>
              </w:rPr>
              <w:t>еревообрабатывающая</w:t>
            </w:r>
            <w:r>
              <w:rPr>
                <w:rFonts w:ascii="Times New Roman" w:hAnsi="Times New Roman"/>
                <w:sz w:val="24"/>
                <w:szCs w:val="24"/>
              </w:rPr>
              <w:t xml:space="preserve"> промышленность</w:t>
            </w:r>
          </w:p>
        </w:tc>
        <w:tc>
          <w:tcPr>
            <w:tcW w:w="817" w:type="dxa"/>
            <w:tcBorders>
              <w:top w:val="single" w:sz="6" w:space="0" w:color="auto"/>
              <w:left w:val="nil"/>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sidRPr="00DE5227">
              <w:rPr>
                <w:rFonts w:ascii="Times New Roman" w:hAnsi="Times New Roman"/>
                <w:sz w:val="24"/>
                <w:szCs w:val="24"/>
              </w:rPr>
              <w:t>0,</w:t>
            </w:r>
            <w:r>
              <w:rPr>
                <w:rFonts w:ascii="Times New Roman" w:hAnsi="Times New Roman"/>
                <w:sz w:val="24"/>
                <w:szCs w:val="24"/>
              </w:rPr>
              <w:t>6</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ind w:right="-108"/>
              <w:jc w:val="center"/>
              <w:rPr>
                <w:rFonts w:ascii="Times New Roman" w:hAnsi="Times New Roman"/>
                <w:sz w:val="24"/>
                <w:szCs w:val="24"/>
              </w:rPr>
            </w:pPr>
            <w:r>
              <w:rPr>
                <w:rFonts w:ascii="Times New Roman" w:hAnsi="Times New Roman"/>
                <w:sz w:val="24"/>
                <w:szCs w:val="24"/>
              </w:rPr>
              <w:t>44,0</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6,5</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44,8</w:t>
            </w:r>
          </w:p>
        </w:tc>
        <w:tc>
          <w:tcPr>
            <w:tcW w:w="791"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color w:val="000000"/>
                <w:sz w:val="24"/>
                <w:szCs w:val="24"/>
              </w:rPr>
            </w:pPr>
            <w:r w:rsidRPr="00DE5227">
              <w:rPr>
                <w:rFonts w:ascii="Times New Roman" w:hAnsi="Times New Roman"/>
                <w:color w:val="000000"/>
                <w:sz w:val="24"/>
                <w:szCs w:val="24"/>
              </w:rPr>
              <w:t>0,1</w:t>
            </w:r>
          </w:p>
        </w:tc>
        <w:tc>
          <w:tcPr>
            <w:tcW w:w="934"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ind w:left="-108" w:right="-66"/>
              <w:jc w:val="center"/>
              <w:rPr>
                <w:rFonts w:ascii="Times New Roman" w:hAnsi="Times New Roman"/>
                <w:sz w:val="24"/>
                <w:szCs w:val="24"/>
              </w:rPr>
            </w:pPr>
            <w:r>
              <w:rPr>
                <w:rFonts w:ascii="Times New Roman" w:hAnsi="Times New Roman"/>
                <w:sz w:val="24"/>
                <w:szCs w:val="24"/>
              </w:rPr>
              <w:t>6,4</w:t>
            </w:r>
          </w:p>
        </w:tc>
        <w:tc>
          <w:tcPr>
            <w:tcW w:w="995"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96,7</w:t>
            </w:r>
          </w:p>
        </w:tc>
      </w:tr>
      <w:tr w:rsidR="00F63602" w:rsidRPr="004C49D8" w:rsidTr="002156EF">
        <w:trPr>
          <w:trHeight w:val="514"/>
        </w:trPr>
        <w:tc>
          <w:tcPr>
            <w:tcW w:w="3299" w:type="dxa"/>
            <w:tcBorders>
              <w:top w:val="nil"/>
              <w:left w:val="single" w:sz="4" w:space="0" w:color="auto"/>
              <w:bottom w:val="single" w:sz="4" w:space="0" w:color="auto"/>
              <w:right w:val="single" w:sz="4" w:space="0" w:color="auto"/>
            </w:tcBorders>
            <w:shd w:val="clear" w:color="auto" w:fill="auto"/>
            <w:vAlign w:val="bottom"/>
          </w:tcPr>
          <w:p w:rsidR="00F63602" w:rsidRPr="004C49D8" w:rsidRDefault="00F63602" w:rsidP="00EB0F10">
            <w:pPr>
              <w:spacing w:after="0" w:line="240" w:lineRule="auto"/>
              <w:ind w:left="-70" w:right="-108"/>
              <w:rPr>
                <w:rFonts w:ascii="Times New Roman" w:hAnsi="Times New Roman"/>
                <w:sz w:val="24"/>
                <w:szCs w:val="24"/>
              </w:rPr>
            </w:pPr>
            <w:r w:rsidRPr="004C49D8">
              <w:rPr>
                <w:rFonts w:ascii="Times New Roman" w:hAnsi="Times New Roman"/>
                <w:sz w:val="24"/>
                <w:szCs w:val="24"/>
              </w:rPr>
              <w:t>Промышленность стройматериалов</w:t>
            </w:r>
          </w:p>
        </w:tc>
        <w:tc>
          <w:tcPr>
            <w:tcW w:w="817" w:type="dxa"/>
            <w:tcBorders>
              <w:top w:val="single" w:sz="6" w:space="0" w:color="auto"/>
              <w:left w:val="nil"/>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32,9</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ind w:right="-108"/>
              <w:jc w:val="center"/>
              <w:rPr>
                <w:rFonts w:ascii="Times New Roman" w:hAnsi="Times New Roman"/>
                <w:sz w:val="24"/>
                <w:szCs w:val="24"/>
              </w:rPr>
            </w:pPr>
            <w:r w:rsidRPr="00DE5227">
              <w:rPr>
                <w:rFonts w:ascii="Times New Roman" w:hAnsi="Times New Roman"/>
                <w:sz w:val="24"/>
                <w:szCs w:val="24"/>
              </w:rPr>
              <w:t>10</w:t>
            </w:r>
            <w:r>
              <w:rPr>
                <w:rFonts w:ascii="Times New Roman" w:hAnsi="Times New Roman"/>
                <w:sz w:val="24"/>
                <w:szCs w:val="24"/>
              </w:rPr>
              <w:t>6</w:t>
            </w:r>
            <w:r w:rsidRPr="00DE5227">
              <w:rPr>
                <w:rFonts w:ascii="Times New Roman" w:hAnsi="Times New Roman"/>
                <w:sz w:val="24"/>
                <w:szCs w:val="24"/>
              </w:rPr>
              <w:t>,</w:t>
            </w:r>
            <w:r>
              <w:rPr>
                <w:rFonts w:ascii="Times New Roman" w:hAnsi="Times New Roman"/>
                <w:sz w:val="24"/>
                <w:szCs w:val="24"/>
              </w:rPr>
              <w:t>6</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371,0</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108,4</w:t>
            </w:r>
          </w:p>
        </w:tc>
        <w:tc>
          <w:tcPr>
            <w:tcW w:w="791"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color w:val="000000"/>
                <w:sz w:val="24"/>
                <w:szCs w:val="24"/>
              </w:rPr>
            </w:pPr>
            <w:r w:rsidRPr="00DE5227">
              <w:rPr>
                <w:rFonts w:ascii="Times New Roman" w:hAnsi="Times New Roman"/>
                <w:color w:val="000000"/>
                <w:sz w:val="24"/>
                <w:szCs w:val="24"/>
              </w:rPr>
              <w:t>4,</w:t>
            </w:r>
            <w:r>
              <w:rPr>
                <w:rFonts w:ascii="Times New Roman" w:hAnsi="Times New Roman"/>
                <w:color w:val="000000"/>
                <w:sz w:val="24"/>
                <w:szCs w:val="24"/>
              </w:rPr>
              <w:t>6</w:t>
            </w:r>
          </w:p>
        </w:tc>
        <w:tc>
          <w:tcPr>
            <w:tcW w:w="934"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ind w:left="-108" w:right="-66"/>
              <w:jc w:val="center"/>
              <w:rPr>
                <w:rFonts w:ascii="Times New Roman" w:hAnsi="Times New Roman"/>
                <w:sz w:val="24"/>
                <w:szCs w:val="24"/>
              </w:rPr>
            </w:pPr>
            <w:r>
              <w:rPr>
                <w:rFonts w:ascii="Times New Roman" w:hAnsi="Times New Roman"/>
                <w:sz w:val="24"/>
                <w:szCs w:val="24"/>
              </w:rPr>
              <w:t>362,6</w:t>
            </w:r>
          </w:p>
        </w:tc>
        <w:tc>
          <w:tcPr>
            <w:tcW w:w="995"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sidRPr="00DE5227">
              <w:rPr>
                <w:rFonts w:ascii="Times New Roman" w:hAnsi="Times New Roman"/>
                <w:sz w:val="24"/>
                <w:szCs w:val="24"/>
              </w:rPr>
              <w:t>10</w:t>
            </w:r>
            <w:r>
              <w:rPr>
                <w:rFonts w:ascii="Times New Roman" w:hAnsi="Times New Roman"/>
                <w:sz w:val="24"/>
                <w:szCs w:val="24"/>
              </w:rPr>
              <w:t>4</w:t>
            </w:r>
            <w:r w:rsidRPr="00DE5227">
              <w:rPr>
                <w:rFonts w:ascii="Times New Roman" w:hAnsi="Times New Roman"/>
                <w:sz w:val="24"/>
                <w:szCs w:val="24"/>
              </w:rPr>
              <w:t>,</w:t>
            </w:r>
            <w:r>
              <w:rPr>
                <w:rFonts w:ascii="Times New Roman" w:hAnsi="Times New Roman"/>
                <w:sz w:val="24"/>
                <w:szCs w:val="24"/>
              </w:rPr>
              <w:t>8</w:t>
            </w:r>
          </w:p>
        </w:tc>
      </w:tr>
      <w:tr w:rsidR="00F63602" w:rsidRPr="004C49D8" w:rsidTr="002156EF">
        <w:trPr>
          <w:trHeight w:val="233"/>
        </w:trPr>
        <w:tc>
          <w:tcPr>
            <w:tcW w:w="3299" w:type="dxa"/>
            <w:tcBorders>
              <w:top w:val="nil"/>
              <w:left w:val="single" w:sz="4" w:space="0" w:color="auto"/>
              <w:bottom w:val="single" w:sz="4" w:space="0" w:color="auto"/>
              <w:right w:val="single" w:sz="4" w:space="0" w:color="auto"/>
            </w:tcBorders>
            <w:shd w:val="clear" w:color="auto" w:fill="auto"/>
            <w:vAlign w:val="bottom"/>
          </w:tcPr>
          <w:p w:rsidR="00F63602" w:rsidRPr="004C49D8" w:rsidRDefault="00F63602" w:rsidP="00EB0F10">
            <w:pPr>
              <w:spacing w:after="0" w:line="240" w:lineRule="auto"/>
              <w:ind w:left="-70" w:right="-108"/>
              <w:rPr>
                <w:rFonts w:ascii="Times New Roman" w:hAnsi="Times New Roman"/>
                <w:sz w:val="24"/>
                <w:szCs w:val="24"/>
              </w:rPr>
            </w:pPr>
            <w:r w:rsidRPr="004C49D8">
              <w:rPr>
                <w:rFonts w:ascii="Times New Roman" w:hAnsi="Times New Roman"/>
                <w:sz w:val="24"/>
                <w:szCs w:val="24"/>
              </w:rPr>
              <w:t>Легкая промышленность</w:t>
            </w:r>
          </w:p>
        </w:tc>
        <w:tc>
          <w:tcPr>
            <w:tcW w:w="817" w:type="dxa"/>
            <w:tcBorders>
              <w:top w:val="single" w:sz="6" w:space="0" w:color="auto"/>
              <w:left w:val="nil"/>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106,1</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ind w:right="-108"/>
              <w:jc w:val="center"/>
              <w:rPr>
                <w:rFonts w:ascii="Times New Roman" w:hAnsi="Times New Roman"/>
                <w:sz w:val="24"/>
                <w:szCs w:val="24"/>
              </w:rPr>
            </w:pPr>
            <w:r w:rsidRPr="00DE5227">
              <w:rPr>
                <w:rFonts w:ascii="Times New Roman" w:hAnsi="Times New Roman"/>
                <w:sz w:val="24"/>
                <w:szCs w:val="24"/>
              </w:rPr>
              <w:t>11</w:t>
            </w:r>
            <w:r>
              <w:rPr>
                <w:rFonts w:ascii="Times New Roman" w:hAnsi="Times New Roman"/>
                <w:sz w:val="24"/>
                <w:szCs w:val="24"/>
              </w:rPr>
              <w:t>4</w:t>
            </w:r>
            <w:r w:rsidRPr="00DE5227">
              <w:rPr>
                <w:rFonts w:ascii="Times New Roman" w:hAnsi="Times New Roman"/>
                <w:sz w:val="24"/>
                <w:szCs w:val="24"/>
              </w:rPr>
              <w:t>,</w:t>
            </w:r>
            <w:r>
              <w:rPr>
                <w:rFonts w:ascii="Times New Roman" w:hAnsi="Times New Roman"/>
                <w:sz w:val="24"/>
                <w:szCs w:val="24"/>
              </w:rPr>
              <w:t>8</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1 195,5</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sidRPr="00DE5227">
              <w:rPr>
                <w:rFonts w:ascii="Times New Roman" w:hAnsi="Times New Roman"/>
                <w:sz w:val="24"/>
                <w:szCs w:val="24"/>
              </w:rPr>
              <w:t>11</w:t>
            </w:r>
            <w:r>
              <w:rPr>
                <w:rFonts w:ascii="Times New Roman" w:hAnsi="Times New Roman"/>
                <w:sz w:val="24"/>
                <w:szCs w:val="24"/>
              </w:rPr>
              <w:t>6</w:t>
            </w:r>
            <w:r w:rsidRPr="00DE5227">
              <w:rPr>
                <w:rFonts w:ascii="Times New Roman" w:hAnsi="Times New Roman"/>
                <w:sz w:val="24"/>
                <w:szCs w:val="24"/>
              </w:rPr>
              <w:t>,5</w:t>
            </w:r>
          </w:p>
        </w:tc>
        <w:tc>
          <w:tcPr>
            <w:tcW w:w="791"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color w:val="000000"/>
                <w:sz w:val="24"/>
                <w:szCs w:val="24"/>
              </w:rPr>
            </w:pPr>
            <w:r w:rsidRPr="00DE5227">
              <w:rPr>
                <w:rFonts w:ascii="Times New Roman" w:hAnsi="Times New Roman"/>
                <w:color w:val="000000"/>
                <w:sz w:val="24"/>
                <w:szCs w:val="24"/>
              </w:rPr>
              <w:t>1</w:t>
            </w:r>
            <w:r>
              <w:rPr>
                <w:rFonts w:ascii="Times New Roman" w:hAnsi="Times New Roman"/>
                <w:color w:val="000000"/>
                <w:sz w:val="24"/>
                <w:szCs w:val="24"/>
              </w:rPr>
              <w:t>4,9</w:t>
            </w:r>
          </w:p>
        </w:tc>
        <w:tc>
          <w:tcPr>
            <w:tcW w:w="934"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ind w:left="-108" w:right="-66"/>
              <w:jc w:val="center"/>
              <w:rPr>
                <w:rFonts w:ascii="Times New Roman" w:hAnsi="Times New Roman"/>
                <w:sz w:val="24"/>
                <w:szCs w:val="24"/>
              </w:rPr>
            </w:pPr>
            <w:r>
              <w:rPr>
                <w:rFonts w:ascii="Times New Roman" w:hAnsi="Times New Roman"/>
                <w:sz w:val="24"/>
                <w:szCs w:val="24"/>
              </w:rPr>
              <w:t>1 011,5</w:t>
            </w:r>
          </w:p>
        </w:tc>
        <w:tc>
          <w:tcPr>
            <w:tcW w:w="995"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sidRPr="00DE5227">
              <w:rPr>
                <w:rFonts w:ascii="Times New Roman" w:hAnsi="Times New Roman"/>
                <w:sz w:val="24"/>
                <w:szCs w:val="24"/>
              </w:rPr>
              <w:t>108,</w:t>
            </w:r>
            <w:r>
              <w:rPr>
                <w:rFonts w:ascii="Times New Roman" w:hAnsi="Times New Roman"/>
                <w:sz w:val="24"/>
                <w:szCs w:val="24"/>
              </w:rPr>
              <w:t>1</w:t>
            </w:r>
          </w:p>
        </w:tc>
      </w:tr>
      <w:tr w:rsidR="00F63602" w:rsidRPr="004C49D8" w:rsidTr="002156EF">
        <w:trPr>
          <w:trHeight w:val="239"/>
        </w:trPr>
        <w:tc>
          <w:tcPr>
            <w:tcW w:w="3299" w:type="dxa"/>
            <w:tcBorders>
              <w:top w:val="nil"/>
              <w:left w:val="single" w:sz="4" w:space="0" w:color="auto"/>
              <w:bottom w:val="single" w:sz="4" w:space="0" w:color="auto"/>
              <w:right w:val="single" w:sz="4" w:space="0" w:color="auto"/>
            </w:tcBorders>
            <w:shd w:val="clear" w:color="auto" w:fill="auto"/>
            <w:vAlign w:val="bottom"/>
          </w:tcPr>
          <w:p w:rsidR="00F63602" w:rsidRPr="004C49D8" w:rsidRDefault="00F63602" w:rsidP="00EB0F10">
            <w:pPr>
              <w:spacing w:after="0" w:line="240" w:lineRule="auto"/>
              <w:ind w:left="-70" w:right="-108"/>
              <w:rPr>
                <w:rFonts w:ascii="Times New Roman" w:hAnsi="Times New Roman"/>
                <w:sz w:val="24"/>
                <w:szCs w:val="24"/>
              </w:rPr>
            </w:pPr>
            <w:r w:rsidRPr="004C49D8">
              <w:rPr>
                <w:rFonts w:ascii="Times New Roman" w:hAnsi="Times New Roman"/>
                <w:sz w:val="24"/>
                <w:szCs w:val="24"/>
              </w:rPr>
              <w:t>Пищевая промышленность</w:t>
            </w:r>
          </w:p>
        </w:tc>
        <w:tc>
          <w:tcPr>
            <w:tcW w:w="817" w:type="dxa"/>
            <w:tcBorders>
              <w:top w:val="single" w:sz="6" w:space="0" w:color="auto"/>
              <w:left w:val="nil"/>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90,7</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ind w:right="-108"/>
              <w:jc w:val="center"/>
              <w:rPr>
                <w:rFonts w:ascii="Times New Roman" w:hAnsi="Times New Roman"/>
                <w:sz w:val="24"/>
                <w:szCs w:val="24"/>
              </w:rPr>
            </w:pPr>
            <w:r w:rsidRPr="00DE5227">
              <w:rPr>
                <w:rFonts w:ascii="Times New Roman" w:hAnsi="Times New Roman"/>
                <w:sz w:val="24"/>
                <w:szCs w:val="24"/>
              </w:rPr>
              <w:t>9</w:t>
            </w:r>
            <w:r>
              <w:rPr>
                <w:rFonts w:ascii="Times New Roman" w:hAnsi="Times New Roman"/>
                <w:sz w:val="24"/>
                <w:szCs w:val="24"/>
              </w:rPr>
              <w:t>9</w:t>
            </w:r>
            <w:r w:rsidRPr="00DE5227">
              <w:rPr>
                <w:rFonts w:ascii="Times New Roman" w:hAnsi="Times New Roman"/>
                <w:sz w:val="24"/>
                <w:szCs w:val="24"/>
              </w:rPr>
              <w:t>,</w:t>
            </w:r>
            <w:r>
              <w:rPr>
                <w:rFonts w:ascii="Times New Roman" w:hAnsi="Times New Roman"/>
                <w:sz w:val="24"/>
                <w:szCs w:val="24"/>
              </w:rPr>
              <w:t>3</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1 022,5</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100,8</w:t>
            </w:r>
          </w:p>
        </w:tc>
        <w:tc>
          <w:tcPr>
            <w:tcW w:w="791"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color w:val="000000"/>
                <w:sz w:val="24"/>
                <w:szCs w:val="24"/>
              </w:rPr>
            </w:pPr>
            <w:r w:rsidRPr="00DE5227">
              <w:rPr>
                <w:rFonts w:ascii="Times New Roman" w:hAnsi="Times New Roman"/>
                <w:color w:val="000000"/>
                <w:sz w:val="24"/>
                <w:szCs w:val="24"/>
              </w:rPr>
              <w:t>1</w:t>
            </w:r>
            <w:r>
              <w:rPr>
                <w:rFonts w:ascii="Times New Roman" w:hAnsi="Times New Roman"/>
                <w:color w:val="000000"/>
                <w:sz w:val="24"/>
                <w:szCs w:val="24"/>
              </w:rPr>
              <w:t>2</w:t>
            </w:r>
            <w:r w:rsidRPr="00DE5227">
              <w:rPr>
                <w:rFonts w:ascii="Times New Roman" w:hAnsi="Times New Roman"/>
                <w:color w:val="000000"/>
                <w:sz w:val="24"/>
                <w:szCs w:val="24"/>
              </w:rPr>
              <w:t>,</w:t>
            </w:r>
            <w:r>
              <w:rPr>
                <w:rFonts w:ascii="Times New Roman" w:hAnsi="Times New Roman"/>
                <w:color w:val="000000"/>
                <w:sz w:val="24"/>
                <w:szCs w:val="24"/>
              </w:rPr>
              <w:t>7</w:t>
            </w:r>
          </w:p>
        </w:tc>
        <w:tc>
          <w:tcPr>
            <w:tcW w:w="934"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ind w:left="-108" w:right="-66"/>
              <w:jc w:val="center"/>
              <w:rPr>
                <w:rFonts w:ascii="Times New Roman" w:hAnsi="Times New Roman"/>
                <w:sz w:val="24"/>
                <w:szCs w:val="24"/>
              </w:rPr>
            </w:pPr>
            <w:r>
              <w:rPr>
                <w:rFonts w:ascii="Times New Roman" w:hAnsi="Times New Roman"/>
                <w:sz w:val="24"/>
                <w:szCs w:val="24"/>
              </w:rPr>
              <w:t>1 009,5</w:t>
            </w:r>
          </w:p>
        </w:tc>
        <w:tc>
          <w:tcPr>
            <w:tcW w:w="995"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sidRPr="00DE5227">
              <w:rPr>
                <w:rFonts w:ascii="Times New Roman" w:hAnsi="Times New Roman"/>
                <w:sz w:val="24"/>
                <w:szCs w:val="24"/>
              </w:rPr>
              <w:t>9</w:t>
            </w:r>
            <w:r>
              <w:rPr>
                <w:rFonts w:ascii="Times New Roman" w:hAnsi="Times New Roman"/>
                <w:sz w:val="24"/>
                <w:szCs w:val="24"/>
              </w:rPr>
              <w:t>9</w:t>
            </w:r>
            <w:r w:rsidRPr="00DE5227">
              <w:rPr>
                <w:rFonts w:ascii="Times New Roman" w:hAnsi="Times New Roman"/>
                <w:sz w:val="24"/>
                <w:szCs w:val="24"/>
              </w:rPr>
              <w:t>,3</w:t>
            </w:r>
          </w:p>
        </w:tc>
      </w:tr>
      <w:tr w:rsidR="00F63602" w:rsidRPr="004C49D8" w:rsidTr="002156EF">
        <w:trPr>
          <w:trHeight w:val="362"/>
        </w:trPr>
        <w:tc>
          <w:tcPr>
            <w:tcW w:w="3299" w:type="dxa"/>
            <w:tcBorders>
              <w:top w:val="nil"/>
              <w:left w:val="single" w:sz="4" w:space="0" w:color="auto"/>
              <w:bottom w:val="single" w:sz="4" w:space="0" w:color="auto"/>
              <w:right w:val="single" w:sz="4" w:space="0" w:color="auto"/>
            </w:tcBorders>
            <w:shd w:val="clear" w:color="auto" w:fill="auto"/>
            <w:vAlign w:val="bottom"/>
          </w:tcPr>
          <w:p w:rsidR="00F63602" w:rsidRPr="004C49D8" w:rsidRDefault="00F63602" w:rsidP="00EB0F10">
            <w:pPr>
              <w:spacing w:after="0" w:line="240" w:lineRule="auto"/>
              <w:ind w:left="-70" w:right="-108"/>
              <w:rPr>
                <w:rFonts w:ascii="Times New Roman" w:hAnsi="Times New Roman"/>
                <w:sz w:val="24"/>
                <w:szCs w:val="24"/>
              </w:rPr>
            </w:pPr>
            <w:r w:rsidRPr="004C49D8">
              <w:rPr>
                <w:rFonts w:ascii="Times New Roman" w:hAnsi="Times New Roman"/>
                <w:sz w:val="24"/>
                <w:szCs w:val="24"/>
              </w:rPr>
              <w:t>Мукомольно-крупяная</w:t>
            </w:r>
            <w:r>
              <w:rPr>
                <w:rFonts w:ascii="Times New Roman" w:hAnsi="Times New Roman"/>
                <w:sz w:val="24"/>
                <w:szCs w:val="24"/>
              </w:rPr>
              <w:t xml:space="preserve"> и комбикормовая промышленность</w:t>
            </w:r>
          </w:p>
        </w:tc>
        <w:tc>
          <w:tcPr>
            <w:tcW w:w="817" w:type="dxa"/>
            <w:tcBorders>
              <w:top w:val="single" w:sz="6" w:space="0" w:color="auto"/>
              <w:left w:val="nil"/>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9,3</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ind w:right="-108"/>
              <w:jc w:val="center"/>
              <w:rPr>
                <w:rFonts w:ascii="Times New Roman" w:hAnsi="Times New Roman"/>
                <w:sz w:val="24"/>
                <w:szCs w:val="24"/>
              </w:rPr>
            </w:pPr>
            <w:r>
              <w:rPr>
                <w:rFonts w:ascii="Times New Roman" w:hAnsi="Times New Roman"/>
                <w:sz w:val="24"/>
                <w:szCs w:val="24"/>
              </w:rPr>
              <w:t>82,1</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104,8</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83,4</w:t>
            </w:r>
          </w:p>
        </w:tc>
        <w:tc>
          <w:tcPr>
            <w:tcW w:w="791"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color w:val="000000"/>
                <w:sz w:val="24"/>
                <w:szCs w:val="24"/>
              </w:rPr>
            </w:pPr>
            <w:r w:rsidRPr="00DE5227">
              <w:rPr>
                <w:rFonts w:ascii="Times New Roman" w:hAnsi="Times New Roman"/>
                <w:color w:val="000000"/>
                <w:sz w:val="24"/>
                <w:szCs w:val="24"/>
              </w:rPr>
              <w:t>1,</w:t>
            </w:r>
            <w:r>
              <w:rPr>
                <w:rFonts w:ascii="Times New Roman" w:hAnsi="Times New Roman"/>
                <w:color w:val="000000"/>
                <w:sz w:val="24"/>
                <w:szCs w:val="24"/>
              </w:rPr>
              <w:t>3</w:t>
            </w:r>
          </w:p>
        </w:tc>
        <w:tc>
          <w:tcPr>
            <w:tcW w:w="934"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ind w:left="-108" w:right="-66"/>
              <w:jc w:val="center"/>
              <w:rPr>
                <w:rFonts w:ascii="Times New Roman" w:hAnsi="Times New Roman"/>
                <w:sz w:val="24"/>
                <w:szCs w:val="24"/>
              </w:rPr>
            </w:pPr>
            <w:r>
              <w:rPr>
                <w:rFonts w:ascii="Times New Roman" w:hAnsi="Times New Roman"/>
                <w:sz w:val="24"/>
                <w:szCs w:val="24"/>
              </w:rPr>
              <w:t>104,7</w:t>
            </w:r>
          </w:p>
        </w:tc>
        <w:tc>
          <w:tcPr>
            <w:tcW w:w="995"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ind w:right="-33"/>
              <w:jc w:val="center"/>
              <w:rPr>
                <w:rFonts w:ascii="Times New Roman" w:hAnsi="Times New Roman"/>
                <w:sz w:val="24"/>
                <w:szCs w:val="24"/>
              </w:rPr>
            </w:pPr>
            <w:r w:rsidRPr="00DE5227">
              <w:rPr>
                <w:rFonts w:ascii="Times New Roman" w:hAnsi="Times New Roman"/>
                <w:sz w:val="24"/>
                <w:szCs w:val="24"/>
              </w:rPr>
              <w:t>8</w:t>
            </w:r>
            <w:r>
              <w:rPr>
                <w:rFonts w:ascii="Times New Roman" w:hAnsi="Times New Roman"/>
                <w:sz w:val="24"/>
                <w:szCs w:val="24"/>
              </w:rPr>
              <w:t>6</w:t>
            </w:r>
            <w:r w:rsidRPr="00DE5227">
              <w:rPr>
                <w:rFonts w:ascii="Times New Roman" w:hAnsi="Times New Roman"/>
                <w:sz w:val="24"/>
                <w:szCs w:val="24"/>
              </w:rPr>
              <w:t>,</w:t>
            </w:r>
            <w:r>
              <w:rPr>
                <w:rFonts w:ascii="Times New Roman" w:hAnsi="Times New Roman"/>
                <w:sz w:val="24"/>
                <w:szCs w:val="24"/>
              </w:rPr>
              <w:t>0</w:t>
            </w:r>
          </w:p>
        </w:tc>
      </w:tr>
      <w:tr w:rsidR="00F63602" w:rsidRPr="004C49D8" w:rsidTr="002156EF">
        <w:trPr>
          <w:trHeight w:val="129"/>
        </w:trPr>
        <w:tc>
          <w:tcPr>
            <w:tcW w:w="3299" w:type="dxa"/>
            <w:tcBorders>
              <w:top w:val="nil"/>
              <w:left w:val="single" w:sz="4" w:space="0" w:color="auto"/>
              <w:bottom w:val="single" w:sz="4" w:space="0" w:color="auto"/>
              <w:right w:val="single" w:sz="4" w:space="0" w:color="auto"/>
            </w:tcBorders>
            <w:shd w:val="clear" w:color="auto" w:fill="auto"/>
            <w:vAlign w:val="bottom"/>
          </w:tcPr>
          <w:p w:rsidR="00F63602" w:rsidRPr="004C49D8" w:rsidRDefault="00F63602" w:rsidP="00EB0F10">
            <w:pPr>
              <w:spacing w:after="0" w:line="240" w:lineRule="auto"/>
              <w:ind w:left="-70" w:right="-108"/>
              <w:rPr>
                <w:rFonts w:ascii="Times New Roman" w:hAnsi="Times New Roman"/>
                <w:sz w:val="24"/>
                <w:szCs w:val="24"/>
              </w:rPr>
            </w:pPr>
            <w:r w:rsidRPr="004C49D8">
              <w:rPr>
                <w:rFonts w:ascii="Times New Roman" w:hAnsi="Times New Roman"/>
                <w:sz w:val="24"/>
                <w:szCs w:val="24"/>
              </w:rPr>
              <w:t>Полиграфическая промышленность</w:t>
            </w:r>
          </w:p>
        </w:tc>
        <w:tc>
          <w:tcPr>
            <w:tcW w:w="817" w:type="dxa"/>
            <w:tcBorders>
              <w:top w:val="single" w:sz="6" w:space="0" w:color="auto"/>
              <w:left w:val="nil"/>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2,4</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ind w:right="-108"/>
              <w:jc w:val="center"/>
              <w:rPr>
                <w:rFonts w:ascii="Times New Roman" w:hAnsi="Times New Roman"/>
                <w:sz w:val="24"/>
                <w:szCs w:val="24"/>
              </w:rPr>
            </w:pPr>
            <w:r>
              <w:rPr>
                <w:rFonts w:ascii="Times New Roman" w:hAnsi="Times New Roman"/>
                <w:sz w:val="24"/>
                <w:szCs w:val="24"/>
              </w:rPr>
              <w:t>46,7</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26,7</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47,4</w:t>
            </w:r>
          </w:p>
        </w:tc>
        <w:tc>
          <w:tcPr>
            <w:tcW w:w="791"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color w:val="000000"/>
                <w:sz w:val="24"/>
                <w:szCs w:val="24"/>
              </w:rPr>
            </w:pPr>
            <w:r w:rsidRPr="00DE5227">
              <w:rPr>
                <w:rFonts w:ascii="Times New Roman" w:hAnsi="Times New Roman"/>
                <w:color w:val="000000"/>
                <w:sz w:val="24"/>
                <w:szCs w:val="24"/>
              </w:rPr>
              <w:t>0,3</w:t>
            </w:r>
          </w:p>
        </w:tc>
        <w:tc>
          <w:tcPr>
            <w:tcW w:w="934"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ind w:left="-108" w:right="-66"/>
              <w:jc w:val="center"/>
              <w:rPr>
                <w:rFonts w:ascii="Times New Roman" w:hAnsi="Times New Roman"/>
                <w:sz w:val="24"/>
                <w:szCs w:val="24"/>
              </w:rPr>
            </w:pPr>
            <w:r>
              <w:rPr>
                <w:rFonts w:ascii="Times New Roman" w:hAnsi="Times New Roman"/>
                <w:sz w:val="24"/>
                <w:szCs w:val="24"/>
              </w:rPr>
              <w:t>25,8</w:t>
            </w:r>
          </w:p>
        </w:tc>
        <w:tc>
          <w:tcPr>
            <w:tcW w:w="995"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46,4</w:t>
            </w:r>
          </w:p>
        </w:tc>
      </w:tr>
      <w:tr w:rsidR="00F63602" w:rsidRPr="00C47E4E" w:rsidTr="002156EF">
        <w:trPr>
          <w:trHeight w:val="227"/>
        </w:trPr>
        <w:tc>
          <w:tcPr>
            <w:tcW w:w="3299" w:type="dxa"/>
            <w:tcBorders>
              <w:top w:val="nil"/>
              <w:left w:val="single" w:sz="4" w:space="0" w:color="auto"/>
              <w:bottom w:val="single" w:sz="4" w:space="0" w:color="auto"/>
              <w:right w:val="single" w:sz="4" w:space="0" w:color="auto"/>
            </w:tcBorders>
            <w:shd w:val="clear" w:color="auto" w:fill="auto"/>
            <w:vAlign w:val="bottom"/>
          </w:tcPr>
          <w:p w:rsidR="00F63602" w:rsidRPr="004C49D8" w:rsidRDefault="00F63602" w:rsidP="00EB0F10">
            <w:pPr>
              <w:spacing w:after="0" w:line="240" w:lineRule="auto"/>
              <w:ind w:left="-70" w:right="-108"/>
              <w:rPr>
                <w:rFonts w:ascii="Times New Roman" w:hAnsi="Times New Roman"/>
                <w:sz w:val="24"/>
                <w:szCs w:val="24"/>
              </w:rPr>
            </w:pPr>
            <w:r w:rsidRPr="004C49D8">
              <w:rPr>
                <w:rFonts w:ascii="Times New Roman" w:hAnsi="Times New Roman"/>
                <w:sz w:val="24"/>
                <w:szCs w:val="24"/>
              </w:rPr>
              <w:t>ИТОГО по ПМР</w:t>
            </w:r>
          </w:p>
        </w:tc>
        <w:tc>
          <w:tcPr>
            <w:tcW w:w="817" w:type="dxa"/>
            <w:tcBorders>
              <w:top w:val="single" w:sz="6" w:space="0" w:color="auto"/>
              <w:left w:val="nil"/>
              <w:bottom w:val="single" w:sz="4" w:space="0" w:color="auto"/>
              <w:right w:val="single" w:sz="6" w:space="0" w:color="auto"/>
            </w:tcBorders>
            <w:shd w:val="clear" w:color="auto" w:fill="auto"/>
            <w:vAlign w:val="bottom"/>
          </w:tcPr>
          <w:p w:rsidR="00F63602" w:rsidRPr="00DE5227" w:rsidRDefault="00F63602" w:rsidP="002156EF">
            <w:pPr>
              <w:spacing w:after="0" w:line="240" w:lineRule="auto"/>
              <w:ind w:left="-74" w:right="-94"/>
              <w:jc w:val="center"/>
              <w:rPr>
                <w:rFonts w:ascii="Times New Roman" w:hAnsi="Times New Roman"/>
                <w:sz w:val="24"/>
                <w:szCs w:val="24"/>
              </w:rPr>
            </w:pPr>
            <w:r>
              <w:rPr>
                <w:rFonts w:ascii="Times New Roman" w:hAnsi="Times New Roman"/>
                <w:sz w:val="24"/>
                <w:szCs w:val="24"/>
              </w:rPr>
              <w:t>714,8</w:t>
            </w:r>
          </w:p>
        </w:tc>
        <w:tc>
          <w:tcPr>
            <w:tcW w:w="784" w:type="dxa"/>
            <w:tcBorders>
              <w:top w:val="single" w:sz="6" w:space="0" w:color="auto"/>
              <w:left w:val="single" w:sz="6" w:space="0" w:color="auto"/>
              <w:bottom w:val="single" w:sz="4" w:space="0" w:color="auto"/>
              <w:right w:val="single" w:sz="6" w:space="0" w:color="auto"/>
            </w:tcBorders>
            <w:shd w:val="clear" w:color="auto" w:fill="auto"/>
            <w:vAlign w:val="bottom"/>
          </w:tcPr>
          <w:p w:rsidR="00F63602" w:rsidRPr="00DE5227" w:rsidRDefault="00F63602" w:rsidP="002156EF">
            <w:pPr>
              <w:spacing w:after="0" w:line="240" w:lineRule="auto"/>
              <w:ind w:right="-108"/>
              <w:jc w:val="center"/>
              <w:rPr>
                <w:rFonts w:ascii="Times New Roman" w:hAnsi="Times New Roman"/>
                <w:sz w:val="24"/>
                <w:szCs w:val="24"/>
              </w:rPr>
            </w:pPr>
            <w:r>
              <w:rPr>
                <w:rFonts w:ascii="Times New Roman" w:hAnsi="Times New Roman"/>
                <w:sz w:val="24"/>
                <w:szCs w:val="24"/>
              </w:rPr>
              <w:t>88,2</w:t>
            </w:r>
          </w:p>
        </w:tc>
        <w:tc>
          <w:tcPr>
            <w:tcW w:w="1140" w:type="dxa"/>
            <w:tcBorders>
              <w:top w:val="single" w:sz="6" w:space="0" w:color="auto"/>
              <w:left w:val="single" w:sz="6" w:space="0" w:color="auto"/>
              <w:bottom w:val="single" w:sz="4" w:space="0" w:color="auto"/>
              <w:right w:val="single" w:sz="6"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8 047,6</w:t>
            </w:r>
          </w:p>
        </w:tc>
        <w:tc>
          <w:tcPr>
            <w:tcW w:w="862" w:type="dxa"/>
            <w:tcBorders>
              <w:top w:val="single" w:sz="6" w:space="0" w:color="auto"/>
              <w:left w:val="single" w:sz="6" w:space="0" w:color="auto"/>
              <w:bottom w:val="single" w:sz="4"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89,5</w:t>
            </w:r>
          </w:p>
        </w:tc>
        <w:tc>
          <w:tcPr>
            <w:tcW w:w="791"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0" w:lineRule="atLeast"/>
              <w:jc w:val="center"/>
              <w:rPr>
                <w:rFonts w:ascii="Times New Roman" w:hAnsi="Times New Roman"/>
                <w:sz w:val="24"/>
                <w:szCs w:val="24"/>
              </w:rPr>
            </w:pPr>
            <w:r w:rsidRPr="00DE5227">
              <w:rPr>
                <w:rFonts w:ascii="Times New Roman" w:hAnsi="Times New Roman"/>
                <w:sz w:val="24"/>
                <w:szCs w:val="24"/>
              </w:rPr>
              <w:t>100,0</w:t>
            </w:r>
          </w:p>
        </w:tc>
        <w:tc>
          <w:tcPr>
            <w:tcW w:w="934"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ind w:left="-108" w:right="-66"/>
              <w:jc w:val="center"/>
              <w:rPr>
                <w:rFonts w:ascii="Times New Roman" w:hAnsi="Times New Roman"/>
                <w:sz w:val="24"/>
                <w:szCs w:val="24"/>
              </w:rPr>
            </w:pPr>
            <w:r>
              <w:rPr>
                <w:rFonts w:ascii="Times New Roman" w:hAnsi="Times New Roman"/>
                <w:sz w:val="24"/>
                <w:szCs w:val="24"/>
              </w:rPr>
              <w:t>7 771,6</w:t>
            </w:r>
          </w:p>
        </w:tc>
        <w:tc>
          <w:tcPr>
            <w:tcW w:w="995" w:type="dxa"/>
            <w:tcBorders>
              <w:top w:val="nil"/>
              <w:left w:val="nil"/>
              <w:bottom w:val="single" w:sz="4" w:space="0" w:color="auto"/>
              <w:right w:val="single" w:sz="4" w:space="0" w:color="auto"/>
            </w:tcBorders>
            <w:shd w:val="clear" w:color="auto" w:fill="auto"/>
            <w:vAlign w:val="bottom"/>
          </w:tcPr>
          <w:p w:rsidR="00F63602" w:rsidRPr="00DE5227" w:rsidRDefault="00F63602" w:rsidP="002156EF">
            <w:pPr>
              <w:spacing w:after="0" w:line="240" w:lineRule="auto"/>
              <w:jc w:val="center"/>
              <w:rPr>
                <w:rFonts w:ascii="Times New Roman" w:hAnsi="Times New Roman"/>
                <w:sz w:val="24"/>
                <w:szCs w:val="24"/>
              </w:rPr>
            </w:pPr>
            <w:r>
              <w:rPr>
                <w:rFonts w:ascii="Times New Roman" w:hAnsi="Times New Roman"/>
                <w:sz w:val="24"/>
                <w:szCs w:val="24"/>
              </w:rPr>
              <w:t>87,9</w:t>
            </w:r>
          </w:p>
        </w:tc>
      </w:tr>
    </w:tbl>
    <w:p w:rsidR="008B31C7" w:rsidRPr="008F04B4" w:rsidRDefault="008B31C7" w:rsidP="00F266B9"/>
    <w:p w:rsidR="00EB1C50" w:rsidRDefault="00EB1C50" w:rsidP="00EB1C50">
      <w:pPr>
        <w:ind w:hanging="851"/>
        <w:rPr>
          <w:rFonts w:eastAsia="Calibri"/>
        </w:rPr>
      </w:pPr>
    </w:p>
    <w:p w:rsidR="00493655" w:rsidRDefault="00493655" w:rsidP="00EB1C50">
      <w:pPr>
        <w:ind w:hanging="851"/>
        <w:rPr>
          <w:rFonts w:eastAsia="Calibri"/>
        </w:rPr>
      </w:pPr>
    </w:p>
    <w:p w:rsidR="00493655" w:rsidRDefault="00493655" w:rsidP="00EB1C50">
      <w:pPr>
        <w:ind w:hanging="851"/>
        <w:rPr>
          <w:rFonts w:eastAsia="Calibri"/>
        </w:rPr>
      </w:pPr>
    </w:p>
    <w:p w:rsidR="00493655" w:rsidRDefault="00493655" w:rsidP="00EB1C50">
      <w:pPr>
        <w:ind w:hanging="851"/>
        <w:rPr>
          <w:rFonts w:eastAsia="Calibri"/>
        </w:rPr>
      </w:pPr>
    </w:p>
    <w:p w:rsidR="00E75383" w:rsidRDefault="00E75383">
      <w:pPr>
        <w:rPr>
          <w:rFonts w:eastAsia="Calibri"/>
        </w:rPr>
      </w:pPr>
      <w:r>
        <w:rPr>
          <w:rFonts w:eastAsia="Calibri"/>
        </w:rPr>
        <w:br w:type="page"/>
      </w:r>
    </w:p>
    <w:p w:rsidR="00493655" w:rsidRPr="00E62A9B" w:rsidRDefault="00493655" w:rsidP="00493655">
      <w:pPr>
        <w:spacing w:after="0" w:line="240" w:lineRule="auto"/>
        <w:ind w:firstLine="709"/>
        <w:jc w:val="right"/>
        <w:rPr>
          <w:rFonts w:ascii="Times New Roman" w:hAnsi="Times New Roman"/>
          <w:b/>
          <w:sz w:val="24"/>
          <w:szCs w:val="24"/>
        </w:rPr>
      </w:pPr>
      <w:r w:rsidRPr="005E0F22">
        <w:rPr>
          <w:rFonts w:ascii="Times New Roman" w:hAnsi="Times New Roman"/>
          <w:b/>
          <w:sz w:val="24"/>
          <w:szCs w:val="24"/>
        </w:rPr>
        <w:lastRenderedPageBreak/>
        <w:t>Приложение№3</w:t>
      </w:r>
    </w:p>
    <w:p w:rsidR="00493655" w:rsidRPr="000F4642" w:rsidRDefault="00493655" w:rsidP="00493655">
      <w:pPr>
        <w:spacing w:after="0" w:line="240" w:lineRule="auto"/>
        <w:jc w:val="center"/>
        <w:rPr>
          <w:rFonts w:ascii="Times New Roman" w:hAnsi="Times New Roman"/>
          <w:b/>
          <w:sz w:val="24"/>
          <w:szCs w:val="24"/>
          <w:highlight w:val="cyan"/>
        </w:rPr>
      </w:pPr>
    </w:p>
    <w:p w:rsidR="00493655" w:rsidRPr="00E25EC3" w:rsidRDefault="00493655" w:rsidP="00493655">
      <w:pPr>
        <w:spacing w:after="0" w:line="240" w:lineRule="auto"/>
        <w:jc w:val="center"/>
        <w:rPr>
          <w:rFonts w:ascii="Times New Roman" w:hAnsi="Times New Roman"/>
          <w:b/>
          <w:sz w:val="24"/>
          <w:szCs w:val="24"/>
        </w:rPr>
      </w:pPr>
      <w:r w:rsidRPr="00E25EC3">
        <w:rPr>
          <w:rFonts w:ascii="Times New Roman" w:hAnsi="Times New Roman"/>
          <w:b/>
          <w:sz w:val="24"/>
          <w:szCs w:val="24"/>
        </w:rPr>
        <w:t>Основные показатели развития малого предпринимательства</w:t>
      </w:r>
    </w:p>
    <w:p w:rsidR="00493655" w:rsidRPr="00E25EC3" w:rsidRDefault="00493655" w:rsidP="00493655">
      <w:pPr>
        <w:spacing w:after="0" w:line="240" w:lineRule="auto"/>
        <w:jc w:val="center"/>
        <w:rPr>
          <w:rFonts w:ascii="Times New Roman" w:hAnsi="Times New Roman"/>
          <w:b/>
          <w:sz w:val="24"/>
          <w:szCs w:val="24"/>
        </w:rPr>
      </w:pPr>
      <w:r w:rsidRPr="00E25EC3">
        <w:rPr>
          <w:rFonts w:ascii="Times New Roman" w:hAnsi="Times New Roman"/>
          <w:b/>
          <w:sz w:val="24"/>
          <w:szCs w:val="24"/>
        </w:rPr>
        <w:t xml:space="preserve">за </w:t>
      </w:r>
      <w:r>
        <w:rPr>
          <w:rFonts w:ascii="Times New Roman" w:hAnsi="Times New Roman"/>
          <w:b/>
          <w:sz w:val="24"/>
          <w:szCs w:val="24"/>
        </w:rPr>
        <w:t>2016 год</w:t>
      </w:r>
    </w:p>
    <w:p w:rsidR="00493655" w:rsidRPr="00E25EC3" w:rsidRDefault="00493655" w:rsidP="00493655">
      <w:pPr>
        <w:spacing w:after="0" w:line="240" w:lineRule="auto"/>
        <w:jc w:val="center"/>
        <w:rPr>
          <w:rFonts w:ascii="Times New Roman" w:hAnsi="Times New Roman"/>
          <w:b/>
          <w:sz w:val="20"/>
          <w:szCs w:val="20"/>
        </w:rPr>
      </w:pPr>
    </w:p>
    <w:tbl>
      <w:tblPr>
        <w:tblW w:w="9924" w:type="dxa"/>
        <w:tblInd w:w="-318" w:type="dxa"/>
        <w:tblLayout w:type="fixed"/>
        <w:tblLook w:val="0000"/>
      </w:tblPr>
      <w:tblGrid>
        <w:gridCol w:w="4821"/>
        <w:gridCol w:w="1275"/>
        <w:gridCol w:w="1418"/>
        <w:gridCol w:w="1276"/>
        <w:gridCol w:w="1134"/>
      </w:tblGrid>
      <w:tr w:rsidR="00493655" w:rsidRPr="006C2487" w:rsidTr="008176B9">
        <w:trPr>
          <w:trHeight w:val="257"/>
        </w:trPr>
        <w:tc>
          <w:tcPr>
            <w:tcW w:w="482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b/>
                <w:bCs/>
                <w:color w:val="000000"/>
                <w:sz w:val="24"/>
                <w:szCs w:val="24"/>
              </w:rPr>
            </w:pPr>
            <w:r w:rsidRPr="006C2487">
              <w:rPr>
                <w:rFonts w:ascii="Times New Roman" w:hAnsi="Times New Roman"/>
                <w:b/>
                <w:bCs/>
                <w:color w:val="000000"/>
                <w:sz w:val="24"/>
                <w:szCs w:val="24"/>
              </w:rPr>
              <w:t>Показатели</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3655" w:rsidRPr="006C2487" w:rsidRDefault="00493655" w:rsidP="008176B9">
            <w:pPr>
              <w:spacing w:after="0" w:line="240" w:lineRule="auto"/>
              <w:ind w:left="-108" w:right="-84"/>
              <w:jc w:val="center"/>
              <w:rPr>
                <w:rFonts w:ascii="Times New Roman" w:hAnsi="Times New Roman"/>
                <w:b/>
                <w:bCs/>
                <w:color w:val="000000"/>
                <w:sz w:val="24"/>
                <w:szCs w:val="24"/>
              </w:rPr>
            </w:pPr>
            <w:r w:rsidRPr="006C2487">
              <w:rPr>
                <w:rFonts w:ascii="Times New Roman" w:hAnsi="Times New Roman"/>
                <w:b/>
                <w:bCs/>
                <w:color w:val="000000"/>
                <w:sz w:val="24"/>
                <w:szCs w:val="24"/>
              </w:rPr>
              <w:t>Ед. измерения</w:t>
            </w:r>
          </w:p>
        </w:tc>
        <w:tc>
          <w:tcPr>
            <w:tcW w:w="2694" w:type="dxa"/>
            <w:gridSpan w:val="2"/>
            <w:tcBorders>
              <w:top w:val="single" w:sz="8" w:space="0" w:color="auto"/>
              <w:left w:val="nil"/>
              <w:bottom w:val="single" w:sz="4" w:space="0" w:color="auto"/>
              <w:right w:val="single" w:sz="8" w:space="0" w:color="000000"/>
            </w:tcBorders>
            <w:shd w:val="clear" w:color="auto" w:fill="auto"/>
            <w:vAlign w:val="center"/>
          </w:tcPr>
          <w:p w:rsidR="00493655" w:rsidRPr="006C2487" w:rsidRDefault="00493655" w:rsidP="008176B9">
            <w:pPr>
              <w:spacing w:after="0" w:line="240" w:lineRule="auto"/>
              <w:jc w:val="center"/>
              <w:rPr>
                <w:rFonts w:ascii="Times New Roman" w:hAnsi="Times New Roman"/>
                <w:b/>
                <w:bCs/>
                <w:color w:val="000000"/>
                <w:sz w:val="24"/>
                <w:szCs w:val="24"/>
              </w:rPr>
            </w:pPr>
            <w:r w:rsidRPr="006C2487">
              <w:rPr>
                <w:rFonts w:ascii="Times New Roman" w:hAnsi="Times New Roman"/>
                <w:b/>
                <w:bCs/>
                <w:color w:val="000000"/>
                <w:sz w:val="24"/>
                <w:szCs w:val="24"/>
              </w:rPr>
              <w:t>Факт</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3655" w:rsidRPr="006C2487" w:rsidRDefault="00493655" w:rsidP="008176B9">
            <w:pPr>
              <w:spacing w:after="0" w:line="240" w:lineRule="auto"/>
              <w:ind w:left="-108" w:right="-108"/>
              <w:jc w:val="center"/>
              <w:rPr>
                <w:rFonts w:ascii="Times New Roman" w:hAnsi="Times New Roman"/>
                <w:b/>
                <w:bCs/>
                <w:color w:val="000000"/>
                <w:sz w:val="24"/>
                <w:szCs w:val="24"/>
              </w:rPr>
            </w:pPr>
            <w:r w:rsidRPr="006C2487">
              <w:rPr>
                <w:rFonts w:ascii="Times New Roman" w:hAnsi="Times New Roman"/>
                <w:b/>
                <w:bCs/>
                <w:color w:val="000000"/>
                <w:sz w:val="24"/>
                <w:szCs w:val="24"/>
              </w:rPr>
              <w:t>Темп роста  2016 г. к       2015 г., %</w:t>
            </w:r>
          </w:p>
        </w:tc>
      </w:tr>
      <w:tr w:rsidR="00493655" w:rsidRPr="006C2487" w:rsidTr="008176B9">
        <w:trPr>
          <w:trHeight w:val="529"/>
        </w:trPr>
        <w:tc>
          <w:tcPr>
            <w:tcW w:w="4821" w:type="dxa"/>
            <w:vMerge/>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both"/>
              <w:rPr>
                <w:rFonts w:ascii="Times New Roman" w:hAnsi="Times New Roman"/>
                <w:b/>
                <w:bCs/>
                <w:color w:val="000000"/>
                <w:sz w:val="24"/>
                <w:szCs w:val="24"/>
              </w:rPr>
            </w:pPr>
          </w:p>
        </w:tc>
        <w:tc>
          <w:tcPr>
            <w:tcW w:w="1275" w:type="dxa"/>
            <w:vMerge/>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b/>
                <w:bCs/>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left="-62" w:right="-103"/>
              <w:jc w:val="center"/>
              <w:rPr>
                <w:rFonts w:ascii="Times New Roman" w:hAnsi="Times New Roman"/>
                <w:b/>
                <w:bCs/>
                <w:color w:val="000000"/>
                <w:sz w:val="24"/>
                <w:szCs w:val="24"/>
              </w:rPr>
            </w:pPr>
            <w:r w:rsidRPr="006C2487">
              <w:rPr>
                <w:rFonts w:ascii="Times New Roman" w:hAnsi="Times New Roman"/>
                <w:b/>
                <w:bCs/>
                <w:color w:val="000000"/>
                <w:sz w:val="24"/>
                <w:szCs w:val="24"/>
              </w:rPr>
              <w:t>2015 год</w:t>
            </w:r>
          </w:p>
        </w:tc>
        <w:tc>
          <w:tcPr>
            <w:tcW w:w="1276" w:type="dxa"/>
            <w:tcBorders>
              <w:top w:val="nil"/>
              <w:left w:val="nil"/>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left="-62" w:right="-103"/>
              <w:jc w:val="center"/>
              <w:rPr>
                <w:rFonts w:ascii="Times New Roman" w:hAnsi="Times New Roman"/>
                <w:b/>
                <w:bCs/>
                <w:color w:val="000000"/>
                <w:sz w:val="24"/>
                <w:szCs w:val="24"/>
              </w:rPr>
            </w:pPr>
            <w:r w:rsidRPr="006C2487">
              <w:rPr>
                <w:rFonts w:ascii="Times New Roman" w:hAnsi="Times New Roman"/>
                <w:b/>
                <w:bCs/>
                <w:color w:val="000000"/>
                <w:sz w:val="24"/>
                <w:szCs w:val="24"/>
              </w:rPr>
              <w:t>2016 год</w:t>
            </w:r>
          </w:p>
        </w:tc>
        <w:tc>
          <w:tcPr>
            <w:tcW w:w="1134" w:type="dxa"/>
            <w:vMerge/>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b/>
                <w:bCs/>
                <w:color w:val="000000"/>
                <w:sz w:val="24"/>
                <w:szCs w:val="24"/>
              </w:rPr>
            </w:pPr>
          </w:p>
        </w:tc>
      </w:tr>
      <w:tr w:rsidR="00493655" w:rsidRPr="006C2487" w:rsidTr="008176B9">
        <w:trPr>
          <w:trHeight w:val="30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Количество отчитавшихся предприятий</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единиц</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4 333</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3 949</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color w:val="000000"/>
                <w:sz w:val="24"/>
                <w:szCs w:val="24"/>
              </w:rPr>
            </w:pPr>
            <w:r w:rsidRPr="006C2487">
              <w:rPr>
                <w:rFonts w:ascii="Times New Roman" w:hAnsi="Times New Roman"/>
                <w:color w:val="000000"/>
                <w:sz w:val="24"/>
                <w:szCs w:val="24"/>
              </w:rPr>
              <w:t>91,1</w:t>
            </w:r>
          </w:p>
        </w:tc>
      </w:tr>
      <w:tr w:rsidR="00493655" w:rsidRPr="006C2487" w:rsidTr="008176B9">
        <w:trPr>
          <w:trHeight w:val="262"/>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xml:space="preserve">Среднесписочная численность работников </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чел.</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 xml:space="preserve">13 931 </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 xml:space="preserve">13 211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color w:val="000000"/>
                <w:sz w:val="24"/>
                <w:szCs w:val="24"/>
              </w:rPr>
            </w:pPr>
            <w:r w:rsidRPr="006C2487">
              <w:rPr>
                <w:rFonts w:ascii="Times New Roman" w:hAnsi="Times New Roman"/>
                <w:color w:val="000000"/>
                <w:sz w:val="24"/>
                <w:szCs w:val="24"/>
              </w:rPr>
              <w:t>94,8</w:t>
            </w:r>
          </w:p>
        </w:tc>
      </w:tr>
      <w:tr w:rsidR="00493655" w:rsidRPr="006C2487" w:rsidTr="008176B9">
        <w:trPr>
          <w:trHeight w:val="272"/>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Фонд начисленной заработной платы</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378 030,2</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342 613,1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sz w:val="24"/>
                <w:szCs w:val="24"/>
              </w:rPr>
            </w:pPr>
            <w:r w:rsidRPr="006C2487">
              <w:rPr>
                <w:rFonts w:ascii="Times New Roman" w:hAnsi="Times New Roman"/>
                <w:sz w:val="24"/>
                <w:szCs w:val="24"/>
              </w:rPr>
              <w:t>90,6</w:t>
            </w:r>
          </w:p>
        </w:tc>
      </w:tr>
      <w:tr w:rsidR="00493655" w:rsidRPr="006C2487" w:rsidTr="008176B9">
        <w:trPr>
          <w:trHeight w:val="426"/>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Среднемесячная номинальная начисленная заработная плата одного работника</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руб.</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3 137,7</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3 120,3</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sz w:val="24"/>
                <w:szCs w:val="24"/>
              </w:rPr>
            </w:pPr>
            <w:r w:rsidRPr="006C2487">
              <w:rPr>
                <w:rFonts w:ascii="Times New Roman" w:hAnsi="Times New Roman"/>
                <w:sz w:val="24"/>
                <w:szCs w:val="24"/>
              </w:rPr>
              <w:t>99,4</w:t>
            </w:r>
          </w:p>
        </w:tc>
      </w:tr>
      <w:tr w:rsidR="00493655" w:rsidRPr="006C2487" w:rsidTr="008176B9">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Доход от продаж (выручка)</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left="-94" w:right="-138"/>
              <w:jc w:val="center"/>
              <w:rPr>
                <w:rFonts w:ascii="Times New Roman" w:hAnsi="Times New Roman"/>
                <w:sz w:val="24"/>
                <w:szCs w:val="24"/>
              </w:rPr>
            </w:pPr>
            <w:r w:rsidRPr="006C2487">
              <w:rPr>
                <w:rFonts w:ascii="Times New Roman" w:hAnsi="Times New Roman"/>
                <w:sz w:val="24"/>
                <w:szCs w:val="24"/>
              </w:rPr>
              <w:t>3 536 952,6</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left="-78" w:right="-153"/>
              <w:jc w:val="center"/>
              <w:rPr>
                <w:rFonts w:ascii="Times New Roman" w:hAnsi="Times New Roman"/>
                <w:sz w:val="24"/>
                <w:szCs w:val="24"/>
              </w:rPr>
            </w:pPr>
            <w:r w:rsidRPr="006C2487">
              <w:rPr>
                <w:rFonts w:ascii="Times New Roman" w:hAnsi="Times New Roman"/>
                <w:sz w:val="24"/>
                <w:szCs w:val="24"/>
              </w:rPr>
              <w:t>3 928 357,8</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sz w:val="24"/>
                <w:szCs w:val="24"/>
              </w:rPr>
            </w:pPr>
            <w:r w:rsidRPr="006C2487">
              <w:rPr>
                <w:rFonts w:ascii="Times New Roman" w:hAnsi="Times New Roman"/>
                <w:sz w:val="24"/>
                <w:szCs w:val="24"/>
              </w:rPr>
              <w:t>111,1</w:t>
            </w:r>
          </w:p>
        </w:tc>
      </w:tr>
      <w:tr w:rsidR="00493655" w:rsidRPr="006C2487" w:rsidTr="008176B9">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из него по основным видам деятельности:</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808080"/>
                <w:sz w:val="24"/>
                <w:szCs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808080"/>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color w:val="808080"/>
                <w:sz w:val="24"/>
                <w:szCs w:val="24"/>
              </w:rPr>
            </w:pPr>
          </w:p>
        </w:tc>
      </w:tr>
      <w:tr w:rsidR="00493655" w:rsidRPr="006C2487" w:rsidTr="008176B9">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промышленность</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418"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jc w:val="right"/>
              <w:rPr>
                <w:rFonts w:ascii="Times New Roman" w:hAnsi="Times New Roman"/>
                <w:color w:val="000000"/>
                <w:sz w:val="24"/>
                <w:szCs w:val="24"/>
              </w:rPr>
            </w:pPr>
            <w:r w:rsidRPr="006C2487">
              <w:rPr>
                <w:rFonts w:ascii="Times New Roman" w:hAnsi="Times New Roman"/>
                <w:color w:val="000000"/>
                <w:sz w:val="24"/>
                <w:szCs w:val="24"/>
              </w:rPr>
              <w:t>361 043,7</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jc w:val="right"/>
              <w:rPr>
                <w:rFonts w:ascii="Times New Roman" w:hAnsi="Times New Roman"/>
                <w:color w:val="000000"/>
                <w:sz w:val="24"/>
                <w:szCs w:val="24"/>
              </w:rPr>
            </w:pPr>
            <w:r w:rsidRPr="006C2487">
              <w:rPr>
                <w:rFonts w:ascii="Times New Roman" w:hAnsi="Times New Roman"/>
                <w:color w:val="000000"/>
                <w:sz w:val="24"/>
                <w:szCs w:val="24"/>
              </w:rPr>
              <w:t>314 081,5</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sz w:val="24"/>
                <w:szCs w:val="24"/>
              </w:rPr>
            </w:pPr>
            <w:r w:rsidRPr="006C2487">
              <w:rPr>
                <w:rFonts w:ascii="Times New Roman" w:hAnsi="Times New Roman"/>
                <w:sz w:val="24"/>
                <w:szCs w:val="24"/>
              </w:rPr>
              <w:t>87,0</w:t>
            </w:r>
          </w:p>
        </w:tc>
      </w:tr>
      <w:tr w:rsidR="00493655" w:rsidRPr="006C2487" w:rsidTr="008176B9">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сельское хозяйство</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418"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jc w:val="right"/>
              <w:rPr>
                <w:rFonts w:ascii="Times New Roman" w:hAnsi="Times New Roman"/>
                <w:color w:val="000000"/>
                <w:sz w:val="24"/>
                <w:szCs w:val="24"/>
              </w:rPr>
            </w:pPr>
            <w:r w:rsidRPr="006C2487">
              <w:rPr>
                <w:rFonts w:ascii="Times New Roman" w:hAnsi="Times New Roman"/>
                <w:color w:val="000000"/>
                <w:sz w:val="24"/>
                <w:szCs w:val="24"/>
              </w:rPr>
              <w:t>459 109,1</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jc w:val="right"/>
              <w:rPr>
                <w:rFonts w:ascii="Times New Roman" w:hAnsi="Times New Roman"/>
                <w:color w:val="000000"/>
                <w:sz w:val="24"/>
                <w:szCs w:val="24"/>
              </w:rPr>
            </w:pPr>
            <w:r w:rsidRPr="006C2487">
              <w:rPr>
                <w:rFonts w:ascii="Times New Roman" w:hAnsi="Times New Roman"/>
                <w:color w:val="000000"/>
                <w:sz w:val="24"/>
                <w:szCs w:val="24"/>
              </w:rPr>
              <w:t>518 917,1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sz w:val="24"/>
                <w:szCs w:val="24"/>
              </w:rPr>
            </w:pPr>
            <w:r w:rsidRPr="006C2487">
              <w:rPr>
                <w:rFonts w:ascii="Times New Roman" w:hAnsi="Times New Roman"/>
                <w:sz w:val="24"/>
                <w:szCs w:val="24"/>
              </w:rPr>
              <w:t>113,0</w:t>
            </w:r>
          </w:p>
        </w:tc>
      </w:tr>
      <w:tr w:rsidR="00493655" w:rsidRPr="006C2487" w:rsidTr="008176B9">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транспорт</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418"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jc w:val="right"/>
              <w:rPr>
                <w:rFonts w:ascii="Times New Roman" w:hAnsi="Times New Roman"/>
                <w:color w:val="000000"/>
                <w:sz w:val="24"/>
                <w:szCs w:val="24"/>
              </w:rPr>
            </w:pPr>
            <w:r w:rsidRPr="006C2487">
              <w:rPr>
                <w:rFonts w:ascii="Times New Roman" w:hAnsi="Times New Roman"/>
                <w:color w:val="000000"/>
                <w:sz w:val="24"/>
                <w:szCs w:val="24"/>
              </w:rPr>
              <w:t>63 729,4</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jc w:val="right"/>
              <w:rPr>
                <w:rFonts w:ascii="Times New Roman" w:hAnsi="Times New Roman"/>
                <w:color w:val="000000"/>
                <w:sz w:val="24"/>
                <w:szCs w:val="24"/>
              </w:rPr>
            </w:pPr>
            <w:r w:rsidRPr="006C2487">
              <w:rPr>
                <w:rFonts w:ascii="Times New Roman" w:hAnsi="Times New Roman"/>
                <w:color w:val="000000"/>
                <w:sz w:val="24"/>
                <w:szCs w:val="24"/>
              </w:rPr>
              <w:t>63 833,1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sz w:val="24"/>
                <w:szCs w:val="24"/>
              </w:rPr>
            </w:pPr>
            <w:r w:rsidRPr="006C2487">
              <w:rPr>
                <w:rFonts w:ascii="Times New Roman" w:hAnsi="Times New Roman"/>
                <w:sz w:val="24"/>
                <w:szCs w:val="24"/>
              </w:rPr>
              <w:t>100,2</w:t>
            </w:r>
          </w:p>
        </w:tc>
      </w:tr>
      <w:tr w:rsidR="00493655" w:rsidRPr="006C2487" w:rsidTr="008176B9">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строительство</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418"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jc w:val="right"/>
              <w:rPr>
                <w:rFonts w:ascii="Times New Roman" w:hAnsi="Times New Roman"/>
                <w:color w:val="000000"/>
                <w:sz w:val="24"/>
                <w:szCs w:val="24"/>
              </w:rPr>
            </w:pPr>
            <w:r w:rsidRPr="006C2487">
              <w:rPr>
                <w:rFonts w:ascii="Times New Roman" w:hAnsi="Times New Roman"/>
                <w:color w:val="000000"/>
                <w:sz w:val="24"/>
                <w:szCs w:val="24"/>
              </w:rPr>
              <w:t>288 742,8</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jc w:val="right"/>
              <w:rPr>
                <w:rFonts w:ascii="Times New Roman" w:hAnsi="Times New Roman"/>
                <w:color w:val="000000"/>
                <w:sz w:val="24"/>
                <w:szCs w:val="24"/>
              </w:rPr>
            </w:pPr>
            <w:r w:rsidRPr="006C2487">
              <w:rPr>
                <w:rFonts w:ascii="Times New Roman" w:hAnsi="Times New Roman"/>
                <w:color w:val="000000"/>
                <w:sz w:val="24"/>
                <w:szCs w:val="24"/>
              </w:rPr>
              <w:t xml:space="preserve">210 956,3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sz w:val="24"/>
                <w:szCs w:val="24"/>
              </w:rPr>
            </w:pPr>
            <w:r w:rsidRPr="006C2487">
              <w:rPr>
                <w:rFonts w:ascii="Times New Roman" w:hAnsi="Times New Roman"/>
                <w:sz w:val="24"/>
                <w:szCs w:val="24"/>
              </w:rPr>
              <w:t>73,1</w:t>
            </w:r>
          </w:p>
        </w:tc>
      </w:tr>
      <w:tr w:rsidR="00493655" w:rsidRPr="006C2487" w:rsidTr="008176B9">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торговля и общепит</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418"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jc w:val="right"/>
              <w:rPr>
                <w:rFonts w:ascii="Times New Roman" w:hAnsi="Times New Roman"/>
                <w:color w:val="000000"/>
                <w:sz w:val="24"/>
                <w:szCs w:val="24"/>
              </w:rPr>
            </w:pPr>
            <w:r w:rsidRPr="006C2487">
              <w:rPr>
                <w:rFonts w:ascii="Times New Roman" w:hAnsi="Times New Roman"/>
                <w:color w:val="000000"/>
                <w:sz w:val="24"/>
                <w:szCs w:val="24"/>
              </w:rPr>
              <w:t>2 065 341,1</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left="-108"/>
              <w:jc w:val="right"/>
              <w:rPr>
                <w:rFonts w:ascii="Times New Roman" w:hAnsi="Times New Roman"/>
                <w:color w:val="000000"/>
                <w:sz w:val="24"/>
                <w:szCs w:val="24"/>
              </w:rPr>
            </w:pPr>
            <w:r w:rsidRPr="006C2487">
              <w:rPr>
                <w:rFonts w:ascii="Times New Roman" w:hAnsi="Times New Roman"/>
                <w:color w:val="000000"/>
                <w:sz w:val="24"/>
                <w:szCs w:val="24"/>
              </w:rPr>
              <w:t>2 235 149,9</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sz w:val="24"/>
                <w:szCs w:val="24"/>
              </w:rPr>
            </w:pPr>
            <w:r w:rsidRPr="006C2487">
              <w:rPr>
                <w:rFonts w:ascii="Times New Roman" w:hAnsi="Times New Roman"/>
                <w:sz w:val="24"/>
                <w:szCs w:val="24"/>
              </w:rPr>
              <w:t>108,2</w:t>
            </w:r>
          </w:p>
        </w:tc>
      </w:tr>
      <w:tr w:rsidR="00493655" w:rsidRPr="006C2487" w:rsidTr="008176B9">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общая коммерческая деятельность</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41 680,5</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37 521,9</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sz w:val="24"/>
                <w:szCs w:val="24"/>
              </w:rPr>
            </w:pPr>
            <w:r w:rsidRPr="006C2487">
              <w:rPr>
                <w:rFonts w:ascii="Times New Roman" w:hAnsi="Times New Roman"/>
                <w:sz w:val="24"/>
                <w:szCs w:val="24"/>
              </w:rPr>
              <w:t>90,0</w:t>
            </w:r>
          </w:p>
        </w:tc>
      </w:tr>
      <w:tr w:rsidR="00493655" w:rsidRPr="006C2487" w:rsidTr="008176B9">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отдых и туризм</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23 978,7</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26 175,4</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sz w:val="24"/>
                <w:szCs w:val="24"/>
              </w:rPr>
            </w:pPr>
            <w:r w:rsidRPr="006C2487">
              <w:rPr>
                <w:rFonts w:ascii="Times New Roman" w:hAnsi="Times New Roman"/>
                <w:sz w:val="24"/>
                <w:szCs w:val="24"/>
              </w:rPr>
              <w:t>109,2</w:t>
            </w:r>
          </w:p>
        </w:tc>
      </w:tr>
      <w:tr w:rsidR="00493655" w:rsidRPr="006C2487" w:rsidTr="008176B9">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Объем розничного товарооборота</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left="-141"/>
              <w:jc w:val="center"/>
              <w:rPr>
                <w:rFonts w:ascii="Times New Roman" w:hAnsi="Times New Roman"/>
                <w:sz w:val="24"/>
                <w:szCs w:val="24"/>
              </w:rPr>
            </w:pPr>
            <w:r w:rsidRPr="006C2487">
              <w:rPr>
                <w:rFonts w:ascii="Times New Roman" w:hAnsi="Times New Roman"/>
                <w:sz w:val="24"/>
                <w:szCs w:val="24"/>
              </w:rPr>
              <w:t>755 273,4</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left="-135"/>
              <w:jc w:val="center"/>
              <w:rPr>
                <w:rFonts w:ascii="Times New Roman" w:hAnsi="Times New Roman"/>
                <w:sz w:val="24"/>
                <w:szCs w:val="24"/>
              </w:rPr>
            </w:pPr>
            <w:r w:rsidRPr="006C2487">
              <w:rPr>
                <w:rFonts w:ascii="Times New Roman" w:hAnsi="Times New Roman"/>
                <w:sz w:val="24"/>
                <w:szCs w:val="24"/>
              </w:rPr>
              <w:t>802 411,4</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sz w:val="24"/>
                <w:szCs w:val="24"/>
              </w:rPr>
            </w:pPr>
            <w:r w:rsidRPr="006C2487">
              <w:rPr>
                <w:rFonts w:ascii="Times New Roman" w:hAnsi="Times New Roman"/>
                <w:sz w:val="24"/>
                <w:szCs w:val="24"/>
              </w:rPr>
              <w:t>106,2</w:t>
            </w:r>
          </w:p>
        </w:tc>
      </w:tr>
      <w:tr w:rsidR="00493655" w:rsidRPr="006C2487" w:rsidTr="008176B9">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Объем платных услуг</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139 796,7</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135 478,5</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sz w:val="24"/>
                <w:szCs w:val="24"/>
              </w:rPr>
            </w:pPr>
            <w:r w:rsidRPr="006C2487">
              <w:rPr>
                <w:rFonts w:ascii="Times New Roman" w:hAnsi="Times New Roman"/>
                <w:sz w:val="24"/>
                <w:szCs w:val="24"/>
              </w:rPr>
              <w:t>96,9</w:t>
            </w:r>
          </w:p>
        </w:tc>
      </w:tr>
      <w:tr w:rsidR="00493655" w:rsidRPr="006C2487" w:rsidTr="008176B9">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Инвестиции в основной капитал</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181 500,9</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248 033,4</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sz w:val="24"/>
                <w:szCs w:val="24"/>
              </w:rPr>
            </w:pPr>
            <w:r w:rsidRPr="006C2487">
              <w:rPr>
                <w:rFonts w:ascii="Times New Roman" w:hAnsi="Times New Roman"/>
                <w:sz w:val="24"/>
                <w:szCs w:val="24"/>
              </w:rPr>
              <w:t>136,7</w:t>
            </w:r>
          </w:p>
        </w:tc>
      </w:tr>
      <w:tr w:rsidR="00493655" w:rsidRPr="006C2487" w:rsidTr="008176B9">
        <w:trPr>
          <w:trHeight w:val="157"/>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Платежи в бюджет и внебюджетные фонды (фактически внесено), в том числе:</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309 570,5</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306 118,9</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sz w:val="24"/>
                <w:szCs w:val="24"/>
              </w:rPr>
            </w:pPr>
            <w:r w:rsidRPr="006C2487">
              <w:rPr>
                <w:rFonts w:ascii="Times New Roman" w:hAnsi="Times New Roman"/>
                <w:sz w:val="24"/>
                <w:szCs w:val="24"/>
              </w:rPr>
              <w:t>98,9</w:t>
            </w:r>
          </w:p>
        </w:tc>
      </w:tr>
      <w:tr w:rsidR="00493655" w:rsidRPr="006C2487" w:rsidTr="008176B9">
        <w:trPr>
          <w:trHeight w:val="157"/>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налог на доходы организаций</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102 615,3</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97 241,6</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sz w:val="24"/>
                <w:szCs w:val="24"/>
              </w:rPr>
            </w:pPr>
            <w:r w:rsidRPr="006C2487">
              <w:rPr>
                <w:rFonts w:ascii="Times New Roman" w:hAnsi="Times New Roman"/>
                <w:sz w:val="24"/>
                <w:szCs w:val="24"/>
              </w:rPr>
              <w:t>94,8</w:t>
            </w:r>
          </w:p>
        </w:tc>
      </w:tr>
      <w:tr w:rsidR="00493655" w:rsidRPr="006C2487" w:rsidTr="008176B9">
        <w:trPr>
          <w:trHeight w:val="157"/>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единый социальный налог</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86 103,2</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75 779,8</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sz w:val="24"/>
                <w:szCs w:val="24"/>
              </w:rPr>
            </w:pPr>
            <w:r w:rsidRPr="006C2487">
              <w:rPr>
                <w:rFonts w:ascii="Times New Roman" w:hAnsi="Times New Roman"/>
                <w:sz w:val="24"/>
                <w:szCs w:val="24"/>
              </w:rPr>
              <w:t>88,0</w:t>
            </w:r>
          </w:p>
        </w:tc>
      </w:tr>
      <w:tr w:rsidR="00493655" w:rsidRPr="006C2487" w:rsidTr="008176B9">
        <w:trPr>
          <w:trHeight w:val="157"/>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подоходный налог с физических лиц</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28 670,8</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26 299,7</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sz w:val="24"/>
                <w:szCs w:val="24"/>
              </w:rPr>
            </w:pPr>
            <w:r w:rsidRPr="006C2487">
              <w:rPr>
                <w:rFonts w:ascii="Times New Roman" w:hAnsi="Times New Roman"/>
                <w:sz w:val="24"/>
                <w:szCs w:val="24"/>
              </w:rPr>
              <w:t>91,7</w:t>
            </w:r>
          </w:p>
        </w:tc>
      </w:tr>
      <w:tr w:rsidR="00493655" w:rsidRPr="006C2487" w:rsidTr="008176B9">
        <w:trPr>
          <w:trHeight w:val="157"/>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земельный налог</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29 482,6</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33 336,7</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ind w:right="-108"/>
              <w:jc w:val="center"/>
              <w:rPr>
                <w:rFonts w:ascii="Times New Roman" w:hAnsi="Times New Roman"/>
                <w:sz w:val="24"/>
                <w:szCs w:val="24"/>
              </w:rPr>
            </w:pPr>
            <w:r w:rsidRPr="006C2487">
              <w:rPr>
                <w:rFonts w:ascii="Times New Roman" w:hAnsi="Times New Roman"/>
                <w:sz w:val="24"/>
                <w:szCs w:val="24"/>
              </w:rPr>
              <w:t>113,1</w:t>
            </w:r>
          </w:p>
        </w:tc>
      </w:tr>
      <w:tr w:rsidR="00493655" w:rsidRPr="00E25EC3" w:rsidTr="008176B9">
        <w:trPr>
          <w:trHeight w:val="157"/>
        </w:trPr>
        <w:tc>
          <w:tcPr>
            <w:tcW w:w="4821" w:type="dxa"/>
            <w:tcBorders>
              <w:top w:val="single" w:sz="8" w:space="0" w:color="auto"/>
              <w:left w:val="single" w:sz="8" w:space="0" w:color="auto"/>
              <w:bottom w:val="single" w:sz="8" w:space="0" w:color="auto"/>
              <w:right w:val="single" w:sz="8" w:space="0" w:color="auto"/>
            </w:tcBorders>
            <w:shd w:val="clear" w:color="auto" w:fill="auto"/>
          </w:tcPr>
          <w:p w:rsidR="00493655" w:rsidRPr="006C2487" w:rsidRDefault="00493655" w:rsidP="008176B9">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акцизы</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5 294,6</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6C2487" w:rsidRDefault="00493655" w:rsidP="008176B9">
            <w:pPr>
              <w:spacing w:after="0" w:line="240" w:lineRule="auto"/>
              <w:jc w:val="center"/>
              <w:rPr>
                <w:rFonts w:ascii="Times New Roman" w:hAnsi="Times New Roman"/>
                <w:sz w:val="24"/>
                <w:szCs w:val="24"/>
              </w:rPr>
            </w:pPr>
            <w:r w:rsidRPr="006C2487">
              <w:rPr>
                <w:rFonts w:ascii="Times New Roman" w:hAnsi="Times New Roman"/>
                <w:sz w:val="24"/>
                <w:szCs w:val="24"/>
              </w:rPr>
              <w:t>5 720,0</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3655" w:rsidRPr="00143F68" w:rsidRDefault="00493655" w:rsidP="008176B9">
            <w:pPr>
              <w:spacing w:after="0" w:line="240" w:lineRule="auto"/>
              <w:ind w:right="-108"/>
              <w:jc w:val="center"/>
              <w:rPr>
                <w:rFonts w:ascii="Times New Roman" w:hAnsi="Times New Roman"/>
                <w:sz w:val="24"/>
                <w:szCs w:val="24"/>
              </w:rPr>
            </w:pPr>
            <w:r w:rsidRPr="006C2487">
              <w:rPr>
                <w:rFonts w:ascii="Times New Roman" w:hAnsi="Times New Roman"/>
                <w:sz w:val="24"/>
                <w:szCs w:val="24"/>
              </w:rPr>
              <w:t>108,0</w:t>
            </w:r>
          </w:p>
        </w:tc>
      </w:tr>
    </w:tbl>
    <w:p w:rsidR="00493655" w:rsidRDefault="00493655" w:rsidP="00493655"/>
    <w:p w:rsidR="00493655" w:rsidRDefault="00493655" w:rsidP="00493655"/>
    <w:p w:rsidR="00493655" w:rsidRDefault="00493655" w:rsidP="00493655">
      <w:pPr>
        <w:ind w:left="-426"/>
      </w:pPr>
    </w:p>
    <w:p w:rsidR="00493655" w:rsidRPr="00BB46CA" w:rsidRDefault="00493655" w:rsidP="00EB1C50">
      <w:pPr>
        <w:ind w:hanging="851"/>
        <w:rPr>
          <w:rFonts w:eastAsia="Calibri"/>
        </w:rPr>
      </w:pPr>
    </w:p>
    <w:sectPr w:rsidR="00493655" w:rsidRPr="00BB46CA" w:rsidSect="00431434">
      <w:pgSz w:w="11906" w:h="16838"/>
      <w:pgMar w:top="567"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674B" w:rsidRDefault="00F4674B" w:rsidP="00501504">
      <w:pPr>
        <w:spacing w:after="0" w:line="240" w:lineRule="auto"/>
      </w:pPr>
      <w:r>
        <w:separator/>
      </w:r>
    </w:p>
  </w:endnote>
  <w:endnote w:type="continuationSeparator" w:id="1">
    <w:p w:rsidR="00F4674B" w:rsidRDefault="00F4674B" w:rsidP="005015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850"/>
      <w:docPartObj>
        <w:docPartGallery w:val="Page Numbers (Bottom of Page)"/>
        <w:docPartUnique/>
      </w:docPartObj>
    </w:sdtPr>
    <w:sdtContent>
      <w:p w:rsidR="001E7C56" w:rsidRDefault="00437440">
        <w:pPr>
          <w:pStyle w:val="af5"/>
          <w:jc w:val="right"/>
        </w:pPr>
        <w:fldSimple w:instr=" PAGE   \* MERGEFORMAT ">
          <w:r w:rsidR="00AD263A">
            <w:rPr>
              <w:noProof/>
            </w:rPr>
            <w:t>12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674B" w:rsidRDefault="00F4674B" w:rsidP="00501504">
      <w:pPr>
        <w:spacing w:after="0" w:line="240" w:lineRule="auto"/>
      </w:pPr>
      <w:r>
        <w:separator/>
      </w:r>
    </w:p>
  </w:footnote>
  <w:footnote w:type="continuationSeparator" w:id="1">
    <w:p w:rsidR="00F4674B" w:rsidRDefault="00F4674B" w:rsidP="005015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B1BF3"/>
    <w:multiLevelType w:val="hybridMultilevel"/>
    <w:tmpl w:val="F3744C5A"/>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966F4F"/>
    <w:multiLevelType w:val="hybridMultilevel"/>
    <w:tmpl w:val="CE308408"/>
    <w:lvl w:ilvl="0" w:tplc="0994AFCC">
      <w:start w:val="1"/>
      <w:numFmt w:val="bullet"/>
      <w:lvlText w:val=""/>
      <w:lvlJc w:val="left"/>
      <w:pPr>
        <w:ind w:left="2422"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nsid w:val="2DE02E56"/>
    <w:multiLevelType w:val="hybridMultilevel"/>
    <w:tmpl w:val="734817E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2F772D7"/>
    <w:multiLevelType w:val="hybridMultilevel"/>
    <w:tmpl w:val="DA185ED4"/>
    <w:lvl w:ilvl="0" w:tplc="9654B282">
      <w:start w:val="1"/>
      <w:numFmt w:val="decimal"/>
      <w:lvlText w:val="%1."/>
      <w:lvlJc w:val="left"/>
      <w:pPr>
        <w:ind w:left="360" w:hanging="360"/>
      </w:pPr>
      <w:rPr>
        <w:rFonts w:hint="default"/>
      </w:rPr>
    </w:lvl>
    <w:lvl w:ilvl="1" w:tplc="04190019" w:tentative="1">
      <w:start w:val="1"/>
      <w:numFmt w:val="lowerLetter"/>
      <w:lvlText w:val="%2."/>
      <w:lvlJc w:val="left"/>
      <w:pPr>
        <w:ind w:left="1644" w:hanging="360"/>
      </w:pPr>
    </w:lvl>
    <w:lvl w:ilvl="2" w:tplc="0419001B" w:tentative="1">
      <w:start w:val="1"/>
      <w:numFmt w:val="lowerRoman"/>
      <w:lvlText w:val="%3."/>
      <w:lvlJc w:val="right"/>
      <w:pPr>
        <w:ind w:left="2364" w:hanging="180"/>
      </w:pPr>
    </w:lvl>
    <w:lvl w:ilvl="3" w:tplc="0419000F" w:tentative="1">
      <w:start w:val="1"/>
      <w:numFmt w:val="decimal"/>
      <w:lvlText w:val="%4."/>
      <w:lvlJc w:val="left"/>
      <w:pPr>
        <w:ind w:left="3084" w:hanging="360"/>
      </w:pPr>
    </w:lvl>
    <w:lvl w:ilvl="4" w:tplc="04190019" w:tentative="1">
      <w:start w:val="1"/>
      <w:numFmt w:val="lowerLetter"/>
      <w:lvlText w:val="%5."/>
      <w:lvlJc w:val="left"/>
      <w:pPr>
        <w:ind w:left="3804" w:hanging="360"/>
      </w:pPr>
    </w:lvl>
    <w:lvl w:ilvl="5" w:tplc="0419001B" w:tentative="1">
      <w:start w:val="1"/>
      <w:numFmt w:val="lowerRoman"/>
      <w:lvlText w:val="%6."/>
      <w:lvlJc w:val="right"/>
      <w:pPr>
        <w:ind w:left="4524" w:hanging="180"/>
      </w:pPr>
    </w:lvl>
    <w:lvl w:ilvl="6" w:tplc="0419000F" w:tentative="1">
      <w:start w:val="1"/>
      <w:numFmt w:val="decimal"/>
      <w:lvlText w:val="%7."/>
      <w:lvlJc w:val="left"/>
      <w:pPr>
        <w:ind w:left="5244" w:hanging="360"/>
      </w:pPr>
    </w:lvl>
    <w:lvl w:ilvl="7" w:tplc="04190019" w:tentative="1">
      <w:start w:val="1"/>
      <w:numFmt w:val="lowerLetter"/>
      <w:lvlText w:val="%8."/>
      <w:lvlJc w:val="left"/>
      <w:pPr>
        <w:ind w:left="5964" w:hanging="360"/>
      </w:pPr>
    </w:lvl>
    <w:lvl w:ilvl="8" w:tplc="0419001B" w:tentative="1">
      <w:start w:val="1"/>
      <w:numFmt w:val="lowerRoman"/>
      <w:lvlText w:val="%9."/>
      <w:lvlJc w:val="right"/>
      <w:pPr>
        <w:ind w:left="6684" w:hanging="180"/>
      </w:pPr>
    </w:lvl>
  </w:abstractNum>
  <w:abstractNum w:abstractNumId="4">
    <w:nsid w:val="75772350"/>
    <w:multiLevelType w:val="hybridMultilevel"/>
    <w:tmpl w:val="B93479BC"/>
    <w:lvl w:ilvl="0" w:tplc="0994AFCC">
      <w:start w:val="1"/>
      <w:numFmt w:val="bullet"/>
      <w:lvlText w:val=""/>
      <w:lvlJc w:val="left"/>
      <w:pPr>
        <w:ind w:left="1211" w:hanging="360"/>
      </w:pPr>
      <w:rPr>
        <w:rFonts w:ascii="Symbol" w:hAnsi="Symbol"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E34E0C"/>
    <w:rsid w:val="000077C4"/>
    <w:rsid w:val="00054BDA"/>
    <w:rsid w:val="00067149"/>
    <w:rsid w:val="000A73DF"/>
    <w:rsid w:val="000E17A2"/>
    <w:rsid w:val="000F4840"/>
    <w:rsid w:val="001136BD"/>
    <w:rsid w:val="00163821"/>
    <w:rsid w:val="00174F9C"/>
    <w:rsid w:val="00180663"/>
    <w:rsid w:val="001C294C"/>
    <w:rsid w:val="001E7C56"/>
    <w:rsid w:val="00205273"/>
    <w:rsid w:val="002156EF"/>
    <w:rsid w:val="00267046"/>
    <w:rsid w:val="002677DD"/>
    <w:rsid w:val="002879F4"/>
    <w:rsid w:val="002C12E1"/>
    <w:rsid w:val="002D049B"/>
    <w:rsid w:val="00303B8A"/>
    <w:rsid w:val="00332B2B"/>
    <w:rsid w:val="00335DED"/>
    <w:rsid w:val="00363E61"/>
    <w:rsid w:val="003B2047"/>
    <w:rsid w:val="003B4C61"/>
    <w:rsid w:val="003E0203"/>
    <w:rsid w:val="003F413E"/>
    <w:rsid w:val="00425781"/>
    <w:rsid w:val="00425B61"/>
    <w:rsid w:val="00431434"/>
    <w:rsid w:val="00437440"/>
    <w:rsid w:val="00493655"/>
    <w:rsid w:val="004B168F"/>
    <w:rsid w:val="004C04EF"/>
    <w:rsid w:val="004E5868"/>
    <w:rsid w:val="00501504"/>
    <w:rsid w:val="00550CF6"/>
    <w:rsid w:val="005867BE"/>
    <w:rsid w:val="0059595E"/>
    <w:rsid w:val="00613C77"/>
    <w:rsid w:val="006158EC"/>
    <w:rsid w:val="00616307"/>
    <w:rsid w:val="00643760"/>
    <w:rsid w:val="00656A17"/>
    <w:rsid w:val="006A6007"/>
    <w:rsid w:val="006B4909"/>
    <w:rsid w:val="006C3318"/>
    <w:rsid w:val="006D5C50"/>
    <w:rsid w:val="006E321F"/>
    <w:rsid w:val="006F06B4"/>
    <w:rsid w:val="00770A9A"/>
    <w:rsid w:val="007D340E"/>
    <w:rsid w:val="007E6E51"/>
    <w:rsid w:val="00802DB3"/>
    <w:rsid w:val="00805067"/>
    <w:rsid w:val="008176B9"/>
    <w:rsid w:val="008518BE"/>
    <w:rsid w:val="00856114"/>
    <w:rsid w:val="0087075E"/>
    <w:rsid w:val="00875506"/>
    <w:rsid w:val="008A558F"/>
    <w:rsid w:val="008B1E12"/>
    <w:rsid w:val="008B31C7"/>
    <w:rsid w:val="008E5079"/>
    <w:rsid w:val="009303BE"/>
    <w:rsid w:val="00933EC9"/>
    <w:rsid w:val="009806BF"/>
    <w:rsid w:val="009A47C4"/>
    <w:rsid w:val="009B2AA5"/>
    <w:rsid w:val="009F1CB8"/>
    <w:rsid w:val="009F6053"/>
    <w:rsid w:val="00A00123"/>
    <w:rsid w:val="00A04AF4"/>
    <w:rsid w:val="00A41601"/>
    <w:rsid w:val="00A53647"/>
    <w:rsid w:val="00A61AFF"/>
    <w:rsid w:val="00A62EEB"/>
    <w:rsid w:val="00A700B1"/>
    <w:rsid w:val="00A71D22"/>
    <w:rsid w:val="00A82D26"/>
    <w:rsid w:val="00AB3853"/>
    <w:rsid w:val="00AC357C"/>
    <w:rsid w:val="00AD263A"/>
    <w:rsid w:val="00AD5A67"/>
    <w:rsid w:val="00B60B48"/>
    <w:rsid w:val="00B70F90"/>
    <w:rsid w:val="00B7413C"/>
    <w:rsid w:val="00BB46CA"/>
    <w:rsid w:val="00BE4856"/>
    <w:rsid w:val="00BE59CB"/>
    <w:rsid w:val="00C504AF"/>
    <w:rsid w:val="00C74234"/>
    <w:rsid w:val="00C770B9"/>
    <w:rsid w:val="00CE11D9"/>
    <w:rsid w:val="00CF1F5D"/>
    <w:rsid w:val="00D11140"/>
    <w:rsid w:val="00D251C3"/>
    <w:rsid w:val="00D6670C"/>
    <w:rsid w:val="00D83569"/>
    <w:rsid w:val="00DB6B5C"/>
    <w:rsid w:val="00DC2B8A"/>
    <w:rsid w:val="00E01495"/>
    <w:rsid w:val="00E048BD"/>
    <w:rsid w:val="00E148A6"/>
    <w:rsid w:val="00E34E0C"/>
    <w:rsid w:val="00E50855"/>
    <w:rsid w:val="00E75383"/>
    <w:rsid w:val="00EB0F10"/>
    <w:rsid w:val="00EB1C50"/>
    <w:rsid w:val="00EC11FC"/>
    <w:rsid w:val="00ED22F4"/>
    <w:rsid w:val="00EE5DC6"/>
    <w:rsid w:val="00F16F9C"/>
    <w:rsid w:val="00F266B9"/>
    <w:rsid w:val="00F4674B"/>
    <w:rsid w:val="00F612A1"/>
    <w:rsid w:val="00F63602"/>
    <w:rsid w:val="00F75873"/>
    <w:rsid w:val="00FD2259"/>
    <w:rsid w:val="00FD47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06BF"/>
  </w:style>
  <w:style w:type="paragraph" w:styleId="4">
    <w:name w:val="heading 4"/>
    <w:basedOn w:val="a"/>
    <w:next w:val="a"/>
    <w:link w:val="40"/>
    <w:uiPriority w:val="99"/>
    <w:qFormat/>
    <w:rsid w:val="00E34E0C"/>
    <w:pPr>
      <w:keepNext/>
      <w:spacing w:before="240" w:after="60"/>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rsid w:val="00E34E0C"/>
    <w:rPr>
      <w:rFonts w:ascii="Times New Roman" w:eastAsia="Times New Roman" w:hAnsi="Times New Roman" w:cs="Times New Roman"/>
      <w:b/>
      <w:bCs/>
      <w:sz w:val="28"/>
      <w:szCs w:val="28"/>
    </w:rPr>
  </w:style>
  <w:style w:type="paragraph" w:styleId="a3">
    <w:name w:val="No Spacing"/>
    <w:link w:val="a4"/>
    <w:uiPriority w:val="1"/>
    <w:qFormat/>
    <w:rsid w:val="00E34E0C"/>
    <w:pPr>
      <w:spacing w:after="0" w:line="240" w:lineRule="auto"/>
      <w:ind w:firstLine="709"/>
      <w:jc w:val="both"/>
    </w:pPr>
    <w:rPr>
      <w:rFonts w:ascii="Times New Roman" w:eastAsia="Times New Roman" w:hAnsi="Times New Roman" w:cs="Times New Roman"/>
      <w:sz w:val="24"/>
    </w:rPr>
  </w:style>
  <w:style w:type="character" w:customStyle="1" w:styleId="a4">
    <w:name w:val="Без интервала Знак"/>
    <w:link w:val="a3"/>
    <w:uiPriority w:val="1"/>
    <w:locked/>
    <w:rsid w:val="00E34E0C"/>
    <w:rPr>
      <w:rFonts w:ascii="Times New Roman" w:eastAsia="Times New Roman" w:hAnsi="Times New Roman" w:cs="Times New Roman"/>
      <w:sz w:val="24"/>
    </w:rPr>
  </w:style>
  <w:style w:type="paragraph" w:styleId="a5">
    <w:name w:val="List Paragraph"/>
    <w:basedOn w:val="a"/>
    <w:uiPriority w:val="34"/>
    <w:qFormat/>
    <w:rsid w:val="00E34E0C"/>
    <w:pPr>
      <w:ind w:left="720"/>
      <w:contextualSpacing/>
    </w:pPr>
    <w:rPr>
      <w:rFonts w:ascii="Calibri" w:eastAsia="Times New Roman" w:hAnsi="Calibri" w:cs="Times New Roman"/>
    </w:rPr>
  </w:style>
  <w:style w:type="paragraph" w:styleId="3">
    <w:name w:val="Body Text Indent 3"/>
    <w:basedOn w:val="a"/>
    <w:link w:val="30"/>
    <w:uiPriority w:val="99"/>
    <w:semiHidden/>
    <w:rsid w:val="00E34E0C"/>
    <w:pPr>
      <w:spacing w:after="120"/>
      <w:ind w:left="283"/>
    </w:pPr>
    <w:rPr>
      <w:rFonts w:ascii="Calibri" w:eastAsia="Times New Roman" w:hAnsi="Calibri" w:cs="Times New Roman"/>
      <w:sz w:val="16"/>
      <w:szCs w:val="16"/>
    </w:rPr>
  </w:style>
  <w:style w:type="character" w:customStyle="1" w:styleId="30">
    <w:name w:val="Основной текст с отступом 3 Знак"/>
    <w:basedOn w:val="a0"/>
    <w:link w:val="3"/>
    <w:uiPriority w:val="99"/>
    <w:semiHidden/>
    <w:rsid w:val="00E34E0C"/>
    <w:rPr>
      <w:rFonts w:ascii="Calibri" w:eastAsia="Times New Roman" w:hAnsi="Calibri" w:cs="Times New Roman"/>
      <w:sz w:val="16"/>
      <w:szCs w:val="16"/>
    </w:rPr>
  </w:style>
  <w:style w:type="paragraph" w:customStyle="1" w:styleId="1">
    <w:name w:val="Без интервала1"/>
    <w:link w:val="10"/>
    <w:uiPriority w:val="99"/>
    <w:rsid w:val="00E34E0C"/>
    <w:pPr>
      <w:spacing w:after="0" w:line="240" w:lineRule="auto"/>
    </w:pPr>
    <w:rPr>
      <w:rFonts w:ascii="Calibri" w:eastAsia="Times New Roman" w:hAnsi="Calibri" w:cs="Times New Roman"/>
    </w:rPr>
  </w:style>
  <w:style w:type="paragraph" w:styleId="2">
    <w:name w:val="Body Text 2"/>
    <w:basedOn w:val="a"/>
    <w:link w:val="20"/>
    <w:rsid w:val="00E34E0C"/>
    <w:pPr>
      <w:spacing w:after="120" w:line="480" w:lineRule="auto"/>
    </w:pPr>
    <w:rPr>
      <w:rFonts w:ascii="Calibri" w:eastAsia="Times New Roman" w:hAnsi="Calibri" w:cs="Times New Roman"/>
    </w:rPr>
  </w:style>
  <w:style w:type="character" w:customStyle="1" w:styleId="20">
    <w:name w:val="Основной текст 2 Знак"/>
    <w:basedOn w:val="a0"/>
    <w:link w:val="2"/>
    <w:rsid w:val="00E34E0C"/>
    <w:rPr>
      <w:rFonts w:ascii="Calibri" w:eastAsia="Times New Roman" w:hAnsi="Calibri" w:cs="Times New Roman"/>
    </w:rPr>
  </w:style>
  <w:style w:type="paragraph" w:styleId="a6">
    <w:name w:val="Normal (Web)"/>
    <w:aliases w:val="Обычный (веб) Знак1,Обычный (веб) Знак Знак,Знак Знак3,Знак4,Знак4 Знак Знак,Знак4 Знак,Обычный (Web)1,Обычный (веб) Знак Знак1,Знак Знак1 Знак,Обычный (веб) Знак Знак Знак,Знак Знак1 Знак Знак,Знак Знак Знак Знак Зн"/>
    <w:basedOn w:val="a"/>
    <w:link w:val="a7"/>
    <w:uiPriority w:val="99"/>
    <w:rsid w:val="00E34E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бычный (веб) Знак"/>
    <w:aliases w:val="Обычный (веб) Знак1 Знак,Обычный (веб) Знак Знак Знак1,Знак Знак3 Знак,Знак4 Знак1,Знак4 Знак Знак Знак,Знак4 Знак Знак1,Обычный (Web)1 Знак,Обычный (веб) Знак Знак1 Знак,Знак Знак1 Знак Знак1,Обычный (веб) Знак Знак Знак Знак"/>
    <w:link w:val="a6"/>
    <w:uiPriority w:val="99"/>
    <w:rsid w:val="00E34E0C"/>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E34E0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34E0C"/>
    <w:rPr>
      <w:rFonts w:ascii="Tahoma" w:hAnsi="Tahoma" w:cs="Tahoma"/>
      <w:sz w:val="16"/>
      <w:szCs w:val="16"/>
    </w:rPr>
  </w:style>
  <w:style w:type="character" w:customStyle="1" w:styleId="aa">
    <w:name w:val="Подпись к таблице_"/>
    <w:link w:val="ab"/>
    <w:rsid w:val="00E34E0C"/>
    <w:rPr>
      <w:b/>
      <w:bCs/>
      <w:sz w:val="27"/>
      <w:szCs w:val="27"/>
      <w:shd w:val="clear" w:color="auto" w:fill="FFFFFF"/>
    </w:rPr>
  </w:style>
  <w:style w:type="paragraph" w:customStyle="1" w:styleId="ab">
    <w:name w:val="Подпись к таблице"/>
    <w:basedOn w:val="a"/>
    <w:link w:val="aa"/>
    <w:rsid w:val="00E34E0C"/>
    <w:pPr>
      <w:widowControl w:val="0"/>
      <w:shd w:val="clear" w:color="auto" w:fill="FFFFFF"/>
      <w:spacing w:after="0" w:line="240" w:lineRule="atLeast"/>
    </w:pPr>
    <w:rPr>
      <w:b/>
      <w:bCs/>
      <w:sz w:val="27"/>
      <w:szCs w:val="27"/>
    </w:rPr>
  </w:style>
  <w:style w:type="paragraph" w:styleId="ac">
    <w:name w:val="caption"/>
    <w:basedOn w:val="a"/>
    <w:next w:val="a"/>
    <w:uiPriority w:val="35"/>
    <w:qFormat/>
    <w:rsid w:val="00363E61"/>
    <w:pPr>
      <w:spacing w:line="240" w:lineRule="auto"/>
    </w:pPr>
    <w:rPr>
      <w:rFonts w:ascii="Calibri" w:eastAsia="Times New Roman" w:hAnsi="Calibri" w:cs="Times New Roman"/>
      <w:b/>
      <w:bCs/>
      <w:color w:val="4F81BD"/>
      <w:sz w:val="18"/>
      <w:szCs w:val="18"/>
    </w:rPr>
  </w:style>
  <w:style w:type="paragraph" w:styleId="ad">
    <w:name w:val="Plain Text"/>
    <w:basedOn w:val="a"/>
    <w:link w:val="ae"/>
    <w:rsid w:val="00163821"/>
    <w:pPr>
      <w:spacing w:after="0" w:line="240" w:lineRule="auto"/>
    </w:pPr>
    <w:rPr>
      <w:rFonts w:ascii="Consolas" w:eastAsia="Times New Roman" w:hAnsi="Consolas" w:cs="Times New Roman"/>
      <w:sz w:val="21"/>
      <w:szCs w:val="21"/>
      <w:lang w:eastAsia="en-US"/>
    </w:rPr>
  </w:style>
  <w:style w:type="character" w:customStyle="1" w:styleId="ae">
    <w:name w:val="Текст Знак"/>
    <w:basedOn w:val="a0"/>
    <w:link w:val="ad"/>
    <w:rsid w:val="00163821"/>
    <w:rPr>
      <w:rFonts w:ascii="Consolas" w:eastAsia="Times New Roman" w:hAnsi="Consolas" w:cs="Times New Roman"/>
      <w:sz w:val="21"/>
      <w:szCs w:val="21"/>
      <w:lang w:eastAsia="en-US"/>
    </w:rPr>
  </w:style>
  <w:style w:type="paragraph" w:customStyle="1" w:styleId="21">
    <w:name w:val="Без интервала2"/>
    <w:rsid w:val="00BB46CA"/>
    <w:pPr>
      <w:spacing w:after="0" w:line="240" w:lineRule="auto"/>
    </w:pPr>
    <w:rPr>
      <w:rFonts w:ascii="Calibri" w:eastAsia="Times New Roman" w:hAnsi="Calibri" w:cs="Times New Roman"/>
    </w:rPr>
  </w:style>
  <w:style w:type="character" w:customStyle="1" w:styleId="10">
    <w:name w:val="Без интервала1 Знак"/>
    <w:basedOn w:val="a0"/>
    <w:link w:val="1"/>
    <w:uiPriority w:val="99"/>
    <w:locked/>
    <w:rsid w:val="009303BE"/>
    <w:rPr>
      <w:rFonts w:ascii="Calibri" w:eastAsia="Times New Roman" w:hAnsi="Calibri" w:cs="Times New Roman"/>
    </w:rPr>
  </w:style>
  <w:style w:type="paragraph" w:customStyle="1" w:styleId="af">
    <w:name w:val="Татьяна"/>
    <w:basedOn w:val="af0"/>
    <w:rsid w:val="00770A9A"/>
    <w:pPr>
      <w:spacing w:after="0" w:line="240" w:lineRule="auto"/>
      <w:ind w:firstLine="720"/>
      <w:jc w:val="both"/>
    </w:pPr>
    <w:rPr>
      <w:rFonts w:ascii="Times New Roman" w:eastAsia="Times New Roman" w:hAnsi="Times New Roman" w:cs="Times New Roman"/>
      <w:sz w:val="28"/>
      <w:szCs w:val="20"/>
    </w:rPr>
  </w:style>
  <w:style w:type="character" w:customStyle="1" w:styleId="22">
    <w:name w:val="Основной текст (2)_"/>
    <w:basedOn w:val="a0"/>
    <w:link w:val="23"/>
    <w:rsid w:val="00770A9A"/>
    <w:rPr>
      <w:shd w:val="clear" w:color="auto" w:fill="FFFFFF"/>
    </w:rPr>
  </w:style>
  <w:style w:type="paragraph" w:customStyle="1" w:styleId="23">
    <w:name w:val="Основной текст (2)"/>
    <w:basedOn w:val="a"/>
    <w:link w:val="22"/>
    <w:rsid w:val="00770A9A"/>
    <w:pPr>
      <w:widowControl w:val="0"/>
      <w:shd w:val="clear" w:color="auto" w:fill="FFFFFF"/>
      <w:spacing w:before="300" w:after="0" w:line="274" w:lineRule="exact"/>
      <w:jc w:val="both"/>
    </w:pPr>
  </w:style>
  <w:style w:type="paragraph" w:customStyle="1" w:styleId="justifyfull">
    <w:name w:val="justifyfull"/>
    <w:basedOn w:val="a"/>
    <w:rsid w:val="00770A9A"/>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Body Text"/>
    <w:basedOn w:val="a"/>
    <w:link w:val="af1"/>
    <w:uiPriority w:val="99"/>
    <w:semiHidden/>
    <w:unhideWhenUsed/>
    <w:rsid w:val="00770A9A"/>
    <w:pPr>
      <w:spacing w:after="120"/>
    </w:pPr>
  </w:style>
  <w:style w:type="character" w:customStyle="1" w:styleId="af1">
    <w:name w:val="Основной текст Знак"/>
    <w:basedOn w:val="a0"/>
    <w:link w:val="af0"/>
    <w:uiPriority w:val="99"/>
    <w:semiHidden/>
    <w:rsid w:val="00770A9A"/>
  </w:style>
  <w:style w:type="paragraph" w:styleId="af2">
    <w:name w:val="Block Text"/>
    <w:basedOn w:val="a"/>
    <w:rsid w:val="00F63602"/>
    <w:pPr>
      <w:widowControl w:val="0"/>
      <w:suppressAutoHyphens/>
      <w:snapToGrid w:val="0"/>
      <w:spacing w:after="0" w:line="240" w:lineRule="auto"/>
      <w:ind w:left="-32" w:right="-92"/>
      <w:jc w:val="center"/>
    </w:pPr>
    <w:rPr>
      <w:rFonts w:ascii="Times New Roman" w:eastAsia="Times New Roman" w:hAnsi="Times New Roman" w:cs="Times New Roman"/>
      <w:b/>
      <w:sz w:val="20"/>
      <w:szCs w:val="20"/>
    </w:rPr>
  </w:style>
  <w:style w:type="paragraph" w:styleId="af3">
    <w:name w:val="header"/>
    <w:basedOn w:val="a"/>
    <w:link w:val="af4"/>
    <w:uiPriority w:val="99"/>
    <w:semiHidden/>
    <w:unhideWhenUsed/>
    <w:rsid w:val="00501504"/>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501504"/>
  </w:style>
  <w:style w:type="paragraph" w:styleId="af5">
    <w:name w:val="footer"/>
    <w:basedOn w:val="a"/>
    <w:link w:val="af6"/>
    <w:uiPriority w:val="99"/>
    <w:unhideWhenUsed/>
    <w:rsid w:val="00501504"/>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0150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image" Target="media/image13.gif"/><Relationship Id="rId47" Type="http://schemas.openxmlformats.org/officeDocument/2006/relationships/chart" Target="charts/chart37.xml"/><Relationship Id="rId50" Type="http://schemas.openxmlformats.org/officeDocument/2006/relationships/chart" Target="charts/chart40.xml"/><Relationship Id="rId55" Type="http://schemas.openxmlformats.org/officeDocument/2006/relationships/chart" Target="charts/chart45.xml"/><Relationship Id="rId63" Type="http://schemas.openxmlformats.org/officeDocument/2006/relationships/chart" Target="charts/chart53.xml"/><Relationship Id="rId68" Type="http://schemas.openxmlformats.org/officeDocument/2006/relationships/chart" Target="charts/chart58.xml"/><Relationship Id="rId76" Type="http://schemas.openxmlformats.org/officeDocument/2006/relationships/chart" Target="charts/chart66.xml"/><Relationship Id="rId7" Type="http://schemas.openxmlformats.org/officeDocument/2006/relationships/endnotes" Target="endnotes.xml"/><Relationship Id="rId71" Type="http://schemas.openxmlformats.org/officeDocument/2006/relationships/chart" Target="charts/chart61.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image" Target="media/image14.jpeg"/><Relationship Id="rId53" Type="http://schemas.openxmlformats.org/officeDocument/2006/relationships/chart" Target="charts/chart43.xml"/><Relationship Id="rId58" Type="http://schemas.openxmlformats.org/officeDocument/2006/relationships/chart" Target="charts/chart48.xml"/><Relationship Id="rId66" Type="http://schemas.openxmlformats.org/officeDocument/2006/relationships/chart" Target="charts/chart56.xml"/><Relationship Id="rId74" Type="http://schemas.openxmlformats.org/officeDocument/2006/relationships/chart" Target="charts/chart64.xml"/><Relationship Id="rId79" Type="http://schemas.openxmlformats.org/officeDocument/2006/relationships/chart" Target="charts/chart69.xml"/><Relationship Id="rId5" Type="http://schemas.openxmlformats.org/officeDocument/2006/relationships/webSettings" Target="webSettings.xml"/><Relationship Id="rId61" Type="http://schemas.openxmlformats.org/officeDocument/2006/relationships/chart" Target="charts/chart51.xml"/><Relationship Id="rId82"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5.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5.xml"/><Relationship Id="rId73" Type="http://schemas.openxmlformats.org/officeDocument/2006/relationships/chart" Target="charts/chart63.xml"/><Relationship Id="rId78" Type="http://schemas.openxmlformats.org/officeDocument/2006/relationships/chart" Target="charts/chart68.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4.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4.xml"/><Relationship Id="rId69" Type="http://schemas.openxmlformats.org/officeDocument/2006/relationships/chart" Target="charts/chart59.xml"/><Relationship Id="rId77" Type="http://schemas.openxmlformats.org/officeDocument/2006/relationships/chart" Target="charts/chart67.xml"/><Relationship Id="rId8" Type="http://schemas.openxmlformats.org/officeDocument/2006/relationships/footer" Target="footer1.xml"/><Relationship Id="rId51" Type="http://schemas.openxmlformats.org/officeDocument/2006/relationships/chart" Target="charts/chart41.xml"/><Relationship Id="rId72" Type="http://schemas.openxmlformats.org/officeDocument/2006/relationships/chart" Target="charts/chart62.xml"/><Relationship Id="rId80" Type="http://schemas.openxmlformats.org/officeDocument/2006/relationships/chart" Target="charts/chart70.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chart" Target="charts/chart57.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chart" Target="charts/chart60.xml"/><Relationship Id="rId75" Type="http://schemas.openxmlformats.org/officeDocument/2006/relationships/chart" Target="charts/chart6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39.xml"/><Relationship Id="rId57" Type="http://schemas.openxmlformats.org/officeDocument/2006/relationships/chart" Target="charts/chart47.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themeOverride" Target="../theme/themeOverride14.xml"/><Relationship Id="rId5" Type="http://schemas.openxmlformats.org/officeDocument/2006/relationships/package" Target="../embeddings/_____Microsoft_Office_Excel19.xlsx"/><Relationship Id="rId4" Type="http://schemas.openxmlformats.org/officeDocument/2006/relationships/image" Target="../media/image5.jpeg"/></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package" Target="../embeddings/_____Microsoft_Office_Excel22.xlsx"/><Relationship Id="rId2" Type="http://schemas.openxmlformats.org/officeDocument/2006/relationships/image" Target="../media/image6.jpeg"/><Relationship Id="rId1" Type="http://schemas.openxmlformats.org/officeDocument/2006/relationships/themeOverride" Target="../theme/themeOverride15.xml"/><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charts/_rels/chart2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eg"/><Relationship Id="rId1" Type="http://schemas.openxmlformats.org/officeDocument/2006/relationships/image" Target="../media/image6.jpeg"/><Relationship Id="rId6" Type="http://schemas.openxmlformats.org/officeDocument/2006/relationships/package" Target="../embeddings/_____Microsoft_Office_Excel23.xlsx"/><Relationship Id="rId5" Type="http://schemas.openxmlformats.org/officeDocument/2006/relationships/image" Target="../media/image9.jpeg"/><Relationship Id="rId4" Type="http://schemas.openxmlformats.org/officeDocument/2006/relationships/image" Target="../media/image8.jpeg"/></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themeOverride" Target="../theme/themeOverride21.xml"/><Relationship Id="rId4"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themeOverride" Target="../theme/themeOverride22.xml"/><Relationship Id="rId4"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Office_Excel33.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3" Type="http://schemas.openxmlformats.org/officeDocument/2006/relationships/package" Target="../embeddings/_____Microsoft_Office_Excel34.xlsx"/><Relationship Id="rId2" Type="http://schemas.openxmlformats.org/officeDocument/2006/relationships/image" Target="../media/image10.jpeg"/><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3" Type="http://schemas.openxmlformats.org/officeDocument/2006/relationships/package" Target="../embeddings/_____Microsoft_Office_Excel35.xlsx"/><Relationship Id="rId2" Type="http://schemas.openxmlformats.org/officeDocument/2006/relationships/image" Target="../media/image10.jpeg"/><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27.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Office_Excel37.xlsx"/><Relationship Id="rId1" Type="http://schemas.openxmlformats.org/officeDocument/2006/relationships/themeOverride" Target="../theme/themeOverride28.xm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0.jpeg"/><Relationship Id="rId1" Type="http://schemas.openxmlformats.org/officeDocument/2006/relationships/themeOverride" Target="../theme/themeOverride29.xml"/><Relationship Id="rId6" Type="http://schemas.openxmlformats.org/officeDocument/2006/relationships/package" Target="../embeddings/_____Microsoft_Office_Excel40.xlsx"/><Relationship Id="rId5" Type="http://schemas.openxmlformats.org/officeDocument/2006/relationships/image" Target="../media/image17.jpeg"/><Relationship Id="rId4" Type="http://schemas.openxmlformats.org/officeDocument/2006/relationships/image" Target="../media/image16.jpeg"/></Relationships>
</file>

<file path=word/charts/_rels/chart4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0.jpeg"/><Relationship Id="rId1" Type="http://schemas.openxmlformats.org/officeDocument/2006/relationships/themeOverride" Target="../theme/themeOverride30.xml"/><Relationship Id="rId6" Type="http://schemas.openxmlformats.org/officeDocument/2006/relationships/package" Target="../embeddings/_____Microsoft_Office_Excel41.xlsx"/><Relationship Id="rId5" Type="http://schemas.openxmlformats.org/officeDocument/2006/relationships/image" Target="../media/image17.jpeg"/><Relationship Id="rId4" Type="http://schemas.openxmlformats.org/officeDocument/2006/relationships/image" Target="../media/image16.jpeg"/></Relationships>
</file>

<file path=word/charts/_rels/chart42.xml.rels><?xml version="1.0" encoding="UTF-8" standalone="yes"?>
<Relationships xmlns="http://schemas.openxmlformats.org/package/2006/relationships"><Relationship Id="rId3" Type="http://schemas.openxmlformats.org/officeDocument/2006/relationships/package" Target="../embeddings/_____Microsoft_Office_Excel42.xlsx"/><Relationship Id="rId2" Type="http://schemas.openxmlformats.org/officeDocument/2006/relationships/image" Target="../media/image10.jpeg"/><Relationship Id="rId1" Type="http://schemas.openxmlformats.org/officeDocument/2006/relationships/themeOverride" Target="../theme/themeOverride31.xml"/></Relationships>
</file>

<file path=word/charts/_rels/chart43.xml.rels><?xml version="1.0" encoding="UTF-8" standalone="yes"?>
<Relationships xmlns="http://schemas.openxmlformats.org/package/2006/relationships"><Relationship Id="rId3" Type="http://schemas.openxmlformats.org/officeDocument/2006/relationships/package" Target="../embeddings/_____Microsoft_Office_Excel43.xlsx"/><Relationship Id="rId2" Type="http://schemas.openxmlformats.org/officeDocument/2006/relationships/image" Target="../media/image10.jpeg"/><Relationship Id="rId1" Type="http://schemas.openxmlformats.org/officeDocument/2006/relationships/themeOverride" Target="../theme/themeOverride32.xm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image" Target="../media/image10.jpeg"/></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image" Target="../media/image10.jpeg"/></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_____Microsoft_Office_Excel50.xlsx"/><Relationship Id="rId2" Type="http://schemas.openxmlformats.org/officeDocument/2006/relationships/image" Target="../media/image7.jpeg"/><Relationship Id="rId1" Type="http://schemas.openxmlformats.org/officeDocument/2006/relationships/image" Target="../media/image18.jpeg"/></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33.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34.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35.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36.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37.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38.xml"/></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39.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40.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41.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42.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2.xlsx"/><Relationship Id="rId1" Type="http://schemas.openxmlformats.org/officeDocument/2006/relationships/themeOverride" Target="../theme/themeOverride43.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44.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45.xml"/></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Office_Excel65.xlsx"/></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6.xlsx"/><Relationship Id="rId1" Type="http://schemas.openxmlformats.org/officeDocument/2006/relationships/themeOverride" Target="../theme/themeOverride46.xml"/></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Office_Excel68.xlsx"/><Relationship Id="rId1" Type="http://schemas.openxmlformats.org/officeDocument/2006/relationships/themeOverride" Target="../theme/themeOverride47.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48.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Office_Excel70.xlsx"/><Relationship Id="rId1" Type="http://schemas.openxmlformats.org/officeDocument/2006/relationships/themeOverride" Target="../theme/themeOverride49.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a:pPr>
            <a:r>
              <a:rPr lang="ru-RU"/>
              <a:t>Структура производста ВВП, млн. руб.</a:t>
            </a:r>
          </a:p>
        </c:rich>
      </c:tx>
      <c:layout>
        <c:manualLayout>
          <c:xMode val="edge"/>
          <c:yMode val="edge"/>
          <c:x val="0.33139217627736839"/>
          <c:y val="0"/>
        </c:manualLayout>
      </c:layout>
    </c:title>
    <c:plotArea>
      <c:layout/>
      <c:barChart>
        <c:barDir val="col"/>
        <c:grouping val="clustered"/>
        <c:ser>
          <c:idx val="0"/>
          <c:order val="0"/>
          <c:tx>
            <c:strRef>
              <c:f>Лист1!$B$1</c:f>
              <c:strCache>
                <c:ptCount val="1"/>
                <c:pt idx="0">
                  <c:v>январь-декабрь 2015 года</c:v>
                </c:pt>
              </c:strCache>
            </c:strRef>
          </c:tx>
          <c:dLbls>
            <c:dLbl>
              <c:idx val="0"/>
              <c:layout>
                <c:manualLayout>
                  <c:x val="0"/>
                  <c:y val="1.8583042973286879E-2"/>
                </c:manualLayout>
              </c:layout>
              <c:tx>
                <c:rich>
                  <a:bodyPr/>
                  <a:lstStyle/>
                  <a:p>
                    <a:r>
                      <a:rPr lang="ru-RU" sz="800" b="1">
                        <a:latin typeface="Times New Roman" pitchFamily="18" charset="0"/>
                        <a:cs typeface="Times New Roman" pitchFamily="18" charset="0"/>
                      </a:rPr>
                      <a:t>35,17*</a:t>
                    </a:r>
                    <a:endParaRPr lang="en-US" sz="800" b="1">
                      <a:latin typeface="Times New Roman" pitchFamily="18" charset="0"/>
                      <a:cs typeface="Times New Roman" pitchFamily="18" charset="0"/>
                    </a:endParaRPr>
                  </a:p>
                </c:rich>
              </c:tx>
              <c:dLblPos val="outEnd"/>
              <c:showVal val="1"/>
            </c:dLbl>
            <c:dLbl>
              <c:idx val="1"/>
              <c:layout>
                <c:manualLayout>
                  <c:x val="-2.5560957290914092E-3"/>
                  <c:y val="1.3937282229965249E-2"/>
                </c:manualLayout>
              </c:layout>
              <c:tx>
                <c:rich>
                  <a:bodyPr/>
                  <a:lstStyle/>
                  <a:p>
                    <a:r>
                      <a:rPr lang="ru-RU" sz="800" b="1">
                        <a:latin typeface="Times New Roman" pitchFamily="18" charset="0"/>
                        <a:cs typeface="Times New Roman" pitchFamily="18" charset="0"/>
                      </a:rPr>
                      <a:t>61,99*</a:t>
                    </a:r>
                    <a:endParaRPr lang="en-US" sz="800" b="1">
                      <a:latin typeface="Times New Roman" pitchFamily="18" charset="0"/>
                      <a:cs typeface="Times New Roman" pitchFamily="18" charset="0"/>
                    </a:endParaRPr>
                  </a:p>
                </c:rich>
              </c:tx>
              <c:dLblPos val="outEnd"/>
              <c:showVal val="1"/>
            </c:dLbl>
            <c:dLbl>
              <c:idx val="2"/>
              <c:layout>
                <c:manualLayout>
                  <c:x val="0"/>
                  <c:y val="1.0539580898129971E-2"/>
                </c:manualLayout>
              </c:layout>
              <c:tx>
                <c:rich>
                  <a:bodyPr/>
                  <a:lstStyle/>
                  <a:p>
                    <a:r>
                      <a:rPr lang="ru-RU" sz="800" b="1">
                        <a:latin typeface="Times New Roman" pitchFamily="18" charset="0"/>
                        <a:cs typeface="Times New Roman" pitchFamily="18" charset="0"/>
                      </a:rPr>
                      <a:t>2,84*</a:t>
                    </a:r>
                    <a:endParaRPr lang="en-US" sz="800" b="1">
                      <a:latin typeface="Times New Roman" pitchFamily="18" charset="0"/>
                      <a:cs typeface="Times New Roman" pitchFamily="18" charset="0"/>
                    </a:endParaRPr>
                  </a:p>
                </c:rich>
              </c:tx>
              <c:dLblPos val="outEnd"/>
              <c:showVal val="1"/>
            </c:dLbl>
            <c:dLblPos val="outEnd"/>
            <c:showVal val="1"/>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Лист1!$B$2:$B$4</c:f>
              <c:numCache>
                <c:formatCode>#,##0.0</c:formatCode>
                <c:ptCount val="3"/>
                <c:pt idx="0">
                  <c:v>3521.163</c:v>
                </c:pt>
                <c:pt idx="1">
                  <c:v>6206.7273000000005</c:v>
                </c:pt>
                <c:pt idx="2">
                  <c:v>283.834</c:v>
                </c:pt>
              </c:numCache>
            </c:numRef>
          </c:val>
        </c:ser>
        <c:ser>
          <c:idx val="1"/>
          <c:order val="1"/>
          <c:tx>
            <c:strRef>
              <c:f>Лист1!$C$1</c:f>
              <c:strCache>
                <c:ptCount val="1"/>
                <c:pt idx="0">
                  <c:v>январь-декабрь 2016 года</c:v>
                </c:pt>
              </c:strCache>
            </c:strRef>
          </c:tx>
          <c:dLbls>
            <c:dLbl>
              <c:idx val="0"/>
              <c:layout>
                <c:manualLayout>
                  <c:x val="0"/>
                  <c:y val="4.6457607433217857E-3"/>
                </c:manualLayout>
              </c:layout>
              <c:tx>
                <c:rich>
                  <a:bodyPr/>
                  <a:lstStyle/>
                  <a:p>
                    <a:r>
                      <a:rPr lang="ru-RU" sz="800" b="1">
                        <a:latin typeface="Times New Roman" pitchFamily="18" charset="0"/>
                        <a:cs typeface="Times New Roman" pitchFamily="18" charset="0"/>
                      </a:rPr>
                      <a:t>38,81*</a:t>
                    </a:r>
                    <a:endParaRPr lang="en-US" sz="800" b="1">
                      <a:latin typeface="Times New Roman" pitchFamily="18" charset="0"/>
                      <a:cs typeface="Times New Roman" pitchFamily="18" charset="0"/>
                    </a:endParaRPr>
                  </a:p>
                </c:rich>
              </c:tx>
              <c:dLblPos val="outEnd"/>
              <c:showVal val="1"/>
            </c:dLbl>
            <c:dLbl>
              <c:idx val="1"/>
              <c:layout>
                <c:manualLayout>
                  <c:x val="0"/>
                  <c:y val="1.3937282229965249E-2"/>
                </c:manualLayout>
              </c:layout>
              <c:tx>
                <c:rich>
                  <a:bodyPr/>
                  <a:lstStyle/>
                  <a:p>
                    <a:r>
                      <a:rPr lang="ru-RU" sz="800" b="1">
                        <a:latin typeface="Times New Roman" pitchFamily="18" charset="0"/>
                        <a:cs typeface="Times New Roman" pitchFamily="18" charset="0"/>
                      </a:rPr>
                      <a:t>61,23*</a:t>
                    </a:r>
                    <a:endParaRPr lang="en-US" sz="800" b="1">
                      <a:latin typeface="Times New Roman" pitchFamily="18" charset="0"/>
                      <a:cs typeface="Times New Roman" pitchFamily="18" charset="0"/>
                    </a:endParaRPr>
                  </a:p>
                </c:rich>
              </c:tx>
              <c:dLblPos val="outEnd"/>
              <c:showVal val="1"/>
            </c:dLbl>
            <c:dLbl>
              <c:idx val="2"/>
              <c:layout>
                <c:manualLayout>
                  <c:x val="2.8368459930532501E-4"/>
                  <c:y val="9.5595282349363542E-2"/>
                </c:manualLayout>
              </c:layout>
              <c:tx>
                <c:rich>
                  <a:bodyPr/>
                  <a:lstStyle/>
                  <a:p>
                    <a:r>
                      <a:rPr lang="ru-RU"/>
                      <a:t>-0,04*</a:t>
                    </a:r>
                    <a:endParaRPr lang="en-US"/>
                  </a:p>
                </c:rich>
              </c:tx>
              <c:dLblPos val="outEnd"/>
              <c:showVal val="1"/>
            </c:dLbl>
            <c:dLblPos val="outEnd"/>
            <c:showVal val="1"/>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Лист1!$C$2:$C$4</c:f>
              <c:numCache>
                <c:formatCode>#,##0.0</c:formatCode>
                <c:ptCount val="3"/>
                <c:pt idx="0">
                  <c:v>4449.13</c:v>
                </c:pt>
                <c:pt idx="1">
                  <c:v>7020.1490000000003</c:v>
                </c:pt>
                <c:pt idx="2">
                  <c:v>-4.7050000000000001</c:v>
                </c:pt>
              </c:numCache>
            </c:numRef>
          </c:val>
        </c:ser>
        <c:dLbls>
          <c:showVal val="1"/>
        </c:dLbls>
        <c:axId val="135067904"/>
        <c:axId val="139231232"/>
      </c:barChart>
      <c:catAx>
        <c:axId val="135067904"/>
        <c:scaling>
          <c:orientation val="minMax"/>
        </c:scaling>
        <c:axPos val="b"/>
        <c:tickLblPos val="nextTo"/>
        <c:crossAx val="139231232"/>
        <c:crosses val="autoZero"/>
        <c:auto val="1"/>
        <c:lblAlgn val="ctr"/>
        <c:lblOffset val="100"/>
      </c:catAx>
      <c:valAx>
        <c:axId val="139231232"/>
        <c:scaling>
          <c:orientation val="minMax"/>
          <c:max val="8000"/>
          <c:min val="-1000"/>
        </c:scaling>
        <c:axPos val="l"/>
        <c:title>
          <c:tx>
            <c:rich>
              <a:bodyPr rot="0" vert="horz"/>
              <a:lstStyle/>
              <a:p>
                <a:pPr>
                  <a:defRPr/>
                </a:pPr>
                <a:r>
                  <a:rPr lang="ru-RU"/>
                  <a:t>*- удельный вес в структуре ВВП,%</a:t>
                </a:r>
              </a:p>
            </c:rich>
          </c:tx>
          <c:layout>
            <c:manualLayout>
              <c:xMode val="edge"/>
              <c:yMode val="edge"/>
              <c:x val="4.9400411774875523E-2"/>
              <c:y val="0.61548969300185863"/>
            </c:manualLayout>
          </c:layout>
        </c:title>
        <c:numFmt formatCode="#,##0.0" sourceLinked="1"/>
        <c:tickLblPos val="nextTo"/>
        <c:crossAx val="135067904"/>
        <c:crosses val="autoZero"/>
        <c:crossBetween val="between"/>
        <c:majorUnit val="2000"/>
      </c:valAx>
      <c:dTable>
        <c:showHorzBorder val="1"/>
        <c:showVertBorder val="1"/>
        <c:showOutline val="1"/>
        <c:showKeys val="1"/>
      </c:dTable>
    </c:plotArea>
    <c:plotVisOnly val="1"/>
  </c:chart>
  <c:spPr>
    <a:ln>
      <a:noFill/>
    </a:ln>
  </c:spPr>
  <c:txPr>
    <a:bodyPr/>
    <a:lstStyle/>
    <a:p>
      <a:pPr>
        <a:defRPr sz="900" b="1">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a:pPr>
            <a:r>
              <a:rPr lang="ru-RU"/>
              <a:t>Динамика оплаты труда, руб. ПМР </a:t>
            </a:r>
          </a:p>
        </c:rich>
      </c:tx>
      <c:layout>
        <c:manualLayout>
          <c:xMode val="edge"/>
          <c:yMode val="edge"/>
          <c:x val="0.29997419814050325"/>
          <c:y val="0"/>
        </c:manualLayout>
      </c:layout>
    </c:title>
    <c:plotArea>
      <c:layout>
        <c:manualLayout>
          <c:layoutTarget val="inner"/>
          <c:xMode val="edge"/>
          <c:yMode val="edge"/>
          <c:x val="0.25700443182307131"/>
          <c:y val="0.15743124500741862"/>
          <c:w val="0.72376779281129355"/>
          <c:h val="0.4111902316558258"/>
        </c:manualLayout>
      </c:layout>
      <c:barChart>
        <c:barDir val="col"/>
        <c:grouping val="clustered"/>
        <c:ser>
          <c:idx val="0"/>
          <c:order val="0"/>
          <c:tx>
            <c:strRef>
              <c:f>Лист1!$B$1</c:f>
              <c:strCache>
                <c:ptCount val="1"/>
                <c:pt idx="0">
                  <c:v>январь-декабрь 2015 года</c:v>
                </c:pt>
              </c:strCache>
            </c:strRef>
          </c:tx>
          <c:dLbls>
            <c:dLbl>
              <c:idx val="0"/>
              <c:layout>
                <c:manualLayout>
                  <c:x val="3.686902272006391E-17"/>
                  <c:y val="2.0125786163521998E-2"/>
                </c:manualLayout>
              </c:layout>
              <c:tx>
                <c:rich>
                  <a:bodyPr/>
                  <a:lstStyle/>
                  <a:p>
                    <a:r>
                      <a:rPr lang="ru-RU" sz="800" b="1">
                        <a:solidFill>
                          <a:sysClr val="windowText" lastClr="000000"/>
                        </a:solidFill>
                        <a:latin typeface="Times New Roman" pitchFamily="18" charset="0"/>
                        <a:cs typeface="Times New Roman" pitchFamily="18" charset="0"/>
                      </a:rPr>
                      <a:t>-5,1*</a:t>
                    </a:r>
                    <a:endParaRPr lang="en-US" sz="800" b="1">
                      <a:solidFill>
                        <a:sysClr val="windowText" lastClr="000000"/>
                      </a:solidFill>
                      <a:latin typeface="Times New Roman" pitchFamily="18" charset="0"/>
                      <a:cs typeface="Times New Roman" pitchFamily="18" charset="0"/>
                    </a:endParaRPr>
                  </a:p>
                </c:rich>
              </c:tx>
              <c:dLblPos val="outEnd"/>
              <c:showVal val="1"/>
            </c:dLbl>
            <c:dLbl>
              <c:idx val="1"/>
              <c:layout>
                <c:manualLayout>
                  <c:x val="-2.0544427324087587E-3"/>
                  <c:y val="1.7543859649124045E-2"/>
                </c:manualLayout>
              </c:layout>
              <c:tx>
                <c:rich>
                  <a:bodyPr/>
                  <a:lstStyle/>
                  <a:p>
                    <a:r>
                      <a:rPr lang="ru-RU" sz="800" b="1">
                        <a:solidFill>
                          <a:sysClr val="windowText" lastClr="000000"/>
                        </a:solidFill>
                        <a:latin typeface="Times New Roman" pitchFamily="18" charset="0"/>
                        <a:cs typeface="Times New Roman" pitchFamily="18" charset="0"/>
                      </a:rPr>
                      <a:t>-5,7*</a:t>
                    </a:r>
                    <a:endParaRPr lang="en-US" sz="800" b="1">
                      <a:solidFill>
                        <a:sysClr val="windowText" lastClr="000000"/>
                      </a:solidFill>
                      <a:latin typeface="Times New Roman" pitchFamily="18" charset="0"/>
                      <a:cs typeface="Times New Roman" pitchFamily="18" charset="0"/>
                    </a:endParaRPr>
                  </a:p>
                </c:rich>
              </c:tx>
              <c:dLblPos val="outEnd"/>
              <c:showVal val="1"/>
            </c:dLbl>
            <c:dLbl>
              <c:idx val="2"/>
              <c:layout>
                <c:manualLayout>
                  <c:x val="-1.0055304172951198E-2"/>
                  <c:y val="1.509433962264151E-2"/>
                </c:manualLayout>
              </c:layout>
              <c:tx>
                <c:rich>
                  <a:bodyPr/>
                  <a:lstStyle/>
                  <a:p>
                    <a:r>
                      <a:rPr lang="ru-RU" sz="800" b="1">
                        <a:solidFill>
                          <a:sysClr val="windowText" lastClr="000000"/>
                        </a:solidFill>
                        <a:latin typeface="Times New Roman" pitchFamily="18" charset="0"/>
                        <a:cs typeface="Times New Roman" pitchFamily="18" charset="0"/>
                      </a:rPr>
                      <a:t>-1,5*</a:t>
                    </a:r>
                    <a:endParaRPr lang="en-US" sz="800" b="1">
                      <a:solidFill>
                        <a:sysClr val="windowText" lastClr="000000"/>
                      </a:solidFill>
                      <a:latin typeface="Times New Roman" pitchFamily="18" charset="0"/>
                      <a:cs typeface="Times New Roman" pitchFamily="18" charset="0"/>
                    </a:endParaRPr>
                  </a:p>
                </c:rich>
              </c:tx>
              <c:dLblPos val="outEnd"/>
              <c:showVal val="1"/>
            </c:dLbl>
            <c:dLblPos val="outEnd"/>
            <c:showVal val="1"/>
          </c:dLbls>
          <c:cat>
            <c:strRef>
              <c:f>Лист1!$A$2:$A$4</c:f>
              <c:strCache>
                <c:ptCount val="3"/>
                <c:pt idx="0">
                  <c:v>в целом по республике</c:v>
                </c:pt>
                <c:pt idx="1">
                  <c:v>во внебюджетном секторе экономики</c:v>
                </c:pt>
                <c:pt idx="2">
                  <c:v>в бюджетном секторе экономики</c:v>
                </c:pt>
              </c:strCache>
            </c:strRef>
          </c:cat>
          <c:val>
            <c:numRef>
              <c:f>Лист1!$B$2:$B$4</c:f>
              <c:numCache>
                <c:formatCode>#,##0</c:formatCode>
                <c:ptCount val="3"/>
                <c:pt idx="0">
                  <c:v>3865</c:v>
                </c:pt>
                <c:pt idx="1">
                  <c:v>4901</c:v>
                </c:pt>
                <c:pt idx="2">
                  <c:v>2658</c:v>
                </c:pt>
              </c:numCache>
            </c:numRef>
          </c:val>
        </c:ser>
        <c:ser>
          <c:idx val="1"/>
          <c:order val="1"/>
          <c:tx>
            <c:strRef>
              <c:f>Лист1!$C$1</c:f>
              <c:strCache>
                <c:ptCount val="1"/>
                <c:pt idx="0">
                  <c:v>январь-декабрь 2016 года</c:v>
                </c:pt>
              </c:strCache>
            </c:strRef>
          </c:tx>
          <c:dLbls>
            <c:dLbl>
              <c:idx val="0"/>
              <c:layout>
                <c:manualLayout>
                  <c:x val="-4.0221216691804845E-3"/>
                  <c:y val="2.5157232704402552E-2"/>
                </c:manualLayout>
              </c:layout>
              <c:tx>
                <c:rich>
                  <a:bodyPr/>
                  <a:lstStyle/>
                  <a:p>
                    <a:r>
                      <a:rPr lang="ru-RU" sz="800" b="1">
                        <a:solidFill>
                          <a:sysClr val="windowText" lastClr="000000"/>
                        </a:solidFill>
                        <a:latin typeface="Times New Roman" pitchFamily="18" charset="0"/>
                        <a:cs typeface="Times New Roman" pitchFamily="18" charset="0"/>
                      </a:rPr>
                      <a:t>-1,6*</a:t>
                    </a:r>
                    <a:endParaRPr lang="en-US" sz="800" b="1">
                      <a:solidFill>
                        <a:sysClr val="windowText" lastClr="000000"/>
                      </a:solidFill>
                      <a:latin typeface="Times New Roman" pitchFamily="18" charset="0"/>
                      <a:cs typeface="Times New Roman" pitchFamily="18" charset="0"/>
                    </a:endParaRPr>
                  </a:p>
                </c:rich>
              </c:tx>
              <c:dLblPos val="outEnd"/>
              <c:showVal val="1"/>
            </c:dLbl>
            <c:dLbl>
              <c:idx val="1"/>
              <c:layout>
                <c:manualLayout>
                  <c:x val="2.6368044518318152E-4"/>
                  <c:y val="1.7543859649124055E-2"/>
                </c:manualLayout>
              </c:layout>
              <c:tx>
                <c:rich>
                  <a:bodyPr/>
                  <a:lstStyle/>
                  <a:p>
                    <a:r>
                      <a:rPr lang="ru-RU" sz="800" b="1">
                        <a:solidFill>
                          <a:sysClr val="windowText" lastClr="000000"/>
                        </a:solidFill>
                        <a:latin typeface="Times New Roman" pitchFamily="18" charset="0"/>
                        <a:cs typeface="Times New Roman" pitchFamily="18" charset="0"/>
                      </a:rPr>
                      <a:t>-2,0*</a:t>
                    </a:r>
                    <a:endParaRPr lang="en-US" sz="800" b="1">
                      <a:solidFill>
                        <a:sysClr val="windowText" lastClr="000000"/>
                      </a:solidFill>
                      <a:latin typeface="Times New Roman" pitchFamily="18" charset="0"/>
                      <a:cs typeface="Times New Roman" pitchFamily="18" charset="0"/>
                    </a:endParaRPr>
                  </a:p>
                </c:rich>
              </c:tx>
              <c:dLblPos val="outEnd"/>
              <c:showVal val="1"/>
            </c:dLbl>
            <c:dLbl>
              <c:idx val="2"/>
              <c:layout>
                <c:manualLayout>
                  <c:x val="0"/>
                  <c:y val="2.5157232704402552E-2"/>
                </c:manualLayout>
              </c:layout>
              <c:tx>
                <c:rich>
                  <a:bodyPr/>
                  <a:lstStyle/>
                  <a:p>
                    <a:r>
                      <a:rPr lang="ru-RU" sz="800" b="1">
                        <a:solidFill>
                          <a:sysClr val="windowText" lastClr="000000"/>
                        </a:solidFill>
                        <a:latin typeface="Times New Roman" pitchFamily="18" charset="0"/>
                        <a:cs typeface="Times New Roman" pitchFamily="18" charset="0"/>
                      </a:rPr>
                      <a:t>+1,0*</a:t>
                    </a:r>
                    <a:endParaRPr lang="en-US" sz="800" b="1">
                      <a:solidFill>
                        <a:sysClr val="windowText" lastClr="000000"/>
                      </a:solidFill>
                      <a:latin typeface="Times New Roman" pitchFamily="18" charset="0"/>
                      <a:cs typeface="Times New Roman" pitchFamily="18" charset="0"/>
                    </a:endParaRPr>
                  </a:p>
                </c:rich>
              </c:tx>
              <c:dLblPos val="outEnd"/>
              <c:showVal val="1"/>
            </c:dLbl>
            <c:dLblPos val="outEnd"/>
            <c:showVal val="1"/>
          </c:dLbls>
          <c:cat>
            <c:strRef>
              <c:f>Лист1!$A$2:$A$4</c:f>
              <c:strCache>
                <c:ptCount val="3"/>
                <c:pt idx="0">
                  <c:v>в целом по республике</c:v>
                </c:pt>
                <c:pt idx="1">
                  <c:v>во внебюджетном секторе экономики</c:v>
                </c:pt>
                <c:pt idx="2">
                  <c:v>в бюджетном секторе экономики</c:v>
                </c:pt>
              </c:strCache>
            </c:strRef>
          </c:cat>
          <c:val>
            <c:numRef>
              <c:f>Лист1!$C$2:$C$4</c:f>
              <c:numCache>
                <c:formatCode>#,##0</c:formatCode>
                <c:ptCount val="3"/>
                <c:pt idx="0">
                  <c:v>3844</c:v>
                </c:pt>
                <c:pt idx="1">
                  <c:v>4857</c:v>
                </c:pt>
                <c:pt idx="2">
                  <c:v>2709</c:v>
                </c:pt>
              </c:numCache>
            </c:numRef>
          </c:val>
        </c:ser>
        <c:dLbls>
          <c:showVal val="1"/>
        </c:dLbls>
        <c:axId val="118373376"/>
        <c:axId val="118838016"/>
      </c:barChart>
      <c:catAx>
        <c:axId val="118373376"/>
        <c:scaling>
          <c:orientation val="minMax"/>
        </c:scaling>
        <c:axPos val="b"/>
        <c:tickLblPos val="nextTo"/>
        <c:crossAx val="118838016"/>
        <c:crosses val="autoZero"/>
        <c:auto val="1"/>
        <c:lblAlgn val="ctr"/>
        <c:lblOffset val="100"/>
      </c:catAx>
      <c:valAx>
        <c:axId val="118838016"/>
        <c:scaling>
          <c:orientation val="minMax"/>
        </c:scaling>
        <c:axPos val="l"/>
        <c:title>
          <c:tx>
            <c:rich>
              <a:bodyPr rot="0" vert="horz"/>
              <a:lstStyle/>
              <a:p>
                <a:pPr>
                  <a:defRPr/>
                </a:pPr>
                <a:r>
                  <a:rPr lang="ru-RU"/>
                  <a:t>*-темп реального прироста (спада) заработной платы, %</a:t>
                </a:r>
              </a:p>
            </c:rich>
          </c:tx>
        </c:title>
        <c:numFmt formatCode="#,##0" sourceLinked="1"/>
        <c:tickLblPos val="nextTo"/>
        <c:crossAx val="118373376"/>
        <c:crosses val="autoZero"/>
        <c:crossBetween val="between"/>
      </c:valAx>
      <c:dTable>
        <c:showHorzBorder val="1"/>
        <c:showVertBorder val="1"/>
        <c:showOutline val="1"/>
        <c:showKeys val="1"/>
      </c:dTable>
    </c:plotArea>
    <c:plotVisOnly val="1"/>
  </c:chart>
  <c:spPr>
    <a:ln>
      <a:noFill/>
    </a:ln>
  </c:spPr>
  <c:txPr>
    <a:bodyPr/>
    <a:lstStyle/>
    <a:p>
      <a:pPr>
        <a:defRPr sz="900" b="1">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Динамика оплаты труда в разрезе отраслей экономики, руб. ПМР</a:t>
            </a:r>
          </a:p>
        </c:rich>
      </c:tx>
      <c:layout>
        <c:manualLayout>
          <c:xMode val="edge"/>
          <c:yMode val="edge"/>
          <c:x val="0.16059079271532867"/>
          <c:y val="5.4528335039627594E-4"/>
        </c:manualLayout>
      </c:layout>
    </c:title>
    <c:plotArea>
      <c:layout>
        <c:manualLayout>
          <c:layoutTarget val="inner"/>
          <c:xMode val="edge"/>
          <c:yMode val="edge"/>
          <c:x val="8.3783392106662025E-2"/>
          <c:y val="0.12014839787255333"/>
          <c:w val="0.91585760517799353"/>
          <c:h val="0.38950105246745148"/>
        </c:manualLayout>
      </c:layout>
      <c:barChart>
        <c:barDir val="col"/>
        <c:grouping val="clustered"/>
        <c:ser>
          <c:idx val="1"/>
          <c:order val="1"/>
          <c:tx>
            <c:strRef>
              <c:f>Sheet1!$A$3</c:f>
              <c:strCache>
                <c:ptCount val="1"/>
                <c:pt idx="0">
                  <c:v>январь-декабрь 2016 года</c:v>
                </c:pt>
              </c:strCache>
            </c:strRef>
          </c:tx>
          <c:dLbls>
            <c:dLbl>
              <c:idx val="0"/>
              <c:layout>
                <c:manualLayout>
                  <c:x val="-5.2102756438259833E-3"/>
                  <c:y val="9.7242795145656728E-4"/>
                </c:manualLayout>
              </c:layout>
              <c:showVal val="1"/>
            </c:dLbl>
            <c:dLbl>
              <c:idx val="1"/>
              <c:layout>
                <c:manualLayout>
                  <c:x val="-4.0447650403645594E-3"/>
                  <c:y val="1.0782204204672461E-2"/>
                </c:manualLayout>
              </c:layout>
              <c:showVal val="1"/>
            </c:dLbl>
            <c:dLbl>
              <c:idx val="2"/>
              <c:layout>
                <c:manualLayout>
                  <c:x val="-2.8499888122915811E-3"/>
                  <c:y val="8.0044697383124148E-3"/>
                </c:manualLayout>
              </c:layout>
              <c:showVal val="1"/>
            </c:dLbl>
            <c:dLbl>
              <c:idx val="3"/>
              <c:layout>
                <c:manualLayout>
                  <c:x val="-1.1703408521837784E-3"/>
                  <c:y val="8.0702164704659768E-3"/>
                </c:manualLayout>
              </c:layout>
              <c:showVal val="1"/>
            </c:dLbl>
            <c:dLbl>
              <c:idx val="4"/>
              <c:layout>
                <c:manualLayout>
                  <c:x val="4.2581483809787934E-3"/>
                  <c:y val="1.1210727371949794E-2"/>
                </c:manualLayout>
              </c:layout>
              <c:showVal val="1"/>
            </c:dLbl>
            <c:dLbl>
              <c:idx val="5"/>
              <c:layout>
                <c:manualLayout>
                  <c:x val="-1.6922918464691281E-3"/>
                  <c:y val="6.7363114264182514E-3"/>
                </c:manualLayout>
              </c:layout>
              <c:showVal val="1"/>
            </c:dLbl>
            <c:dLbl>
              <c:idx val="6"/>
              <c:layout>
                <c:manualLayout>
                  <c:x val="-9.8395007795884374E-4"/>
                  <c:y val="1.2501754112419432E-2"/>
                </c:manualLayout>
              </c:layout>
              <c:showVal val="1"/>
            </c:dLbl>
            <c:dLbl>
              <c:idx val="7"/>
              <c:layout>
                <c:manualLayout>
                  <c:x val="-5.3068806182718434E-3"/>
                  <c:y val="9.6621709415036228E-3"/>
                </c:manualLayout>
              </c:layout>
              <c:showVal val="1"/>
            </c:dLbl>
            <c:dLbl>
              <c:idx val="8"/>
              <c:layout>
                <c:manualLayout>
                  <c:x val="-3.4196740292442487E-3"/>
                  <c:y val="2.3297211610925819E-3"/>
                </c:manualLayout>
              </c:layout>
              <c:showVal val="1"/>
            </c:dLbl>
            <c:dLbl>
              <c:idx val="9"/>
              <c:layout>
                <c:manualLayout>
                  <c:x val="-2.0556970297522011E-3"/>
                  <c:y val="1.6267508640628526E-2"/>
                </c:manualLayout>
              </c:layout>
              <c:showVal val="1"/>
            </c:dLbl>
            <c:dLbl>
              <c:idx val="10"/>
              <c:layout>
                <c:manualLayout>
                  <c:x val="-2.2375416875327429E-4"/>
                  <c:y val="1.0446194225721784E-2"/>
                </c:manualLayout>
              </c:layout>
              <c:showVal val="1"/>
            </c:dLbl>
            <c:dLbl>
              <c:idx val="11"/>
              <c:layout>
                <c:manualLayout>
                  <c:x val="-1.0018788246868719E-2"/>
                  <c:y val="1.472259036927346E-2"/>
                </c:manualLayout>
              </c:layout>
              <c:showVal val="1"/>
            </c:dLbl>
            <c:dLbl>
              <c:idx val="12"/>
              <c:layout>
                <c:manualLayout>
                  <c:x val="-3.7881935935276255E-3"/>
                  <c:y val="1.3984303942205381E-2"/>
                </c:manualLayout>
              </c:layout>
              <c:showVal val="1"/>
            </c:dLbl>
            <c:dLbl>
              <c:idx val="13"/>
              <c:layout>
                <c:manualLayout>
                  <c:x val="1.4149787433539687E-4"/>
                  <c:y val="2.4193757958473052E-3"/>
                </c:manualLayout>
              </c:layout>
              <c:showVal val="1"/>
            </c:dLbl>
            <c:dLbl>
              <c:idx val="14"/>
              <c:layout>
                <c:manualLayout>
                  <c:x val="-3.9769994921135532E-3"/>
                  <c:y val="1.35682544632416E-2"/>
                </c:manualLayout>
              </c:layout>
              <c:showVal val="1"/>
            </c:dLbl>
            <c:dLbl>
              <c:idx val="15"/>
              <c:layout>
                <c:manualLayout>
                  <c:x val="1.2312872257679581E-3"/>
                  <c:y val="6.1809724279514562E-3"/>
                </c:manualLayout>
              </c:layout>
              <c:showVal val="1"/>
            </c:dLbl>
            <c:dLbl>
              <c:idx val="16"/>
              <c:layout>
                <c:manualLayout>
                  <c:x val="-6.1180782713392218E-3"/>
                  <c:y val="1.4643590343286729E-3"/>
                </c:manualLayout>
              </c:layout>
              <c:showVal val="1"/>
            </c:dLbl>
            <c:dLbl>
              <c:idx val="17"/>
              <c:layout>
                <c:manualLayout>
                  <c:x val="1.6402956396350773E-3"/>
                  <c:y val="-3.6979288480030873E-4"/>
                </c:manualLayout>
              </c:layout>
              <c:showVal val="1"/>
            </c:dLbl>
            <c:dLbl>
              <c:idx val="18"/>
              <c:layout>
                <c:manualLayout>
                  <c:x val="5.7439935392691434E-3"/>
                  <c:y val="4.8113482670014723E-4"/>
                </c:manualLayout>
              </c:layout>
              <c:showVal val="1"/>
            </c:dLbl>
            <c:txPr>
              <a:bodyPr rot="-5400000" vert="horz"/>
              <a:lstStyle/>
              <a:p>
                <a:pPr>
                  <a:defRPr sz="700" b="0"/>
                </a:pPr>
                <a:endParaRPr lang="ru-RU"/>
              </a:p>
            </c:txPr>
            <c:showVal val="1"/>
          </c:dLbls>
          <c:cat>
            <c:strRef>
              <c:f>Sheet1!$B$1:$S$1</c:f>
              <c:strCache>
                <c:ptCount val="18"/>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ЖКХ</c:v>
                </c:pt>
                <c:pt idx="12">
                  <c:v>Здравоохранение</c:v>
                </c:pt>
                <c:pt idx="13">
                  <c:v>Образование</c:v>
                </c:pt>
                <c:pt idx="14">
                  <c:v>Культура и искусство</c:v>
                </c:pt>
                <c:pt idx="15">
                  <c:v>Физкультура отдых и туризм</c:v>
                </c:pt>
                <c:pt idx="16">
                  <c:v>Банки и кредитование</c:v>
                </c:pt>
                <c:pt idx="17">
                  <c:v>Страхование</c:v>
                </c:pt>
              </c:strCache>
            </c:strRef>
          </c:cat>
          <c:val>
            <c:numRef>
              <c:f>Sheet1!$B$3:$S$3</c:f>
              <c:numCache>
                <c:formatCode>#,##0</c:formatCode>
                <c:ptCount val="18"/>
                <c:pt idx="0">
                  <c:v>4963</c:v>
                </c:pt>
                <c:pt idx="1">
                  <c:v>3294</c:v>
                </c:pt>
                <c:pt idx="2">
                  <c:v>2539</c:v>
                </c:pt>
                <c:pt idx="3">
                  <c:v>3916</c:v>
                </c:pt>
                <c:pt idx="4">
                  <c:v>7168</c:v>
                </c:pt>
                <c:pt idx="5">
                  <c:v>4553</c:v>
                </c:pt>
                <c:pt idx="6">
                  <c:v>1964</c:v>
                </c:pt>
                <c:pt idx="7">
                  <c:v>3883</c:v>
                </c:pt>
                <c:pt idx="8">
                  <c:v>4374</c:v>
                </c:pt>
                <c:pt idx="9">
                  <c:v>3400</c:v>
                </c:pt>
                <c:pt idx="10">
                  <c:v>4321</c:v>
                </c:pt>
                <c:pt idx="11">
                  <c:v>4131</c:v>
                </c:pt>
                <c:pt idx="12">
                  <c:v>2692</c:v>
                </c:pt>
                <c:pt idx="13">
                  <c:v>2682</c:v>
                </c:pt>
                <c:pt idx="14">
                  <c:v>2425</c:v>
                </c:pt>
                <c:pt idx="15">
                  <c:v>3414</c:v>
                </c:pt>
                <c:pt idx="16">
                  <c:v>7331</c:v>
                </c:pt>
                <c:pt idx="17">
                  <c:v>6931</c:v>
                </c:pt>
              </c:numCache>
            </c:numRef>
          </c:val>
        </c:ser>
        <c:ser>
          <c:idx val="0"/>
          <c:order val="0"/>
          <c:tx>
            <c:strRef>
              <c:f>Sheet1!$A$2</c:f>
              <c:strCache>
                <c:ptCount val="1"/>
                <c:pt idx="0">
                  <c:v>январь-декабрь 2015 года</c:v>
                </c:pt>
              </c:strCache>
            </c:strRef>
          </c:tx>
          <c:dLbls>
            <c:dLbl>
              <c:idx val="0"/>
              <c:layout>
                <c:manualLayout>
                  <c:x val="-5.3743620342452134E-4"/>
                  <c:y val="6.7991996050000931E-3"/>
                </c:manualLayout>
              </c:layout>
              <c:showVal val="1"/>
            </c:dLbl>
            <c:dLbl>
              <c:idx val="1"/>
              <c:layout>
                <c:manualLayout>
                  <c:x val="2.9032642270380212E-3"/>
                  <c:y val="-4.7742430205496506E-3"/>
                </c:manualLayout>
              </c:layout>
              <c:showVal val="1"/>
            </c:dLbl>
            <c:dLbl>
              <c:idx val="2"/>
              <c:layout>
                <c:manualLayout>
                  <c:x val="4.2977848337293406E-3"/>
                  <c:y val="3.898027598035584E-6"/>
                </c:manualLayout>
              </c:layout>
              <c:showVal val="1"/>
            </c:dLbl>
            <c:dLbl>
              <c:idx val="3"/>
              <c:layout>
                <c:manualLayout>
                  <c:x val="5.7312321751394153E-3"/>
                  <c:y val="3.7088433252774858E-3"/>
                </c:manualLayout>
              </c:layout>
              <c:showVal val="1"/>
            </c:dLbl>
            <c:dLbl>
              <c:idx val="4"/>
              <c:layout>
                <c:manualLayout>
                  <c:x val="6.5668652040957714E-3"/>
                  <c:y val="6.9135417478755823E-3"/>
                </c:manualLayout>
              </c:layout>
              <c:showVal val="1"/>
            </c:dLbl>
            <c:dLbl>
              <c:idx val="5"/>
              <c:layout>
                <c:manualLayout>
                  <c:x val="3.7562287122770996E-3"/>
                  <c:y val="1.0411111977339464E-2"/>
                </c:manualLayout>
              </c:layout>
              <c:showVal val="1"/>
            </c:dLbl>
            <c:dLbl>
              <c:idx val="6"/>
              <c:layout>
                <c:manualLayout>
                  <c:x val="-5.5107455275803783E-4"/>
                  <c:y val="1.2850757516696551E-2"/>
                </c:manualLayout>
              </c:layout>
              <c:showVal val="1"/>
            </c:dLbl>
            <c:dLbl>
              <c:idx val="7"/>
              <c:layout>
                <c:manualLayout>
                  <c:x val="4.2875560717291937E-4"/>
                  <c:y val="8.2536836360805142E-3"/>
                </c:manualLayout>
              </c:layout>
              <c:showVal val="1"/>
            </c:dLbl>
            <c:dLbl>
              <c:idx val="8"/>
              <c:layout>
                <c:manualLayout>
                  <c:x val="4.5134412325658512E-4"/>
                  <c:y val="-2.2192770458148256E-4"/>
                </c:manualLayout>
              </c:layout>
              <c:showVal val="1"/>
            </c:dLbl>
            <c:dLbl>
              <c:idx val="9"/>
              <c:layout>
                <c:manualLayout>
                  <c:x val="4.2735042735042739E-3"/>
                  <c:y val="8.3857442348023257E-3"/>
                </c:manualLayout>
              </c:layout>
              <c:showVal val="1"/>
            </c:dLbl>
            <c:dLbl>
              <c:idx val="10"/>
              <c:layout>
                <c:manualLayout>
                  <c:x val="4.3965536977098804E-3"/>
                  <c:y val="5.3338851590157259E-3"/>
                </c:manualLayout>
              </c:layout>
              <c:showVal val="1"/>
            </c:dLbl>
            <c:dLbl>
              <c:idx val="11"/>
              <c:layout>
                <c:manualLayout>
                  <c:x val="1.9838115634734288E-3"/>
                  <c:y val="6.3194823419349833E-3"/>
                </c:manualLayout>
              </c:layout>
              <c:showVal val="1"/>
            </c:dLbl>
            <c:dLbl>
              <c:idx val="12"/>
              <c:layout>
                <c:manualLayout>
                  <c:x val="2.0011436324180731E-3"/>
                  <c:y val="-2.6205140199060386E-3"/>
                </c:manualLayout>
              </c:layout>
              <c:showVal val="1"/>
            </c:dLbl>
            <c:dLbl>
              <c:idx val="13"/>
              <c:layout>
                <c:manualLayout>
                  <c:x val="2.1366239602685893E-3"/>
                  <c:y val="-3.2393972593733897E-4"/>
                </c:manualLayout>
              </c:layout>
              <c:showVal val="1"/>
            </c:dLbl>
            <c:dLbl>
              <c:idx val="14"/>
              <c:layout>
                <c:manualLayout>
                  <c:x val="1.5702570331618704E-3"/>
                  <c:y val="3.5373301109638692E-3"/>
                </c:manualLayout>
              </c:layout>
              <c:showVal val="1"/>
            </c:dLbl>
            <c:dLbl>
              <c:idx val="15"/>
              <c:layout>
                <c:manualLayout>
                  <c:x val="2.5218160314534432E-3"/>
                  <c:y val="1.195005327304384E-2"/>
                </c:manualLayout>
              </c:layout>
              <c:showVal val="1"/>
            </c:dLbl>
            <c:dLbl>
              <c:idx val="16"/>
              <c:layout>
                <c:manualLayout>
                  <c:x val="4.5384060547629104E-3"/>
                  <c:y val="5.4731308919560523E-4"/>
                </c:manualLayout>
              </c:layout>
              <c:showVal val="1"/>
            </c:dLbl>
            <c:dLbl>
              <c:idx val="17"/>
              <c:layout>
                <c:manualLayout>
                  <c:x val="6.6052230615963534E-3"/>
                  <c:y val="1.2875964761830515E-2"/>
                </c:manualLayout>
              </c:layout>
              <c:showVal val="1"/>
            </c:dLbl>
            <c:dLbl>
              <c:idx val="18"/>
              <c:layout>
                <c:manualLayout>
                  <c:x val="-1.7094017094017103E-2"/>
                  <c:y val="4.7144169871847781E-2"/>
                </c:manualLayout>
              </c:layout>
              <c:showVal val="1"/>
            </c:dLbl>
            <c:txPr>
              <a:bodyPr rot="-5400000" vert="horz"/>
              <a:lstStyle/>
              <a:p>
                <a:pPr>
                  <a:defRPr sz="700" b="0"/>
                </a:pPr>
                <a:endParaRPr lang="ru-RU"/>
              </a:p>
            </c:txPr>
            <c:showVal val="1"/>
          </c:dLbls>
          <c:cat>
            <c:strRef>
              <c:f>Sheet1!$B$1:$S$1</c:f>
              <c:strCache>
                <c:ptCount val="18"/>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ЖКХ</c:v>
                </c:pt>
                <c:pt idx="12">
                  <c:v>Здравоохранение</c:v>
                </c:pt>
                <c:pt idx="13">
                  <c:v>Образование</c:v>
                </c:pt>
                <c:pt idx="14">
                  <c:v>Культура и искусство</c:v>
                </c:pt>
                <c:pt idx="15">
                  <c:v>Физкультура отдых и туризм</c:v>
                </c:pt>
                <c:pt idx="16">
                  <c:v>Банки и кредитование</c:v>
                </c:pt>
                <c:pt idx="17">
                  <c:v>Страхование</c:v>
                </c:pt>
              </c:strCache>
            </c:strRef>
          </c:cat>
          <c:val>
            <c:numRef>
              <c:f>Sheet1!$B$2:$S$2</c:f>
              <c:numCache>
                <c:formatCode>#,##0</c:formatCode>
                <c:ptCount val="18"/>
                <c:pt idx="0">
                  <c:v>4979</c:v>
                </c:pt>
                <c:pt idx="1">
                  <c:v>3127</c:v>
                </c:pt>
                <c:pt idx="2">
                  <c:v>1972</c:v>
                </c:pt>
                <c:pt idx="3">
                  <c:v>4108</c:v>
                </c:pt>
                <c:pt idx="4">
                  <c:v>6933</c:v>
                </c:pt>
                <c:pt idx="5">
                  <c:v>4669</c:v>
                </c:pt>
                <c:pt idx="6">
                  <c:v>1962</c:v>
                </c:pt>
                <c:pt idx="7">
                  <c:v>3979</c:v>
                </c:pt>
                <c:pt idx="8">
                  <c:v>4507</c:v>
                </c:pt>
                <c:pt idx="9">
                  <c:v>4523</c:v>
                </c:pt>
                <c:pt idx="10">
                  <c:v>4642</c:v>
                </c:pt>
                <c:pt idx="11">
                  <c:v>4189</c:v>
                </c:pt>
                <c:pt idx="12">
                  <c:v>2627</c:v>
                </c:pt>
                <c:pt idx="13">
                  <c:v>2649</c:v>
                </c:pt>
                <c:pt idx="14">
                  <c:v>2390</c:v>
                </c:pt>
                <c:pt idx="15">
                  <c:v>3253</c:v>
                </c:pt>
                <c:pt idx="16">
                  <c:v>7907</c:v>
                </c:pt>
                <c:pt idx="17">
                  <c:v>6183</c:v>
                </c:pt>
              </c:numCache>
            </c:numRef>
          </c:val>
        </c:ser>
        <c:ser>
          <c:idx val="2"/>
          <c:order val="2"/>
          <c:tx>
            <c:strRef>
              <c:f>Sheet1!$A$4</c:f>
              <c:strCache>
                <c:ptCount val="1"/>
                <c:pt idx="0">
                  <c:v>средняя заработная плата в целом по республике в январе-декабре</c:v>
                </c:pt>
              </c:strCache>
            </c:strRef>
          </c:tx>
          <c:spPr>
            <a:solidFill>
              <a:schemeClr val="bg1"/>
            </a:solidFill>
          </c:spPr>
          <c:trendline>
            <c:trendlineType val="linear"/>
          </c:trendline>
          <c:trendline>
            <c:trendlineType val="linear"/>
          </c:trendline>
          <c:trendline>
            <c:spPr>
              <a:ln w="34925">
                <a:solidFill>
                  <a:srgbClr val="C00000">
                    <a:alpha val="93000"/>
                  </a:srgbClr>
                </a:solidFill>
              </a:ln>
              <a:effectLst>
                <a:outerShdw blurRad="50800" dist="50800" dir="5400000" sx="104000" sy="104000" algn="ctr" rotWithShape="0">
                  <a:srgbClr val="000000">
                    <a:alpha val="43137"/>
                  </a:srgbClr>
                </a:outerShdw>
              </a:effectLst>
            </c:spPr>
            <c:trendlineType val="linear"/>
          </c:trendline>
          <c:trendline>
            <c:trendlineType val="linear"/>
            <c:dispEq val="1"/>
            <c:trendlineLbl>
              <c:layout>
                <c:manualLayout>
                  <c:x val="-0.18081638306714445"/>
                  <c:y val="-4.7776565058080804E-2"/>
                </c:manualLayout>
              </c:layout>
              <c:tx>
                <c:rich>
                  <a:bodyPr/>
                  <a:lstStyle/>
                  <a:p>
                    <a:pPr>
                      <a:defRPr sz="1200" b="1" i="1"/>
                    </a:pPr>
                    <a:r>
                      <a:rPr lang="en-US"/>
                      <a:t>3</a:t>
                    </a:r>
                    <a:r>
                      <a:rPr lang="ru-RU"/>
                      <a:t> 844</a:t>
                    </a:r>
                    <a:endParaRPr lang="en-US"/>
                  </a:p>
                </c:rich>
              </c:tx>
              <c:numFmt formatCode="General" sourceLinked="0"/>
            </c:trendlineLbl>
          </c:trendline>
          <c:cat>
            <c:strRef>
              <c:f>Sheet1!$B$1:$S$1</c:f>
              <c:strCache>
                <c:ptCount val="18"/>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ЖКХ</c:v>
                </c:pt>
                <c:pt idx="12">
                  <c:v>Здравоохранение</c:v>
                </c:pt>
                <c:pt idx="13">
                  <c:v>Образование</c:v>
                </c:pt>
                <c:pt idx="14">
                  <c:v>Культура и искусство</c:v>
                </c:pt>
                <c:pt idx="15">
                  <c:v>Физкультура отдых и туризм</c:v>
                </c:pt>
                <c:pt idx="16">
                  <c:v>Банки и кредитование</c:v>
                </c:pt>
                <c:pt idx="17">
                  <c:v>Страхование</c:v>
                </c:pt>
              </c:strCache>
            </c:strRef>
          </c:cat>
          <c:val>
            <c:numRef>
              <c:f>Sheet1!$B$4:$S$4</c:f>
              <c:numCache>
                <c:formatCode>#,##0</c:formatCode>
                <c:ptCount val="18"/>
                <c:pt idx="0">
                  <c:v>3844</c:v>
                </c:pt>
                <c:pt idx="1">
                  <c:v>3844</c:v>
                </c:pt>
                <c:pt idx="2">
                  <c:v>3844</c:v>
                </c:pt>
                <c:pt idx="3">
                  <c:v>3844</c:v>
                </c:pt>
                <c:pt idx="4">
                  <c:v>3844</c:v>
                </c:pt>
                <c:pt idx="5">
                  <c:v>3844</c:v>
                </c:pt>
                <c:pt idx="6">
                  <c:v>3844</c:v>
                </c:pt>
                <c:pt idx="7">
                  <c:v>3844</c:v>
                </c:pt>
                <c:pt idx="8">
                  <c:v>3844</c:v>
                </c:pt>
                <c:pt idx="9">
                  <c:v>3844</c:v>
                </c:pt>
                <c:pt idx="10">
                  <c:v>3844</c:v>
                </c:pt>
                <c:pt idx="11">
                  <c:v>3844</c:v>
                </c:pt>
                <c:pt idx="12">
                  <c:v>3844</c:v>
                </c:pt>
                <c:pt idx="13">
                  <c:v>3844</c:v>
                </c:pt>
                <c:pt idx="14">
                  <c:v>3844</c:v>
                </c:pt>
                <c:pt idx="15">
                  <c:v>3844</c:v>
                </c:pt>
                <c:pt idx="16">
                  <c:v>3844</c:v>
                </c:pt>
                <c:pt idx="17">
                  <c:v>3844</c:v>
                </c:pt>
              </c:numCache>
            </c:numRef>
          </c:val>
        </c:ser>
        <c:axId val="118799744"/>
        <c:axId val="119182464"/>
      </c:barChart>
      <c:catAx>
        <c:axId val="118799744"/>
        <c:scaling>
          <c:orientation val="minMax"/>
        </c:scaling>
        <c:axPos val="b"/>
        <c:numFmt formatCode="General" sourceLinked="1"/>
        <c:tickLblPos val="nextTo"/>
        <c:txPr>
          <a:bodyPr rot="-5400000" vert="horz"/>
          <a:lstStyle/>
          <a:p>
            <a:pPr>
              <a:defRPr/>
            </a:pPr>
            <a:endParaRPr lang="ru-RU"/>
          </a:p>
        </c:txPr>
        <c:crossAx val="119182464"/>
        <c:crosses val="autoZero"/>
        <c:auto val="1"/>
        <c:lblAlgn val="ctr"/>
        <c:lblOffset val="200"/>
        <c:tickLblSkip val="1"/>
        <c:tickMarkSkip val="1"/>
      </c:catAx>
      <c:valAx>
        <c:axId val="119182464"/>
        <c:scaling>
          <c:orientation val="minMax"/>
          <c:max val="8000"/>
          <c:min val="1000"/>
        </c:scaling>
        <c:axPos val="l"/>
        <c:numFmt formatCode="General" sourceLinked="0"/>
        <c:tickLblPos val="nextTo"/>
        <c:txPr>
          <a:bodyPr rot="0" vert="horz"/>
          <a:lstStyle/>
          <a:p>
            <a:pPr>
              <a:defRPr b="0"/>
            </a:pPr>
            <a:endParaRPr lang="ru-RU"/>
          </a:p>
        </c:txPr>
        <c:crossAx val="118799744"/>
        <c:crosses val="autoZero"/>
        <c:crossBetween val="between"/>
        <c:majorUnit val="1000"/>
      </c:valAx>
    </c:plotArea>
    <c:legend>
      <c:legendPos val="r"/>
      <c:legendEntry>
        <c:idx val="3"/>
        <c:delete val="1"/>
      </c:legendEntry>
      <c:legendEntry>
        <c:idx val="4"/>
        <c:delete val="1"/>
      </c:legendEntry>
      <c:legendEntry>
        <c:idx val="6"/>
        <c:delete val="1"/>
      </c:legendEntry>
      <c:legendEntry>
        <c:idx val="2"/>
        <c:delete val="1"/>
      </c:legendEntry>
      <c:layout>
        <c:manualLayout>
          <c:xMode val="edge"/>
          <c:yMode val="edge"/>
          <c:x val="0"/>
          <c:y val="0.91654801824851029"/>
          <c:w val="0.9909421445018759"/>
          <c:h val="8.2963478145673827E-2"/>
        </c:manualLayout>
      </c:layout>
      <c:txPr>
        <a:bodyPr/>
        <a:lstStyle/>
        <a:p>
          <a:pPr algn="just">
            <a:defRPr/>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050">
                <a:solidFill>
                  <a:sysClr val="windowText" lastClr="00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Структура производста ВВП, млн. руб.</a:t>
            </a:r>
          </a:p>
        </c:rich>
      </c:tx>
    </c:title>
    <c:plotArea>
      <c:layout/>
      <c:barChart>
        <c:barDir val="col"/>
        <c:grouping val="clustered"/>
        <c:ser>
          <c:idx val="0"/>
          <c:order val="0"/>
          <c:tx>
            <c:strRef>
              <c:f>Лист1!$B$1</c:f>
              <c:strCache>
                <c:ptCount val="1"/>
                <c:pt idx="0">
                  <c:v>январь-декабрь 2015 года</c:v>
                </c:pt>
              </c:strCache>
            </c:strRef>
          </c:tx>
          <c:dLbls>
            <c:dLbl>
              <c:idx val="0"/>
              <c:layout>
                <c:manualLayout>
                  <c:x val="0"/>
                  <c:y val="1.8583042973286879E-2"/>
                </c:manualLayout>
              </c:layout>
              <c:tx>
                <c:rich>
                  <a:bodyPr/>
                  <a:lstStyle/>
                  <a:p>
                    <a:r>
                      <a:rPr lang="ru-RU" sz="800" b="1">
                        <a:latin typeface="Times New Roman" pitchFamily="18" charset="0"/>
                        <a:cs typeface="Times New Roman" pitchFamily="18" charset="0"/>
                      </a:rPr>
                      <a:t>35,17*</a:t>
                    </a:r>
                    <a:endParaRPr lang="en-US" sz="800" b="1">
                      <a:latin typeface="Times New Roman" pitchFamily="18" charset="0"/>
                      <a:cs typeface="Times New Roman" pitchFamily="18" charset="0"/>
                    </a:endParaRPr>
                  </a:p>
                </c:rich>
              </c:tx>
              <c:dLblPos val="outEnd"/>
              <c:showVal val="1"/>
            </c:dLbl>
            <c:dLbl>
              <c:idx val="1"/>
              <c:layout>
                <c:manualLayout>
                  <c:x val="-2.5560957290914092E-3"/>
                  <c:y val="1.3937282229965181E-2"/>
                </c:manualLayout>
              </c:layout>
              <c:tx>
                <c:rich>
                  <a:bodyPr/>
                  <a:lstStyle/>
                  <a:p>
                    <a:r>
                      <a:rPr lang="ru-RU" sz="800" b="1">
                        <a:latin typeface="Times New Roman" pitchFamily="18" charset="0"/>
                        <a:cs typeface="Times New Roman" pitchFamily="18" charset="0"/>
                      </a:rPr>
                      <a:t>61,99*</a:t>
                    </a:r>
                    <a:endParaRPr lang="en-US" sz="800" b="1">
                      <a:latin typeface="Times New Roman" pitchFamily="18" charset="0"/>
                      <a:cs typeface="Times New Roman" pitchFamily="18" charset="0"/>
                    </a:endParaRPr>
                  </a:p>
                </c:rich>
              </c:tx>
              <c:dLblPos val="outEnd"/>
              <c:showVal val="1"/>
            </c:dLbl>
            <c:dLbl>
              <c:idx val="2"/>
              <c:layout>
                <c:manualLayout>
                  <c:x val="0"/>
                  <c:y val="1.0539580898129971E-2"/>
                </c:manualLayout>
              </c:layout>
              <c:tx>
                <c:rich>
                  <a:bodyPr/>
                  <a:lstStyle/>
                  <a:p>
                    <a:r>
                      <a:rPr lang="ru-RU" sz="800" b="1">
                        <a:latin typeface="Times New Roman" pitchFamily="18" charset="0"/>
                        <a:cs typeface="Times New Roman" pitchFamily="18" charset="0"/>
                      </a:rPr>
                      <a:t>2,84*</a:t>
                    </a:r>
                    <a:endParaRPr lang="en-US" sz="800" b="1">
                      <a:latin typeface="Times New Roman" pitchFamily="18" charset="0"/>
                      <a:cs typeface="Times New Roman" pitchFamily="18" charset="0"/>
                    </a:endParaRPr>
                  </a:p>
                </c:rich>
              </c:tx>
              <c:dLblPos val="outEnd"/>
              <c:showVal val="1"/>
            </c:dLbl>
            <c:dLblPos val="outEnd"/>
            <c:showVal val="1"/>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Лист1!$B$2:$B$4</c:f>
              <c:numCache>
                <c:formatCode>#,##0.0</c:formatCode>
                <c:ptCount val="3"/>
                <c:pt idx="0">
                  <c:v>3521.163</c:v>
                </c:pt>
                <c:pt idx="1">
                  <c:v>6206.7273000000005</c:v>
                </c:pt>
                <c:pt idx="2">
                  <c:v>283.834</c:v>
                </c:pt>
              </c:numCache>
            </c:numRef>
          </c:val>
        </c:ser>
        <c:ser>
          <c:idx val="1"/>
          <c:order val="1"/>
          <c:tx>
            <c:strRef>
              <c:f>Лист1!$C$1</c:f>
              <c:strCache>
                <c:ptCount val="1"/>
                <c:pt idx="0">
                  <c:v>январь-декабрь 2016 года</c:v>
                </c:pt>
              </c:strCache>
            </c:strRef>
          </c:tx>
          <c:dLbls>
            <c:dLbl>
              <c:idx val="0"/>
              <c:layout>
                <c:manualLayout>
                  <c:x val="0"/>
                  <c:y val="4.6457607433217753E-3"/>
                </c:manualLayout>
              </c:layout>
              <c:tx>
                <c:rich>
                  <a:bodyPr/>
                  <a:lstStyle/>
                  <a:p>
                    <a:r>
                      <a:rPr lang="ru-RU" sz="800" b="1">
                        <a:latin typeface="Times New Roman" pitchFamily="18" charset="0"/>
                        <a:cs typeface="Times New Roman" pitchFamily="18" charset="0"/>
                      </a:rPr>
                      <a:t>38,81*</a:t>
                    </a:r>
                    <a:endParaRPr lang="en-US" sz="800" b="1">
                      <a:latin typeface="Times New Roman" pitchFamily="18" charset="0"/>
                      <a:cs typeface="Times New Roman" pitchFamily="18" charset="0"/>
                    </a:endParaRPr>
                  </a:p>
                </c:rich>
              </c:tx>
              <c:dLblPos val="outEnd"/>
              <c:showVal val="1"/>
            </c:dLbl>
            <c:dLbl>
              <c:idx val="1"/>
              <c:layout>
                <c:manualLayout>
                  <c:x val="0"/>
                  <c:y val="1.3937282229965181E-2"/>
                </c:manualLayout>
              </c:layout>
              <c:tx>
                <c:rich>
                  <a:bodyPr/>
                  <a:lstStyle/>
                  <a:p>
                    <a:r>
                      <a:rPr lang="ru-RU" sz="800" b="1">
                        <a:latin typeface="Times New Roman" pitchFamily="18" charset="0"/>
                        <a:cs typeface="Times New Roman" pitchFamily="18" charset="0"/>
                      </a:rPr>
                      <a:t>61,23*</a:t>
                    </a:r>
                    <a:endParaRPr lang="en-US" sz="800" b="1">
                      <a:latin typeface="Times New Roman" pitchFamily="18" charset="0"/>
                      <a:cs typeface="Times New Roman" pitchFamily="18" charset="0"/>
                    </a:endParaRPr>
                  </a:p>
                </c:rich>
              </c:tx>
              <c:dLblPos val="outEnd"/>
              <c:showVal val="1"/>
            </c:dLbl>
            <c:dLbl>
              <c:idx val="2"/>
              <c:layout>
                <c:manualLayout>
                  <c:x val="4.2757252544054084E-3"/>
                  <c:y val="6.6981993104520521E-2"/>
                </c:manualLayout>
              </c:layout>
              <c:tx>
                <c:rich>
                  <a:bodyPr/>
                  <a:lstStyle/>
                  <a:p>
                    <a:pPr>
                      <a:defRPr>
                        <a:solidFill>
                          <a:sysClr val="windowText" lastClr="000000"/>
                        </a:solidFill>
                      </a:defRPr>
                    </a:pPr>
                    <a:r>
                      <a:rPr lang="ru-RU" sz="800" b="1">
                        <a:solidFill>
                          <a:sysClr val="windowText" lastClr="000000"/>
                        </a:solidFill>
                        <a:latin typeface="Times New Roman" pitchFamily="18" charset="0"/>
                        <a:cs typeface="Times New Roman" pitchFamily="18" charset="0"/>
                      </a:rPr>
                      <a:t>-0,04*</a:t>
                    </a:r>
                    <a:endParaRPr lang="en-US" sz="800" b="1">
                      <a:solidFill>
                        <a:sysClr val="windowText" lastClr="000000"/>
                      </a:solidFill>
                      <a:latin typeface="Times New Roman" pitchFamily="18" charset="0"/>
                      <a:cs typeface="Times New Roman" pitchFamily="18" charset="0"/>
                    </a:endParaRPr>
                  </a:p>
                </c:rich>
              </c:tx>
              <c:spPr/>
              <c:dLblPos val="outEnd"/>
              <c:showVal val="1"/>
            </c:dLbl>
            <c:dLblPos val="outEnd"/>
            <c:showVal val="1"/>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Лист1!$C$2:$C$4</c:f>
              <c:numCache>
                <c:formatCode>#,##0.0</c:formatCode>
                <c:ptCount val="3"/>
                <c:pt idx="0">
                  <c:v>4449.13</c:v>
                </c:pt>
                <c:pt idx="1">
                  <c:v>7020.1490000000003</c:v>
                </c:pt>
                <c:pt idx="2">
                  <c:v>-4.7050000000000001</c:v>
                </c:pt>
              </c:numCache>
            </c:numRef>
          </c:val>
        </c:ser>
        <c:dLbls>
          <c:showVal val="1"/>
        </c:dLbls>
        <c:axId val="119316864"/>
        <c:axId val="119318400"/>
      </c:barChart>
      <c:catAx>
        <c:axId val="119316864"/>
        <c:scaling>
          <c:orientation val="minMax"/>
        </c:scaling>
        <c:axPos val="b"/>
        <c:tickLblPos val="nextTo"/>
        <c:crossAx val="119318400"/>
        <c:crosses val="autoZero"/>
        <c:auto val="1"/>
        <c:lblAlgn val="ctr"/>
        <c:lblOffset val="100"/>
      </c:catAx>
      <c:valAx>
        <c:axId val="119318400"/>
        <c:scaling>
          <c:orientation val="minMax"/>
          <c:max val="8000"/>
          <c:min val="-1000"/>
        </c:scaling>
        <c:axPos val="l"/>
        <c:title>
          <c:tx>
            <c:rich>
              <a:bodyPr rot="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 удельный вес в структуре ВВП,%</a:t>
                </a:r>
              </a:p>
            </c:rich>
          </c:tx>
          <c:layout>
            <c:manualLayout>
              <c:xMode val="edge"/>
              <c:yMode val="edge"/>
              <c:x val="4.6007102053419777E-2"/>
              <c:y val="0.53254428398243947"/>
            </c:manualLayout>
          </c:layout>
        </c:title>
        <c:numFmt formatCode="#,##0.0" sourceLinked="1"/>
        <c:tickLblPos val="nextTo"/>
        <c:txPr>
          <a:bodyPr/>
          <a:lstStyle/>
          <a:p>
            <a:pPr>
              <a:defRPr sz="900" b="1">
                <a:latin typeface="Times New Roman" pitchFamily="18" charset="0"/>
                <a:cs typeface="Times New Roman" pitchFamily="18" charset="0"/>
              </a:defRPr>
            </a:pPr>
            <a:endParaRPr lang="ru-RU"/>
          </a:p>
        </c:txPr>
        <c:crossAx val="119316864"/>
        <c:crosses val="autoZero"/>
        <c:crossBetween val="between"/>
        <c:majorUnit val="2000"/>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chart>
  <c:spPr>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Структура валовой добавлененой стоимости отраслей товарного производства, млн. руб.</a:t>
            </a:r>
          </a:p>
        </c:rich>
      </c:tx>
      <c:layout>
        <c:manualLayout>
          <c:xMode val="edge"/>
          <c:yMode val="edge"/>
          <c:x val="0.15025216980620829"/>
          <c:y val="0"/>
        </c:manualLayout>
      </c:layout>
    </c:title>
    <c:plotArea>
      <c:layout>
        <c:manualLayout>
          <c:layoutTarget val="inner"/>
          <c:xMode val="edge"/>
          <c:yMode val="edge"/>
          <c:x val="0.25664883235749381"/>
          <c:y val="0.19820113431657743"/>
          <c:w val="0.72027905254174796"/>
          <c:h val="0.48716720818819576"/>
        </c:manualLayout>
      </c:layout>
      <c:barChart>
        <c:barDir val="col"/>
        <c:grouping val="clustered"/>
        <c:ser>
          <c:idx val="0"/>
          <c:order val="0"/>
          <c:tx>
            <c:strRef>
              <c:f>Лист1!$B$1</c:f>
              <c:strCache>
                <c:ptCount val="1"/>
                <c:pt idx="0">
                  <c:v>январь-декабрь 2015 года</c:v>
                </c:pt>
              </c:strCache>
            </c:strRef>
          </c:tx>
          <c:dLbls>
            <c:dLbl>
              <c:idx val="0"/>
              <c:layout>
                <c:manualLayout>
                  <c:x val="0"/>
                  <c:y val="1.2615052077766319E-2"/>
                </c:manualLayout>
              </c:layout>
              <c:tx>
                <c:rich>
                  <a:bodyPr/>
                  <a:lstStyle/>
                  <a:p>
                    <a:r>
                      <a:rPr lang="ru-RU"/>
                      <a:t>26,94*</a:t>
                    </a:r>
                    <a:endParaRPr lang="en-US"/>
                  </a:p>
                </c:rich>
              </c:tx>
              <c:dLblPos val="outEnd"/>
              <c:showVal val="1"/>
            </c:dLbl>
            <c:dLbl>
              <c:idx val="1"/>
              <c:tx>
                <c:rich>
                  <a:bodyPr/>
                  <a:lstStyle/>
                  <a:p>
                    <a:r>
                      <a:rPr lang="ru-RU"/>
                      <a:t>5,23*</a:t>
                    </a:r>
                    <a:endParaRPr lang="en-US"/>
                  </a:p>
                </c:rich>
              </c:tx>
              <c:dLblPos val="outEnd"/>
              <c:showVal val="1"/>
            </c:dLbl>
            <c:dLbl>
              <c:idx val="2"/>
              <c:layout>
                <c:manualLayout>
                  <c:x val="2.5396825396825401E-3"/>
                  <c:y val="1.8099547511312229E-2"/>
                </c:manualLayout>
              </c:layout>
              <c:tx>
                <c:rich>
                  <a:bodyPr/>
                  <a:lstStyle/>
                  <a:p>
                    <a:r>
                      <a:rPr lang="ru-RU"/>
                      <a:t>3,00*</a:t>
                    </a:r>
                    <a:endParaRPr lang="en-US"/>
                  </a:p>
                </c:rich>
              </c:tx>
              <c:dLblPos val="outEnd"/>
              <c:showVal val="1"/>
            </c:dLbl>
            <c:txPr>
              <a:bodyPr/>
              <a:lstStyle/>
              <a:p>
                <a:pPr>
                  <a:defRPr sz="800" b="1">
                    <a:latin typeface="Times New Roman" pitchFamily="18" charset="0"/>
                    <a:cs typeface="Times New Roman" pitchFamily="18" charset="0"/>
                  </a:defRPr>
                </a:pPr>
                <a:endParaRPr lang="ru-RU"/>
              </a:p>
            </c:txPr>
            <c:dLblPos val="outEnd"/>
            <c:showVal val="1"/>
          </c:dLbls>
          <c:cat>
            <c:strRef>
              <c:f>Лист1!$A$2:$A$4</c:f>
              <c:strCache>
                <c:ptCount val="3"/>
                <c:pt idx="0">
                  <c:v>Промышленность</c:v>
                </c:pt>
                <c:pt idx="1">
                  <c:v>Селькое хозяйство</c:v>
                </c:pt>
                <c:pt idx="2">
                  <c:v>Строительство</c:v>
                </c:pt>
              </c:strCache>
            </c:strRef>
          </c:cat>
          <c:val>
            <c:numRef>
              <c:f>Лист1!$B$2:$B$4</c:f>
              <c:numCache>
                <c:formatCode>#,##0.0</c:formatCode>
                <c:ptCount val="3"/>
                <c:pt idx="0">
                  <c:v>2697.4639999999999</c:v>
                </c:pt>
                <c:pt idx="1">
                  <c:v>523.24900000000002</c:v>
                </c:pt>
                <c:pt idx="2">
                  <c:v>300.45</c:v>
                </c:pt>
              </c:numCache>
            </c:numRef>
          </c:val>
        </c:ser>
        <c:ser>
          <c:idx val="1"/>
          <c:order val="1"/>
          <c:tx>
            <c:strRef>
              <c:f>Лист1!$C$1</c:f>
              <c:strCache>
                <c:ptCount val="1"/>
                <c:pt idx="0">
                  <c:v>январь-декабрь 2016 года</c:v>
                </c:pt>
              </c:strCache>
            </c:strRef>
          </c:tx>
          <c:dLbls>
            <c:dLbl>
              <c:idx val="0"/>
              <c:layout>
                <c:manualLayout>
                  <c:x val="-2.5396825396825401E-3"/>
                  <c:y val="1.0420778850607978E-2"/>
                </c:manualLayout>
              </c:layout>
              <c:tx>
                <c:rich>
                  <a:bodyPr/>
                  <a:lstStyle/>
                  <a:p>
                    <a:r>
                      <a:rPr lang="ru-RU"/>
                      <a:t>29,53*</a:t>
                    </a:r>
                    <a:endParaRPr lang="en-US"/>
                  </a:p>
                </c:rich>
              </c:tx>
              <c:dLblPos val="outEnd"/>
              <c:showVal val="1"/>
            </c:dLbl>
            <c:dLbl>
              <c:idx val="1"/>
              <c:tx>
                <c:rich>
                  <a:bodyPr/>
                  <a:lstStyle/>
                  <a:p>
                    <a:r>
                      <a:rPr lang="ru-RU"/>
                      <a:t>6,93*</a:t>
                    </a:r>
                    <a:endParaRPr lang="en-US"/>
                  </a:p>
                </c:rich>
              </c:tx>
              <c:dLblPos val="outEnd"/>
              <c:showVal val="1"/>
            </c:dLbl>
            <c:dLbl>
              <c:idx val="2"/>
              <c:layout>
                <c:manualLayout>
                  <c:x val="-1.0158730158730254E-2"/>
                  <c:y val="1.2066365007541479E-2"/>
                </c:manualLayout>
              </c:layout>
              <c:tx>
                <c:rich>
                  <a:bodyPr/>
                  <a:lstStyle/>
                  <a:p>
                    <a:r>
                      <a:rPr lang="ru-RU"/>
                      <a:t>2,35*</a:t>
                    </a:r>
                    <a:endParaRPr lang="en-US"/>
                  </a:p>
                </c:rich>
              </c:tx>
              <c:dLblPos val="outEnd"/>
              <c:showVal val="1"/>
            </c:dLbl>
            <c:txPr>
              <a:bodyPr/>
              <a:lstStyle/>
              <a:p>
                <a:pPr>
                  <a:defRPr sz="800" b="1">
                    <a:latin typeface="Times New Roman" pitchFamily="18" charset="0"/>
                    <a:cs typeface="Times New Roman" pitchFamily="18" charset="0"/>
                  </a:defRPr>
                </a:pPr>
                <a:endParaRPr lang="ru-RU"/>
              </a:p>
            </c:txPr>
            <c:dLblPos val="outEnd"/>
            <c:showVal val="1"/>
          </c:dLbls>
          <c:cat>
            <c:strRef>
              <c:f>Лист1!$A$2:$A$4</c:f>
              <c:strCache>
                <c:ptCount val="3"/>
                <c:pt idx="0">
                  <c:v>Промышленность</c:v>
                </c:pt>
                <c:pt idx="1">
                  <c:v>Селькое хозяйство</c:v>
                </c:pt>
                <c:pt idx="2">
                  <c:v>Строительство</c:v>
                </c:pt>
              </c:strCache>
            </c:strRef>
          </c:cat>
          <c:val>
            <c:numRef>
              <c:f>Лист1!$C$2:$C$4</c:f>
              <c:numCache>
                <c:formatCode>#,##0.0</c:formatCode>
                <c:ptCount val="3"/>
                <c:pt idx="0">
                  <c:v>3385.0630000000001</c:v>
                </c:pt>
                <c:pt idx="1">
                  <c:v>794.11099999999999</c:v>
                </c:pt>
                <c:pt idx="2">
                  <c:v>269.95599999999899</c:v>
                </c:pt>
              </c:numCache>
            </c:numRef>
          </c:val>
        </c:ser>
        <c:dLbls>
          <c:showVal val="1"/>
        </c:dLbls>
        <c:axId val="119546624"/>
        <c:axId val="119548160"/>
      </c:barChart>
      <c:catAx>
        <c:axId val="119546624"/>
        <c:scaling>
          <c:orientation val="minMax"/>
        </c:scaling>
        <c:axPos val="b"/>
        <c:tickLblPos val="nextTo"/>
        <c:txPr>
          <a:bodyPr/>
          <a:lstStyle/>
          <a:p>
            <a:pPr>
              <a:defRPr b="1">
                <a:latin typeface="Times New Roman" pitchFamily="18" charset="0"/>
                <a:cs typeface="Times New Roman" pitchFamily="18" charset="0"/>
              </a:defRPr>
            </a:pPr>
            <a:endParaRPr lang="ru-RU"/>
          </a:p>
        </c:txPr>
        <c:crossAx val="119548160"/>
        <c:crosses val="autoZero"/>
        <c:auto val="1"/>
        <c:lblAlgn val="ctr"/>
        <c:lblOffset val="100"/>
      </c:catAx>
      <c:valAx>
        <c:axId val="119548160"/>
        <c:scaling>
          <c:orientation val="minMax"/>
          <c:min val="0"/>
        </c:scaling>
        <c:axPos val="l"/>
        <c:title>
          <c:tx>
            <c:rich>
              <a:bodyPr rot="0" vert="horz"/>
              <a:lstStyle/>
              <a:p>
                <a:pPr>
                  <a:defRPr sz="900"/>
                </a:pPr>
                <a:r>
                  <a:rPr lang="ru-RU" sz="900">
                    <a:latin typeface="Times New Roman" pitchFamily="18" charset="0"/>
                    <a:cs typeface="Times New Roman" pitchFamily="18" charset="0"/>
                  </a:rPr>
                  <a:t>*- долевое представление в структуре ВВП,%</a:t>
                </a:r>
              </a:p>
            </c:rich>
          </c:tx>
          <c:layout>
            <c:manualLayout>
              <c:xMode val="edge"/>
              <c:yMode val="edge"/>
              <c:x val="0.83175280081140301"/>
              <c:y val="0.20688695572442131"/>
            </c:manualLayout>
          </c:layout>
        </c:title>
        <c:numFmt formatCode="#,##0.0" sourceLinked="1"/>
        <c:tickLblPos val="nextTo"/>
        <c:txPr>
          <a:bodyPr/>
          <a:lstStyle/>
          <a:p>
            <a:pPr>
              <a:defRPr sz="900" b="1">
                <a:latin typeface="Times New Roman" pitchFamily="18" charset="0"/>
                <a:cs typeface="Times New Roman" pitchFamily="18" charset="0"/>
              </a:defRPr>
            </a:pPr>
            <a:endParaRPr lang="ru-RU"/>
          </a:p>
        </c:txPr>
        <c:crossAx val="119546624"/>
        <c:crosses val="autoZero"/>
        <c:crossBetween val="between"/>
      </c:valAx>
      <c:dTable>
        <c:showHorzBorder val="1"/>
        <c:showVertBorder val="1"/>
        <c:showOutline val="1"/>
        <c:showKeys val="1"/>
        <c:txPr>
          <a:bodyPr/>
          <a:lstStyle/>
          <a:p>
            <a:pPr rtl="0">
              <a:defRPr sz="900" b="1">
                <a:latin typeface="Times New Roman" pitchFamily="18" charset="0"/>
                <a:cs typeface="Times New Roman" pitchFamily="18" charset="0"/>
              </a:defRPr>
            </a:pPr>
            <a:endParaRPr lang="ru-RU"/>
          </a:p>
        </c:txPr>
      </c:dTable>
    </c:plotArea>
    <c:plotVisOnly val="1"/>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Структура ВДС  отраслей рыночных услуг, %</a:t>
            </a:r>
          </a:p>
        </c:rich>
      </c:tx>
      <c:layout>
        <c:manualLayout>
          <c:xMode val="edge"/>
          <c:yMode val="edge"/>
          <c:x val="0.28814061139225378"/>
          <c:y val="0"/>
        </c:manualLayout>
      </c:layout>
    </c:title>
    <c:plotArea>
      <c:layout>
        <c:manualLayout>
          <c:layoutTarget val="inner"/>
          <c:xMode val="edge"/>
          <c:yMode val="edge"/>
          <c:x val="8.0106837606837608E-2"/>
          <c:y val="9.6815699761667748E-2"/>
          <c:w val="0.90976944058463283"/>
          <c:h val="0.36595837285047494"/>
        </c:manualLayout>
      </c:layout>
      <c:barChart>
        <c:barDir val="col"/>
        <c:grouping val="clustered"/>
        <c:ser>
          <c:idx val="0"/>
          <c:order val="0"/>
          <c:tx>
            <c:strRef>
              <c:f>Лист1!$B$1</c:f>
              <c:strCache>
                <c:ptCount val="1"/>
                <c:pt idx="0">
                  <c:v>январь-декабрь 2015 года</c:v>
                </c:pt>
              </c:strCache>
            </c:strRef>
          </c:tx>
          <c:dLbls>
            <c:dLbl>
              <c:idx val="0"/>
              <c:layout>
                <c:manualLayout>
                  <c:x val="-6.2689154596416189E-3"/>
                  <c:y val="-1.388595990718592E-2"/>
                </c:manualLayout>
              </c:layout>
              <c:showVal val="1"/>
            </c:dLbl>
            <c:dLbl>
              <c:idx val="1"/>
              <c:layout>
                <c:manualLayout>
                  <c:x val="-6.1730015229577804E-3"/>
                  <c:y val="7.7294685990341111E-3"/>
                </c:manualLayout>
              </c:layout>
              <c:showVal val="1"/>
            </c:dLbl>
            <c:dLbl>
              <c:idx val="2"/>
              <c:layout>
                <c:manualLayout>
                  <c:x val="-6.5145130181149613E-3"/>
                  <c:y val="1.120454129280414E-2"/>
                </c:manualLayout>
              </c:layout>
              <c:showVal val="1"/>
            </c:dLbl>
            <c:dLbl>
              <c:idx val="3"/>
              <c:layout>
                <c:manualLayout>
                  <c:x val="-1.0893496677426279E-2"/>
                  <c:y val="1.8300942344990835E-2"/>
                </c:manualLayout>
              </c:layout>
              <c:showVal val="1"/>
            </c:dLbl>
            <c:dLbl>
              <c:idx val="4"/>
              <c:layout>
                <c:manualLayout>
                  <c:x val="0"/>
                  <c:y val="9.3023255813953227E-3"/>
                </c:manualLayout>
              </c:layout>
              <c:showVal val="1"/>
            </c:dLbl>
            <c:dLbl>
              <c:idx val="5"/>
              <c:layout>
                <c:manualLayout>
                  <c:x val="-2.4122853162862929E-3"/>
                  <c:y val="1.7237190527960255E-2"/>
                </c:manualLayout>
              </c:layout>
              <c:showVal val="1"/>
            </c:dLbl>
            <c:dLbl>
              <c:idx val="6"/>
              <c:layout>
                <c:manualLayout>
                  <c:x val="-8.5515766969535226E-3"/>
                  <c:y val="8.6185952639801205E-3"/>
                </c:manualLayout>
              </c:layout>
              <c:showVal val="1"/>
            </c:dLbl>
            <c:dLbl>
              <c:idx val="7"/>
              <c:layout>
                <c:manualLayout>
                  <c:x val="-8.7254232337161067E-3"/>
                  <c:y val="6.8356222913999324E-3"/>
                </c:manualLayout>
              </c:layout>
              <c:showVal val="1"/>
            </c:dLbl>
            <c:dLbl>
              <c:idx val="8"/>
              <c:layout>
                <c:manualLayout>
                  <c:x val="-8.5515766969535226E-3"/>
                  <c:y val="1.2402972940325389E-2"/>
                </c:manualLayout>
              </c:layout>
              <c:showVal val="1"/>
            </c:dLbl>
            <c:dLbl>
              <c:idx val="9"/>
              <c:layout>
                <c:manualLayout>
                  <c:x val="-4.3643342016774665E-3"/>
                  <c:y val="1.6747559308829697E-2"/>
                </c:manualLayout>
              </c:layout>
              <c:showVal val="1"/>
            </c:dLbl>
            <c:dLbl>
              <c:idx val="10"/>
              <c:layout>
                <c:manualLayout>
                  <c:x val="1.0653332817849487E-5"/>
                  <c:y val="9.3023255813953504E-3"/>
                </c:manualLayout>
              </c:layout>
              <c:showVal val="1"/>
            </c:dLbl>
            <c:txPr>
              <a:bodyPr rot="-5400000" vert="horz"/>
              <a:lstStyle/>
              <a:p>
                <a:pPr>
                  <a:defRPr sz="800" b="1">
                    <a:latin typeface="Times New Roman" pitchFamily="18" charset="0"/>
                    <a:cs typeface="Times New Roman" pitchFamily="18" charset="0"/>
                  </a:defRPr>
                </a:pPr>
                <a:endParaRPr lang="ru-RU"/>
              </a:p>
            </c:txPr>
            <c:showVal val="1"/>
          </c:dLbls>
          <c:cat>
            <c:strRef>
              <c:f>Лист1!$A$2:$A$12</c:f>
              <c:strCache>
                <c:ptCount val="11"/>
                <c:pt idx="0">
                  <c:v>Транспорт</c:v>
                </c:pt>
                <c:pt idx="1">
                  <c:v>Связь</c:v>
                </c:pt>
                <c:pt idx="2">
                  <c:v>Торговля и общественное питание</c:v>
                </c:pt>
                <c:pt idx="3">
                  <c:v>Операции с недвижимым имуществом</c:v>
                </c:pt>
                <c:pt idx="4">
                  <c:v>Общая коммерческая деятельность</c:v>
                </c:pt>
                <c:pt idx="5">
                  <c:v>Жилищно-коммунальное хозяйство</c:v>
                </c:pt>
                <c:pt idx="6">
                  <c:v>Непр. виды быт. Обслуживания</c:v>
                </c:pt>
                <c:pt idx="7">
                  <c:v>Финансы, кредит, страхование</c:v>
                </c:pt>
                <c:pt idx="8">
                  <c:v>Здравоохранение и соц. Обеспечение</c:v>
                </c:pt>
                <c:pt idx="9">
                  <c:v>Образование</c:v>
                </c:pt>
                <c:pt idx="10">
                  <c:v>Прочие отрасли</c:v>
                </c:pt>
              </c:strCache>
            </c:strRef>
          </c:cat>
          <c:val>
            <c:numRef>
              <c:f>Лист1!$B$2:$B$12</c:f>
              <c:numCache>
                <c:formatCode>0.00</c:formatCode>
                <c:ptCount val="11"/>
                <c:pt idx="0">
                  <c:v>3.64</c:v>
                </c:pt>
                <c:pt idx="1">
                  <c:v>4.13</c:v>
                </c:pt>
                <c:pt idx="2">
                  <c:v>12.9</c:v>
                </c:pt>
                <c:pt idx="3">
                  <c:v>1.79</c:v>
                </c:pt>
                <c:pt idx="4">
                  <c:v>0.33000000000000307</c:v>
                </c:pt>
                <c:pt idx="5">
                  <c:v>3.48</c:v>
                </c:pt>
                <c:pt idx="6">
                  <c:v>0.49000000000000032</c:v>
                </c:pt>
                <c:pt idx="7">
                  <c:v>5.0999999999999996</c:v>
                </c:pt>
                <c:pt idx="8">
                  <c:v>0.47000000000000008</c:v>
                </c:pt>
                <c:pt idx="9">
                  <c:v>0.32000000000000284</c:v>
                </c:pt>
                <c:pt idx="10">
                  <c:v>2.88</c:v>
                </c:pt>
              </c:numCache>
            </c:numRef>
          </c:val>
        </c:ser>
        <c:ser>
          <c:idx val="1"/>
          <c:order val="1"/>
          <c:tx>
            <c:strRef>
              <c:f>Лист1!$C$1</c:f>
              <c:strCache>
                <c:ptCount val="1"/>
                <c:pt idx="0">
                  <c:v>январь-декабрь 2016 года</c:v>
                </c:pt>
              </c:strCache>
            </c:strRef>
          </c:tx>
          <c:dLbls>
            <c:dLbl>
              <c:idx val="0"/>
              <c:layout>
                <c:manualLayout>
                  <c:x val="8.5852443217448345E-3"/>
                  <c:y val="9.4838479381201073E-4"/>
                </c:manualLayout>
              </c:layout>
              <c:showVal val="1"/>
            </c:dLbl>
            <c:dLbl>
              <c:idx val="1"/>
              <c:layout>
                <c:manualLayout>
                  <c:x val="1.3071838242441921E-2"/>
                  <c:y val="-4.3239377686484755E-3"/>
                </c:manualLayout>
              </c:layout>
              <c:showVal val="1"/>
            </c:dLbl>
            <c:dLbl>
              <c:idx val="2"/>
              <c:layout>
                <c:manualLayout>
                  <c:x val="1.087189796856408E-2"/>
                  <c:y val="7.4696941952028051E-3"/>
                </c:manualLayout>
              </c:layout>
              <c:showVal val="1"/>
            </c:dLbl>
            <c:dLbl>
              <c:idx val="3"/>
              <c:layout>
                <c:manualLayout>
                  <c:x val="1.9363261046137673E-2"/>
                  <c:y val="1.9193679515838814E-2"/>
                </c:manualLayout>
              </c:layout>
              <c:showVal val="1"/>
            </c:dLbl>
            <c:dLbl>
              <c:idx val="4"/>
              <c:layout>
                <c:manualLayout>
                  <c:x val="1.1135230223426775E-2"/>
                  <c:y val="1.8386110353308161E-2"/>
                </c:manualLayout>
              </c:layout>
              <c:showVal val="1"/>
            </c:dLbl>
            <c:dLbl>
              <c:idx val="5"/>
              <c:layout>
                <c:manualLayout>
                  <c:x val="1.3071811195449997E-2"/>
                  <c:y val="9.8668131599834105E-3"/>
                </c:manualLayout>
              </c:layout>
              <c:showVal val="1"/>
            </c:dLbl>
            <c:dLbl>
              <c:idx val="6"/>
              <c:layout>
                <c:manualLayout>
                  <c:x val="1.5774292243400097E-2"/>
                  <c:y val="1.2038888187638361E-2"/>
                </c:manualLayout>
              </c:layout>
              <c:showVal val="1"/>
            </c:dLbl>
            <c:dLbl>
              <c:idx val="7"/>
              <c:layout>
                <c:manualLayout>
                  <c:x val="8.7039447401316989E-3"/>
                  <c:y val="5.5674784837944323E-3"/>
                </c:manualLayout>
              </c:layout>
              <c:showVal val="1"/>
            </c:dLbl>
            <c:dLbl>
              <c:idx val="8"/>
              <c:layout>
                <c:manualLayout>
                  <c:x val="9.1941233160927009E-3"/>
                  <c:y val="1.211523401182716E-2"/>
                </c:manualLayout>
              </c:layout>
              <c:showVal val="1"/>
            </c:dLbl>
            <c:dLbl>
              <c:idx val="9"/>
              <c:layout>
                <c:manualLayout>
                  <c:x val="1.3068425238935276E-2"/>
                  <c:y val="1.4126352678347239E-2"/>
                </c:manualLayout>
              </c:layout>
              <c:showVal val="1"/>
            </c:dLbl>
            <c:dLbl>
              <c:idx val="10"/>
              <c:layout>
                <c:manualLayout>
                  <c:x val="9.7311219315116219E-3"/>
                  <c:y val="8.5687159921767585E-3"/>
                </c:manualLayout>
              </c:layout>
              <c:showVal val="1"/>
            </c:dLbl>
            <c:txPr>
              <a:bodyPr rot="-5400000" vert="horz"/>
              <a:lstStyle/>
              <a:p>
                <a:pPr>
                  <a:defRPr sz="800" b="1">
                    <a:latin typeface="Times New Roman" pitchFamily="18" charset="0"/>
                    <a:cs typeface="Times New Roman" pitchFamily="18" charset="0"/>
                  </a:defRPr>
                </a:pPr>
                <a:endParaRPr lang="ru-RU"/>
              </a:p>
            </c:txPr>
            <c:showVal val="1"/>
          </c:dLbls>
          <c:cat>
            <c:strRef>
              <c:f>Лист1!$A$2:$A$12</c:f>
              <c:strCache>
                <c:ptCount val="11"/>
                <c:pt idx="0">
                  <c:v>Транспорт</c:v>
                </c:pt>
                <c:pt idx="1">
                  <c:v>Связь</c:v>
                </c:pt>
                <c:pt idx="2">
                  <c:v>Торговля и общественное питание</c:v>
                </c:pt>
                <c:pt idx="3">
                  <c:v>Операции с недвижимым имуществом</c:v>
                </c:pt>
                <c:pt idx="4">
                  <c:v>Общая коммерческая деятельность</c:v>
                </c:pt>
                <c:pt idx="5">
                  <c:v>Жилищно-коммунальное хозяйство</c:v>
                </c:pt>
                <c:pt idx="6">
                  <c:v>Непр. виды быт. Обслуживания</c:v>
                </c:pt>
                <c:pt idx="7">
                  <c:v>Финансы, кредит, страхование</c:v>
                </c:pt>
                <c:pt idx="8">
                  <c:v>Здравоохранение и соц. Обеспечение</c:v>
                </c:pt>
                <c:pt idx="9">
                  <c:v>Образование</c:v>
                </c:pt>
                <c:pt idx="10">
                  <c:v>Прочие отрасли</c:v>
                </c:pt>
              </c:strCache>
            </c:strRef>
          </c:cat>
          <c:val>
            <c:numRef>
              <c:f>Лист1!$C$2:$C$12</c:f>
              <c:numCache>
                <c:formatCode>0.00</c:formatCode>
                <c:ptCount val="11"/>
                <c:pt idx="0">
                  <c:v>2.8699999999999997</c:v>
                </c:pt>
                <c:pt idx="1">
                  <c:v>3.44</c:v>
                </c:pt>
                <c:pt idx="2">
                  <c:v>11.56</c:v>
                </c:pt>
                <c:pt idx="3">
                  <c:v>2.82</c:v>
                </c:pt>
                <c:pt idx="4">
                  <c:v>0.31000000000000238</c:v>
                </c:pt>
                <c:pt idx="5">
                  <c:v>2.9099999999999997</c:v>
                </c:pt>
                <c:pt idx="6">
                  <c:v>0.37000000000000038</c:v>
                </c:pt>
                <c:pt idx="7">
                  <c:v>3.68</c:v>
                </c:pt>
                <c:pt idx="8">
                  <c:v>0.43000000000000038</c:v>
                </c:pt>
                <c:pt idx="9">
                  <c:v>0.27</c:v>
                </c:pt>
                <c:pt idx="10">
                  <c:v>2.1</c:v>
                </c:pt>
              </c:numCache>
            </c:numRef>
          </c:val>
        </c:ser>
        <c:dLbls>
          <c:showVal val="1"/>
        </c:dLbls>
        <c:axId val="151168128"/>
        <c:axId val="151169664"/>
      </c:barChart>
      <c:catAx>
        <c:axId val="151168128"/>
        <c:scaling>
          <c:orientation val="minMax"/>
        </c:scaling>
        <c:axPos val="b"/>
        <c:tickLblPos val="nextTo"/>
        <c:txPr>
          <a:bodyPr rot="-5400000" vert="horz"/>
          <a:lstStyle/>
          <a:p>
            <a:pPr>
              <a:defRPr b="1">
                <a:latin typeface="Times New Roman" pitchFamily="18" charset="0"/>
                <a:cs typeface="Times New Roman" pitchFamily="18" charset="0"/>
              </a:defRPr>
            </a:pPr>
            <a:endParaRPr lang="ru-RU"/>
          </a:p>
        </c:txPr>
        <c:crossAx val="151169664"/>
        <c:crosses val="autoZero"/>
        <c:auto val="1"/>
        <c:lblAlgn val="ctr"/>
        <c:lblOffset val="100"/>
      </c:catAx>
      <c:valAx>
        <c:axId val="151169664"/>
        <c:scaling>
          <c:orientation val="minMax"/>
        </c:scaling>
        <c:axPos val="l"/>
        <c:numFmt formatCode="0.00" sourceLinked="1"/>
        <c:tickLblPos val="nextTo"/>
        <c:txPr>
          <a:bodyPr/>
          <a:lstStyle/>
          <a:p>
            <a:pPr>
              <a:defRPr sz="900" b="1">
                <a:latin typeface="Times New Roman" pitchFamily="18" charset="0"/>
                <a:cs typeface="Times New Roman" pitchFamily="18" charset="0"/>
              </a:defRPr>
            </a:pPr>
            <a:endParaRPr lang="ru-RU"/>
          </a:p>
        </c:txPr>
        <c:crossAx val="151168128"/>
        <c:crosses val="autoZero"/>
        <c:crossBetween val="between"/>
      </c:valAx>
    </c:plotArea>
    <c:legend>
      <c:legendPos val="b"/>
      <c:layout>
        <c:manualLayout>
          <c:xMode val="edge"/>
          <c:yMode val="edge"/>
          <c:x val="0.19781965415767341"/>
          <c:y val="0.94450103317485423"/>
          <c:w val="0.61058588624751464"/>
          <c:h val="5.4826551534602114E-2"/>
        </c:manualLayout>
      </c:layout>
      <c:txPr>
        <a:bodyPr/>
        <a:lstStyle/>
        <a:p>
          <a:pPr>
            <a:defRPr b="1">
              <a:latin typeface="Times New Roman" pitchFamily="18" charset="0"/>
              <a:cs typeface="Times New Roman" pitchFamily="18" charset="0"/>
            </a:defRPr>
          </a:pPr>
          <a:endParaRPr lang="ru-RU"/>
        </a:p>
      </c:txPr>
    </c:legend>
    <c:plotVisOnly val="1"/>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defRPr>
            </a:pPr>
            <a:r>
              <a:rPr lang="ru-RU" sz="1200">
                <a:solidFill>
                  <a:sysClr val="windowText" lastClr="000000"/>
                </a:solidFill>
              </a:rPr>
              <a:t>Структура нерыночных услуг в общем объеме ВВП, %</a:t>
            </a:r>
          </a:p>
        </c:rich>
      </c:tx>
      <c:layout>
        <c:manualLayout>
          <c:xMode val="edge"/>
          <c:yMode val="edge"/>
          <c:x val="0.21783414241361423"/>
          <c:y val="0"/>
        </c:manualLayout>
      </c:layout>
    </c:title>
    <c:plotArea>
      <c:layout>
        <c:manualLayout>
          <c:layoutTarget val="inner"/>
          <c:xMode val="edge"/>
          <c:yMode val="edge"/>
          <c:x val="9.3968674269698668E-2"/>
          <c:y val="0.16278148210197202"/>
          <c:w val="0.88253481335666351"/>
          <c:h val="0.30293504978544838"/>
        </c:manualLayout>
      </c:layout>
      <c:barChart>
        <c:barDir val="col"/>
        <c:grouping val="clustered"/>
        <c:ser>
          <c:idx val="0"/>
          <c:order val="0"/>
          <c:tx>
            <c:strRef>
              <c:f>Лист1!$B$1</c:f>
              <c:strCache>
                <c:ptCount val="1"/>
                <c:pt idx="0">
                  <c:v>январь-декабрь 2015 года</c:v>
                </c:pt>
              </c:strCache>
            </c:strRef>
          </c:tx>
          <c:dLbls>
            <c:dLbl>
              <c:idx val="0"/>
              <c:layout>
                <c:manualLayout>
                  <c:x val="0"/>
                  <c:y val="1.2236662840434558E-2"/>
                </c:manualLayout>
              </c:layout>
              <c:dLblPos val="outEnd"/>
              <c:showVal val="1"/>
            </c:dLbl>
            <c:dLbl>
              <c:idx val="1"/>
              <c:layout>
                <c:manualLayout>
                  <c:x val="-1.7103153393907299E-2"/>
                  <c:y val="1.1904952806740155E-2"/>
                </c:manualLayout>
              </c:layout>
              <c:dLblPos val="outEnd"/>
              <c:showVal val="1"/>
            </c:dLbl>
            <c:dLbl>
              <c:idx val="2"/>
              <c:layout>
                <c:manualLayout>
                  <c:x val="-6.944452627547692E-3"/>
                  <c:y val="1.8340506666068419E-2"/>
                </c:manualLayout>
              </c:layout>
              <c:dLblPos val="outEnd"/>
              <c:showVal val="1"/>
            </c:dLbl>
            <c:dLbl>
              <c:idx val="3"/>
              <c:layout>
                <c:manualLayout>
                  <c:x val="0"/>
                  <c:y val="1.1904761904761921E-2"/>
                </c:manualLayout>
              </c:layout>
              <c:dLblPos val="outEnd"/>
              <c:showVal val="1"/>
            </c:dLbl>
            <c:dLbl>
              <c:idx val="4"/>
              <c:layout>
                <c:manualLayout>
                  <c:x val="-6.9446209656717581E-3"/>
                  <c:y val="1.5274067279660561E-2"/>
                </c:manualLayout>
              </c:layout>
              <c:dLblPos val="outEnd"/>
              <c:showVal val="1"/>
            </c:dLbl>
            <c:dLbl>
              <c:idx val="5"/>
              <c:layout>
                <c:manualLayout>
                  <c:x val="-7.1910237200846299E-4"/>
                  <c:y val="7.6047166072390942E-3"/>
                </c:manualLayout>
              </c:layout>
              <c:dLblPos val="outEnd"/>
              <c:showVal val="1"/>
            </c:dLbl>
            <c:dLbl>
              <c:idx val="6"/>
              <c:layout>
                <c:manualLayout>
                  <c:x val="-1.4382047440168761E-3"/>
                  <c:y val="7.9364875446188594E-3"/>
                </c:manualLayout>
              </c:layout>
              <c:dLblPos val="outEnd"/>
              <c:showVal val="1"/>
            </c:dLbl>
            <c:txPr>
              <a:bodyPr rot="-5400000" vert="horz"/>
              <a:lstStyle/>
              <a:p>
                <a:pPr>
                  <a:defRPr/>
                </a:pPr>
                <a:endParaRPr lang="ru-RU"/>
              </a:p>
            </c:txPr>
            <c:dLblPos val="outEnd"/>
            <c:showVal val="1"/>
          </c:dLbls>
          <c:cat>
            <c:strRef>
              <c:f>Лист1!$A$2:$A$8</c:f>
              <c:strCache>
                <c:ptCount val="7"/>
                <c:pt idx="0">
                  <c:v>здравоохранение и социальное обеспечение</c:v>
                </c:pt>
                <c:pt idx="1">
                  <c:v>образование</c:v>
                </c:pt>
                <c:pt idx="2">
                  <c:v>культура, искусство, кинематографиямнаука и научное обслуживание</c:v>
                </c:pt>
                <c:pt idx="3">
                  <c:v>наука и научное обслуживание</c:v>
                </c:pt>
                <c:pt idx="4">
                  <c:v>управление</c:v>
                </c:pt>
                <c:pt idx="5">
                  <c:v>оборона</c:v>
                </c:pt>
                <c:pt idx="6">
                  <c:v>прочие отрасли</c:v>
                </c:pt>
              </c:strCache>
            </c:strRef>
          </c:cat>
          <c:val>
            <c:numRef>
              <c:f>Лист1!$B$2:$B$8</c:f>
              <c:numCache>
                <c:formatCode>0.00</c:formatCode>
                <c:ptCount val="7"/>
                <c:pt idx="0">
                  <c:v>6.75</c:v>
                </c:pt>
                <c:pt idx="1">
                  <c:v>7.22</c:v>
                </c:pt>
                <c:pt idx="2">
                  <c:v>0.59</c:v>
                </c:pt>
                <c:pt idx="3">
                  <c:v>0.15000000000000024</c:v>
                </c:pt>
                <c:pt idx="4">
                  <c:v>4.3099999999999996</c:v>
                </c:pt>
                <c:pt idx="5">
                  <c:v>1.0900000000000001</c:v>
                </c:pt>
                <c:pt idx="6">
                  <c:v>6.35</c:v>
                </c:pt>
              </c:numCache>
            </c:numRef>
          </c:val>
        </c:ser>
        <c:ser>
          <c:idx val="1"/>
          <c:order val="1"/>
          <c:tx>
            <c:strRef>
              <c:f>Лист1!$C$1</c:f>
              <c:strCache>
                <c:ptCount val="1"/>
                <c:pt idx="0">
                  <c:v>январь-декабрь 2016 года</c:v>
                </c:pt>
              </c:strCache>
            </c:strRef>
          </c:tx>
          <c:dLbls>
            <c:dLbl>
              <c:idx val="0"/>
              <c:layout>
                <c:manualLayout>
                  <c:x val="6.9442842894237534E-3"/>
                  <c:y val="1.7897919519696732E-2"/>
                </c:manualLayout>
              </c:layout>
              <c:dLblPos val="outEnd"/>
              <c:showVal val="1"/>
            </c:dLbl>
            <c:dLbl>
              <c:idx val="1"/>
              <c:layout>
                <c:manualLayout>
                  <c:x val="0"/>
                  <c:y val="1.8759024087620889E-2"/>
                </c:manualLayout>
              </c:layout>
              <c:dLblPos val="outEnd"/>
              <c:showVal val="1"/>
            </c:dLbl>
            <c:dLbl>
              <c:idx val="2"/>
              <c:layout>
                <c:manualLayout>
                  <c:x val="6.944452627547692E-3"/>
                  <c:y val="2.0365423039547127E-2"/>
                </c:manualLayout>
              </c:layout>
              <c:dLblPos val="outEnd"/>
              <c:showVal val="1"/>
            </c:dLbl>
            <c:dLbl>
              <c:idx val="3"/>
              <c:layout>
                <c:manualLayout>
                  <c:x val="0"/>
                  <c:y val="7.9365079365079413E-3"/>
                </c:manualLayout>
              </c:layout>
              <c:dLblPos val="outEnd"/>
              <c:showVal val="1"/>
            </c:dLbl>
            <c:dLbl>
              <c:idx val="4"/>
              <c:layout>
                <c:manualLayout>
                  <c:x val="6.350892402479727E-3"/>
                  <c:y val="1.2585270186624246E-2"/>
                </c:manualLayout>
              </c:layout>
              <c:dLblPos val="outEnd"/>
              <c:showVal val="1"/>
            </c:dLbl>
            <c:dLbl>
              <c:idx val="5"/>
              <c:layout>
                <c:manualLayout>
                  <c:x val="8.5493640218049748E-3"/>
                  <c:y val="1.3752594651158821E-2"/>
                </c:manualLayout>
              </c:layout>
              <c:dLblPos val="outEnd"/>
              <c:showVal val="1"/>
            </c:dLbl>
            <c:dLbl>
              <c:idx val="6"/>
              <c:layout>
                <c:manualLayout>
                  <c:x val="1.0375596596804317E-2"/>
                  <c:y val="1.19048919030548E-2"/>
                </c:manualLayout>
              </c:layout>
              <c:dLblPos val="outEnd"/>
              <c:showVal val="1"/>
            </c:dLbl>
            <c:txPr>
              <a:bodyPr rot="-5400000" vert="horz"/>
              <a:lstStyle/>
              <a:p>
                <a:pPr>
                  <a:defRPr/>
                </a:pPr>
                <a:endParaRPr lang="ru-RU"/>
              </a:p>
            </c:txPr>
            <c:dLblPos val="outEnd"/>
            <c:showVal val="1"/>
          </c:dLbls>
          <c:cat>
            <c:strRef>
              <c:f>Лист1!$A$2:$A$8</c:f>
              <c:strCache>
                <c:ptCount val="7"/>
                <c:pt idx="0">
                  <c:v>здравоохранение и социальное обеспечение</c:v>
                </c:pt>
                <c:pt idx="1">
                  <c:v>образование</c:v>
                </c:pt>
                <c:pt idx="2">
                  <c:v>культура, искусство, кинематографиямнаука и научное обслуживание</c:v>
                </c:pt>
                <c:pt idx="3">
                  <c:v>наука и научное обслуживание</c:v>
                </c:pt>
                <c:pt idx="4">
                  <c:v>управление</c:v>
                </c:pt>
                <c:pt idx="5">
                  <c:v>оборона</c:v>
                </c:pt>
                <c:pt idx="6">
                  <c:v>прочие отрасли</c:v>
                </c:pt>
              </c:strCache>
            </c:strRef>
          </c:cat>
          <c:val>
            <c:numRef>
              <c:f>Лист1!$C$2:$C$8</c:f>
              <c:numCache>
                <c:formatCode>#,##0.00</c:formatCode>
                <c:ptCount val="7"/>
                <c:pt idx="0">
                  <c:v>7.42</c:v>
                </c:pt>
                <c:pt idx="1">
                  <c:v>8.3600000000000048</c:v>
                </c:pt>
                <c:pt idx="2">
                  <c:v>0.71000000000000063</c:v>
                </c:pt>
                <c:pt idx="3">
                  <c:v>0.16</c:v>
                </c:pt>
                <c:pt idx="4">
                  <c:v>5</c:v>
                </c:pt>
                <c:pt idx="5">
                  <c:v>1.08</c:v>
                </c:pt>
                <c:pt idx="6">
                  <c:v>7.74</c:v>
                </c:pt>
              </c:numCache>
            </c:numRef>
          </c:val>
        </c:ser>
        <c:dLbls>
          <c:showVal val="1"/>
        </c:dLbls>
        <c:axId val="119537664"/>
        <c:axId val="119539200"/>
      </c:barChart>
      <c:catAx>
        <c:axId val="119537664"/>
        <c:scaling>
          <c:orientation val="minMax"/>
        </c:scaling>
        <c:axPos val="b"/>
        <c:tickLblPos val="nextTo"/>
        <c:txPr>
          <a:bodyPr rot="-5400000" vert="horz"/>
          <a:lstStyle/>
          <a:p>
            <a:pPr>
              <a:defRPr sz="900"/>
            </a:pPr>
            <a:endParaRPr lang="ru-RU"/>
          </a:p>
        </c:txPr>
        <c:crossAx val="119539200"/>
        <c:crosses val="autoZero"/>
        <c:auto val="1"/>
        <c:lblAlgn val="ctr"/>
        <c:lblOffset val="100"/>
      </c:catAx>
      <c:valAx>
        <c:axId val="119539200"/>
        <c:scaling>
          <c:orientation val="minMax"/>
        </c:scaling>
        <c:axPos val="l"/>
        <c:numFmt formatCode="0.00" sourceLinked="1"/>
        <c:tickLblPos val="nextTo"/>
        <c:txPr>
          <a:bodyPr/>
          <a:lstStyle/>
          <a:p>
            <a:pPr>
              <a:defRPr sz="900"/>
            </a:pPr>
            <a:endParaRPr lang="ru-RU"/>
          </a:p>
        </c:txPr>
        <c:crossAx val="119537664"/>
        <c:crosses val="autoZero"/>
        <c:crossBetween val="between"/>
        <c:majorUnit val="3"/>
      </c:valAx>
    </c:plotArea>
    <c:legend>
      <c:legendPos val="b"/>
      <c:layout>
        <c:manualLayout>
          <c:xMode val="edge"/>
          <c:yMode val="edge"/>
          <c:x val="2.4473865545567998E-2"/>
          <c:y val="0.93196492483894056"/>
          <c:w val="0.94160391455492864"/>
          <c:h val="6.6256947107972516E-2"/>
        </c:manualLayout>
      </c:layout>
      <c:txPr>
        <a:bodyPr/>
        <a:lstStyle/>
        <a:p>
          <a:pPr>
            <a:defRPr sz="1000" b="1"/>
          </a:pPr>
          <a:endParaRPr lang="ru-RU"/>
        </a:p>
      </c:txPr>
    </c:legend>
    <c:plotVisOnly val="1"/>
  </c:chart>
  <c:spPr>
    <a:ln>
      <a:noFill/>
    </a:ln>
  </c:spPr>
  <c:txPr>
    <a:bodyPr/>
    <a:lstStyle/>
    <a:p>
      <a:pPr>
        <a:defRPr sz="800" b="1">
          <a:latin typeface="Times New Roman" pitchFamily="18" charset="0"/>
          <a:cs typeface="Times New Roman" pitchFamily="18" charset="0"/>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pPr>
            <a:r>
              <a:rPr lang="ru-RU" sz="1050"/>
              <a:t>Динамика доходов консолидированного бюджета, млн. руб. </a:t>
            </a:r>
          </a:p>
        </c:rich>
      </c:tx>
      <c:layout>
        <c:manualLayout>
          <c:xMode val="edge"/>
          <c:yMode val="edge"/>
          <c:x val="0.2671489092909079"/>
          <c:y val="0"/>
        </c:manualLayout>
      </c:layout>
      <c:spPr>
        <a:noFill/>
      </c:spPr>
    </c:title>
    <c:view3D>
      <c:rotX val="0"/>
      <c:rotY val="0"/>
      <c:perspective val="0"/>
    </c:view3D>
    <c:plotArea>
      <c:layout>
        <c:manualLayout>
          <c:layoutTarget val="inner"/>
          <c:xMode val="edge"/>
          <c:yMode val="edge"/>
          <c:x val="0.23784800655574728"/>
          <c:y val="0.25072687342653599"/>
          <c:w val="0.76215199344426265"/>
          <c:h val="0.45194868498581992"/>
        </c:manualLayout>
      </c:layout>
      <c:bar3DChart>
        <c:barDir val="col"/>
        <c:grouping val="stacked"/>
        <c:ser>
          <c:idx val="0"/>
          <c:order val="0"/>
          <c:tx>
            <c:strRef>
              <c:f>Лист1!$B$1</c:f>
              <c:strCache>
                <c:ptCount val="1"/>
                <c:pt idx="0">
                  <c:v>Республиканский бюджет</c:v>
                </c:pt>
              </c:strCache>
            </c:strRef>
          </c:tx>
          <c:spPr>
            <a:solidFill>
              <a:srgbClr val="00B0F0"/>
            </a:solidFill>
          </c:spPr>
          <c:dLbls>
            <c:dLbl>
              <c:idx val="0"/>
              <c:tx>
                <c:rich>
                  <a:bodyPr/>
                  <a:lstStyle/>
                  <a:p>
                    <a:r>
                      <a:rPr lang="ru-RU" b="1"/>
                      <a:t>63,3%</a:t>
                    </a:r>
                    <a:endParaRPr lang="en-US" b="1"/>
                  </a:p>
                </c:rich>
              </c:tx>
              <c:showVal val="1"/>
            </c:dLbl>
            <c:dLbl>
              <c:idx val="1"/>
              <c:tx>
                <c:rich>
                  <a:bodyPr/>
                  <a:lstStyle/>
                  <a:p>
                    <a:r>
                      <a:rPr lang="ru-RU" b="1"/>
                      <a:t>64,7%</a:t>
                    </a:r>
                    <a:endParaRPr lang="en-US" b="1"/>
                  </a:p>
                </c:rich>
              </c:tx>
              <c:showVal val="1"/>
            </c:dLbl>
            <c:txPr>
              <a:bodyPr/>
              <a:lstStyle/>
              <a:p>
                <a:pPr>
                  <a:defRPr sz="900" b="1"/>
                </a:pPr>
                <a:endParaRPr lang="ru-RU"/>
              </a:p>
            </c:txPr>
            <c:showVal val="1"/>
          </c:dLbls>
          <c:cat>
            <c:strRef>
              <c:f>Лист1!$A$2:$A$3</c:f>
              <c:strCache>
                <c:ptCount val="2"/>
                <c:pt idx="0">
                  <c:v>2015 год</c:v>
                </c:pt>
                <c:pt idx="1">
                  <c:v>2016 год</c:v>
                </c:pt>
              </c:strCache>
            </c:strRef>
          </c:cat>
          <c:val>
            <c:numRef>
              <c:f>Лист1!$B$2:$B$3</c:f>
              <c:numCache>
                <c:formatCode>#,##0.00</c:formatCode>
                <c:ptCount val="2"/>
                <c:pt idx="0">
                  <c:v>63.3</c:v>
                </c:pt>
                <c:pt idx="1">
                  <c:v>64.7</c:v>
                </c:pt>
              </c:numCache>
            </c:numRef>
          </c:val>
        </c:ser>
        <c:ser>
          <c:idx val="1"/>
          <c:order val="1"/>
          <c:tx>
            <c:strRef>
              <c:f>Лист1!$C$1</c:f>
              <c:strCache>
                <c:ptCount val="1"/>
                <c:pt idx="0">
                  <c:v>Местный бюджет</c:v>
                </c:pt>
              </c:strCache>
            </c:strRef>
          </c:tx>
          <c:spPr>
            <a:solidFill>
              <a:schemeClr val="accent5">
                <a:lumMod val="20000"/>
                <a:lumOff val="80000"/>
              </a:schemeClr>
            </a:solidFill>
          </c:spPr>
          <c:dLbls>
            <c:dLbl>
              <c:idx val="0"/>
              <c:tx>
                <c:rich>
                  <a:bodyPr/>
                  <a:lstStyle/>
                  <a:p>
                    <a:r>
                      <a:rPr lang="ru-RU" b="1"/>
                      <a:t>36,7%</a:t>
                    </a:r>
                    <a:endParaRPr lang="en-US" b="1"/>
                  </a:p>
                </c:rich>
              </c:tx>
              <c:showVal val="1"/>
            </c:dLbl>
            <c:dLbl>
              <c:idx val="1"/>
              <c:tx>
                <c:rich>
                  <a:bodyPr/>
                  <a:lstStyle/>
                  <a:p>
                    <a:r>
                      <a:rPr lang="ru-RU" b="1"/>
                      <a:t>35,3%</a:t>
                    </a:r>
                    <a:endParaRPr lang="en-US" b="1"/>
                  </a:p>
                </c:rich>
              </c:tx>
              <c:showVal val="1"/>
            </c:dLbl>
            <c:txPr>
              <a:bodyPr/>
              <a:lstStyle/>
              <a:p>
                <a:pPr>
                  <a:defRPr sz="900" b="1"/>
                </a:pPr>
                <a:endParaRPr lang="ru-RU"/>
              </a:p>
            </c:txPr>
            <c:showVal val="1"/>
          </c:dLbls>
          <c:cat>
            <c:strRef>
              <c:f>Лист1!$A$2:$A$3</c:f>
              <c:strCache>
                <c:ptCount val="2"/>
                <c:pt idx="0">
                  <c:v>2015 год</c:v>
                </c:pt>
                <c:pt idx="1">
                  <c:v>2016 год</c:v>
                </c:pt>
              </c:strCache>
            </c:strRef>
          </c:cat>
          <c:val>
            <c:numRef>
              <c:f>Лист1!$C$2:$C$3</c:f>
              <c:numCache>
                <c:formatCode>#,##0.00</c:formatCode>
                <c:ptCount val="2"/>
                <c:pt idx="0">
                  <c:v>36.700000000000003</c:v>
                </c:pt>
                <c:pt idx="1">
                  <c:v>35.300000000000004</c:v>
                </c:pt>
              </c:numCache>
            </c:numRef>
          </c:val>
        </c:ser>
        <c:shape val="cylinder"/>
        <c:axId val="119524352"/>
        <c:axId val="151798528"/>
        <c:axId val="0"/>
      </c:bar3DChart>
      <c:catAx>
        <c:axId val="119524352"/>
        <c:scaling>
          <c:orientation val="minMax"/>
        </c:scaling>
        <c:axPos val="b"/>
        <c:tickLblPos val="nextTo"/>
        <c:txPr>
          <a:bodyPr/>
          <a:lstStyle/>
          <a:p>
            <a:pPr>
              <a:defRPr sz="1000" b="1"/>
            </a:pPr>
            <a:endParaRPr lang="ru-RU"/>
          </a:p>
        </c:txPr>
        <c:crossAx val="151798528"/>
        <c:crosses val="autoZero"/>
        <c:auto val="1"/>
        <c:lblAlgn val="ctr"/>
        <c:lblOffset val="100"/>
      </c:catAx>
      <c:valAx>
        <c:axId val="151798528"/>
        <c:scaling>
          <c:orientation val="minMax"/>
          <c:max val="100"/>
          <c:min val="0"/>
        </c:scaling>
        <c:axPos val="l"/>
        <c:numFmt formatCode="#,##0.00" sourceLinked="1"/>
        <c:tickLblPos val="nextTo"/>
        <c:txPr>
          <a:bodyPr/>
          <a:lstStyle/>
          <a:p>
            <a:pPr>
              <a:defRPr sz="1000" b="1"/>
            </a:pPr>
            <a:endParaRPr lang="ru-RU"/>
          </a:p>
        </c:txPr>
        <c:crossAx val="119524352"/>
        <c:crosses val="autoZero"/>
        <c:crossBetween val="between"/>
        <c:majorUnit val="20"/>
      </c:valAx>
    </c:plotArea>
    <c:legend>
      <c:legendPos val="b"/>
      <c:layout>
        <c:manualLayout>
          <c:xMode val="edge"/>
          <c:yMode val="edge"/>
          <c:x val="0.16770281308197479"/>
          <c:y val="0.84182378244386613"/>
          <c:w val="0.82294333540258191"/>
          <c:h val="0.15817621755614011"/>
        </c:manualLayout>
      </c:layout>
      <c:txPr>
        <a:bodyPr/>
        <a:lstStyle/>
        <a:p>
          <a:pPr>
            <a:defRPr sz="1000"/>
          </a:pPr>
          <a:endParaRPr lang="ru-RU"/>
        </a:p>
      </c:txPr>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lgn="ctr">
              <a:defRPr sz="1100">
                <a:latin typeface="Times New Roman" pitchFamily="18" charset="0"/>
                <a:cs typeface="Times New Roman" pitchFamily="18" charset="0"/>
              </a:defRPr>
            </a:pPr>
            <a:r>
              <a:rPr lang="ru-RU" sz="1100">
                <a:latin typeface="Times New Roman" pitchFamily="18" charset="0"/>
                <a:cs typeface="Times New Roman" pitchFamily="18" charset="0"/>
              </a:rPr>
              <a:t>Динамика поступлений в доходную часть </a:t>
            </a:r>
          </a:p>
          <a:p>
            <a:pPr algn="ctr">
              <a:defRPr sz="1100">
                <a:latin typeface="Times New Roman" pitchFamily="18" charset="0"/>
                <a:cs typeface="Times New Roman" pitchFamily="18" charset="0"/>
              </a:defRPr>
            </a:pPr>
            <a:r>
              <a:rPr lang="ru-RU" sz="1100">
                <a:latin typeface="Times New Roman" pitchFamily="18" charset="0"/>
                <a:cs typeface="Times New Roman" pitchFamily="18" charset="0"/>
              </a:rPr>
              <a:t>Консолидированного бюджета, (%) </a:t>
            </a:r>
            <a:endParaRPr lang="ru-RU" sz="1100">
              <a:solidFill>
                <a:srgbClr val="FF0000"/>
              </a:solidFill>
              <a:latin typeface="Times New Roman" pitchFamily="18" charset="0"/>
              <a:cs typeface="Times New Roman" pitchFamily="18" charset="0"/>
            </a:endParaRPr>
          </a:p>
        </c:rich>
      </c:tx>
      <c:layout>
        <c:manualLayout>
          <c:xMode val="edge"/>
          <c:yMode val="edge"/>
          <c:x val="0.24477249377108454"/>
          <c:y val="0"/>
        </c:manualLayout>
      </c:layout>
      <c:spPr>
        <a:solidFill>
          <a:schemeClr val="bg1"/>
        </a:solidFill>
      </c:spPr>
    </c:title>
    <c:plotArea>
      <c:layout>
        <c:manualLayout>
          <c:layoutTarget val="inner"/>
          <c:xMode val="edge"/>
          <c:yMode val="edge"/>
          <c:x val="6.4340649970259262E-2"/>
          <c:y val="0.15153915462059794"/>
          <c:w val="0.57293281784508165"/>
          <c:h val="0.73497734005114312"/>
        </c:manualLayout>
      </c:layout>
      <c:barChart>
        <c:barDir val="col"/>
        <c:grouping val="stacked"/>
        <c:ser>
          <c:idx val="0"/>
          <c:order val="0"/>
          <c:tx>
            <c:strRef>
              <c:f>Лист1!$B$1</c:f>
              <c:strCache>
                <c:ptCount val="1"/>
                <c:pt idx="0">
                  <c:v>Налоговые доходы</c:v>
                </c:pt>
              </c:strCache>
            </c:strRef>
          </c:tx>
          <c:spPr>
            <a:solidFill>
              <a:schemeClr val="accent5">
                <a:lumMod val="75000"/>
              </a:schemeClr>
            </a:solidFill>
          </c:spPr>
          <c:dLbls>
            <c:dLbl>
              <c:idx val="0"/>
              <c:layout>
                <c:manualLayout>
                  <c:x val="-9.6118299445471372E-2"/>
                  <c:y val="-5.4200542005420054E-3"/>
                </c:manualLayout>
              </c:layout>
              <c:showVal val="1"/>
            </c:dLbl>
            <c:dLbl>
              <c:idx val="1"/>
              <c:layout>
                <c:manualLayout>
                  <c:x val="-0.10351201478743063"/>
                  <c:y val="0"/>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Лист1!$B$2:$B$3</c:f>
              <c:numCache>
                <c:formatCode>General</c:formatCode>
                <c:ptCount val="2"/>
                <c:pt idx="0">
                  <c:v>77.400000000000006</c:v>
                </c:pt>
                <c:pt idx="1">
                  <c:v>70.8</c:v>
                </c:pt>
              </c:numCache>
            </c:numRef>
          </c:val>
        </c:ser>
        <c:ser>
          <c:idx val="1"/>
          <c:order val="1"/>
          <c:tx>
            <c:strRef>
              <c:f>Лист1!$C$1</c:f>
              <c:strCache>
                <c:ptCount val="1"/>
                <c:pt idx="0">
                  <c:v>Неналоговые доходы</c:v>
                </c:pt>
              </c:strCache>
            </c:strRef>
          </c:tx>
          <c:spPr>
            <a:solidFill>
              <a:srgbClr val="FFFF00"/>
            </a:solidFill>
          </c:spPr>
          <c:dLbls>
            <c:dLbl>
              <c:idx val="0"/>
              <c:layout>
                <c:manualLayout>
                  <c:x val="8.8724584103513568E-2"/>
                  <c:y val="5.4200542005420054E-3"/>
                </c:manualLayout>
              </c:layout>
              <c:showVal val="1"/>
            </c:dLbl>
            <c:dLbl>
              <c:idx val="1"/>
              <c:layout>
                <c:manualLayout>
                  <c:x val="9.118915588416511E-2"/>
                  <c:y val="0"/>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Лист1!$C$2:$C$3</c:f>
              <c:numCache>
                <c:formatCode>0.0</c:formatCode>
                <c:ptCount val="2"/>
                <c:pt idx="0">
                  <c:v>2.5</c:v>
                </c:pt>
                <c:pt idx="1">
                  <c:v>2.8</c:v>
                </c:pt>
              </c:numCache>
            </c:numRef>
          </c:val>
        </c:ser>
        <c:ser>
          <c:idx val="2"/>
          <c:order val="2"/>
          <c:tx>
            <c:strRef>
              <c:f>Лист1!$D$1</c:f>
              <c:strCache>
                <c:ptCount val="1"/>
                <c:pt idx="0">
                  <c:v>Доходы целевых бюджетных фондов</c:v>
                </c:pt>
              </c:strCache>
            </c:strRef>
          </c:tx>
          <c:spPr>
            <a:solidFill>
              <a:schemeClr val="accent6">
                <a:lumMod val="50000"/>
              </a:schemeClr>
            </a:solidFill>
          </c:spPr>
          <c:dLbls>
            <c:dLbl>
              <c:idx val="0"/>
              <c:layout>
                <c:manualLayout>
                  <c:x val="-9.118915588416511E-2"/>
                  <c:y val="0"/>
                </c:manualLayout>
              </c:layout>
              <c:showVal val="1"/>
            </c:dLbl>
            <c:dLbl>
              <c:idx val="1"/>
              <c:layout>
                <c:manualLayout>
                  <c:x val="-9.6118299445471331E-2"/>
                  <c:y val="0"/>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Лист1!$D$2:$D$3</c:f>
              <c:numCache>
                <c:formatCode>General</c:formatCode>
                <c:ptCount val="2"/>
                <c:pt idx="0">
                  <c:v>10.200000000000001</c:v>
                </c:pt>
                <c:pt idx="1">
                  <c:v>9.3000000000000007</c:v>
                </c:pt>
              </c:numCache>
            </c:numRef>
          </c:val>
        </c:ser>
        <c:ser>
          <c:idx val="3"/>
          <c:order val="3"/>
          <c:tx>
            <c:strRef>
              <c:f>Лист1!$E$1</c:f>
              <c:strCache>
                <c:ptCount val="1"/>
                <c:pt idx="0">
                  <c:v>Доходы от предприн. и иной принос. доход деятельности</c:v>
                </c:pt>
              </c:strCache>
            </c:strRef>
          </c:tx>
          <c:spPr>
            <a:solidFill>
              <a:schemeClr val="accent2">
                <a:lumMod val="40000"/>
                <a:lumOff val="60000"/>
              </a:schemeClr>
            </a:solidFill>
          </c:spPr>
          <c:dLbls>
            <c:dLbl>
              <c:idx val="0"/>
              <c:layout>
                <c:manualLayout>
                  <c:x val="8.4381026957265695E-2"/>
                  <c:y val="1.5559613983613278E-2"/>
                </c:manualLayout>
              </c:layout>
              <c:showVal val="1"/>
            </c:dLbl>
            <c:dLbl>
              <c:idx val="1"/>
              <c:layout>
                <c:manualLayout>
                  <c:x val="8.8724584103513568E-2"/>
                  <c:y val="-1.6260162601626063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Лист1!$E$2:$E$3</c:f>
              <c:numCache>
                <c:formatCode>General</c:formatCode>
                <c:ptCount val="2"/>
                <c:pt idx="0">
                  <c:v>9.4</c:v>
                </c:pt>
                <c:pt idx="1">
                  <c:v>9.4</c:v>
                </c:pt>
              </c:numCache>
            </c:numRef>
          </c:val>
        </c:ser>
        <c:ser>
          <c:idx val="4"/>
          <c:order val="4"/>
          <c:tx>
            <c:strRef>
              <c:f>Лист1!$F$1</c:f>
              <c:strCache>
                <c:ptCount val="1"/>
                <c:pt idx="0">
                  <c:v>Безвозмездные перечисления</c:v>
                </c:pt>
              </c:strCache>
            </c:strRef>
          </c:tx>
          <c:dLbls>
            <c:dLbl>
              <c:idx val="0"/>
              <c:layout>
                <c:manualLayout>
                  <c:x val="-9.119821348298314E-2"/>
                  <c:y val="-1.4015548436673553E-3"/>
                </c:manualLayout>
              </c:layout>
              <c:showVal val="1"/>
            </c:dLbl>
            <c:dLbl>
              <c:idx val="1"/>
              <c:layout>
                <c:manualLayout>
                  <c:x val="-8.3795575276848971E-2"/>
                  <c:y val="-1.2241549654201983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Лист1!$F$2:$F$3</c:f>
              <c:numCache>
                <c:formatCode>General</c:formatCode>
                <c:ptCount val="2"/>
                <c:pt idx="0">
                  <c:v>0.5</c:v>
                </c:pt>
                <c:pt idx="1">
                  <c:v>0.1</c:v>
                </c:pt>
              </c:numCache>
            </c:numRef>
          </c:val>
        </c:ser>
        <c:ser>
          <c:idx val="5"/>
          <c:order val="5"/>
          <c:tx>
            <c:strRef>
              <c:f>Лист1!$G$1</c:f>
              <c:strCache>
                <c:ptCount val="1"/>
                <c:pt idx="0">
                  <c:v>ССФ</c:v>
                </c:pt>
              </c:strCache>
            </c:strRef>
          </c:tx>
          <c:spPr>
            <a:solidFill>
              <a:schemeClr val="accent5">
                <a:lumMod val="20000"/>
                <a:lumOff val="80000"/>
              </a:schemeClr>
            </a:solidFill>
          </c:spPr>
          <c:dLbls>
            <c:dLbl>
              <c:idx val="0"/>
              <c:layout>
                <c:manualLayout>
                  <c:x val="8.3486801718845927E-2"/>
                  <c:y val="-1.520912547528532E-2"/>
                </c:manualLayout>
              </c:layout>
              <c:showVal val="1"/>
            </c:dLbl>
            <c:dLbl>
              <c:idx val="1"/>
              <c:layout>
                <c:manualLayout>
                  <c:x val="8.1472523116930831E-2"/>
                  <c:y val="-2.4242387952456552E-2"/>
                </c:manualLayout>
              </c:layout>
              <c:spPr/>
              <c:txPr>
                <a:bodyPr/>
                <a:lstStyle/>
                <a:p>
                  <a:pPr>
                    <a:defRPr>
                      <a:latin typeface="Times New Roman" pitchFamily="18" charset="0"/>
                      <a:cs typeface="Times New Roman" pitchFamily="18" charset="0"/>
                    </a:defRPr>
                  </a:pPr>
                  <a:endParaRPr lang="ru-RU"/>
                </a:p>
              </c:txPr>
              <c:showVal val="1"/>
            </c:dLbl>
            <c:delete val="1"/>
          </c:dLbls>
          <c:cat>
            <c:strRef>
              <c:f>Лист1!$A$2:$A$3</c:f>
              <c:strCache>
                <c:ptCount val="2"/>
                <c:pt idx="0">
                  <c:v>2015 год</c:v>
                </c:pt>
                <c:pt idx="1">
                  <c:v>2016 год</c:v>
                </c:pt>
              </c:strCache>
            </c:strRef>
          </c:cat>
          <c:val>
            <c:numRef>
              <c:f>Лист1!$G$2:$G$3</c:f>
              <c:numCache>
                <c:formatCode>General</c:formatCode>
                <c:ptCount val="2"/>
                <c:pt idx="0" formatCode="0.0">
                  <c:v>0.1</c:v>
                </c:pt>
                <c:pt idx="1">
                  <c:v>7.5</c:v>
                </c:pt>
              </c:numCache>
            </c:numRef>
          </c:val>
        </c:ser>
        <c:overlap val="100"/>
        <c:axId val="152034304"/>
        <c:axId val="151913216"/>
      </c:barChart>
      <c:catAx>
        <c:axId val="152034304"/>
        <c:scaling>
          <c:orientation val="minMax"/>
        </c:scaling>
        <c:axPos val="b"/>
        <c:tickLblPos val="nextTo"/>
        <c:txPr>
          <a:bodyPr/>
          <a:lstStyle/>
          <a:p>
            <a:pPr>
              <a:defRPr b="1">
                <a:latin typeface="Times New Roman" pitchFamily="18" charset="0"/>
                <a:cs typeface="Times New Roman" pitchFamily="18" charset="0"/>
              </a:defRPr>
            </a:pPr>
            <a:endParaRPr lang="ru-RU"/>
          </a:p>
        </c:txPr>
        <c:crossAx val="151913216"/>
        <c:crosses val="autoZero"/>
        <c:auto val="1"/>
        <c:lblAlgn val="ctr"/>
        <c:lblOffset val="100"/>
      </c:catAx>
      <c:valAx>
        <c:axId val="151913216"/>
        <c:scaling>
          <c:orientation val="minMax"/>
          <c:max val="110"/>
          <c:min val="0"/>
        </c:scaling>
        <c:axPos val="l"/>
        <c:majorGridlines>
          <c:spPr>
            <a:ln>
              <a:noFill/>
            </a:ln>
          </c:spPr>
        </c:majorGridlines>
        <c:numFmt formatCode="General" sourceLinked="1"/>
        <c:tickLblPos val="nextTo"/>
        <c:txPr>
          <a:bodyPr/>
          <a:lstStyle/>
          <a:p>
            <a:pPr>
              <a:defRPr b="1">
                <a:latin typeface="Times New Roman" pitchFamily="18" charset="0"/>
                <a:cs typeface="Times New Roman" pitchFamily="18" charset="0"/>
              </a:defRPr>
            </a:pPr>
            <a:endParaRPr lang="ru-RU"/>
          </a:p>
        </c:txPr>
        <c:crossAx val="152034304"/>
        <c:crosses val="autoZero"/>
        <c:crossBetween val="between"/>
      </c:valAx>
    </c:plotArea>
    <c:legend>
      <c:legendPos val="b"/>
      <c:layout>
        <c:manualLayout>
          <c:xMode val="edge"/>
          <c:yMode val="edge"/>
          <c:x val="0.63597298956414983"/>
          <c:y val="0.21583108081639213"/>
          <c:w val="0.36063050129784252"/>
          <c:h val="0.71175853018373025"/>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7.5927051671732526E-2"/>
          <c:y val="4.4692385149969482E-2"/>
          <c:w val="0.60996480462773262"/>
          <c:h val="0.81738704149584607"/>
        </c:manualLayout>
      </c:layout>
      <c:barChart>
        <c:barDir val="col"/>
        <c:grouping val="clustered"/>
        <c:ser>
          <c:idx val="0"/>
          <c:order val="0"/>
          <c:tx>
            <c:strRef>
              <c:f>Лист1!$B$1</c:f>
              <c:strCache>
                <c:ptCount val="1"/>
                <c:pt idx="0">
                  <c:v>Налог на доходы организаций по отрасли( подотрасли, виду деятельности)</c:v>
                </c:pt>
              </c:strCache>
            </c:strRef>
          </c:tx>
          <c:dLbls>
            <c:dLbl>
              <c:idx val="0"/>
              <c:layout>
                <c:manualLayout>
                  <c:x val="0.17505476709028392"/>
                  <c:y val="0.45652342476798241"/>
                </c:manualLayout>
              </c:layout>
              <c:tx>
                <c:rich>
                  <a:bodyPr/>
                  <a:lstStyle/>
                  <a:p>
                    <a:r>
                      <a:rPr lang="ru-RU" sz="800" b="1"/>
                      <a:t>47,0%*</a:t>
                    </a:r>
                    <a:endParaRPr lang="en-US" sz="800" b="1"/>
                  </a:p>
                </c:rich>
              </c:tx>
              <c:showVal val="1"/>
            </c:dLbl>
            <c:dLbl>
              <c:idx val="1"/>
              <c:layout>
                <c:manualLayout>
                  <c:x val="0.18439700356604563"/>
                  <c:y val="0.42357298474946187"/>
                </c:manualLayout>
              </c:layout>
              <c:tx>
                <c:rich>
                  <a:bodyPr/>
                  <a:lstStyle/>
                  <a:p>
                    <a:r>
                      <a:rPr lang="ru-RU" sz="800" b="1"/>
                      <a:t>89,0%*</a:t>
                    </a:r>
                    <a:endParaRPr lang="en-US" sz="800" b="1"/>
                  </a:p>
                </c:rich>
              </c:tx>
              <c:showVal val="1"/>
            </c:dLbl>
            <c:txPr>
              <a:bodyPr/>
              <a:lstStyle/>
              <a:p>
                <a:pPr>
                  <a:defRPr sz="800" b="1"/>
                </a:pPr>
                <a:endParaRPr lang="ru-RU"/>
              </a:p>
            </c:txPr>
            <c:showVal val="1"/>
          </c:dLbls>
          <c:cat>
            <c:strRef>
              <c:f>Лист1!$A$2:$A$3</c:f>
              <c:strCache>
                <c:ptCount val="2"/>
                <c:pt idx="0">
                  <c:v>2015 год</c:v>
                </c:pt>
                <c:pt idx="1">
                  <c:v>2016 год</c:v>
                </c:pt>
              </c:strCache>
            </c:strRef>
          </c:cat>
          <c:val>
            <c:numRef>
              <c:f>Лист1!$B$2:$B$3</c:f>
              <c:numCache>
                <c:formatCode>0.0</c:formatCode>
                <c:ptCount val="2"/>
                <c:pt idx="0">
                  <c:v>734.4</c:v>
                </c:pt>
                <c:pt idx="1">
                  <c:v>676.4</c:v>
                </c:pt>
              </c:numCache>
            </c:numRef>
          </c:val>
        </c:ser>
        <c:ser>
          <c:idx val="1"/>
          <c:order val="1"/>
          <c:tx>
            <c:strRef>
              <c:f>Лист1!$C$1</c:f>
              <c:strCache>
                <c:ptCount val="1"/>
                <c:pt idx="0">
                  <c:v>Подоходный налог с физических лиц</c:v>
                </c:pt>
              </c:strCache>
            </c:strRef>
          </c:tx>
          <c:dLbls>
            <c:dLbl>
              <c:idx val="0"/>
              <c:layout>
                <c:manualLayout>
                  <c:x val="1.4184397163120564E-2"/>
                  <c:y val="1.7543101229993321E-2"/>
                </c:manualLayout>
              </c:layout>
              <c:tx>
                <c:rich>
                  <a:bodyPr/>
                  <a:lstStyle/>
                  <a:p>
                    <a:r>
                      <a:rPr lang="ru-RU" sz="800" b="1"/>
                      <a:t>79,0%*</a:t>
                    </a:r>
                    <a:endParaRPr lang="en-US" sz="800" b="1"/>
                  </a:p>
                </c:rich>
              </c:tx>
              <c:showVal val="1"/>
            </c:dLbl>
            <c:dLbl>
              <c:idx val="1"/>
              <c:layout>
                <c:manualLayout>
                  <c:x val="2.2289766970618092E-2"/>
                  <c:y val="-1.7309110870945053E-3"/>
                </c:manualLayout>
              </c:layout>
              <c:tx>
                <c:rich>
                  <a:bodyPr/>
                  <a:lstStyle/>
                  <a:p>
                    <a:r>
                      <a:rPr lang="ru-RU" sz="800" b="1"/>
                      <a:t>100,2%*</a:t>
                    </a:r>
                    <a:endParaRPr lang="en-US" sz="800" b="1"/>
                  </a:p>
                </c:rich>
              </c:tx>
              <c:showVal val="1"/>
            </c:dLbl>
            <c:txPr>
              <a:bodyPr/>
              <a:lstStyle/>
              <a:p>
                <a:pPr>
                  <a:defRPr sz="800" b="1"/>
                </a:pPr>
                <a:endParaRPr lang="ru-RU"/>
              </a:p>
            </c:txPr>
            <c:showVal val="1"/>
          </c:dLbls>
          <c:cat>
            <c:strRef>
              <c:f>Лист1!$A$2:$A$3</c:f>
              <c:strCache>
                <c:ptCount val="2"/>
                <c:pt idx="0">
                  <c:v>2015 год</c:v>
                </c:pt>
                <c:pt idx="1">
                  <c:v>2016 год</c:v>
                </c:pt>
              </c:strCache>
            </c:strRef>
          </c:cat>
          <c:val>
            <c:numRef>
              <c:f>Лист1!$C$2:$C$3</c:f>
              <c:numCache>
                <c:formatCode>General</c:formatCode>
                <c:ptCount val="2"/>
                <c:pt idx="0">
                  <c:v>348.4</c:v>
                </c:pt>
                <c:pt idx="1">
                  <c:v>349.2</c:v>
                </c:pt>
              </c:numCache>
            </c:numRef>
          </c:val>
        </c:ser>
        <c:ser>
          <c:idx val="2"/>
          <c:order val="2"/>
          <c:tx>
            <c:strRef>
              <c:f>Лист1!$D$1</c:f>
              <c:strCache>
                <c:ptCount val="1"/>
                <c:pt idx="0">
                  <c:v>Налоги на товары и услуги, лицензионные и регистрационные сборы</c:v>
                </c:pt>
              </c:strCache>
            </c:strRef>
          </c:tx>
          <c:dLbls>
            <c:dLbl>
              <c:idx val="0"/>
              <c:layout>
                <c:manualLayout>
                  <c:x val="1.4184237608596799E-2"/>
                  <c:y val="1.4746195941193625E-2"/>
                </c:manualLayout>
              </c:layout>
              <c:tx>
                <c:rich>
                  <a:bodyPr/>
                  <a:lstStyle/>
                  <a:p>
                    <a:r>
                      <a:rPr lang="ru-RU" sz="800" b="1"/>
                      <a:t>33,9%*</a:t>
                    </a:r>
                    <a:endParaRPr lang="en-US" sz="800" b="1"/>
                  </a:p>
                </c:rich>
              </c:tx>
              <c:showVal val="1"/>
            </c:dLbl>
            <c:dLbl>
              <c:idx val="1"/>
              <c:layout>
                <c:manualLayout>
                  <c:x val="1.6210739614994949E-2"/>
                  <c:y val="2.2446262844595416E-2"/>
                </c:manualLayout>
              </c:layout>
              <c:tx>
                <c:rich>
                  <a:bodyPr/>
                  <a:lstStyle/>
                  <a:p>
                    <a:r>
                      <a:rPr lang="ru-RU" sz="800" b="1"/>
                      <a:t>71,2%*</a:t>
                    </a:r>
                    <a:endParaRPr lang="en-US" sz="800" b="1"/>
                  </a:p>
                </c:rich>
              </c:tx>
              <c:showVal val="1"/>
            </c:dLbl>
            <c:txPr>
              <a:bodyPr/>
              <a:lstStyle/>
              <a:p>
                <a:pPr>
                  <a:defRPr sz="800" b="1"/>
                </a:pPr>
                <a:endParaRPr lang="ru-RU"/>
              </a:p>
            </c:txPr>
            <c:showVal val="1"/>
          </c:dLbls>
          <c:cat>
            <c:strRef>
              <c:f>Лист1!$A$2:$A$3</c:f>
              <c:strCache>
                <c:ptCount val="2"/>
                <c:pt idx="0">
                  <c:v>2015 год</c:v>
                </c:pt>
                <c:pt idx="1">
                  <c:v>2016 год</c:v>
                </c:pt>
              </c:strCache>
            </c:strRef>
          </c:cat>
          <c:val>
            <c:numRef>
              <c:f>Лист1!$D$2:$D$3</c:f>
              <c:numCache>
                <c:formatCode>0.0</c:formatCode>
                <c:ptCount val="2"/>
                <c:pt idx="0">
                  <c:v>139.19999999999999</c:v>
                </c:pt>
                <c:pt idx="1">
                  <c:v>99.2</c:v>
                </c:pt>
              </c:numCache>
            </c:numRef>
          </c:val>
        </c:ser>
        <c:ser>
          <c:idx val="3"/>
          <c:order val="3"/>
          <c:tx>
            <c:strRef>
              <c:f>Лист1!$E$1</c:f>
              <c:strCache>
                <c:ptCount val="1"/>
                <c:pt idx="0">
                  <c:v>Налог на игорную деятельность</c:v>
                </c:pt>
              </c:strCache>
            </c:strRef>
          </c:tx>
          <c:dLbls>
            <c:dLbl>
              <c:idx val="0"/>
              <c:layout>
                <c:manualLayout>
                  <c:x val="1.0131552704848064E-2"/>
                  <c:y val="1.4628171478565339E-2"/>
                </c:manualLayout>
              </c:layout>
              <c:tx>
                <c:rich>
                  <a:bodyPr/>
                  <a:lstStyle/>
                  <a:p>
                    <a:r>
                      <a:rPr lang="ru-RU" sz="800" b="1"/>
                      <a:t>69,5%*</a:t>
                    </a:r>
                    <a:endParaRPr lang="en-US" sz="800" b="1"/>
                  </a:p>
                </c:rich>
              </c:tx>
              <c:showVal val="1"/>
            </c:dLbl>
            <c:dLbl>
              <c:idx val="1"/>
              <c:layout>
                <c:manualLayout>
                  <c:x val="1.2158054711246199E-2"/>
                  <c:y val="2.2175561388159851E-2"/>
                </c:manualLayout>
              </c:layout>
              <c:tx>
                <c:rich>
                  <a:bodyPr/>
                  <a:lstStyle/>
                  <a:p>
                    <a:r>
                      <a:rPr lang="ru-RU" sz="800" b="1"/>
                      <a:t>101,1%*</a:t>
                    </a:r>
                    <a:endParaRPr lang="en-US" sz="800" b="1"/>
                  </a:p>
                </c:rich>
              </c:tx>
              <c:showVal val="1"/>
            </c:dLbl>
            <c:txPr>
              <a:bodyPr/>
              <a:lstStyle/>
              <a:p>
                <a:pPr>
                  <a:defRPr sz="800" b="1"/>
                </a:pPr>
                <a:endParaRPr lang="ru-RU"/>
              </a:p>
            </c:txPr>
            <c:showVal val="1"/>
          </c:dLbls>
          <c:cat>
            <c:strRef>
              <c:f>Лист1!$A$2:$A$3</c:f>
              <c:strCache>
                <c:ptCount val="2"/>
                <c:pt idx="0">
                  <c:v>2015 год</c:v>
                </c:pt>
                <c:pt idx="1">
                  <c:v>2016 год</c:v>
                </c:pt>
              </c:strCache>
            </c:strRef>
          </c:cat>
          <c:val>
            <c:numRef>
              <c:f>Лист1!$E$2:$E$3</c:f>
              <c:numCache>
                <c:formatCode>0.0</c:formatCode>
                <c:ptCount val="2"/>
                <c:pt idx="0" formatCode="General">
                  <c:v>8.9</c:v>
                </c:pt>
                <c:pt idx="1">
                  <c:v>9</c:v>
                </c:pt>
              </c:numCache>
            </c:numRef>
          </c:val>
        </c:ser>
        <c:ser>
          <c:idx val="4"/>
          <c:order val="4"/>
          <c:tx>
            <c:strRef>
              <c:f>Лист1!$F$1</c:f>
              <c:strCache>
                <c:ptCount val="1"/>
                <c:pt idx="0">
                  <c:v>Платежи за пользование природными ресурсами</c:v>
                </c:pt>
              </c:strCache>
            </c:strRef>
          </c:tx>
          <c:dLbls>
            <c:dLbl>
              <c:idx val="0"/>
              <c:layout>
                <c:manualLayout>
                  <c:x val="2.0263424518743682E-3"/>
                  <c:y val="2.4701765220524287E-2"/>
                </c:manualLayout>
              </c:layout>
              <c:tx>
                <c:rich>
                  <a:bodyPr/>
                  <a:lstStyle/>
                  <a:p>
                    <a:r>
                      <a:rPr lang="ru-RU" sz="800" b="1"/>
                      <a:t>104,7%*</a:t>
                    </a:r>
                    <a:endParaRPr lang="en-US" sz="800" b="1"/>
                  </a:p>
                </c:rich>
              </c:tx>
              <c:showVal val="1"/>
            </c:dLbl>
            <c:dLbl>
              <c:idx val="1"/>
              <c:layout>
                <c:manualLayout>
                  <c:x val="6.0790273556232061E-3"/>
                  <c:y val="6.5640814506029875E-3"/>
                </c:manualLayout>
              </c:layout>
              <c:tx>
                <c:rich>
                  <a:bodyPr/>
                  <a:lstStyle/>
                  <a:p>
                    <a:r>
                      <a:rPr lang="ru-RU" sz="800" b="1"/>
                      <a:t>101,6%*</a:t>
                    </a:r>
                    <a:endParaRPr lang="en-US" sz="800" b="1"/>
                  </a:p>
                </c:rich>
              </c:tx>
              <c:showVal val="1"/>
            </c:dLbl>
            <c:txPr>
              <a:bodyPr/>
              <a:lstStyle/>
              <a:p>
                <a:pPr>
                  <a:defRPr sz="800" b="1"/>
                </a:pPr>
                <a:endParaRPr lang="ru-RU"/>
              </a:p>
            </c:txPr>
            <c:showVal val="1"/>
          </c:dLbls>
          <c:cat>
            <c:strRef>
              <c:f>Лист1!$A$2:$A$3</c:f>
              <c:strCache>
                <c:ptCount val="2"/>
                <c:pt idx="0">
                  <c:v>2015 год</c:v>
                </c:pt>
                <c:pt idx="1">
                  <c:v>2016 год</c:v>
                </c:pt>
              </c:strCache>
            </c:strRef>
          </c:cat>
          <c:val>
            <c:numRef>
              <c:f>Лист1!$F$2:$F$3</c:f>
              <c:numCache>
                <c:formatCode>General</c:formatCode>
                <c:ptCount val="2"/>
                <c:pt idx="0">
                  <c:v>112.5</c:v>
                </c:pt>
                <c:pt idx="1">
                  <c:v>114.3</c:v>
                </c:pt>
              </c:numCache>
            </c:numRef>
          </c:val>
        </c:ser>
        <c:ser>
          <c:idx val="5"/>
          <c:order val="5"/>
          <c:tx>
            <c:strRef>
              <c:f>Лист1!$G$1</c:f>
              <c:strCache>
                <c:ptCount val="1"/>
                <c:pt idx="0">
                  <c:v>Налоги на внешнюю торговлю и внешнеэкономические операции</c:v>
                </c:pt>
              </c:strCache>
            </c:strRef>
          </c:tx>
          <c:dLbls>
            <c:dLbl>
              <c:idx val="0"/>
              <c:layout>
                <c:manualLayout>
                  <c:x val="-0.17426545086119855"/>
                  <c:y val="-0.41566225790403682"/>
                </c:manualLayout>
              </c:layout>
              <c:tx>
                <c:rich>
                  <a:bodyPr/>
                  <a:lstStyle/>
                  <a:p>
                    <a:r>
                      <a:rPr lang="ru-RU" sz="800" b="1"/>
                      <a:t>98,2%*</a:t>
                    </a:r>
                    <a:endParaRPr lang="en-US" sz="800" b="1"/>
                  </a:p>
                </c:rich>
              </c:tx>
              <c:showVal val="1"/>
            </c:dLbl>
            <c:dLbl>
              <c:idx val="1"/>
              <c:layout>
                <c:manualLayout>
                  <c:x val="-0.17223910840932327"/>
                  <c:y val="-0.39956735800181842"/>
                </c:manualLayout>
              </c:layout>
              <c:tx>
                <c:rich>
                  <a:bodyPr/>
                  <a:lstStyle/>
                  <a:p>
                    <a:r>
                      <a:rPr lang="ru-RU" sz="800" b="1"/>
                      <a:t>92,1%*</a:t>
                    </a:r>
                    <a:endParaRPr lang="en-US" sz="800" b="1"/>
                  </a:p>
                </c:rich>
              </c:tx>
              <c:showVal val="1"/>
            </c:dLbl>
            <c:txPr>
              <a:bodyPr/>
              <a:lstStyle/>
              <a:p>
                <a:pPr>
                  <a:defRPr sz="800" b="1"/>
                </a:pPr>
                <a:endParaRPr lang="ru-RU"/>
              </a:p>
            </c:txPr>
            <c:showVal val="1"/>
          </c:dLbls>
          <c:cat>
            <c:strRef>
              <c:f>Лист1!$A$2:$A$3</c:f>
              <c:strCache>
                <c:ptCount val="2"/>
                <c:pt idx="0">
                  <c:v>2015 год</c:v>
                </c:pt>
                <c:pt idx="1">
                  <c:v>2016 год</c:v>
                </c:pt>
              </c:strCache>
            </c:strRef>
          </c:cat>
          <c:val>
            <c:numRef>
              <c:f>Лист1!$G$2:$G$3</c:f>
              <c:numCache>
                <c:formatCode>General</c:formatCode>
                <c:ptCount val="2"/>
                <c:pt idx="0">
                  <c:v>327.2</c:v>
                </c:pt>
                <c:pt idx="1">
                  <c:v>291.3</c:v>
                </c:pt>
              </c:numCache>
            </c:numRef>
          </c:val>
        </c:ser>
        <c:ser>
          <c:idx val="6"/>
          <c:order val="6"/>
          <c:tx>
            <c:strRef>
              <c:f>Лист1!$H$1</c:f>
              <c:strCache>
                <c:ptCount val="1"/>
                <c:pt idx="0">
                  <c:v>Прочие налоги, пошлины и сборы</c:v>
                </c:pt>
              </c:strCache>
            </c:strRef>
          </c:tx>
          <c:dLbls>
            <c:dLbl>
              <c:idx val="0"/>
              <c:layout>
                <c:manualLayout>
                  <c:x val="1.2158054711246237E-2"/>
                  <c:y val="2.4434837802137482E-2"/>
                </c:manualLayout>
              </c:layout>
              <c:tx>
                <c:rich>
                  <a:bodyPr/>
                  <a:lstStyle/>
                  <a:p>
                    <a:r>
                      <a:rPr lang="ru-RU" sz="800" b="1"/>
                      <a:t>96,9%*</a:t>
                    </a:r>
                    <a:endParaRPr lang="en-US" sz="800" b="1"/>
                  </a:p>
                </c:rich>
              </c:tx>
              <c:showVal val="1"/>
            </c:dLbl>
            <c:dLbl>
              <c:idx val="1"/>
              <c:layout>
                <c:manualLayout>
                  <c:x val="1.0131712259371834E-2"/>
                  <c:y val="1.3012540099154203E-2"/>
                </c:manualLayout>
              </c:layout>
              <c:tx>
                <c:rich>
                  <a:bodyPr/>
                  <a:lstStyle/>
                  <a:p>
                    <a:r>
                      <a:rPr lang="ru-RU" sz="800" b="1"/>
                      <a:t>90,7%*</a:t>
                    </a:r>
                    <a:endParaRPr lang="en-US" sz="800" b="1"/>
                  </a:p>
                </c:rich>
              </c:tx>
              <c:showVal val="1"/>
            </c:dLbl>
            <c:txPr>
              <a:bodyPr/>
              <a:lstStyle/>
              <a:p>
                <a:pPr>
                  <a:defRPr sz="800" b="1"/>
                </a:pPr>
                <a:endParaRPr lang="ru-RU"/>
              </a:p>
            </c:txPr>
            <c:showVal val="1"/>
          </c:dLbls>
          <c:cat>
            <c:strRef>
              <c:f>Лист1!$A$2:$A$3</c:f>
              <c:strCache>
                <c:ptCount val="2"/>
                <c:pt idx="0">
                  <c:v>2015 год</c:v>
                </c:pt>
                <c:pt idx="1">
                  <c:v>2016 год</c:v>
                </c:pt>
              </c:strCache>
            </c:strRef>
          </c:cat>
          <c:val>
            <c:numRef>
              <c:f>Лист1!$H$2:$H$3</c:f>
              <c:numCache>
                <c:formatCode>General</c:formatCode>
                <c:ptCount val="2"/>
                <c:pt idx="0" formatCode="0.0">
                  <c:v>101</c:v>
                </c:pt>
                <c:pt idx="1">
                  <c:v>91.6</c:v>
                </c:pt>
              </c:numCache>
            </c:numRef>
          </c:val>
        </c:ser>
        <c:axId val="152207360"/>
        <c:axId val="152208896"/>
      </c:barChart>
      <c:catAx>
        <c:axId val="152207360"/>
        <c:scaling>
          <c:orientation val="minMax"/>
        </c:scaling>
        <c:axPos val="b"/>
        <c:tickLblPos val="nextTo"/>
        <c:txPr>
          <a:bodyPr/>
          <a:lstStyle/>
          <a:p>
            <a:pPr>
              <a:defRPr b="1"/>
            </a:pPr>
            <a:endParaRPr lang="ru-RU"/>
          </a:p>
        </c:txPr>
        <c:crossAx val="152208896"/>
        <c:crosses val="autoZero"/>
        <c:auto val="1"/>
        <c:lblAlgn val="ctr"/>
        <c:lblOffset val="100"/>
      </c:catAx>
      <c:valAx>
        <c:axId val="152208896"/>
        <c:scaling>
          <c:orientation val="minMax"/>
          <c:max val="750"/>
        </c:scaling>
        <c:axPos val="l"/>
        <c:numFmt formatCode="0.0" sourceLinked="1"/>
        <c:tickLblPos val="nextTo"/>
        <c:txPr>
          <a:bodyPr/>
          <a:lstStyle/>
          <a:p>
            <a:pPr>
              <a:defRPr b="1"/>
            </a:pPr>
            <a:endParaRPr lang="ru-RU"/>
          </a:p>
        </c:txPr>
        <c:crossAx val="152207360"/>
        <c:crosses val="autoZero"/>
        <c:crossBetween val="between"/>
        <c:majorUnit val="50"/>
      </c:valAx>
    </c:plotArea>
    <c:legend>
      <c:legendPos val="r"/>
      <c:layout>
        <c:manualLayout>
          <c:xMode val="edge"/>
          <c:yMode val="edge"/>
          <c:x val="0.67933130699088495"/>
          <c:y val="0"/>
          <c:w val="0.31772539070914307"/>
          <c:h val="0.99921903933787415"/>
        </c:manualLayout>
      </c:layout>
      <c:spPr>
        <a:solidFill>
          <a:schemeClr val="bg1"/>
        </a:solidFill>
      </c:sp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b="1" i="0" u="none" strike="noStrike" baseline="0"/>
              <a:t> </a:t>
            </a:r>
            <a:r>
              <a:rPr lang="ru-RU"/>
              <a:t>2015 год </a:t>
            </a:r>
          </a:p>
        </c:rich>
      </c:tx>
      <c:layout>
        <c:manualLayout>
          <c:xMode val="edge"/>
          <c:yMode val="edge"/>
          <c:x val="0.39062262584589219"/>
          <c:y val="2.1992663761066602E-3"/>
        </c:manualLayout>
      </c:layout>
      <c:spPr>
        <a:solidFill>
          <a:sysClr val="window" lastClr="FFFFFF"/>
        </a:solidFill>
      </c:spPr>
    </c:title>
    <c:view3D>
      <c:rotX val="30"/>
      <c:perspective val="30"/>
    </c:view3D>
    <c:plotArea>
      <c:layout>
        <c:manualLayout>
          <c:layoutTarget val="inner"/>
          <c:xMode val="edge"/>
          <c:yMode val="edge"/>
          <c:x val="0.24326398497312482"/>
          <c:y val="3.0282453225456952E-3"/>
          <c:w val="0.52800415922450583"/>
          <c:h val="0.72899451788710046"/>
        </c:manualLayout>
      </c:layout>
      <c:pie3DChart>
        <c:varyColors val="1"/>
        <c:ser>
          <c:idx val="0"/>
          <c:order val="0"/>
          <c:tx>
            <c:strRef>
              <c:f>Лист1!$B$1</c:f>
              <c:strCache>
                <c:ptCount val="1"/>
                <c:pt idx="0">
                  <c:v>2015 год</c:v>
                </c:pt>
              </c:strCache>
            </c:strRef>
          </c:tx>
          <c:explosion val="25"/>
          <c:dPt>
            <c:idx val="0"/>
            <c:spPr>
              <a:blipFill>
                <a:blip xmlns:r="http://schemas.openxmlformats.org/officeDocument/2006/relationships" r:embed="rId2"/>
                <a:tile tx="0" ty="0" sx="100000" sy="100000" flip="none" algn="tl"/>
              </a:blipFill>
            </c:spPr>
          </c:dPt>
          <c:dPt>
            <c:idx val="1"/>
            <c:spPr>
              <a:solidFill>
                <a:srgbClr val="C00000"/>
              </a:solidFill>
            </c:spPr>
          </c:dPt>
          <c:dPt>
            <c:idx val="2"/>
            <c:spPr>
              <a:blipFill>
                <a:blip xmlns:r="http://schemas.openxmlformats.org/officeDocument/2006/relationships" r:embed="rId3"/>
                <a:tile tx="0" ty="0" sx="100000" sy="100000" flip="none" algn="tl"/>
              </a:blipFill>
            </c:spPr>
          </c:dPt>
          <c:dPt>
            <c:idx val="3"/>
            <c:spPr>
              <a:blipFill>
                <a:blip xmlns:r="http://schemas.openxmlformats.org/officeDocument/2006/relationships" r:embed="rId4"/>
                <a:tile tx="0" ty="0" sx="100000" sy="100000" flip="none" algn="tl"/>
              </a:blipFill>
            </c:spPr>
          </c:dPt>
          <c:dLbls>
            <c:dLbl>
              <c:idx val="0"/>
              <c:layout>
                <c:manualLayout>
                  <c:x val="3.6175861403906016E-2"/>
                  <c:y val="-5.6436745406824147E-2"/>
                </c:manualLayout>
              </c:layout>
              <c:showVal val="1"/>
            </c:dLbl>
            <c:dLbl>
              <c:idx val="1"/>
              <c:layout>
                <c:manualLayout>
                  <c:x val="3.4225050942114664E-2"/>
                  <c:y val="-1.4249920887548628E-2"/>
                </c:manualLayout>
              </c:layout>
              <c:showVal val="1"/>
            </c:dLbl>
            <c:dLbl>
              <c:idx val="2"/>
              <c:layout>
                <c:manualLayout>
                  <c:x val="-1.5761112927976655E-2"/>
                  <c:y val="3.6662385286945612E-2"/>
                </c:manualLayout>
              </c:layout>
              <c:showVal val="1"/>
            </c:dLbl>
            <c:dLbl>
              <c:idx val="3"/>
              <c:layout>
                <c:manualLayout>
                  <c:x val="-1.1974541520968041E-2"/>
                  <c:y val="-7.6132283464566936E-2"/>
                </c:manualLayout>
              </c:layout>
              <c:showVal val="1"/>
            </c:dLbl>
            <c:dLbl>
              <c:idx val="4"/>
              <c:layout>
                <c:manualLayout>
                  <c:x val="7.6163463438037982E-2"/>
                  <c:y val="-3.369102118049197E-2"/>
                </c:manualLayout>
              </c:layout>
              <c:tx>
                <c:rich>
                  <a:bodyPr/>
                  <a:lstStyle/>
                  <a:p>
                    <a:r>
                      <a:rPr lang="en-US"/>
                      <a:t>0,0</a:t>
                    </a:r>
                    <a:r>
                      <a:rPr lang="ru-RU"/>
                      <a:t>0</a:t>
                    </a:r>
                    <a:r>
                      <a:rPr lang="en-US"/>
                      <a:t>1</a:t>
                    </a:r>
                  </a:p>
                </c:rich>
              </c:tx>
              <c:showVal val="1"/>
            </c:dLbl>
            <c:showVal val="1"/>
            <c:showLeaderLines val="1"/>
          </c:dLbls>
          <c:cat>
            <c:strRef>
              <c:f>Лист1!$A$2:$A$5</c:f>
              <c:strCache>
                <c:ptCount val="4"/>
                <c:pt idx="0">
                  <c:v>Доходы от имущества, наход. в гос. и муницип. собственности</c:v>
                </c:pt>
                <c:pt idx="1">
                  <c:v>Доходы от продажи имущества, наход. в гос. и муницип. собственности</c:v>
                </c:pt>
                <c:pt idx="2">
                  <c:v>Администратиные платежи и сборы</c:v>
                </c:pt>
                <c:pt idx="3">
                  <c:v>Штрафные санкции и возмещение ущерба</c:v>
                </c:pt>
              </c:strCache>
            </c:strRef>
          </c:cat>
          <c:val>
            <c:numRef>
              <c:f>Лист1!$B$2:$B$5</c:f>
              <c:numCache>
                <c:formatCode>General</c:formatCode>
                <c:ptCount val="4"/>
                <c:pt idx="0">
                  <c:v>42.6</c:v>
                </c:pt>
                <c:pt idx="1">
                  <c:v>7.8</c:v>
                </c:pt>
                <c:pt idx="2">
                  <c:v>12.7</c:v>
                </c:pt>
                <c:pt idx="3">
                  <c:v>36.9</c:v>
                </c:pt>
              </c:numCache>
            </c:numRef>
          </c:val>
        </c:ser>
      </c:pie3DChart>
    </c:plotArea>
    <c:legend>
      <c:legendPos val="b"/>
      <c:layout>
        <c:manualLayout>
          <c:xMode val="edge"/>
          <c:yMode val="edge"/>
          <c:x val="0"/>
          <c:y val="0.61138825388761886"/>
          <c:w val="1"/>
          <c:h val="0.38861174611238131"/>
        </c:manualLayout>
      </c:layout>
      <c:txPr>
        <a:bodyPr/>
        <a:lstStyle/>
        <a:p>
          <a:pPr>
            <a:defRPr sz="900"/>
          </a:pPr>
          <a:endParaRPr lang="ru-RU"/>
        </a:p>
      </c:txPr>
    </c:legend>
    <c:plotVisOnly val="1"/>
  </c:chart>
  <c:spPr>
    <a:ln>
      <a:noFill/>
    </a:ln>
  </c:spPr>
  <c:txPr>
    <a:bodyPr/>
    <a:lstStyle/>
    <a:p>
      <a:pPr>
        <a:defRPr sz="1100">
          <a:latin typeface="Times New Roman" pitchFamily="18" charset="0"/>
          <a:cs typeface="Times New Roman" pitchFamily="18" charset="0"/>
        </a:defRPr>
      </a:pPr>
      <a:endParaRPr lang="ru-RU"/>
    </a:p>
  </c:txPr>
  <c:externalData r:id="rId5"/>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view3D>
      <c:rotX val="0"/>
      <c:rotY val="0"/>
      <c:depthPercent val="100"/>
      <c:perspective val="30"/>
    </c:view3D>
    <c:plotArea>
      <c:layout>
        <c:manualLayout>
          <c:layoutTarget val="inner"/>
          <c:xMode val="edge"/>
          <c:yMode val="edge"/>
          <c:x val="8.0304018651864206E-2"/>
          <c:y val="5.784938919672078E-2"/>
          <c:w val="0.91969598134819674"/>
          <c:h val="0.45779235928842227"/>
        </c:manualLayout>
      </c:layout>
      <c:bar3DChart>
        <c:barDir val="col"/>
        <c:grouping val="clustered"/>
        <c:ser>
          <c:idx val="0"/>
          <c:order val="0"/>
          <c:tx>
            <c:strRef>
              <c:f>Лист1!$B$1</c:f>
              <c:strCache>
                <c:ptCount val="1"/>
                <c:pt idx="0">
                  <c:v> 2015 год</c:v>
                </c:pt>
              </c:strCache>
            </c:strRef>
          </c:tx>
          <c:spPr>
            <a:solidFill>
              <a:srgbClr val="C0504D">
                <a:lumMod val="75000"/>
              </a:srgbClr>
            </a:solidFill>
          </c:spPr>
          <c:dLbls>
            <c:dLbl>
              <c:idx val="0"/>
              <c:layout>
                <c:manualLayout>
                  <c:x val="1.9786463089762744E-3"/>
                  <c:y val="1.8576747673982681E-3"/>
                </c:manualLayout>
              </c:layout>
              <c:tx>
                <c:rich>
                  <a:bodyPr/>
                  <a:lstStyle/>
                  <a:p>
                    <a:r>
                      <a:rPr lang="ru-RU" sz="750" b="1"/>
                      <a:t>115,7*</a:t>
                    </a:r>
                    <a:endParaRPr lang="en-US" sz="750" b="1"/>
                  </a:p>
                </c:rich>
              </c:tx>
            </c:dLbl>
            <c:dLbl>
              <c:idx val="1"/>
              <c:layout>
                <c:manualLayout>
                  <c:x val="2.3899662070048211E-3"/>
                  <c:y val="5.7361982294587034E-3"/>
                </c:manualLayout>
              </c:layout>
              <c:tx>
                <c:rich>
                  <a:bodyPr/>
                  <a:lstStyle/>
                  <a:p>
                    <a:r>
                      <a:rPr lang="ru-RU" sz="750" b="1"/>
                      <a:t>81,9*</a:t>
                    </a:r>
                    <a:endParaRPr lang="en-US" sz="750" b="1"/>
                  </a:p>
                </c:rich>
              </c:tx>
            </c:dLbl>
            <c:dLbl>
              <c:idx val="2"/>
              <c:layout>
                <c:manualLayout>
                  <c:x val="4.4814964761094513E-4"/>
                  <c:y val="-3.9759981770767401E-3"/>
                </c:manualLayout>
              </c:layout>
              <c:tx>
                <c:rich>
                  <a:bodyPr/>
                  <a:lstStyle/>
                  <a:p>
                    <a:r>
                      <a:rPr lang="ru-RU" sz="750" b="1"/>
                      <a:t>64,2*</a:t>
                    </a:r>
                    <a:endParaRPr lang="en-US" sz="750" b="1"/>
                  </a:p>
                </c:rich>
              </c:tx>
            </c:dLbl>
            <c:dLbl>
              <c:idx val="3"/>
              <c:layout>
                <c:manualLayout>
                  <c:x val="2.1378941742383802E-3"/>
                  <c:y val="1.2326863397394481E-2"/>
                </c:manualLayout>
              </c:layout>
              <c:tx>
                <c:rich>
                  <a:bodyPr/>
                  <a:lstStyle/>
                  <a:p>
                    <a:r>
                      <a:rPr lang="ru-RU" sz="750" b="1"/>
                      <a:t>90,0*</a:t>
                    </a:r>
                    <a:endParaRPr lang="en-US" sz="750" b="1"/>
                  </a:p>
                </c:rich>
              </c:tx>
            </c:dLbl>
            <c:dLbl>
              <c:idx val="4"/>
              <c:layout>
                <c:manualLayout>
                  <c:x val="6.1068021227444688E-3"/>
                  <c:y val="8.1899337050953744E-3"/>
                </c:manualLayout>
              </c:layout>
              <c:tx>
                <c:rich>
                  <a:bodyPr/>
                  <a:lstStyle/>
                  <a:p>
                    <a:r>
                      <a:rPr lang="ru-RU" sz="750" b="1"/>
                      <a:t>90,3*</a:t>
                    </a:r>
                    <a:endParaRPr lang="en-US" sz="750" b="1"/>
                  </a:p>
                </c:rich>
              </c:tx>
            </c:dLbl>
            <c:dLbl>
              <c:idx val="5"/>
              <c:layout>
                <c:manualLayout>
                  <c:x val="3.068803999713825E-4"/>
                  <c:y val="2.8534731030961553E-3"/>
                </c:manualLayout>
              </c:layout>
              <c:tx>
                <c:rich>
                  <a:bodyPr/>
                  <a:lstStyle/>
                  <a:p>
                    <a:r>
                      <a:rPr lang="ru-RU" sz="750" b="1"/>
                      <a:t>49,3*</a:t>
                    </a:r>
                    <a:endParaRPr lang="en-US" sz="750" b="1"/>
                  </a:p>
                </c:rich>
              </c:tx>
            </c:dLbl>
            <c:dLbl>
              <c:idx val="6"/>
              <c:layout>
                <c:manualLayout>
                  <c:x val="-3.8618205253199652E-3"/>
                  <c:y val="5.7543610907157504E-3"/>
                </c:manualLayout>
              </c:layout>
              <c:tx>
                <c:rich>
                  <a:bodyPr/>
                  <a:lstStyle/>
                  <a:p>
                    <a:r>
                      <a:rPr lang="ru-RU" sz="750" b="1"/>
                      <a:t>67,9*</a:t>
                    </a:r>
                    <a:endParaRPr lang="en-US" sz="750" b="1"/>
                  </a:p>
                </c:rich>
              </c:tx>
            </c:dLbl>
            <c:dLbl>
              <c:idx val="7"/>
              <c:layout>
                <c:manualLayout>
                  <c:x val="-6.1668498153365824E-3"/>
                  <c:y val="1.169126740513368E-2"/>
                </c:manualLayout>
              </c:layout>
              <c:tx>
                <c:rich>
                  <a:bodyPr/>
                  <a:lstStyle/>
                  <a:p>
                    <a:r>
                      <a:rPr lang="ru-RU" sz="750" b="1"/>
                      <a:t>85,1*</a:t>
                    </a:r>
                    <a:endParaRPr lang="en-US" sz="750" b="1"/>
                  </a:p>
                </c:rich>
              </c:tx>
            </c:dLbl>
            <c:dLbl>
              <c:idx val="8"/>
              <c:layout>
                <c:manualLayout>
                  <c:x val="7.5517842536209734E-4"/>
                  <c:y val="6.180456951077877E-3"/>
                </c:manualLayout>
              </c:layout>
              <c:tx>
                <c:rich>
                  <a:bodyPr/>
                  <a:lstStyle/>
                  <a:p>
                    <a:r>
                      <a:rPr lang="ru-RU" sz="750" b="1"/>
                      <a:t>78,6*</a:t>
                    </a:r>
                    <a:endParaRPr lang="en-US" sz="750" b="1"/>
                  </a:p>
                </c:rich>
              </c:tx>
            </c:dLbl>
            <c:dLbl>
              <c:idx val="9"/>
              <c:layout>
                <c:manualLayout>
                  <c:x val="-3.6142806388446292E-3"/>
                  <c:y val="7.9519963541534924E-3"/>
                </c:manualLayout>
              </c:layout>
              <c:tx>
                <c:rich>
                  <a:bodyPr/>
                  <a:lstStyle/>
                  <a:p>
                    <a:r>
                      <a:rPr lang="ru-RU" sz="750" b="1"/>
                      <a:t>88,4*</a:t>
                    </a:r>
                    <a:endParaRPr lang="en-US" sz="750" b="1"/>
                  </a:p>
                </c:rich>
              </c:tx>
            </c:dLbl>
            <c:dLbl>
              <c:idx val="10"/>
              <c:layout>
                <c:manualLayout>
                  <c:x val="6.6140048902225013E-4"/>
                  <c:y val="-1.1030742600648938E-2"/>
                </c:manualLayout>
              </c:layout>
              <c:tx>
                <c:rich>
                  <a:bodyPr/>
                  <a:lstStyle/>
                  <a:p>
                    <a:r>
                      <a:rPr lang="ru-RU" sz="750" b="1">
                        <a:solidFill>
                          <a:sysClr val="windowText" lastClr="000000"/>
                        </a:solidFill>
                      </a:rPr>
                      <a:t>в 2,8 р.</a:t>
                    </a:r>
                    <a:endParaRPr lang="en-US" sz="750" b="1">
                      <a:solidFill>
                        <a:sysClr val="windowText" lastClr="000000"/>
                      </a:solidFill>
                    </a:endParaRPr>
                  </a:p>
                </c:rich>
              </c:tx>
            </c:dLbl>
            <c:spPr>
              <a:noFill/>
              <a:ln w="25393">
                <a:noFill/>
              </a:ln>
            </c:spPr>
            <c:txPr>
              <a:bodyPr rot="-5400000" vert="horz"/>
              <a:lstStyle/>
              <a:p>
                <a:pPr>
                  <a:defRPr sz="750" b="1"/>
                </a:pPr>
                <a:endParaRPr lang="ru-RU"/>
              </a:p>
            </c:txPr>
            <c:showVal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металлообработка</c:v>
                </c:pt>
                <c:pt idx="4">
                  <c:v>Электротехническая промышленность</c:v>
                </c:pt>
                <c:pt idx="5">
                  <c:v>Лесная и деревообрабатывающая промышленность</c:v>
                </c:pt>
                <c:pt idx="6">
                  <c:v>Промышленность строительных материалов</c:v>
                </c:pt>
                <c:pt idx="7">
                  <c:v>Легкая промышленность</c:v>
                </c:pt>
                <c:pt idx="8">
                  <c:v>Пищевая промышленность</c:v>
                </c:pt>
                <c:pt idx="9">
                  <c:v>Мукомольно-крупянная и комбикормовая</c:v>
                </c:pt>
                <c:pt idx="10">
                  <c:v>Полиграфическая промышленность</c:v>
                </c:pt>
              </c:strCache>
            </c:strRef>
          </c:cat>
          <c:val>
            <c:numRef>
              <c:f>Лист1!$B$2:$B$12</c:f>
              <c:numCache>
                <c:formatCode>#,##0.0</c:formatCode>
                <c:ptCount val="11"/>
                <c:pt idx="0">
                  <c:v>3612.2</c:v>
                </c:pt>
                <c:pt idx="1">
                  <c:v>2195.9</c:v>
                </c:pt>
                <c:pt idx="2">
                  <c:v>121.7</c:v>
                </c:pt>
                <c:pt idx="3">
                  <c:v>208.5</c:v>
                </c:pt>
                <c:pt idx="4">
                  <c:v>182.6</c:v>
                </c:pt>
                <c:pt idx="5">
                  <c:v>13.7</c:v>
                </c:pt>
                <c:pt idx="6">
                  <c:v>422.4</c:v>
                </c:pt>
                <c:pt idx="7">
                  <c:v>1091.3</c:v>
                </c:pt>
                <c:pt idx="8">
                  <c:v>999.8</c:v>
                </c:pt>
                <c:pt idx="9">
                  <c:v>132.19999999999999</c:v>
                </c:pt>
                <c:pt idx="10">
                  <c:v>49.8</c:v>
                </c:pt>
              </c:numCache>
            </c:numRef>
          </c:val>
        </c:ser>
        <c:ser>
          <c:idx val="1"/>
          <c:order val="1"/>
          <c:tx>
            <c:strRef>
              <c:f>Лист1!$C$1</c:f>
              <c:strCache>
                <c:ptCount val="1"/>
                <c:pt idx="0">
                  <c:v>2016 год</c:v>
                </c:pt>
              </c:strCache>
            </c:strRef>
          </c:tx>
          <c:spPr>
            <a:solidFill>
              <a:srgbClr val="4BACC6">
                <a:lumMod val="40000"/>
                <a:lumOff val="60000"/>
              </a:srgbClr>
            </a:solidFill>
          </c:spPr>
          <c:dLbls>
            <c:dLbl>
              <c:idx val="0"/>
              <c:layout>
                <c:manualLayout>
                  <c:x val="3.4952044676938099E-3"/>
                  <c:y val="1.0548970310453541E-2"/>
                </c:manualLayout>
              </c:layout>
              <c:tx>
                <c:rich>
                  <a:bodyPr/>
                  <a:lstStyle/>
                  <a:p>
                    <a:r>
                      <a:rPr lang="ru-RU" sz="750" b="1"/>
                      <a:t>97,5*</a:t>
                    </a:r>
                    <a:endParaRPr lang="en-US" sz="750" b="1"/>
                  </a:p>
                </c:rich>
              </c:tx>
            </c:dLbl>
            <c:dLbl>
              <c:idx val="1"/>
              <c:layout>
                <c:manualLayout>
                  <c:x val="7.8390014182487134E-3"/>
                  <c:y val="1.7667945688730351E-2"/>
                </c:manualLayout>
              </c:layout>
              <c:tx>
                <c:rich>
                  <a:bodyPr/>
                  <a:lstStyle/>
                  <a:p>
                    <a:r>
                      <a:rPr lang="ru-RU" sz="750" b="1"/>
                      <a:t>70,6* </a:t>
                    </a:r>
                    <a:endParaRPr lang="en-US" sz="750" b="1"/>
                  </a:p>
                </c:rich>
              </c:tx>
            </c:dLbl>
            <c:dLbl>
              <c:idx val="2"/>
              <c:layout>
                <c:manualLayout>
                  <c:x val="8.5722822862003313E-3"/>
                  <c:y val="1.0042517062768761E-2"/>
                </c:manualLayout>
              </c:layout>
              <c:tx>
                <c:rich>
                  <a:bodyPr/>
                  <a:lstStyle/>
                  <a:p>
                    <a:r>
                      <a:rPr lang="ru-RU" sz="750" b="1"/>
                      <a:t>138,9*</a:t>
                    </a:r>
                    <a:endParaRPr lang="en-US" sz="750" b="1"/>
                  </a:p>
                </c:rich>
              </c:tx>
            </c:dLbl>
            <c:dLbl>
              <c:idx val="3"/>
              <c:layout>
                <c:manualLayout>
                  <c:x val="1.025650521637804E-2"/>
                  <c:y val="8.7768775627061028E-3"/>
                </c:manualLayout>
              </c:layout>
              <c:tx>
                <c:rich>
                  <a:bodyPr/>
                  <a:lstStyle/>
                  <a:p>
                    <a:r>
                      <a:rPr lang="ru-RU" sz="750" b="1"/>
                      <a:t>104,8*</a:t>
                    </a:r>
                    <a:endParaRPr lang="en-US" sz="750" b="1"/>
                  </a:p>
                </c:rich>
              </c:tx>
            </c:dLbl>
            <c:dLbl>
              <c:idx val="4"/>
              <c:layout>
                <c:manualLayout>
                  <c:x val="5.902271302137635E-3"/>
                  <c:y val="-3.0137094491868451E-3"/>
                </c:manualLayout>
              </c:layout>
              <c:tx>
                <c:rich>
                  <a:bodyPr/>
                  <a:lstStyle/>
                  <a:p>
                    <a:r>
                      <a:rPr lang="ru-RU" sz="750" b="1"/>
                      <a:t>85,9*</a:t>
                    </a:r>
                    <a:endParaRPr lang="en-US" sz="750" b="1"/>
                  </a:p>
                </c:rich>
              </c:tx>
            </c:dLbl>
            <c:dLbl>
              <c:idx val="5"/>
              <c:layout>
                <c:manualLayout>
                  <c:x val="1.1766834864509333E-4"/>
                  <c:y val="-2.7599892061946052E-3"/>
                </c:manualLayout>
              </c:layout>
              <c:tx>
                <c:rich>
                  <a:bodyPr/>
                  <a:lstStyle/>
                  <a:p>
                    <a:r>
                      <a:rPr lang="ru-RU" sz="750" b="1"/>
                      <a:t>52,0*</a:t>
                    </a:r>
                    <a:endParaRPr lang="en-US" sz="750" b="1"/>
                  </a:p>
                </c:rich>
              </c:tx>
            </c:dLbl>
            <c:dLbl>
              <c:idx val="6"/>
              <c:layout>
                <c:manualLayout>
                  <c:x val="-1.5066262094042104E-4"/>
                  <c:y val="1.0409111551346259E-2"/>
                </c:manualLayout>
              </c:layout>
              <c:tx>
                <c:rich>
                  <a:bodyPr/>
                  <a:lstStyle/>
                  <a:p>
                    <a:r>
                      <a:rPr lang="ru-RU" sz="750" b="1"/>
                      <a:t>121,2*</a:t>
                    </a:r>
                    <a:endParaRPr lang="en-US" sz="750" b="1"/>
                  </a:p>
                </c:rich>
              </c:tx>
            </c:dLbl>
            <c:dLbl>
              <c:idx val="7"/>
              <c:layout>
                <c:manualLayout>
                  <c:x val="1.8062680700454961E-4"/>
                  <c:y val="4.2141912214770398E-3"/>
                </c:manualLayout>
              </c:layout>
              <c:tx>
                <c:rich>
                  <a:bodyPr/>
                  <a:lstStyle/>
                  <a:p>
                    <a:r>
                      <a:rPr lang="ru-RU" sz="750" b="1"/>
                      <a:t>110,4*</a:t>
                    </a:r>
                    <a:endParaRPr lang="en-US" sz="750" b="1"/>
                  </a:p>
                </c:rich>
              </c:tx>
            </c:dLbl>
            <c:dLbl>
              <c:idx val="8"/>
              <c:layout>
                <c:manualLayout>
                  <c:x val="2.2003476182260607E-3"/>
                  <c:y val="7.7662746233687378E-3"/>
                </c:manualLayout>
              </c:layout>
              <c:tx>
                <c:rich>
                  <a:bodyPr/>
                  <a:lstStyle/>
                  <a:p>
                    <a:r>
                      <a:rPr lang="ru-RU" sz="750" b="1"/>
                      <a:t>104,1*</a:t>
                    </a:r>
                    <a:endParaRPr lang="en-US" sz="750" b="1"/>
                  </a:p>
                </c:rich>
              </c:tx>
            </c:dLbl>
            <c:dLbl>
              <c:idx val="9"/>
              <c:layout>
                <c:manualLayout>
                  <c:x val="2.1378941742383802E-3"/>
                  <c:y val="1.9561139667893693E-2"/>
                </c:manualLayout>
              </c:layout>
              <c:tx>
                <c:rich>
                  <a:bodyPr/>
                  <a:lstStyle/>
                  <a:p>
                    <a:r>
                      <a:rPr lang="ru-RU" sz="750" b="1"/>
                      <a:t>85,7*</a:t>
                    </a:r>
                    <a:endParaRPr lang="en-US" sz="750" b="1"/>
                  </a:p>
                </c:rich>
              </c:tx>
            </c:dLbl>
            <c:dLbl>
              <c:idx val="10"/>
              <c:layout>
                <c:manualLayout>
                  <c:x val="9.6188579785344251E-3"/>
                  <c:y val="-4.6001806044340919E-3"/>
                </c:manualLayout>
              </c:layout>
              <c:tx>
                <c:rich>
                  <a:bodyPr/>
                  <a:lstStyle/>
                  <a:p>
                    <a:r>
                      <a:rPr lang="ru-RU" sz="750" b="1" baseline="0"/>
                      <a:t>45,2*</a:t>
                    </a:r>
                    <a:endParaRPr lang="en-US" sz="750" b="1"/>
                  </a:p>
                </c:rich>
              </c:tx>
            </c:dLbl>
            <c:spPr>
              <a:noFill/>
              <a:ln w="25393">
                <a:noFill/>
              </a:ln>
            </c:spPr>
            <c:txPr>
              <a:bodyPr rot="-5400000" vert="horz"/>
              <a:lstStyle/>
              <a:p>
                <a:pPr>
                  <a:defRPr sz="750" b="1"/>
                </a:pPr>
                <a:endParaRPr lang="ru-RU"/>
              </a:p>
            </c:txPr>
            <c:showVal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металлообработка</c:v>
                </c:pt>
                <c:pt idx="4">
                  <c:v>Электротехническая промышленность</c:v>
                </c:pt>
                <c:pt idx="5">
                  <c:v>Лесная и деревообрабатывающая промышленность</c:v>
                </c:pt>
                <c:pt idx="6">
                  <c:v>Промышленность строительных материалов</c:v>
                </c:pt>
                <c:pt idx="7">
                  <c:v>Легкая промышленность</c:v>
                </c:pt>
                <c:pt idx="8">
                  <c:v>Пищевая промышленность</c:v>
                </c:pt>
                <c:pt idx="9">
                  <c:v>Мукомольно-крупянная и комбикормовая</c:v>
                </c:pt>
                <c:pt idx="10">
                  <c:v>Полиграфическая промышленность</c:v>
                </c:pt>
              </c:strCache>
            </c:strRef>
          </c:cat>
          <c:val>
            <c:numRef>
              <c:f>Лист1!$C$2:$C$12</c:f>
              <c:numCache>
                <c:formatCode>#,##0.0</c:formatCode>
                <c:ptCount val="11"/>
                <c:pt idx="0">
                  <c:v>3521.1</c:v>
                </c:pt>
                <c:pt idx="1">
                  <c:v>1550.4</c:v>
                </c:pt>
                <c:pt idx="2">
                  <c:v>169.2</c:v>
                </c:pt>
                <c:pt idx="3">
                  <c:v>218.5</c:v>
                </c:pt>
                <c:pt idx="4">
                  <c:v>156.80000000000001</c:v>
                </c:pt>
                <c:pt idx="5">
                  <c:v>7.1</c:v>
                </c:pt>
                <c:pt idx="6">
                  <c:v>512</c:v>
                </c:pt>
                <c:pt idx="7">
                  <c:v>1204.4000000000001</c:v>
                </c:pt>
                <c:pt idx="8">
                  <c:v>1041</c:v>
                </c:pt>
                <c:pt idx="9">
                  <c:v>113.3</c:v>
                </c:pt>
                <c:pt idx="10">
                  <c:v>22.5</c:v>
                </c:pt>
              </c:numCache>
            </c:numRef>
          </c:val>
        </c:ser>
        <c:shape val="cylinder"/>
        <c:axId val="89750528"/>
        <c:axId val="139211520"/>
        <c:axId val="0"/>
      </c:bar3DChart>
      <c:catAx>
        <c:axId val="89750528"/>
        <c:scaling>
          <c:orientation val="minMax"/>
        </c:scaling>
        <c:axPos val="b"/>
        <c:numFmt formatCode="General" sourceLinked="1"/>
        <c:tickLblPos val="nextTo"/>
        <c:txPr>
          <a:bodyPr rot="-5400000" vert="horz"/>
          <a:lstStyle/>
          <a:p>
            <a:pPr>
              <a:defRPr sz="800" b="1"/>
            </a:pPr>
            <a:endParaRPr lang="ru-RU"/>
          </a:p>
        </c:txPr>
        <c:crossAx val="139211520"/>
        <c:crosses val="autoZero"/>
        <c:auto val="1"/>
        <c:lblAlgn val="ctr"/>
        <c:lblOffset val="100"/>
      </c:catAx>
      <c:valAx>
        <c:axId val="139211520"/>
        <c:scaling>
          <c:orientation val="minMax"/>
        </c:scaling>
        <c:axPos val="l"/>
        <c:numFmt formatCode="#,##0.0" sourceLinked="1"/>
        <c:tickLblPos val="nextTo"/>
        <c:txPr>
          <a:bodyPr/>
          <a:lstStyle/>
          <a:p>
            <a:pPr>
              <a:defRPr sz="900" b="1"/>
            </a:pPr>
            <a:endParaRPr lang="ru-RU"/>
          </a:p>
        </c:txPr>
        <c:crossAx val="89750528"/>
        <c:crosses val="autoZero"/>
        <c:crossBetween val="between"/>
      </c:valAx>
      <c:spPr>
        <a:noFill/>
        <a:ln w="25393">
          <a:noFill/>
        </a:ln>
      </c:spPr>
    </c:plotArea>
    <c:legend>
      <c:legendPos val="r"/>
      <c:legendEntry>
        <c:idx val="1"/>
        <c:txPr>
          <a:bodyPr/>
          <a:lstStyle/>
          <a:p>
            <a:pPr>
              <a:defRPr sz="900"/>
            </a:pPr>
            <a:endParaRPr lang="ru-RU"/>
          </a:p>
        </c:txPr>
      </c:legendEntry>
      <c:legendEntry>
        <c:idx val="0"/>
        <c:txPr>
          <a:bodyPr/>
          <a:lstStyle/>
          <a:p>
            <a:pPr>
              <a:defRPr sz="900"/>
            </a:pPr>
            <a:endParaRPr lang="ru-RU"/>
          </a:p>
        </c:txPr>
      </c:legendEntry>
      <c:layout>
        <c:manualLayout>
          <c:xMode val="edge"/>
          <c:yMode val="edge"/>
          <c:x val="1.7418677859391399E-2"/>
          <c:y val="0.87143428614831564"/>
          <c:w val="0.28859746676471332"/>
          <c:h val="0.12856571385168492"/>
        </c:manualLayout>
      </c:layout>
      <c:txPr>
        <a:bodyPr/>
        <a:lstStyle/>
        <a:p>
          <a:pPr>
            <a:defRPr sz="105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a:t>2016 год</a:t>
            </a:r>
          </a:p>
        </c:rich>
      </c:tx>
      <c:layout>
        <c:manualLayout>
          <c:xMode val="edge"/>
          <c:yMode val="edge"/>
          <c:x val="0.44587570621469025"/>
          <c:y val="3.1558185404339252E-2"/>
        </c:manualLayout>
      </c:layout>
      <c:spPr>
        <a:solidFill>
          <a:schemeClr val="bg1"/>
        </a:solidFill>
      </c:spPr>
    </c:title>
    <c:view3D>
      <c:rotX val="30"/>
      <c:perspective val="30"/>
    </c:view3D>
    <c:plotArea>
      <c:layout>
        <c:manualLayout>
          <c:layoutTarget val="inner"/>
          <c:xMode val="edge"/>
          <c:yMode val="edge"/>
          <c:x val="0.24286169313581571"/>
          <c:y val="4.8703971175200915E-4"/>
          <c:w val="0.56649886560790053"/>
          <c:h val="0.77778036621161994"/>
        </c:manualLayout>
      </c:layout>
      <c:pie3DChart>
        <c:varyColors val="1"/>
        <c:ser>
          <c:idx val="0"/>
          <c:order val="0"/>
          <c:tx>
            <c:strRef>
              <c:f>Лист1!$B$1</c:f>
              <c:strCache>
                <c:ptCount val="1"/>
                <c:pt idx="0">
                  <c:v>2016 год</c:v>
                </c:pt>
              </c:strCache>
            </c:strRef>
          </c:tx>
          <c:explosion val="25"/>
          <c:dPt>
            <c:idx val="0"/>
            <c:explosion val="13"/>
            <c:spPr>
              <a:blipFill>
                <a:blip xmlns:r="http://schemas.openxmlformats.org/officeDocument/2006/relationships" r:embed="rId1"/>
                <a:tile tx="0" ty="0" sx="100000" sy="100000" flip="none" algn="tl"/>
              </a:blipFill>
            </c:spPr>
          </c:dPt>
          <c:dPt>
            <c:idx val="1"/>
            <c:explosion val="20"/>
            <c:spPr>
              <a:solidFill>
                <a:srgbClr val="C00000"/>
              </a:solidFill>
            </c:spPr>
          </c:dPt>
          <c:dPt>
            <c:idx val="2"/>
            <c:explosion val="17"/>
            <c:spPr>
              <a:blipFill>
                <a:blip xmlns:r="http://schemas.openxmlformats.org/officeDocument/2006/relationships" r:embed="rId2"/>
                <a:tile tx="0" ty="0" sx="100000" sy="100000" flip="none" algn="tl"/>
              </a:blipFill>
            </c:spPr>
          </c:dPt>
          <c:dPt>
            <c:idx val="3"/>
            <c:explosion val="18"/>
            <c:spPr>
              <a:blipFill>
                <a:blip xmlns:r="http://schemas.openxmlformats.org/officeDocument/2006/relationships" r:embed="rId3"/>
                <a:tile tx="0" ty="0" sx="100000" sy="100000" flip="none" algn="tl"/>
              </a:blipFill>
            </c:spPr>
          </c:dPt>
          <c:dLbls>
            <c:dLbl>
              <c:idx val="0"/>
              <c:layout>
                <c:manualLayout>
                  <c:x val="4.2327861559677916E-2"/>
                  <c:y val="-0.12572085294071916"/>
                </c:manualLayout>
              </c:layout>
              <c:showVal val="1"/>
            </c:dLbl>
            <c:dLbl>
              <c:idx val="1"/>
              <c:layout>
                <c:manualLayout>
                  <c:x val="4.0995093004678823E-2"/>
                  <c:y val="3.8118781663919916E-2"/>
                </c:manualLayout>
              </c:layout>
              <c:showVal val="1"/>
            </c:dLbl>
            <c:dLbl>
              <c:idx val="2"/>
              <c:layout>
                <c:manualLayout>
                  <c:x val="-7.4547800169046732E-2"/>
                  <c:y val="2.038904711379165E-2"/>
                </c:manualLayout>
              </c:layout>
              <c:showVal val="1"/>
            </c:dLbl>
            <c:dLbl>
              <c:idx val="3"/>
              <c:layout>
                <c:manualLayout>
                  <c:x val="-1.9093376039859423E-2"/>
                  <c:y val="-5.6738344070627507E-2"/>
                </c:manualLayout>
              </c:layout>
              <c:showVal val="1"/>
            </c:dLbl>
            <c:dLbl>
              <c:idx val="4"/>
              <c:layout>
                <c:manualLayout>
                  <c:x val="7.6163463438037982E-2"/>
                  <c:y val="-3.369102118049197E-2"/>
                </c:manualLayout>
              </c:layout>
              <c:tx>
                <c:rich>
                  <a:bodyPr/>
                  <a:lstStyle/>
                  <a:p>
                    <a:r>
                      <a:rPr lang="en-US"/>
                      <a:t>0,0</a:t>
                    </a:r>
                    <a:r>
                      <a:rPr lang="ru-RU"/>
                      <a:t>06</a:t>
                    </a:r>
                    <a:endParaRPr lang="en-US"/>
                  </a:p>
                </c:rich>
              </c:tx>
              <c:showVal val="1"/>
            </c:dLbl>
            <c:showVal val="1"/>
            <c:showLeaderLines val="1"/>
          </c:dLbls>
          <c:cat>
            <c:strRef>
              <c:f>Лист1!$A$2:$A$5</c:f>
              <c:strCache>
                <c:ptCount val="4"/>
                <c:pt idx="0">
                  <c:v>Доходы от имущества, наход. в гос. и муницип. собственности</c:v>
                </c:pt>
                <c:pt idx="1">
                  <c:v>Доходы от продажи имущества, наход. в гос. и муницип. собственности</c:v>
                </c:pt>
                <c:pt idx="2">
                  <c:v>Администратиные платежи и сборы</c:v>
                </c:pt>
                <c:pt idx="3">
                  <c:v>Штрафные санкции и возмещение ущерба</c:v>
                </c:pt>
              </c:strCache>
            </c:strRef>
          </c:cat>
          <c:val>
            <c:numRef>
              <c:f>Лист1!$B$2:$B$5</c:f>
              <c:numCache>
                <c:formatCode>General</c:formatCode>
                <c:ptCount val="4"/>
                <c:pt idx="0" formatCode="0.0">
                  <c:v>55.3</c:v>
                </c:pt>
                <c:pt idx="1">
                  <c:v>7.3</c:v>
                </c:pt>
                <c:pt idx="2">
                  <c:v>11.4</c:v>
                </c:pt>
                <c:pt idx="3" formatCode="0.0">
                  <c:v>25.9</c:v>
                </c:pt>
              </c:numCache>
            </c:numRef>
          </c:val>
        </c:ser>
      </c:pie3DChart>
    </c:plotArea>
    <c:legend>
      <c:legendPos val="b"/>
      <c:layout>
        <c:manualLayout>
          <c:xMode val="edge"/>
          <c:yMode val="edge"/>
          <c:x val="0"/>
          <c:y val="0.6155597276319108"/>
          <c:w val="0.8836473819150984"/>
          <c:h val="0.38444027236809053"/>
        </c:manualLayout>
      </c:layout>
      <c:txPr>
        <a:bodyPr/>
        <a:lstStyle/>
        <a:p>
          <a:pPr>
            <a:defRPr sz="900"/>
          </a:pPr>
          <a:endParaRPr lang="ru-RU"/>
        </a:p>
      </c:txPr>
    </c:legend>
    <c:plotVisOnly val="1"/>
    <c:dispBlanksAs val="zero"/>
  </c:chart>
  <c:spPr>
    <a:ln>
      <a:noFill/>
    </a:ln>
  </c:spPr>
  <c:txPr>
    <a:bodyPr/>
    <a:lstStyle/>
    <a:p>
      <a:pPr>
        <a:defRPr sz="1100">
          <a:latin typeface="Times New Roman" pitchFamily="18" charset="0"/>
          <a:cs typeface="Times New Roman" pitchFamily="18" charset="0"/>
        </a:defRPr>
      </a:pPr>
      <a:endParaRPr lang="ru-RU"/>
    </a:p>
  </c:txPr>
  <c:externalData r:id="rId4"/>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100"/>
            </a:pPr>
            <a:r>
              <a:rPr lang="ru-RU" sz="1100"/>
              <a:t>Динамика расходов консолидированного бюджета за 2015 - 2016 года, млн. руб.</a:t>
            </a:r>
            <a:endParaRPr lang="ru-RU" sz="1100">
              <a:solidFill>
                <a:srgbClr val="FF0000"/>
              </a:solidFill>
            </a:endParaRPr>
          </a:p>
        </c:rich>
      </c:tx>
      <c:layout>
        <c:manualLayout>
          <c:xMode val="edge"/>
          <c:yMode val="edge"/>
          <c:x val="0.15053050186908454"/>
          <c:y val="2.4377259446342791E-2"/>
        </c:manualLayout>
      </c:layout>
      <c:spPr>
        <a:solidFill>
          <a:schemeClr val="bg1"/>
        </a:solidFill>
      </c:spPr>
    </c:title>
    <c:plotArea>
      <c:layout>
        <c:manualLayout>
          <c:layoutTarget val="inner"/>
          <c:xMode val="edge"/>
          <c:yMode val="edge"/>
          <c:x val="0.17724193566713831"/>
          <c:y val="0.26330560095083022"/>
          <c:w val="0.76215199344426265"/>
          <c:h val="0.48968454414896889"/>
        </c:manualLayout>
      </c:layout>
      <c:barChart>
        <c:barDir val="col"/>
        <c:grouping val="stacked"/>
        <c:ser>
          <c:idx val="0"/>
          <c:order val="0"/>
          <c:tx>
            <c:strRef>
              <c:f>Лист1!$B$1</c:f>
              <c:strCache>
                <c:ptCount val="1"/>
                <c:pt idx="0">
                  <c:v>Республиканский бюджет</c:v>
                </c:pt>
              </c:strCache>
            </c:strRef>
          </c:tx>
          <c:spPr>
            <a:solidFill>
              <a:schemeClr val="accent6">
                <a:lumMod val="75000"/>
              </a:schemeClr>
            </a:solidFill>
          </c:spPr>
          <c:dLbls>
            <c:dLbl>
              <c:idx val="0"/>
              <c:tx>
                <c:rich>
                  <a:bodyPr/>
                  <a:lstStyle/>
                  <a:p>
                    <a:r>
                      <a:rPr lang="ru-RU" b="1"/>
                      <a:t>67,0%</a:t>
                    </a:r>
                    <a:endParaRPr lang="en-US" b="1"/>
                  </a:p>
                </c:rich>
              </c:tx>
              <c:showVal val="1"/>
            </c:dLbl>
            <c:dLbl>
              <c:idx val="1"/>
              <c:tx>
                <c:rich>
                  <a:bodyPr/>
                  <a:lstStyle/>
                  <a:p>
                    <a:r>
                      <a:rPr lang="ru-RU" b="1"/>
                      <a:t>69,6%</a:t>
                    </a:r>
                    <a:endParaRPr lang="en-US" b="1"/>
                  </a:p>
                </c:rich>
              </c:tx>
              <c:showVal val="1"/>
            </c:dLbl>
            <c:txPr>
              <a:bodyPr/>
              <a:lstStyle/>
              <a:p>
                <a:pPr>
                  <a:defRPr sz="900" b="1"/>
                </a:pPr>
                <a:endParaRPr lang="ru-RU"/>
              </a:p>
            </c:txPr>
            <c:showVal val="1"/>
          </c:dLbls>
          <c:cat>
            <c:strRef>
              <c:f>Лист1!$A$2:$A$3</c:f>
              <c:strCache>
                <c:ptCount val="2"/>
                <c:pt idx="0">
                  <c:v>2015 год</c:v>
                </c:pt>
                <c:pt idx="1">
                  <c:v>2016 год</c:v>
                </c:pt>
              </c:strCache>
            </c:strRef>
          </c:cat>
          <c:val>
            <c:numRef>
              <c:f>Лист1!$B$2:$B$3</c:f>
              <c:numCache>
                <c:formatCode>#,##0.0</c:formatCode>
                <c:ptCount val="2"/>
                <c:pt idx="0">
                  <c:v>67</c:v>
                </c:pt>
                <c:pt idx="1">
                  <c:v>69.599999999999994</c:v>
                </c:pt>
              </c:numCache>
            </c:numRef>
          </c:val>
        </c:ser>
        <c:ser>
          <c:idx val="1"/>
          <c:order val="1"/>
          <c:tx>
            <c:strRef>
              <c:f>Лист1!$C$1</c:f>
              <c:strCache>
                <c:ptCount val="1"/>
                <c:pt idx="0">
                  <c:v>Местный бюджет</c:v>
                </c:pt>
              </c:strCache>
            </c:strRef>
          </c:tx>
          <c:spPr>
            <a:solidFill>
              <a:schemeClr val="accent6">
                <a:lumMod val="40000"/>
                <a:lumOff val="60000"/>
              </a:schemeClr>
            </a:solidFill>
          </c:spPr>
          <c:dLbls>
            <c:dLbl>
              <c:idx val="0"/>
              <c:tx>
                <c:rich>
                  <a:bodyPr/>
                  <a:lstStyle/>
                  <a:p>
                    <a:r>
                      <a:rPr lang="ru-RU" b="1"/>
                      <a:t>33,0%</a:t>
                    </a:r>
                    <a:endParaRPr lang="en-US" b="1"/>
                  </a:p>
                </c:rich>
              </c:tx>
              <c:showVal val="1"/>
            </c:dLbl>
            <c:dLbl>
              <c:idx val="1"/>
              <c:layout>
                <c:manualLayout>
                  <c:x val="0"/>
                  <c:y val="-5.1480051480051478E-3"/>
                </c:manualLayout>
              </c:layout>
              <c:tx>
                <c:rich>
                  <a:bodyPr/>
                  <a:lstStyle/>
                  <a:p>
                    <a:r>
                      <a:rPr lang="ru-RU" b="1"/>
                      <a:t>30,4%</a:t>
                    </a:r>
                    <a:endParaRPr lang="en-US" b="1"/>
                  </a:p>
                </c:rich>
              </c:tx>
              <c:showVal val="1"/>
            </c:dLbl>
            <c:txPr>
              <a:bodyPr/>
              <a:lstStyle/>
              <a:p>
                <a:pPr>
                  <a:defRPr sz="900" b="1"/>
                </a:pPr>
                <a:endParaRPr lang="ru-RU"/>
              </a:p>
            </c:txPr>
            <c:showVal val="1"/>
          </c:dLbls>
          <c:cat>
            <c:strRef>
              <c:f>Лист1!$A$2:$A$3</c:f>
              <c:strCache>
                <c:ptCount val="2"/>
                <c:pt idx="0">
                  <c:v>2015 год</c:v>
                </c:pt>
                <c:pt idx="1">
                  <c:v>2016 год</c:v>
                </c:pt>
              </c:strCache>
            </c:strRef>
          </c:cat>
          <c:val>
            <c:numRef>
              <c:f>Лист1!$C$2:$C$3</c:f>
              <c:numCache>
                <c:formatCode>#,##0.0</c:formatCode>
                <c:ptCount val="2"/>
                <c:pt idx="0">
                  <c:v>33</c:v>
                </c:pt>
                <c:pt idx="1">
                  <c:v>30.4</c:v>
                </c:pt>
              </c:numCache>
            </c:numRef>
          </c:val>
        </c:ser>
        <c:overlap val="100"/>
        <c:axId val="152349312"/>
        <c:axId val="152363392"/>
      </c:barChart>
      <c:catAx>
        <c:axId val="152349312"/>
        <c:scaling>
          <c:orientation val="minMax"/>
        </c:scaling>
        <c:axPos val="b"/>
        <c:tickLblPos val="nextTo"/>
        <c:txPr>
          <a:bodyPr/>
          <a:lstStyle/>
          <a:p>
            <a:pPr>
              <a:defRPr sz="1000" b="1"/>
            </a:pPr>
            <a:endParaRPr lang="ru-RU"/>
          </a:p>
        </c:txPr>
        <c:crossAx val="152363392"/>
        <c:crosses val="autoZero"/>
        <c:auto val="1"/>
        <c:lblAlgn val="ctr"/>
        <c:lblOffset val="100"/>
      </c:catAx>
      <c:valAx>
        <c:axId val="152363392"/>
        <c:scaling>
          <c:orientation val="minMax"/>
          <c:max val="100"/>
          <c:min val="0"/>
        </c:scaling>
        <c:axPos val="l"/>
        <c:numFmt formatCode="#,##0.0" sourceLinked="1"/>
        <c:tickLblPos val="nextTo"/>
        <c:txPr>
          <a:bodyPr/>
          <a:lstStyle/>
          <a:p>
            <a:pPr>
              <a:defRPr sz="1000" b="1"/>
            </a:pPr>
            <a:endParaRPr lang="ru-RU"/>
          </a:p>
        </c:txPr>
        <c:crossAx val="152349312"/>
        <c:crosses val="autoZero"/>
        <c:crossBetween val="between"/>
        <c:majorUnit val="20"/>
      </c:valAx>
    </c:plotArea>
    <c:legend>
      <c:legendPos val="b"/>
      <c:layout>
        <c:manualLayout>
          <c:xMode val="edge"/>
          <c:yMode val="edge"/>
          <c:x val="6.4021997250344534E-2"/>
          <c:y val="0.87423116921705546"/>
          <c:w val="0.93303050266127163"/>
          <c:h val="0.12412430319321872"/>
        </c:manualLayout>
      </c:layout>
      <c:txPr>
        <a:bodyPr/>
        <a:lstStyle/>
        <a:p>
          <a:pPr>
            <a:defRPr sz="1100"/>
          </a:pPr>
          <a:endParaRPr lang="ru-RU"/>
        </a:p>
      </c:txPr>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lgn="l">
              <a:defRPr sz="1100"/>
            </a:pPr>
            <a:r>
              <a:rPr lang="ru-RU" sz="1100"/>
              <a:t>2015 год</a:t>
            </a:r>
          </a:p>
        </c:rich>
      </c:tx>
      <c:layout>
        <c:manualLayout>
          <c:xMode val="edge"/>
          <c:yMode val="edge"/>
          <c:x val="0.4556289474416429"/>
          <c:y val="5.4236463685282724E-4"/>
        </c:manualLayout>
      </c:layout>
    </c:title>
    <c:view3D>
      <c:rotX val="30"/>
      <c:perspective val="30"/>
    </c:view3D>
    <c:plotArea>
      <c:layout>
        <c:manualLayout>
          <c:layoutTarget val="inner"/>
          <c:xMode val="edge"/>
          <c:yMode val="edge"/>
          <c:x val="0.19616148688127943"/>
          <c:y val="7.8026733144844151E-2"/>
          <c:w val="0.68524489209166872"/>
          <c:h val="0.88063397480719996"/>
        </c:manualLayout>
      </c:layout>
      <c:pie3DChart>
        <c:varyColors val="1"/>
        <c:ser>
          <c:idx val="0"/>
          <c:order val="0"/>
          <c:tx>
            <c:strRef>
              <c:f>Лист1!$B$1</c:f>
              <c:strCache>
                <c:ptCount val="1"/>
                <c:pt idx="0">
                  <c:v>2015</c:v>
                </c:pt>
              </c:strCache>
            </c:strRef>
          </c:tx>
          <c:explosion val="28"/>
          <c:dPt>
            <c:idx val="0"/>
            <c:explosion val="6"/>
            <c:spPr>
              <a:blipFill>
                <a:blip xmlns:r="http://schemas.openxmlformats.org/officeDocument/2006/relationships" r:embed="rId2"/>
                <a:tile tx="0" ty="0" sx="100000" sy="100000" flip="none" algn="tl"/>
              </a:blipFill>
            </c:spPr>
          </c:dPt>
          <c:dPt>
            <c:idx val="1"/>
            <c:spPr>
              <a:blipFill>
                <a:blip xmlns:r="http://schemas.openxmlformats.org/officeDocument/2006/relationships" r:embed="rId3"/>
                <a:tile tx="0" ty="0" sx="100000" sy="100000" flip="none" algn="tl"/>
              </a:blipFill>
            </c:spPr>
          </c:dPt>
          <c:dPt>
            <c:idx val="2"/>
            <c:spPr>
              <a:blipFill>
                <a:blip xmlns:r="http://schemas.openxmlformats.org/officeDocument/2006/relationships" r:embed="rId4"/>
                <a:tile tx="0" ty="0" sx="100000" sy="100000" flip="none" algn="tl"/>
              </a:blipFill>
            </c:spPr>
          </c:dPt>
          <c:dPt>
            <c:idx val="3"/>
            <c:spPr>
              <a:blipFill>
                <a:blip xmlns:r="http://schemas.openxmlformats.org/officeDocument/2006/relationships" r:embed="rId5"/>
                <a:tile tx="0" ty="0" sx="100000" sy="100000" flip="none" algn="tl"/>
              </a:blipFill>
            </c:spPr>
          </c:dPt>
          <c:dPt>
            <c:idx val="4"/>
            <c:spPr>
              <a:blipFill>
                <a:blip xmlns:r="http://schemas.openxmlformats.org/officeDocument/2006/relationships" r:embed="rId6"/>
                <a:tile tx="0" ty="0" sx="100000" sy="100000" flip="none" algn="tl"/>
              </a:blipFill>
            </c:spPr>
          </c:dPt>
          <c:dPt>
            <c:idx val="5"/>
            <c:spPr>
              <a:solidFill>
                <a:schemeClr val="tx2">
                  <a:lumMod val="50000"/>
                </a:schemeClr>
              </a:solidFill>
            </c:spPr>
          </c:dPt>
          <c:dLbls>
            <c:dLbl>
              <c:idx val="0"/>
              <c:layout>
                <c:manualLayout>
                  <c:x val="-5.8007572062341813E-2"/>
                  <c:y val="-0.16191296529922741"/>
                </c:manualLayout>
              </c:layout>
              <c:showVal val="1"/>
            </c:dLbl>
            <c:dLbl>
              <c:idx val="1"/>
              <c:layout>
                <c:manualLayout>
                  <c:x val="-5.2764112450545533E-2"/>
                  <c:y val="3.1687475529648061E-2"/>
                </c:manualLayout>
              </c:layout>
              <c:showVal val="1"/>
            </c:dLbl>
            <c:dLbl>
              <c:idx val="2"/>
              <c:layout>
                <c:manualLayout>
                  <c:x val="9.1298322222998747E-4"/>
                  <c:y val="9.1242876408404699E-2"/>
                </c:manualLayout>
              </c:layout>
              <c:showVal val="1"/>
            </c:dLbl>
            <c:dLbl>
              <c:idx val="3"/>
              <c:layout>
                <c:manualLayout>
                  <c:x val="0"/>
                  <c:y val="-7.7346299454504594E-2"/>
                </c:manualLayout>
              </c:layout>
              <c:showVal val="1"/>
            </c:dLbl>
            <c:dLbl>
              <c:idx val="4"/>
              <c:layout>
                <c:manualLayout>
                  <c:x val="1.4745855883058961E-2"/>
                  <c:y val="-7.3986746131871714E-2"/>
                </c:manualLayout>
              </c:layout>
              <c:showVal val="1"/>
            </c:dLbl>
            <c:dLbl>
              <c:idx val="5"/>
              <c:layout>
                <c:manualLayout>
                  <c:x val="1.5451652614219685E-2"/>
                  <c:y val="-4.6648395469901745E-2"/>
                </c:manualLayout>
              </c:layout>
              <c:showVal val="1"/>
            </c:dLbl>
            <c:showVal val="1"/>
            <c:showLeaderLines val="1"/>
          </c:dLbls>
          <c:cat>
            <c:strRef>
              <c:f>Лист1!$A$2:$A$7</c:f>
              <c:strCache>
                <c:ptCount val="6"/>
                <c:pt idx="0">
                  <c:v>социальные отрасли</c:v>
                </c:pt>
                <c:pt idx="1">
                  <c:v>силовые структуры</c:v>
                </c:pt>
                <c:pt idx="2">
                  <c:v>инфраструктура</c:v>
                </c:pt>
                <c:pt idx="3">
                  <c:v>прочие расходы </c:v>
                </c:pt>
                <c:pt idx="4">
                  <c:v>финансовая помощь другим бюджетам</c:v>
                </c:pt>
                <c:pt idx="5">
                  <c:v>функционирование государства</c:v>
                </c:pt>
              </c:strCache>
            </c:strRef>
          </c:cat>
          <c:val>
            <c:numRef>
              <c:f>Лист1!$B$2:$B$7</c:f>
              <c:numCache>
                <c:formatCode>General</c:formatCode>
                <c:ptCount val="6"/>
                <c:pt idx="0" formatCode="#,##0.0">
                  <c:v>45.7</c:v>
                </c:pt>
                <c:pt idx="1">
                  <c:v>16.899999999999999</c:v>
                </c:pt>
                <c:pt idx="2" formatCode="0.0">
                  <c:v>13.8</c:v>
                </c:pt>
                <c:pt idx="3" formatCode="0.0">
                  <c:v>13.2</c:v>
                </c:pt>
                <c:pt idx="4">
                  <c:v>3.7</c:v>
                </c:pt>
                <c:pt idx="5" formatCode="0.0">
                  <c:v>6.7</c:v>
                </c:pt>
              </c:numCache>
            </c:numRef>
          </c:val>
        </c:ser>
      </c:pie3DChart>
    </c:plotArea>
    <c:plotVisOnly val="1"/>
  </c:chart>
  <c:spPr>
    <a:ln>
      <a:noFill/>
    </a:ln>
  </c:spPr>
  <c:txPr>
    <a:bodyPr/>
    <a:lstStyle/>
    <a:p>
      <a:pPr>
        <a:defRPr>
          <a:latin typeface="Times New Roman" pitchFamily="18" charset="0"/>
          <a:cs typeface="Times New Roman" pitchFamily="18" charset="0"/>
        </a:defRPr>
      </a:pPr>
      <a:endParaRPr lang="ru-RU"/>
    </a:p>
  </c:txPr>
  <c:externalData r:id="rId7"/>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a:t>2016</a:t>
            </a:r>
            <a:r>
              <a:rPr lang="ru-RU" sz="1100" baseline="0"/>
              <a:t> </a:t>
            </a:r>
            <a:r>
              <a:rPr lang="ru-RU" sz="1100"/>
              <a:t>год</a:t>
            </a:r>
          </a:p>
        </c:rich>
      </c:tx>
      <c:layout>
        <c:manualLayout>
          <c:xMode val="edge"/>
          <c:yMode val="edge"/>
          <c:x val="0.26930755846530424"/>
          <c:y val="0"/>
        </c:manualLayout>
      </c:layout>
      <c:spPr>
        <a:noFill/>
      </c:spPr>
    </c:title>
    <c:view3D>
      <c:rotX val="30"/>
      <c:perspective val="30"/>
    </c:view3D>
    <c:plotArea>
      <c:layout>
        <c:manualLayout>
          <c:layoutTarget val="inner"/>
          <c:xMode val="edge"/>
          <c:yMode val="edge"/>
          <c:x val="8.755965333393155E-2"/>
          <c:y val="0.15573263868332601"/>
          <c:w val="0.54087075479201452"/>
          <c:h val="0.69303976813324852"/>
        </c:manualLayout>
      </c:layout>
      <c:pie3DChart>
        <c:varyColors val="1"/>
        <c:ser>
          <c:idx val="0"/>
          <c:order val="0"/>
          <c:tx>
            <c:strRef>
              <c:f>Лист1!$B$1</c:f>
              <c:strCache>
                <c:ptCount val="1"/>
                <c:pt idx="0">
                  <c:v>2016</c:v>
                </c:pt>
              </c:strCache>
            </c:strRef>
          </c:tx>
          <c:explosion val="25"/>
          <c:dPt>
            <c:idx val="0"/>
            <c:explosion val="1"/>
            <c:spPr>
              <a:blipFill>
                <a:blip xmlns:r="http://schemas.openxmlformats.org/officeDocument/2006/relationships" r:embed="rId1"/>
                <a:tile tx="0" ty="0" sx="100000" sy="100000" flip="none" algn="tl"/>
              </a:blipFill>
            </c:spPr>
          </c:dPt>
          <c:dPt>
            <c:idx val="1"/>
            <c:explosion val="17"/>
            <c:spPr>
              <a:blipFill>
                <a:blip xmlns:r="http://schemas.openxmlformats.org/officeDocument/2006/relationships" r:embed="rId2"/>
                <a:tile tx="0" ty="0" sx="100000" sy="100000" flip="none" algn="tl"/>
              </a:blipFill>
            </c:spPr>
          </c:dPt>
          <c:dPt>
            <c:idx val="2"/>
            <c:spPr>
              <a:blipFill>
                <a:blip xmlns:r="http://schemas.openxmlformats.org/officeDocument/2006/relationships" r:embed="rId3"/>
                <a:tile tx="0" ty="0" sx="100000" sy="100000" flip="none" algn="tl"/>
              </a:blipFill>
            </c:spPr>
          </c:dPt>
          <c:dPt>
            <c:idx val="3"/>
            <c:spPr>
              <a:blipFill>
                <a:blip xmlns:r="http://schemas.openxmlformats.org/officeDocument/2006/relationships" r:embed="rId4"/>
                <a:tile tx="0" ty="0" sx="100000" sy="100000" flip="none" algn="tl"/>
              </a:blipFill>
            </c:spPr>
          </c:dPt>
          <c:dPt>
            <c:idx val="4"/>
            <c:spPr>
              <a:blipFill>
                <a:blip xmlns:r="http://schemas.openxmlformats.org/officeDocument/2006/relationships" r:embed="rId5"/>
                <a:tile tx="0" ty="0" sx="100000" sy="100000" flip="none" algn="tl"/>
              </a:blipFill>
            </c:spPr>
          </c:dPt>
          <c:dPt>
            <c:idx val="5"/>
            <c:spPr>
              <a:solidFill>
                <a:schemeClr val="tx2">
                  <a:lumMod val="50000"/>
                </a:schemeClr>
              </a:solidFill>
            </c:spPr>
          </c:dPt>
          <c:dLbls>
            <c:dLbl>
              <c:idx val="0"/>
              <c:layout>
                <c:manualLayout>
                  <c:x val="-5.0296369203849521E-2"/>
                  <c:y val="-0.13394231971004206"/>
                </c:manualLayout>
              </c:layout>
              <c:showVal val="1"/>
            </c:dLbl>
            <c:dLbl>
              <c:idx val="1"/>
              <c:layout>
                <c:manualLayout>
                  <c:x val="-3.2122445368486199E-2"/>
                  <c:y val="3.3523647381915211E-2"/>
                </c:manualLayout>
              </c:layout>
              <c:showVal val="1"/>
            </c:dLbl>
            <c:dLbl>
              <c:idx val="2"/>
              <c:layout>
                <c:manualLayout>
                  <c:x val="-3.321968249114491E-2"/>
                  <c:y val="-5.1576978292078085E-3"/>
                </c:manualLayout>
              </c:layout>
              <c:showVal val="1"/>
            </c:dLbl>
            <c:dLbl>
              <c:idx val="3"/>
              <c:layout>
                <c:manualLayout>
                  <c:x val="3.3108254630564342E-3"/>
                  <c:y val="-0.15312257020503967"/>
                </c:manualLayout>
              </c:layout>
              <c:showVal val="1"/>
            </c:dLbl>
            <c:dLbl>
              <c:idx val="4"/>
              <c:layout>
                <c:manualLayout>
                  <c:x val="1.8419914491820597E-2"/>
                  <c:y val="-7.5004172865488591E-2"/>
                </c:manualLayout>
              </c:layout>
              <c:showVal val="1"/>
            </c:dLbl>
            <c:dLbl>
              <c:idx val="5"/>
              <c:layout>
                <c:manualLayout>
                  <c:x val="2.3961340769904412E-2"/>
                  <c:y val="-3.0889263842021057E-2"/>
                </c:manualLayout>
              </c:layout>
              <c:showVal val="1"/>
            </c:dLbl>
            <c:showVal val="1"/>
            <c:showLeaderLines val="1"/>
          </c:dLbls>
          <c:cat>
            <c:strRef>
              <c:f>Лист1!$A$2:$A$7</c:f>
              <c:strCache>
                <c:ptCount val="6"/>
                <c:pt idx="0">
                  <c:v>социальные отрасли</c:v>
                </c:pt>
                <c:pt idx="1">
                  <c:v>силовые структуры</c:v>
                </c:pt>
                <c:pt idx="2">
                  <c:v>инфраструктура</c:v>
                </c:pt>
                <c:pt idx="3">
                  <c:v>прочие расходы </c:v>
                </c:pt>
                <c:pt idx="4">
                  <c:v>финансовая помощь другим бюджетам</c:v>
                </c:pt>
                <c:pt idx="5">
                  <c:v>функционирование государства</c:v>
                </c:pt>
              </c:strCache>
            </c:strRef>
          </c:cat>
          <c:val>
            <c:numRef>
              <c:f>Лист1!$B$2:$B$7</c:f>
              <c:numCache>
                <c:formatCode>General</c:formatCode>
                <c:ptCount val="6"/>
                <c:pt idx="0" formatCode="#,##0.0">
                  <c:v>43.8</c:v>
                </c:pt>
                <c:pt idx="1">
                  <c:v>15.5</c:v>
                </c:pt>
                <c:pt idx="2" formatCode="0.0">
                  <c:v>10.8</c:v>
                </c:pt>
                <c:pt idx="3" formatCode="0.0">
                  <c:v>12.3</c:v>
                </c:pt>
                <c:pt idx="4">
                  <c:v>10.4</c:v>
                </c:pt>
                <c:pt idx="5">
                  <c:v>7.2</c:v>
                </c:pt>
              </c:numCache>
            </c:numRef>
          </c:val>
        </c:ser>
      </c:pie3DChart>
    </c:plotArea>
    <c:legend>
      <c:legendPos val="r"/>
      <c:layout>
        <c:manualLayout>
          <c:xMode val="edge"/>
          <c:yMode val="edge"/>
          <c:x val="0.6290403870456367"/>
          <c:y val="0"/>
          <c:w val="0.36527177692532031"/>
          <c:h val="0.99973028233350492"/>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6"/>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plotArea>
      <c:layout>
        <c:manualLayout>
          <c:layoutTarget val="inner"/>
          <c:xMode val="edge"/>
          <c:yMode val="edge"/>
          <c:x val="0.32824951733354496"/>
          <c:y val="6.4456721915287313E-2"/>
          <c:w val="0.65636656121796799"/>
          <c:h val="0.57064775742812857"/>
        </c:manualLayout>
      </c:layout>
      <c:barChart>
        <c:barDir val="col"/>
        <c:grouping val="clustered"/>
        <c:ser>
          <c:idx val="0"/>
          <c:order val="0"/>
          <c:tx>
            <c:strRef>
              <c:f>Sheet1!$B$1</c:f>
              <c:strCache>
                <c:ptCount val="1"/>
                <c:pt idx="0">
                  <c:v>январь - декабрь 2015 года</c:v>
                </c:pt>
              </c:strCache>
            </c:strRef>
          </c:tx>
          <c:spPr>
            <a:scene3d>
              <a:camera prst="orthographicFront"/>
              <a:lightRig rig="threePt" dir="t">
                <a:rot lat="0" lon="0" rev="1200000"/>
              </a:lightRig>
            </a:scene3d>
            <a:sp3d prstMaterial="metal">
              <a:bevelT w="63500" h="25400"/>
            </a:sp3d>
          </c:spPr>
          <c:dLbls>
            <c:dLbl>
              <c:idx val="0"/>
              <c:layout>
                <c:manualLayout>
                  <c:x val="-1.8042221709734223E-2"/>
                  <c:y val="3.4448818897637812E-3"/>
                </c:manualLayout>
              </c:layout>
              <c:tx>
                <c:rich>
                  <a:bodyPr/>
                  <a:lstStyle/>
                  <a:p>
                    <a:r>
                      <a:rPr lang="ru-RU" sz="880"/>
                      <a:t>-25,6*</a:t>
                    </a:r>
                    <a:endParaRPr lang="en-US" sz="900"/>
                  </a:p>
                </c:rich>
              </c:tx>
              <c:dLblPos val="outEnd"/>
            </c:dLbl>
            <c:dLbl>
              <c:idx val="1"/>
              <c:layout>
                <c:manualLayout>
                  <c:x val="-1.1157601115760201E-2"/>
                  <c:y val="3.3332677165354652E-2"/>
                </c:manualLayout>
              </c:layout>
              <c:tx>
                <c:rich>
                  <a:bodyPr/>
                  <a:lstStyle/>
                  <a:p>
                    <a:r>
                      <a:rPr lang="ru-RU" sz="880"/>
                      <a:t>-14,7*</a:t>
                    </a:r>
                    <a:endParaRPr lang="en-US" sz="900"/>
                  </a:p>
                </c:rich>
              </c:tx>
            </c:dLbl>
            <c:dLbl>
              <c:idx val="2"/>
              <c:layout>
                <c:manualLayout>
                  <c:x val="-1.6736401673640221E-2"/>
                  <c:y val="3.3333333333333402E-2"/>
                </c:manualLayout>
              </c:layout>
              <c:tx>
                <c:rich>
                  <a:bodyPr/>
                  <a:lstStyle/>
                  <a:p>
                    <a:r>
                      <a:rPr lang="ru-RU" sz="880"/>
                      <a:t>-30,4*</a:t>
                    </a:r>
                    <a:endParaRPr lang="en-US" sz="900"/>
                  </a:p>
                </c:rich>
              </c:tx>
            </c:dLbl>
            <c:dLbl>
              <c:idx val="3"/>
              <c:delete val="1"/>
            </c:dLbl>
            <c:spPr>
              <a:noFill/>
              <a:ln w="24830">
                <a:noFill/>
              </a:ln>
            </c:spPr>
            <c:txPr>
              <a:bodyPr/>
              <a:lstStyle/>
              <a:p>
                <a:pPr>
                  <a:defRPr sz="880"/>
                </a:pPr>
                <a:endParaRPr lang="ru-RU"/>
              </a:p>
            </c:txPr>
            <c:showVal val="1"/>
          </c:dLbls>
          <c:cat>
            <c:strRef>
              <c:f>Sheet1!$A$2:$A$5</c:f>
              <c:strCache>
                <c:ptCount val="4"/>
                <c:pt idx="0">
                  <c:v>ВТО</c:v>
                </c:pt>
                <c:pt idx="1">
                  <c:v>Экспорт</c:v>
                </c:pt>
                <c:pt idx="2">
                  <c:v>Импорт</c:v>
                </c:pt>
                <c:pt idx="3">
                  <c:v>Сальдо</c:v>
                </c:pt>
              </c:strCache>
            </c:strRef>
          </c:cat>
          <c:val>
            <c:numRef>
              <c:f>Sheet1!$B$2:$B$5</c:f>
              <c:numCache>
                <c:formatCode>#,##0.0</c:formatCode>
                <c:ptCount val="4"/>
                <c:pt idx="0">
                  <c:v>1749.3819999999998</c:v>
                </c:pt>
                <c:pt idx="1">
                  <c:v>611.1</c:v>
                </c:pt>
                <c:pt idx="2">
                  <c:v>1138.2819999999999</c:v>
                </c:pt>
                <c:pt idx="3">
                  <c:v>-527.1819999999999</c:v>
                </c:pt>
              </c:numCache>
            </c:numRef>
          </c:val>
        </c:ser>
        <c:ser>
          <c:idx val="1"/>
          <c:order val="1"/>
          <c:tx>
            <c:strRef>
              <c:f>Sheet1!$C$1</c:f>
              <c:strCache>
                <c:ptCount val="1"/>
                <c:pt idx="0">
                  <c:v>январь - декабрь 2016 года</c:v>
                </c:pt>
              </c:strCache>
            </c:strRef>
          </c:tx>
          <c:spPr>
            <a:scene3d>
              <a:camera prst="orthographicFront"/>
              <a:lightRig rig="threePt" dir="t">
                <a:rot lat="0" lon="0" rev="1200000"/>
              </a:lightRig>
            </a:scene3d>
            <a:sp3d prstMaterial="metal">
              <a:bevelT w="63500" h="25400"/>
            </a:sp3d>
          </c:spPr>
          <c:dLbls>
            <c:dLbl>
              <c:idx val="0"/>
              <c:layout>
                <c:manualLayout>
                  <c:x val="2.5877581201931347E-2"/>
                  <c:y val="2.2645669291338578E-2"/>
                </c:manualLayout>
              </c:layout>
              <c:tx>
                <c:rich>
                  <a:bodyPr/>
                  <a:lstStyle/>
                  <a:p>
                    <a:r>
                      <a:rPr lang="ru-RU" sz="880">
                        <a:solidFill>
                          <a:sysClr val="windowText" lastClr="000000"/>
                        </a:solidFill>
                      </a:rPr>
                      <a:t>-20,6*</a:t>
                    </a:r>
                    <a:endParaRPr lang="en-US" sz="900">
                      <a:solidFill>
                        <a:sysClr val="windowText" lastClr="000000"/>
                      </a:solidFill>
                    </a:endParaRPr>
                  </a:p>
                </c:rich>
              </c:tx>
              <c:dLblPos val="outEnd"/>
            </c:dLbl>
            <c:dLbl>
              <c:idx val="1"/>
              <c:layout>
                <c:manualLayout>
                  <c:x val="2.3265794704532227E-2"/>
                  <c:y val="2.7354330708661646E-2"/>
                </c:manualLayout>
              </c:layout>
              <c:tx>
                <c:rich>
                  <a:bodyPr/>
                  <a:lstStyle/>
                  <a:p>
                    <a:r>
                      <a:rPr lang="ru-RU" sz="880">
                        <a:solidFill>
                          <a:sysClr val="windowText" lastClr="000000"/>
                        </a:solidFill>
                      </a:rPr>
                      <a:t>-13,2*</a:t>
                    </a:r>
                    <a:endParaRPr lang="en-US" sz="900">
                      <a:solidFill>
                        <a:sysClr val="windowText" lastClr="000000"/>
                      </a:solidFill>
                    </a:endParaRPr>
                  </a:p>
                </c:rich>
              </c:tx>
              <c:dLblPos val="outEnd"/>
            </c:dLbl>
            <c:dLbl>
              <c:idx val="2"/>
              <c:layout>
                <c:manualLayout>
                  <c:x val="2.9596781573851386E-2"/>
                  <c:y val="2.8624671916010497E-2"/>
                </c:manualLayout>
              </c:layout>
              <c:tx>
                <c:rich>
                  <a:bodyPr/>
                  <a:lstStyle/>
                  <a:p>
                    <a:r>
                      <a:rPr lang="ru-RU" sz="880">
                        <a:solidFill>
                          <a:sysClr val="windowText" lastClr="000000"/>
                        </a:solidFill>
                      </a:rPr>
                      <a:t>-24,6*</a:t>
                    </a:r>
                    <a:endParaRPr lang="en-US" sz="900">
                      <a:solidFill>
                        <a:sysClr val="windowText" lastClr="000000"/>
                      </a:solidFill>
                    </a:endParaRPr>
                  </a:p>
                </c:rich>
              </c:tx>
              <c:dLblPos val="outEnd"/>
            </c:dLbl>
            <c:dLbl>
              <c:idx val="3"/>
              <c:delete val="1"/>
            </c:dLbl>
            <c:spPr>
              <a:noFill/>
              <a:ln w="24830">
                <a:noFill/>
              </a:ln>
            </c:spPr>
            <c:txPr>
              <a:bodyPr/>
              <a:lstStyle/>
              <a:p>
                <a:pPr>
                  <a:defRPr sz="880">
                    <a:solidFill>
                      <a:sysClr val="windowText" lastClr="000000"/>
                    </a:solidFill>
                  </a:defRPr>
                </a:pPr>
                <a:endParaRPr lang="ru-RU"/>
              </a:p>
            </c:txPr>
            <c:showVal val="1"/>
          </c:dLbls>
          <c:cat>
            <c:strRef>
              <c:f>Sheet1!$A$2:$A$5</c:f>
              <c:strCache>
                <c:ptCount val="4"/>
                <c:pt idx="0">
                  <c:v>ВТО</c:v>
                </c:pt>
                <c:pt idx="1">
                  <c:v>Экспорт</c:v>
                </c:pt>
                <c:pt idx="2">
                  <c:v>Импорт</c:v>
                </c:pt>
                <c:pt idx="3">
                  <c:v>Сальдо</c:v>
                </c:pt>
              </c:strCache>
            </c:strRef>
          </c:cat>
          <c:val>
            <c:numRef>
              <c:f>Sheet1!$C$2:$C$5</c:f>
              <c:numCache>
                <c:formatCode>#,##0.0</c:formatCode>
                <c:ptCount val="4"/>
                <c:pt idx="0">
                  <c:v>1388.1509999999998</c:v>
                </c:pt>
                <c:pt idx="1">
                  <c:v>530.35599999999749</c:v>
                </c:pt>
                <c:pt idx="2">
                  <c:v>857.79500000000053</c:v>
                </c:pt>
                <c:pt idx="3">
                  <c:v>-327.43899999999599</c:v>
                </c:pt>
              </c:numCache>
            </c:numRef>
          </c:val>
        </c:ser>
        <c:gapWidth val="50"/>
        <c:overlap val="51"/>
        <c:axId val="153143936"/>
        <c:axId val="152908160"/>
      </c:barChart>
      <c:catAx>
        <c:axId val="153143936"/>
        <c:scaling>
          <c:orientation val="minMax"/>
        </c:scaling>
        <c:axPos val="b"/>
        <c:numFmt formatCode="General" sourceLinked="1"/>
        <c:majorTickMark val="cross"/>
        <c:tickLblPos val="nextTo"/>
        <c:txPr>
          <a:bodyPr rot="0" vert="horz"/>
          <a:lstStyle/>
          <a:p>
            <a:pPr>
              <a:defRPr/>
            </a:pPr>
            <a:endParaRPr lang="ru-RU"/>
          </a:p>
        </c:txPr>
        <c:crossAx val="152908160"/>
        <c:crosses val="autoZero"/>
        <c:lblAlgn val="ctr"/>
        <c:lblOffset val="20"/>
        <c:tickMarkSkip val="1"/>
      </c:catAx>
      <c:valAx>
        <c:axId val="152908160"/>
        <c:scaling>
          <c:orientation val="minMax"/>
        </c:scaling>
        <c:axPos val="l"/>
        <c:title>
          <c:tx>
            <c:rich>
              <a:bodyPr rot="0" vert="horz"/>
              <a:lstStyle/>
              <a:p>
                <a:pPr algn="ctr">
                  <a:defRPr sz="873" b="1" i="0" u="none" strike="noStrike" baseline="0">
                    <a:solidFill>
                      <a:srgbClr val="000000"/>
                    </a:solidFill>
                    <a:latin typeface="Arial Cyr"/>
                    <a:ea typeface="Arial Cyr"/>
                    <a:cs typeface="Arial Cyr"/>
                  </a:defRPr>
                </a:pPr>
                <a:r>
                  <a:rPr lang="ru-RU" sz="978" b="1" i="0" strike="noStrike">
                    <a:solidFill>
                      <a:srgbClr val="000000"/>
                    </a:solidFill>
                    <a:latin typeface="Times New Roman"/>
                    <a:cs typeface="Times New Roman"/>
                  </a:rPr>
                  <a:t>* - темп прироста (спада) в % к </a:t>
                </a:r>
              </a:p>
              <a:p>
                <a:pPr algn="ctr">
                  <a:defRPr sz="873" b="1" i="0" u="none" strike="noStrike" baseline="0">
                    <a:solidFill>
                      <a:srgbClr val="000000"/>
                    </a:solidFill>
                    <a:latin typeface="Arial Cyr"/>
                    <a:ea typeface="Arial Cyr"/>
                    <a:cs typeface="Arial Cyr"/>
                  </a:defRPr>
                </a:pPr>
                <a:r>
                  <a:rPr lang="ru-RU" sz="978" b="1" i="0" strike="noStrike">
                    <a:solidFill>
                      <a:srgbClr val="000000"/>
                    </a:solidFill>
                    <a:latin typeface="Times New Roman"/>
                    <a:cs typeface="Times New Roman"/>
                  </a:rPr>
                  <a:t>предыдущему </a:t>
                </a:r>
              </a:p>
              <a:p>
                <a:pPr algn="ctr">
                  <a:defRPr sz="873" b="1" i="0" u="none" strike="noStrike" baseline="0">
                    <a:solidFill>
                      <a:srgbClr val="000000"/>
                    </a:solidFill>
                    <a:latin typeface="Arial Cyr"/>
                    <a:ea typeface="Arial Cyr"/>
                    <a:cs typeface="Arial Cyr"/>
                  </a:defRPr>
                </a:pPr>
                <a:r>
                  <a:rPr lang="ru-RU" sz="978" b="1" i="0" strike="noStrike">
                    <a:solidFill>
                      <a:srgbClr val="000000"/>
                    </a:solidFill>
                    <a:latin typeface="Times New Roman"/>
                    <a:cs typeface="Times New Roman"/>
                  </a:rPr>
                  <a:t>году</a:t>
                </a:r>
              </a:p>
            </c:rich>
          </c:tx>
          <c:layout>
            <c:manualLayout>
              <c:xMode val="edge"/>
              <c:yMode val="edge"/>
              <c:x val="6.5543878144938991E-2"/>
              <c:y val="0.10669488188976378"/>
            </c:manualLayout>
          </c:layout>
          <c:spPr>
            <a:noFill/>
            <a:ln w="24830">
              <a:noFill/>
            </a:ln>
          </c:spPr>
        </c:title>
        <c:numFmt formatCode="#,##0.0" sourceLinked="1"/>
        <c:majorTickMark val="cross"/>
        <c:tickLblPos val="nextTo"/>
        <c:txPr>
          <a:bodyPr rot="0" vert="horz"/>
          <a:lstStyle/>
          <a:p>
            <a:pPr>
              <a:defRPr/>
            </a:pPr>
            <a:endParaRPr lang="ru-RU"/>
          </a:p>
        </c:txPr>
        <c:crossAx val="153143936"/>
        <c:crosses val="autoZero"/>
        <c:crossBetween val="between"/>
      </c:valAx>
      <c:dTable>
        <c:showHorzBorder val="1"/>
        <c:showVertBorder val="1"/>
        <c:showOutline val="1"/>
        <c:showKeys val="1"/>
      </c:dTable>
    </c:plotArea>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0.10178015748031584"/>
          <c:y val="8.5606135170604766E-2"/>
          <c:w val="0.86834612392943755"/>
          <c:h val="0.31108569762113081"/>
        </c:manualLayout>
      </c:layout>
      <c:barChart>
        <c:barDir val="col"/>
        <c:grouping val="clustered"/>
        <c:ser>
          <c:idx val="0"/>
          <c:order val="0"/>
          <c:tx>
            <c:strRef>
              <c:f>Sheet1!$A$2</c:f>
              <c:strCache>
                <c:ptCount val="1"/>
                <c:pt idx="0">
                  <c:v>январь - декабрь 2015 год</c:v>
                </c:pt>
              </c:strCache>
            </c:strRef>
          </c:tx>
          <c:dLbls>
            <c:dLbl>
              <c:idx val="0"/>
              <c:layout>
                <c:manualLayout>
                  <c:x val="-6.4205457463884395E-3"/>
                  <c:y val="1.5936254980079678E-2"/>
                </c:manualLayout>
              </c:layout>
              <c:tx>
                <c:rich>
                  <a:bodyPr/>
                  <a:lstStyle/>
                  <a:p>
                    <a:r>
                      <a:rPr lang="ru-RU"/>
                      <a:t>21,3*</a:t>
                    </a:r>
                    <a:endParaRPr lang="en-US"/>
                  </a:p>
                </c:rich>
              </c:tx>
              <c:dLblPos val="outEnd"/>
            </c:dLbl>
            <c:dLbl>
              <c:idx val="1"/>
              <c:layout>
                <c:manualLayout>
                  <c:x val="-4.2804057687022808E-3"/>
                  <c:y val="1.5538791916744669E-3"/>
                </c:manualLayout>
              </c:layout>
              <c:tx>
                <c:rich>
                  <a:bodyPr/>
                  <a:lstStyle/>
                  <a:p>
                    <a:r>
                      <a:rPr lang="ru-RU"/>
                      <a:t>37,2*</a:t>
                    </a:r>
                    <a:endParaRPr lang="en-US"/>
                  </a:p>
                </c:rich>
              </c:tx>
              <c:dLblPos val="outEnd"/>
            </c:dLbl>
            <c:dLbl>
              <c:idx val="2"/>
              <c:layout>
                <c:manualLayout>
                  <c:x val="-8.5608146876613566E-3"/>
                  <c:y val="1.5245580341754474E-2"/>
                </c:manualLayout>
              </c:layout>
              <c:tx>
                <c:rich>
                  <a:bodyPr/>
                  <a:lstStyle/>
                  <a:p>
                    <a:r>
                      <a:rPr lang="ru-RU"/>
                      <a:t>16,9*</a:t>
                    </a:r>
                    <a:endParaRPr lang="en-US"/>
                  </a:p>
                </c:rich>
              </c:tx>
              <c:dLblPos val="outEnd"/>
            </c:dLbl>
            <c:dLbl>
              <c:idx val="3"/>
              <c:tx>
                <c:rich>
                  <a:bodyPr/>
                  <a:lstStyle/>
                  <a:p>
                    <a:r>
                      <a:rPr lang="ru-RU"/>
                      <a:t>13,8*</a:t>
                    </a:r>
                    <a:endParaRPr lang="en-US"/>
                  </a:p>
                </c:rich>
              </c:tx>
              <c:dLblPos val="outEnd"/>
            </c:dLbl>
            <c:dLbl>
              <c:idx val="4"/>
              <c:layout>
                <c:manualLayout>
                  <c:x val="2.1401819154630046E-3"/>
                  <c:y val="5.0505050505050475E-3"/>
                </c:manualLayout>
              </c:layout>
              <c:tx>
                <c:rich>
                  <a:bodyPr/>
                  <a:lstStyle/>
                  <a:p>
                    <a:r>
                      <a:rPr lang="ru-RU"/>
                      <a:t>4,1*</a:t>
                    </a:r>
                    <a:endParaRPr lang="en-US"/>
                  </a:p>
                </c:rich>
              </c:tx>
              <c:dLblPos val="outEnd"/>
            </c:dLbl>
            <c:dLbl>
              <c:idx val="5"/>
              <c:tx>
                <c:rich>
                  <a:bodyPr/>
                  <a:lstStyle/>
                  <a:p>
                    <a:r>
                      <a:rPr lang="ru-RU"/>
                      <a:t>4,1*</a:t>
                    </a:r>
                    <a:endParaRPr lang="en-US"/>
                  </a:p>
                </c:rich>
              </c:tx>
              <c:dLblPos val="outEnd"/>
            </c:dLbl>
            <c:dLbl>
              <c:idx val="6"/>
              <c:layout>
                <c:manualLayout>
                  <c:x val="-4.2803638309256934E-3"/>
                  <c:y val="0"/>
                </c:manualLayout>
              </c:layout>
              <c:tx>
                <c:rich>
                  <a:bodyPr/>
                  <a:lstStyle/>
                  <a:p>
                    <a:r>
                      <a:rPr lang="ru-RU"/>
                      <a:t>2,6*</a:t>
                    </a:r>
                    <a:endParaRPr lang="en-US"/>
                  </a:p>
                </c:rich>
              </c:tx>
              <c:dLblPos val="outEnd"/>
            </c:dLbl>
            <c:spPr>
              <a:noFill/>
              <a:ln w="24878">
                <a:noFill/>
              </a:ln>
            </c:spPr>
            <c:txPr>
              <a:bodyPr rot="0" vert="horz"/>
              <a:lstStyle/>
              <a:p>
                <a:pPr>
                  <a:defRPr sz="881" b="1">
                    <a:latin typeface="Times New Roman" pitchFamily="18" charset="0"/>
                    <a:cs typeface="Times New Roman" pitchFamily="18" charset="0"/>
                  </a:defRPr>
                </a:pPr>
                <a:endParaRPr lang="ru-RU"/>
              </a:p>
            </c:txPr>
            <c:dLblPos val="outEnd"/>
            <c:showVal val="1"/>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Sheet1!$B$2:$H$2</c:f>
              <c:numCache>
                <c:formatCode>0.0</c:formatCode>
                <c:ptCount val="7"/>
                <c:pt idx="0">
                  <c:v>130.40300000000002</c:v>
                </c:pt>
                <c:pt idx="1">
                  <c:v>227.078</c:v>
                </c:pt>
                <c:pt idx="2">
                  <c:v>103.52</c:v>
                </c:pt>
                <c:pt idx="3">
                  <c:v>84.384</c:v>
                </c:pt>
                <c:pt idx="4">
                  <c:v>24.781999999999989</c:v>
                </c:pt>
                <c:pt idx="5">
                  <c:v>25.263000000000002</c:v>
                </c:pt>
                <c:pt idx="6">
                  <c:v>15.629999999999882</c:v>
                </c:pt>
              </c:numCache>
            </c:numRef>
          </c:val>
        </c:ser>
        <c:ser>
          <c:idx val="1"/>
          <c:order val="1"/>
          <c:tx>
            <c:strRef>
              <c:f>Sheet1!$A$3</c:f>
              <c:strCache>
                <c:ptCount val="1"/>
                <c:pt idx="0">
                  <c:v>январь - декабрь 2016 год</c:v>
                </c:pt>
              </c:strCache>
            </c:strRef>
          </c:tx>
          <c:spPr>
            <a:scene3d>
              <a:camera prst="orthographicFront"/>
              <a:lightRig rig="threePt" dir="t">
                <a:rot lat="0" lon="0" rev="1800000"/>
              </a:lightRig>
            </a:scene3d>
            <a:sp3d>
              <a:bevelT w="63500" h="25400"/>
            </a:sp3d>
          </c:spPr>
          <c:dLbls>
            <c:dLbl>
              <c:idx val="0"/>
              <c:layout>
                <c:manualLayout>
                  <c:x val="8.5607276618512567E-3"/>
                  <c:y val="4.0041409166483672E-3"/>
                </c:manualLayout>
              </c:layout>
              <c:tx>
                <c:rich>
                  <a:bodyPr/>
                  <a:lstStyle/>
                  <a:p>
                    <a:r>
                      <a:rPr lang="ru-RU"/>
                      <a:t>16,2*</a:t>
                    </a:r>
                    <a:endParaRPr lang="en-US"/>
                  </a:p>
                </c:rich>
              </c:tx>
              <c:dLblPos val="outEnd"/>
            </c:dLbl>
            <c:dLbl>
              <c:idx val="1"/>
              <c:layout>
                <c:manualLayout>
                  <c:x val="6.4205457463884395E-3"/>
                  <c:y val="5.0505050505050475E-3"/>
                </c:manualLayout>
              </c:layout>
              <c:tx>
                <c:rich>
                  <a:bodyPr/>
                  <a:lstStyle/>
                  <a:p>
                    <a:r>
                      <a:rPr lang="ru-RU"/>
                      <a:t>35,3*</a:t>
                    </a:r>
                    <a:endParaRPr lang="en-US"/>
                  </a:p>
                </c:rich>
              </c:tx>
              <c:dLblPos val="outEnd"/>
            </c:dLbl>
            <c:dLbl>
              <c:idx val="2"/>
              <c:layout>
                <c:manualLayout>
                  <c:x val="8.5607276618512567E-3"/>
                  <c:y val="6.0606060606060629E-2"/>
                </c:manualLayout>
              </c:layout>
              <c:tx>
                <c:rich>
                  <a:bodyPr/>
                  <a:lstStyle/>
                  <a:p>
                    <a:r>
                      <a:rPr lang="ru-RU"/>
                      <a:t>20,5*</a:t>
                    </a:r>
                  </a:p>
                  <a:p>
                    <a:endParaRPr lang="en-US"/>
                  </a:p>
                </c:rich>
              </c:tx>
              <c:dLblPos val="outEnd"/>
            </c:dLbl>
            <c:dLbl>
              <c:idx val="3"/>
              <c:layout>
                <c:manualLayout>
                  <c:x val="1.7176581410167986E-2"/>
                  <c:y val="1.0100950411188261E-2"/>
                </c:manualLayout>
              </c:layout>
              <c:tx>
                <c:rich>
                  <a:bodyPr/>
                  <a:lstStyle/>
                  <a:p>
                    <a:r>
                      <a:rPr lang="ru-RU"/>
                      <a:t>15,9*</a:t>
                    </a:r>
                    <a:endParaRPr lang="en-US"/>
                  </a:p>
                </c:rich>
              </c:tx>
              <c:dLblPos val="outEnd"/>
            </c:dLbl>
            <c:dLbl>
              <c:idx val="4"/>
              <c:layout>
                <c:manualLayout>
                  <c:x val="4.2803638309255824E-3"/>
                  <c:y val="0"/>
                </c:manualLayout>
              </c:layout>
              <c:tx>
                <c:rich>
                  <a:bodyPr/>
                  <a:lstStyle/>
                  <a:p>
                    <a:r>
                      <a:rPr lang="ru-RU"/>
                      <a:t>4,2*</a:t>
                    </a:r>
                    <a:endParaRPr lang="en-US"/>
                  </a:p>
                </c:rich>
              </c:tx>
              <c:dLblPos val="outEnd"/>
            </c:dLbl>
            <c:dLbl>
              <c:idx val="5"/>
              <c:layout>
                <c:manualLayout>
                  <c:x val="1.0700909577314071E-2"/>
                  <c:y val="0"/>
                </c:manualLayout>
              </c:layout>
              <c:tx>
                <c:rich>
                  <a:bodyPr/>
                  <a:lstStyle/>
                  <a:p>
                    <a:r>
                      <a:rPr lang="ru-RU"/>
                      <a:t>5,3*</a:t>
                    </a:r>
                    <a:endParaRPr lang="en-US"/>
                  </a:p>
                </c:rich>
              </c:tx>
              <c:dLblPos val="outEnd"/>
            </c:dLbl>
            <c:dLbl>
              <c:idx val="6"/>
              <c:layout>
                <c:manualLayout>
                  <c:x val="4.2803638309256934E-3"/>
                  <c:y val="1.5936254980079678E-2"/>
                </c:manualLayout>
              </c:layout>
              <c:tx>
                <c:rich>
                  <a:bodyPr/>
                  <a:lstStyle/>
                  <a:p>
                    <a:r>
                      <a:rPr lang="ru-RU"/>
                      <a:t>2,6*</a:t>
                    </a:r>
                    <a:endParaRPr lang="en-US"/>
                  </a:p>
                </c:rich>
              </c:tx>
              <c:dLblPos val="outEnd"/>
            </c:dLbl>
            <c:spPr>
              <a:noFill/>
              <a:ln w="24878">
                <a:noFill/>
              </a:ln>
            </c:spPr>
            <c:txPr>
              <a:bodyPr rot="0" vert="horz"/>
              <a:lstStyle/>
              <a:p>
                <a:pPr>
                  <a:defRPr sz="881" b="1">
                    <a:latin typeface="Times New Roman" pitchFamily="18" charset="0"/>
                    <a:cs typeface="Times New Roman" pitchFamily="18" charset="0"/>
                  </a:defRPr>
                </a:pPr>
                <a:endParaRPr lang="ru-RU"/>
              </a:p>
            </c:txPr>
            <c:dLblPos val="outEnd"/>
            <c:showVal val="1"/>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Sheet1!$B$3:$H$3</c:f>
              <c:numCache>
                <c:formatCode>0.0</c:formatCode>
                <c:ptCount val="7"/>
                <c:pt idx="0">
                  <c:v>85.738</c:v>
                </c:pt>
                <c:pt idx="1">
                  <c:v>187.08800000000087</c:v>
                </c:pt>
                <c:pt idx="2">
                  <c:v>108.47799999999999</c:v>
                </c:pt>
                <c:pt idx="3">
                  <c:v>84.331999999999994</c:v>
                </c:pt>
                <c:pt idx="4">
                  <c:v>22.49</c:v>
                </c:pt>
                <c:pt idx="5">
                  <c:v>28.254999999999999</c:v>
                </c:pt>
                <c:pt idx="6">
                  <c:v>13.975000000000026</c:v>
                </c:pt>
              </c:numCache>
            </c:numRef>
          </c:val>
        </c:ser>
        <c:dLbls>
          <c:showVal val="1"/>
        </c:dLbls>
        <c:gapWidth val="160"/>
        <c:axId val="152930944"/>
        <c:axId val="153276800"/>
      </c:barChart>
      <c:catAx>
        <c:axId val="152930944"/>
        <c:scaling>
          <c:orientation val="minMax"/>
        </c:scaling>
        <c:axPos val="b"/>
        <c:numFmt formatCode="General" sourceLinked="1"/>
        <c:tickLblPos val="low"/>
        <c:txPr>
          <a:bodyPr rot="-5400000" vert="horz"/>
          <a:lstStyle/>
          <a:p>
            <a:pPr>
              <a:defRPr sz="900" b="1">
                <a:latin typeface="Times New Roman" pitchFamily="18" charset="0"/>
                <a:cs typeface="Times New Roman" pitchFamily="18" charset="0"/>
              </a:defRPr>
            </a:pPr>
            <a:endParaRPr lang="ru-RU"/>
          </a:p>
        </c:txPr>
        <c:crossAx val="153276800"/>
        <c:crossesAt val="0"/>
        <c:lblAlgn val="ctr"/>
        <c:lblOffset val="160"/>
        <c:tickLblSkip val="1"/>
        <c:tickMarkSkip val="1"/>
      </c:catAx>
      <c:valAx>
        <c:axId val="153276800"/>
        <c:scaling>
          <c:orientation val="minMax"/>
          <c:max val="250"/>
          <c:min val="0"/>
        </c:scaling>
        <c:axPos val="l"/>
        <c:title>
          <c:tx>
            <c:rich>
              <a:bodyPr rot="0" vert="horz"/>
              <a:lstStyle/>
              <a:p>
                <a:pPr algn="ctr">
                  <a:defRPr sz="784" b="1" i="0" u="none" strike="noStrike" baseline="0">
                    <a:solidFill>
                      <a:srgbClr val="000000"/>
                    </a:solidFill>
                    <a:latin typeface="Times New Roman"/>
                    <a:ea typeface="Times New Roman"/>
                    <a:cs typeface="Times New Roman"/>
                  </a:defRPr>
                </a:pPr>
                <a:r>
                  <a:rPr lang="ru-RU" sz="900"/>
                  <a:t>*- удельный вес в общем объеме экспорта,%</a:t>
                </a:r>
              </a:p>
            </c:rich>
          </c:tx>
          <c:layout>
            <c:manualLayout>
              <c:xMode val="edge"/>
              <c:yMode val="edge"/>
              <c:x val="0.78116633330801499"/>
              <c:y val="4.7138206436642023E-2"/>
            </c:manualLayout>
          </c:layout>
          <c:spPr>
            <a:noFill/>
            <a:ln w="24878">
              <a:noFill/>
            </a:ln>
          </c:spPr>
        </c:title>
        <c:numFmt formatCode="0.0" sourceLinked="1"/>
        <c:tickLblPos val="nextTo"/>
        <c:txPr>
          <a:bodyPr rot="0" vert="horz"/>
          <a:lstStyle/>
          <a:p>
            <a:pPr>
              <a:defRPr sz="900" b="1">
                <a:latin typeface="Times New Roman" pitchFamily="18" charset="0"/>
                <a:cs typeface="Times New Roman" pitchFamily="18" charset="0"/>
              </a:defRPr>
            </a:pPr>
            <a:endParaRPr lang="ru-RU"/>
          </a:p>
        </c:txPr>
        <c:crossAx val="152930944"/>
        <c:crosses val="autoZero"/>
        <c:crossBetween val="between"/>
        <c:majorUnit val="50"/>
        <c:minorUnit val="10"/>
      </c:valAx>
    </c:plotArea>
    <c:legend>
      <c:legendPos val="r"/>
      <c:legendEntry>
        <c:idx val="1"/>
        <c:txPr>
          <a:bodyPr/>
          <a:lstStyle/>
          <a:p>
            <a:pPr>
              <a:defRPr>
                <a:latin typeface="Times New Roman" pitchFamily="18" charset="0"/>
                <a:cs typeface="Times New Roman" pitchFamily="18" charset="0"/>
              </a:defRPr>
            </a:pPr>
            <a:endParaRPr lang="ru-RU"/>
          </a:p>
        </c:txPr>
      </c:legendEntry>
      <c:layout>
        <c:manualLayout>
          <c:xMode val="edge"/>
          <c:yMode val="edge"/>
          <c:x val="6.0896350220373513E-2"/>
          <c:y val="0.89990002018978565"/>
          <c:w val="0.90885029402970263"/>
          <c:h val="9.5590712699374164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a:pPr>
            <a:r>
              <a:rPr lang="ru-RU" sz="1152">
                <a:latin typeface="Times New Roman" pitchFamily="18" charset="0"/>
                <a:cs typeface="Times New Roman" pitchFamily="18" charset="0"/>
              </a:rPr>
              <a:t>Экспорт товаров в разрезе основных стран, тыс. долл. США</a:t>
            </a:r>
          </a:p>
        </c:rich>
      </c:tx>
      <c:layout>
        <c:manualLayout>
          <c:xMode val="edge"/>
          <c:yMode val="edge"/>
          <c:x val="0.22886837785760294"/>
          <c:y val="2.4123012020757792E-3"/>
        </c:manualLayout>
      </c:layout>
      <c:spPr>
        <a:noFill/>
        <a:ln w="24880">
          <a:noFill/>
        </a:ln>
      </c:spPr>
    </c:title>
    <c:plotArea>
      <c:layout>
        <c:manualLayout>
          <c:layoutTarget val="inner"/>
          <c:xMode val="edge"/>
          <c:yMode val="edge"/>
          <c:x val="0.23288690683576074"/>
          <c:y val="0.18427073427415777"/>
          <c:w val="0.7513805464582417"/>
          <c:h val="0.45081511322712581"/>
        </c:manualLayout>
      </c:layout>
      <c:barChart>
        <c:barDir val="col"/>
        <c:grouping val="clustered"/>
        <c:ser>
          <c:idx val="0"/>
          <c:order val="0"/>
          <c:tx>
            <c:strRef>
              <c:f>Лист1!$B$1</c:f>
              <c:strCache>
                <c:ptCount val="1"/>
                <c:pt idx="0">
                  <c:v>январь - декабрь 2015 г.</c:v>
                </c:pt>
              </c:strCache>
            </c:strRef>
          </c:tx>
          <c:dLbls>
            <c:dLbl>
              <c:idx val="0"/>
              <c:layout>
                <c:manualLayout>
                  <c:x val="-8.3339660302960208E-3"/>
                  <c:y val="1.8116033041882043E-2"/>
                </c:manualLayout>
              </c:layout>
              <c:tx>
                <c:rich>
                  <a:bodyPr/>
                  <a:lstStyle/>
                  <a:p>
                    <a:r>
                      <a:rPr lang="ru-RU" sz="882" b="1">
                        <a:latin typeface="Times New Roman" pitchFamily="18" charset="0"/>
                        <a:cs typeface="Times New Roman" pitchFamily="18" charset="0"/>
                      </a:rPr>
                      <a:t>49,1*</a:t>
                    </a:r>
                    <a:endParaRPr lang="en-US" sz="900" b="1">
                      <a:latin typeface="Times New Roman" pitchFamily="18" charset="0"/>
                      <a:cs typeface="Times New Roman" pitchFamily="18" charset="0"/>
                    </a:endParaRPr>
                  </a:p>
                </c:rich>
              </c:tx>
              <c:dLblPos val="outEnd"/>
            </c:dLbl>
            <c:dLbl>
              <c:idx val="1"/>
              <c:layout>
                <c:manualLayout>
                  <c:x val="-4.2906021033852102E-3"/>
                  <c:y val="1.3442448764611961E-2"/>
                </c:manualLayout>
              </c:layout>
              <c:tx>
                <c:rich>
                  <a:bodyPr/>
                  <a:lstStyle/>
                  <a:p>
                    <a:r>
                      <a:rPr lang="ru-RU" sz="882" b="1">
                        <a:latin typeface="Times New Roman" pitchFamily="18" charset="0"/>
                        <a:cs typeface="Times New Roman" pitchFamily="18" charset="0"/>
                      </a:rPr>
                      <a:t>7,8*</a:t>
                    </a:r>
                    <a:endParaRPr lang="en-US" sz="900" b="1">
                      <a:latin typeface="Times New Roman" pitchFamily="18" charset="0"/>
                      <a:cs typeface="Times New Roman" pitchFamily="18" charset="0"/>
                    </a:endParaRPr>
                  </a:p>
                </c:rich>
              </c:tx>
              <c:dLblPos val="outEnd"/>
            </c:dLbl>
            <c:dLbl>
              <c:idx val="2"/>
              <c:layout>
                <c:manualLayout>
                  <c:x val="-6.3840218170926914E-3"/>
                  <c:y val="1.1839780896953101E-2"/>
                </c:manualLayout>
              </c:layout>
              <c:tx>
                <c:rich>
                  <a:bodyPr/>
                  <a:lstStyle/>
                  <a:p>
                    <a:r>
                      <a:rPr lang="ru-RU" sz="882" b="1">
                        <a:latin typeface="Times New Roman" pitchFamily="18" charset="0"/>
                        <a:cs typeface="Times New Roman" pitchFamily="18" charset="0"/>
                      </a:rPr>
                      <a:t>8,4*</a:t>
                    </a:r>
                    <a:endParaRPr lang="en-US" sz="900" b="1">
                      <a:latin typeface="Times New Roman" pitchFamily="18" charset="0"/>
                      <a:cs typeface="Times New Roman" pitchFamily="18" charset="0"/>
                    </a:endParaRPr>
                  </a:p>
                </c:rich>
              </c:tx>
              <c:dLblPos val="outEnd"/>
            </c:dLbl>
            <c:dLbl>
              <c:idx val="3"/>
              <c:layout>
                <c:manualLayout>
                  <c:x val="-1.6043790986303703E-3"/>
                  <c:y val="1.008557651223841E-2"/>
                </c:manualLayout>
              </c:layout>
              <c:tx>
                <c:rich>
                  <a:bodyPr/>
                  <a:lstStyle/>
                  <a:p>
                    <a:r>
                      <a:rPr lang="ru-RU" sz="882" b="1">
                        <a:latin typeface="Times New Roman" pitchFamily="18" charset="0"/>
                        <a:cs typeface="Times New Roman" pitchFamily="18" charset="0"/>
                      </a:rPr>
                      <a:t>6,5*</a:t>
                    </a:r>
                    <a:endParaRPr lang="en-US" sz="900" b="1">
                      <a:latin typeface="Times New Roman" pitchFamily="18" charset="0"/>
                      <a:cs typeface="Times New Roman" pitchFamily="18" charset="0"/>
                    </a:endParaRPr>
                  </a:p>
                </c:rich>
              </c:tx>
              <c:dLblPos val="outEnd"/>
            </c:dLbl>
            <c:dLbl>
              <c:idx val="4"/>
              <c:layout>
                <c:manualLayout>
                  <c:x val="-1.0091052406087941E-3"/>
                  <c:y val="9.9600593404085766E-3"/>
                </c:manualLayout>
              </c:layout>
              <c:tx>
                <c:rich>
                  <a:bodyPr/>
                  <a:lstStyle/>
                  <a:p>
                    <a:r>
                      <a:rPr lang="ru-RU" sz="882" b="1">
                        <a:latin typeface="Times New Roman" pitchFamily="18" charset="0"/>
                        <a:cs typeface="Times New Roman" pitchFamily="18" charset="0"/>
                      </a:rPr>
                      <a:t>5,0*</a:t>
                    </a:r>
                    <a:endParaRPr lang="en-US" sz="900" b="1">
                      <a:latin typeface="Times New Roman" pitchFamily="18" charset="0"/>
                      <a:cs typeface="Times New Roman" pitchFamily="18" charset="0"/>
                    </a:endParaRPr>
                  </a:p>
                </c:rich>
              </c:tx>
              <c:dLblPos val="outEnd"/>
            </c:dLbl>
            <c:dLbl>
              <c:idx val="5"/>
              <c:layout>
                <c:manualLayout>
                  <c:x val="-6.4136825227152014E-3"/>
                  <c:y val="1.6076563472817804E-2"/>
                </c:manualLayout>
              </c:layout>
              <c:tx>
                <c:rich>
                  <a:bodyPr/>
                  <a:lstStyle/>
                  <a:p>
                    <a:r>
                      <a:rPr lang="ru-RU" sz="882" b="1">
                        <a:latin typeface="Times New Roman" pitchFamily="18" charset="0"/>
                        <a:cs typeface="Times New Roman" pitchFamily="18" charset="0"/>
                      </a:rPr>
                      <a:t>15,5*</a:t>
                    </a:r>
                    <a:endParaRPr lang="en-US" sz="900" b="1">
                      <a:latin typeface="Times New Roman" pitchFamily="18" charset="0"/>
                      <a:cs typeface="Times New Roman" pitchFamily="18" charset="0"/>
                    </a:endParaRPr>
                  </a:p>
                </c:rich>
              </c:tx>
              <c:dLblPos val="outEnd"/>
            </c:dLbl>
            <c:dLbl>
              <c:idx val="6"/>
              <c:layout>
                <c:manualLayout>
                  <c:x val="-3.3236415970983252E-3"/>
                  <c:y val="1.5872988702499143E-2"/>
                </c:manualLayout>
              </c:layout>
              <c:tx>
                <c:rich>
                  <a:bodyPr/>
                  <a:lstStyle/>
                  <a:p>
                    <a:r>
                      <a:rPr lang="ru-RU" sz="882" b="1">
                        <a:latin typeface="Times New Roman" pitchFamily="18" charset="0"/>
                        <a:cs typeface="Times New Roman" pitchFamily="18" charset="0"/>
                      </a:rPr>
                      <a:t>1,5*</a:t>
                    </a:r>
                    <a:endParaRPr lang="en-US" sz="900" b="1">
                      <a:latin typeface="Times New Roman" pitchFamily="18" charset="0"/>
                      <a:cs typeface="Times New Roman" pitchFamily="18" charset="0"/>
                    </a:endParaRPr>
                  </a:p>
                </c:rich>
              </c:tx>
              <c:dLblPos val="outEnd"/>
            </c:dLbl>
            <c:dLbl>
              <c:idx val="7"/>
              <c:layout>
                <c:manualLayout>
                  <c:x val="6.0613662230274423E-3"/>
                  <c:y val="9.3067203808826268E-3"/>
                </c:manualLayout>
              </c:layout>
              <c:tx>
                <c:rich>
                  <a:bodyPr/>
                  <a:lstStyle/>
                  <a:p>
                    <a:r>
                      <a:rPr lang="ru-RU" sz="882" b="1">
                        <a:latin typeface="Times New Roman" pitchFamily="18" charset="0"/>
                        <a:cs typeface="Times New Roman" pitchFamily="18" charset="0"/>
                      </a:rPr>
                      <a:t>6,3*</a:t>
                    </a:r>
                    <a:endParaRPr lang="en-US" sz="900" b="1">
                      <a:latin typeface="Times New Roman" pitchFamily="18" charset="0"/>
                      <a:cs typeface="Times New Roman" pitchFamily="18" charset="0"/>
                    </a:endParaRPr>
                  </a:p>
                </c:rich>
              </c:tx>
              <c:dLblPos val="outEnd"/>
            </c:dLbl>
            <c:spPr>
              <a:noFill/>
              <a:ln w="24880">
                <a:noFill/>
              </a:ln>
            </c:spPr>
            <c:txPr>
              <a:bodyPr/>
              <a:lstStyle/>
              <a:p>
                <a:pPr>
                  <a:defRPr sz="882" b="1">
                    <a:latin typeface="Times New Roman" pitchFamily="18" charset="0"/>
                    <a:cs typeface="Times New Roman" pitchFamily="18" charset="0"/>
                  </a:defRPr>
                </a:pPr>
                <a:endParaRPr lang="ru-RU"/>
              </a:p>
            </c:txPr>
            <c:dLblPos val="outEnd"/>
            <c:showVal val="1"/>
          </c:dLbls>
          <c:cat>
            <c:strRef>
              <c:f>Лист1!$A$2:$A$9</c:f>
              <c:strCache>
                <c:ptCount val="8"/>
                <c:pt idx="0">
                  <c:v>Молдова</c:v>
                </c:pt>
                <c:pt idx="1">
                  <c:v>Россия</c:v>
                </c:pt>
                <c:pt idx="2">
                  <c:v>Украина</c:v>
                </c:pt>
                <c:pt idx="3">
                  <c:v>Италия</c:v>
                </c:pt>
                <c:pt idx="4">
                  <c:v>Германия</c:v>
                </c:pt>
                <c:pt idx="5">
                  <c:v>Румыния</c:v>
                </c:pt>
                <c:pt idx="6">
                  <c:v>Польша</c:v>
                </c:pt>
                <c:pt idx="7">
                  <c:v>Прочие страны</c:v>
                </c:pt>
              </c:strCache>
            </c:strRef>
          </c:cat>
          <c:val>
            <c:numRef>
              <c:f>Лист1!$B$2:$B$9</c:f>
              <c:numCache>
                <c:formatCode>#,##0.0</c:formatCode>
                <c:ptCount val="8"/>
                <c:pt idx="0">
                  <c:v>299900.7</c:v>
                </c:pt>
                <c:pt idx="1">
                  <c:v>47410.7</c:v>
                </c:pt>
                <c:pt idx="2">
                  <c:v>51147</c:v>
                </c:pt>
                <c:pt idx="3">
                  <c:v>39598</c:v>
                </c:pt>
                <c:pt idx="4">
                  <c:v>30413.8</c:v>
                </c:pt>
                <c:pt idx="5">
                  <c:v>94827.9</c:v>
                </c:pt>
                <c:pt idx="6">
                  <c:v>9061.7000000000007</c:v>
                </c:pt>
                <c:pt idx="7">
                  <c:v>38700.9</c:v>
                </c:pt>
              </c:numCache>
            </c:numRef>
          </c:val>
        </c:ser>
        <c:ser>
          <c:idx val="1"/>
          <c:order val="1"/>
          <c:tx>
            <c:strRef>
              <c:f>Лист1!$C$1</c:f>
              <c:strCache>
                <c:ptCount val="1"/>
                <c:pt idx="0">
                  <c:v>январь - декабрь 2016 г.</c:v>
                </c:pt>
              </c:strCache>
            </c:strRef>
          </c:tx>
          <c:dLbls>
            <c:dLbl>
              <c:idx val="0"/>
              <c:layout>
                <c:manualLayout>
                  <c:x val="1.0286665386338907E-2"/>
                  <c:y val="1.6604999617767523E-2"/>
                </c:manualLayout>
              </c:layout>
              <c:tx>
                <c:rich>
                  <a:bodyPr/>
                  <a:lstStyle/>
                  <a:p>
                    <a:r>
                      <a:rPr lang="ru-RU" sz="882" b="1">
                        <a:latin typeface="Times New Roman" pitchFamily="18" charset="0"/>
                        <a:cs typeface="Times New Roman" pitchFamily="18" charset="0"/>
                      </a:rPr>
                      <a:t>46,2*</a:t>
                    </a:r>
                    <a:endParaRPr lang="en-US" sz="900" b="1">
                      <a:latin typeface="Times New Roman" pitchFamily="18" charset="0"/>
                      <a:cs typeface="Times New Roman" pitchFamily="18" charset="0"/>
                    </a:endParaRPr>
                  </a:p>
                </c:rich>
              </c:tx>
              <c:dLblPos val="outEnd"/>
            </c:dLbl>
            <c:dLbl>
              <c:idx val="1"/>
              <c:layout>
                <c:manualLayout>
                  <c:x val="1.3888888888889835E-2"/>
                  <c:y val="1.1904761904761921E-2"/>
                </c:manualLayout>
              </c:layout>
              <c:tx>
                <c:rich>
                  <a:bodyPr/>
                  <a:lstStyle/>
                  <a:p>
                    <a:r>
                      <a:rPr lang="ru-RU" sz="882" b="1">
                        <a:latin typeface="Times New Roman" pitchFamily="18" charset="0"/>
                        <a:cs typeface="Times New Roman" pitchFamily="18" charset="0"/>
                      </a:rPr>
                      <a:t>8,7*</a:t>
                    </a:r>
                    <a:endParaRPr lang="en-US" sz="900" b="1">
                      <a:latin typeface="Times New Roman" pitchFamily="18" charset="0"/>
                      <a:cs typeface="Times New Roman" pitchFamily="18" charset="0"/>
                    </a:endParaRPr>
                  </a:p>
                </c:rich>
              </c:tx>
              <c:dLblPos val="outEnd"/>
            </c:dLbl>
            <c:dLbl>
              <c:idx val="2"/>
              <c:layout>
                <c:manualLayout>
                  <c:x val="1.087930380383868E-2"/>
                  <c:y val="8.1048892144297599E-2"/>
                </c:manualLayout>
              </c:layout>
              <c:tx>
                <c:rich>
                  <a:bodyPr/>
                  <a:lstStyle/>
                  <a:p>
                    <a:r>
                      <a:rPr lang="ru-RU" sz="882" b="1">
                        <a:latin typeface="Times New Roman" pitchFamily="18" charset="0"/>
                        <a:cs typeface="Times New Roman" pitchFamily="18" charset="0"/>
                      </a:rPr>
                      <a:t>11,5*</a:t>
                    </a:r>
                  </a:p>
                  <a:p>
                    <a:endParaRPr lang="en-US" sz="900" b="1">
                      <a:latin typeface="Times New Roman" pitchFamily="18" charset="0"/>
                      <a:cs typeface="Times New Roman" pitchFamily="18" charset="0"/>
                    </a:endParaRPr>
                  </a:p>
                </c:rich>
              </c:tx>
              <c:dLblPos val="outEnd"/>
            </c:dLbl>
            <c:dLbl>
              <c:idx val="3"/>
              <c:layout>
                <c:manualLayout>
                  <c:x val="1.354315223871373E-2"/>
                  <c:y val="1.0963071476530681E-2"/>
                </c:manualLayout>
              </c:layout>
              <c:tx>
                <c:rich>
                  <a:bodyPr/>
                  <a:lstStyle/>
                  <a:p>
                    <a:r>
                      <a:rPr lang="ru-RU" sz="882" b="1">
                        <a:latin typeface="Times New Roman" pitchFamily="18" charset="0"/>
                        <a:cs typeface="Times New Roman" pitchFamily="18" charset="0"/>
                      </a:rPr>
                      <a:t>7,6*</a:t>
                    </a:r>
                    <a:endParaRPr lang="en-US" sz="900" b="1">
                      <a:latin typeface="Times New Roman" pitchFamily="18" charset="0"/>
                      <a:cs typeface="Times New Roman" pitchFamily="18" charset="0"/>
                    </a:endParaRPr>
                  </a:p>
                </c:rich>
              </c:tx>
              <c:dLblPos val="outEnd"/>
            </c:dLbl>
            <c:dLbl>
              <c:idx val="4"/>
              <c:layout>
                <c:manualLayout>
                  <c:x val="1.3888888888889835E-2"/>
                  <c:y val="7.9365079365078823E-3"/>
                </c:manualLayout>
              </c:layout>
              <c:tx>
                <c:rich>
                  <a:bodyPr/>
                  <a:lstStyle/>
                  <a:p>
                    <a:r>
                      <a:rPr lang="ru-RU" sz="882" b="1">
                        <a:latin typeface="Times New Roman" pitchFamily="18" charset="0"/>
                        <a:cs typeface="Times New Roman" pitchFamily="18" charset="0"/>
                      </a:rPr>
                      <a:t>5,5*</a:t>
                    </a:r>
                    <a:endParaRPr lang="en-US" sz="900" b="1">
                      <a:latin typeface="Times New Roman" pitchFamily="18" charset="0"/>
                      <a:cs typeface="Times New Roman" pitchFamily="18" charset="0"/>
                    </a:endParaRPr>
                  </a:p>
                </c:rich>
              </c:tx>
              <c:dLblPos val="outEnd"/>
            </c:dLbl>
            <c:dLbl>
              <c:idx val="5"/>
              <c:layout>
                <c:manualLayout>
                  <c:x val="1.1984310202113357E-2"/>
                  <c:y val="3.9444254250827352E-3"/>
                </c:manualLayout>
              </c:layout>
              <c:tx>
                <c:rich>
                  <a:bodyPr/>
                  <a:lstStyle/>
                  <a:p>
                    <a:r>
                      <a:rPr lang="ru-RU" sz="882" b="1">
                        <a:latin typeface="Times New Roman" pitchFamily="18" charset="0"/>
                        <a:cs typeface="Times New Roman" pitchFamily="18" charset="0"/>
                      </a:rPr>
                      <a:t>11,4*</a:t>
                    </a:r>
                    <a:endParaRPr lang="en-US" sz="900" b="1">
                      <a:latin typeface="Times New Roman" pitchFamily="18" charset="0"/>
                      <a:cs typeface="Times New Roman" pitchFamily="18" charset="0"/>
                    </a:endParaRPr>
                  </a:p>
                </c:rich>
              </c:tx>
              <c:dLblPos val="outEnd"/>
            </c:dLbl>
            <c:dLbl>
              <c:idx val="6"/>
              <c:layout>
                <c:manualLayout>
                  <c:x val="6.4095591654650692E-3"/>
                  <c:y val="1.400950968085561E-2"/>
                </c:manualLayout>
              </c:layout>
              <c:tx>
                <c:rich>
                  <a:bodyPr/>
                  <a:lstStyle/>
                  <a:p>
                    <a:r>
                      <a:rPr lang="ru-RU" sz="882" b="1">
                        <a:latin typeface="Times New Roman" pitchFamily="18" charset="0"/>
                        <a:cs typeface="Times New Roman" pitchFamily="18" charset="0"/>
                      </a:rPr>
                      <a:t>0,8*</a:t>
                    </a:r>
                    <a:endParaRPr lang="en-US" sz="900" b="1">
                      <a:latin typeface="Times New Roman" pitchFamily="18" charset="0"/>
                      <a:cs typeface="Times New Roman" pitchFamily="18" charset="0"/>
                    </a:endParaRPr>
                  </a:p>
                </c:rich>
              </c:tx>
              <c:dLblPos val="outEnd"/>
            </c:dLbl>
            <c:dLbl>
              <c:idx val="7"/>
              <c:layout>
                <c:manualLayout>
                  <c:x val="1.415226249871919E-2"/>
                  <c:y val="7.8058503556620914E-3"/>
                </c:manualLayout>
              </c:layout>
              <c:tx>
                <c:rich>
                  <a:bodyPr/>
                  <a:lstStyle/>
                  <a:p>
                    <a:r>
                      <a:rPr lang="ru-RU" sz="882" b="1">
                        <a:latin typeface="Times New Roman" pitchFamily="18" charset="0"/>
                        <a:cs typeface="Times New Roman" pitchFamily="18" charset="0"/>
                      </a:rPr>
                      <a:t>8,2*</a:t>
                    </a:r>
                    <a:endParaRPr lang="en-US" sz="900" b="1">
                      <a:latin typeface="Times New Roman" pitchFamily="18" charset="0"/>
                      <a:cs typeface="Times New Roman" pitchFamily="18" charset="0"/>
                    </a:endParaRPr>
                  </a:p>
                </c:rich>
              </c:tx>
              <c:dLblPos val="outEnd"/>
            </c:dLbl>
            <c:spPr>
              <a:noFill/>
              <a:ln w="24880">
                <a:noFill/>
              </a:ln>
            </c:spPr>
            <c:txPr>
              <a:bodyPr/>
              <a:lstStyle/>
              <a:p>
                <a:pPr>
                  <a:defRPr sz="882" b="1">
                    <a:latin typeface="Times New Roman" pitchFamily="18" charset="0"/>
                    <a:cs typeface="Times New Roman" pitchFamily="18" charset="0"/>
                  </a:defRPr>
                </a:pPr>
                <a:endParaRPr lang="ru-RU"/>
              </a:p>
            </c:txPr>
            <c:dLblPos val="outEnd"/>
            <c:showVal val="1"/>
          </c:dLbls>
          <c:cat>
            <c:strRef>
              <c:f>Лист1!$A$2:$A$9</c:f>
              <c:strCache>
                <c:ptCount val="8"/>
                <c:pt idx="0">
                  <c:v>Молдова</c:v>
                </c:pt>
                <c:pt idx="1">
                  <c:v>Россия</c:v>
                </c:pt>
                <c:pt idx="2">
                  <c:v>Украина</c:v>
                </c:pt>
                <c:pt idx="3">
                  <c:v>Италия</c:v>
                </c:pt>
                <c:pt idx="4">
                  <c:v>Германия</c:v>
                </c:pt>
                <c:pt idx="5">
                  <c:v>Румыния</c:v>
                </c:pt>
                <c:pt idx="6">
                  <c:v>Польша</c:v>
                </c:pt>
                <c:pt idx="7">
                  <c:v>Прочие страны</c:v>
                </c:pt>
              </c:strCache>
            </c:strRef>
          </c:cat>
          <c:val>
            <c:numRef>
              <c:f>Лист1!$C$2:$C$9</c:f>
              <c:numCache>
                <c:formatCode>#,##0.0</c:formatCode>
                <c:ptCount val="8"/>
                <c:pt idx="0">
                  <c:v>245062.3</c:v>
                </c:pt>
                <c:pt idx="1">
                  <c:v>45989.599999999999</c:v>
                </c:pt>
                <c:pt idx="2">
                  <c:v>61151.3</c:v>
                </c:pt>
                <c:pt idx="3">
                  <c:v>40364.400000000001</c:v>
                </c:pt>
                <c:pt idx="4">
                  <c:v>29104.2</c:v>
                </c:pt>
                <c:pt idx="5">
                  <c:v>60496.9</c:v>
                </c:pt>
                <c:pt idx="6">
                  <c:v>4491.7</c:v>
                </c:pt>
                <c:pt idx="7">
                  <c:v>43703.200000000004</c:v>
                </c:pt>
              </c:numCache>
            </c:numRef>
          </c:val>
        </c:ser>
        <c:dLbls>
          <c:showVal val="1"/>
        </c:dLbls>
        <c:axId val="153556864"/>
        <c:axId val="153558400"/>
      </c:barChart>
      <c:catAx>
        <c:axId val="153556864"/>
        <c:scaling>
          <c:orientation val="minMax"/>
        </c:scaling>
        <c:axPos val="b"/>
        <c:numFmt formatCode="General" sourceLinked="1"/>
        <c:tickLblPos val="nextTo"/>
        <c:crossAx val="153558400"/>
        <c:crosses val="autoZero"/>
        <c:auto val="1"/>
        <c:lblAlgn val="ctr"/>
        <c:lblOffset val="100"/>
      </c:catAx>
      <c:valAx>
        <c:axId val="153558400"/>
        <c:scaling>
          <c:orientation val="minMax"/>
        </c:scaling>
        <c:axPos val="l"/>
        <c:title>
          <c:tx>
            <c:rich>
              <a:bodyPr rot="0" vert="horz"/>
              <a:lstStyle/>
              <a:p>
                <a:pPr algn="ctr">
                  <a:defRPr sz="1077" b="0" i="0" u="none" strike="noStrike" baseline="0">
                    <a:solidFill>
                      <a:srgbClr val="000000"/>
                    </a:solidFill>
                    <a:latin typeface="Calibri"/>
                    <a:ea typeface="Calibri"/>
                    <a:cs typeface="Calibri"/>
                  </a:defRPr>
                </a:pPr>
                <a:r>
                  <a:rPr lang="ru-RU" sz="900" b="1" i="0" strike="noStrike">
                    <a:solidFill>
                      <a:srgbClr val="000000"/>
                    </a:solidFill>
                    <a:latin typeface="Times New Roman"/>
                    <a:cs typeface="Times New Roman"/>
                  </a:rPr>
                  <a:t>*- удельный вес в общем объеме экспорта, %</a:t>
                </a:r>
              </a:p>
            </c:rich>
          </c:tx>
          <c:layout>
            <c:manualLayout>
              <c:xMode val="edge"/>
              <c:yMode val="edge"/>
              <c:x val="0.80935311995953119"/>
              <c:y val="0.11114144787629122"/>
            </c:manualLayout>
          </c:layout>
          <c:spPr>
            <a:noFill/>
            <a:ln w="24880">
              <a:noFill/>
            </a:ln>
          </c:spPr>
        </c:title>
        <c:numFmt formatCode="#,##0.0" sourceLinked="1"/>
        <c:tickLblPos val="nextTo"/>
        <c:txPr>
          <a:bodyPr/>
          <a:lstStyle/>
          <a:p>
            <a:pPr>
              <a:defRPr b="1">
                <a:latin typeface="Times New Roman" pitchFamily="18" charset="0"/>
                <a:cs typeface="Times New Roman" pitchFamily="18" charset="0"/>
              </a:defRPr>
            </a:pPr>
            <a:endParaRPr lang="ru-RU"/>
          </a:p>
        </c:txPr>
        <c:crossAx val="153556864"/>
        <c:crosses val="autoZero"/>
        <c:crossBetween val="between"/>
      </c:valAx>
      <c:dTable>
        <c:showHorzBorder val="1"/>
        <c:showVertBorder val="1"/>
        <c:showOutline val="1"/>
        <c:showKeys val="1"/>
        <c:txPr>
          <a:bodyPr/>
          <a:lstStyle/>
          <a:p>
            <a:pPr rtl="0">
              <a:defRPr sz="870"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sz="1200"/>
            </a:pPr>
            <a:r>
              <a:rPr lang="ru-RU" sz="1200"/>
              <a:t>Товарная структура импорта ПМР, млн. долл. США</a:t>
            </a:r>
          </a:p>
        </c:rich>
      </c:tx>
      <c:layout>
        <c:manualLayout>
          <c:xMode val="edge"/>
          <c:yMode val="edge"/>
          <c:x val="0.20873792195533941"/>
          <c:y val="5.6755808749712738E-3"/>
        </c:manualLayout>
      </c:layout>
      <c:spPr>
        <a:noFill/>
        <a:ln w="28727">
          <a:noFill/>
        </a:ln>
      </c:spPr>
    </c:title>
    <c:plotArea>
      <c:layout>
        <c:manualLayout>
          <c:layoutTarget val="inner"/>
          <c:xMode val="edge"/>
          <c:yMode val="edge"/>
          <c:x val="7.9050632911393776E-2"/>
          <c:y val="0.13733261075159131"/>
          <c:w val="0.91040084388185649"/>
          <c:h val="0.33682840320635793"/>
        </c:manualLayout>
      </c:layout>
      <c:barChart>
        <c:barDir val="col"/>
        <c:grouping val="clustered"/>
        <c:ser>
          <c:idx val="0"/>
          <c:order val="0"/>
          <c:tx>
            <c:strRef>
              <c:f>Sheet1!$A$2</c:f>
              <c:strCache>
                <c:ptCount val="1"/>
                <c:pt idx="0">
                  <c:v>январь - декабрь 2015 г.</c:v>
                </c:pt>
              </c:strCache>
            </c:strRef>
          </c:tx>
          <c:spPr>
            <a:solidFill>
              <a:srgbClr val="4F81BD"/>
            </a:solidFill>
          </c:spPr>
          <c:dLbls>
            <c:dLbl>
              <c:idx val="0"/>
              <c:layout>
                <c:manualLayout>
                  <c:x val="-5.146938139947899E-3"/>
                  <c:y val="2.3060336786534442E-2"/>
                </c:manualLayout>
              </c:layout>
              <c:tx>
                <c:rich>
                  <a:bodyPr/>
                  <a:lstStyle/>
                  <a:p>
                    <a:r>
                      <a:rPr lang="ru-RU" sz="1000"/>
                      <a:t>50,5*</a:t>
                    </a:r>
                    <a:endParaRPr lang="en-US" sz="1000"/>
                  </a:p>
                </c:rich>
              </c:tx>
              <c:dLblPos val="outEnd"/>
            </c:dLbl>
            <c:dLbl>
              <c:idx val="1"/>
              <c:layout>
                <c:manualLayout>
                  <c:x val="-1.5731287177619545E-3"/>
                  <c:y val="2.0290865281184192E-2"/>
                </c:manualLayout>
              </c:layout>
              <c:tx>
                <c:rich>
                  <a:bodyPr/>
                  <a:lstStyle/>
                  <a:p>
                    <a:r>
                      <a:rPr lang="ru-RU" sz="1000"/>
                      <a:t>11,9*</a:t>
                    </a:r>
                    <a:endParaRPr lang="en-US" sz="1000"/>
                  </a:p>
                </c:rich>
              </c:tx>
              <c:dLblPos val="outEnd"/>
            </c:dLbl>
            <c:dLbl>
              <c:idx val="2"/>
              <c:layout>
                <c:manualLayout>
                  <c:x val="-1.3042927798846641E-3"/>
                  <c:y val="1.8925405541558367E-2"/>
                </c:manualLayout>
              </c:layout>
              <c:tx>
                <c:rich>
                  <a:bodyPr/>
                  <a:lstStyle/>
                  <a:p>
                    <a:r>
                      <a:rPr lang="ru-RU" sz="1000"/>
                      <a:t>8,8*</a:t>
                    </a:r>
                    <a:endParaRPr lang="en-US" sz="1000"/>
                  </a:p>
                </c:rich>
              </c:tx>
              <c:dLblPos val="outEnd"/>
            </c:dLbl>
            <c:dLbl>
              <c:idx val="3"/>
              <c:layout>
                <c:manualLayout>
                  <c:x val="-4.1449626488996565E-3"/>
                  <c:y val="1.1628763795829869E-2"/>
                </c:manualLayout>
              </c:layout>
              <c:tx>
                <c:rich>
                  <a:bodyPr/>
                  <a:lstStyle/>
                  <a:p>
                    <a:r>
                      <a:rPr lang="ru-RU" sz="1000"/>
                      <a:t>10,4*</a:t>
                    </a:r>
                    <a:endParaRPr lang="en-US" sz="1000"/>
                  </a:p>
                </c:rich>
              </c:tx>
              <c:dLblPos val="outEnd"/>
            </c:dLbl>
            <c:dLbl>
              <c:idx val="4"/>
              <c:layout>
                <c:manualLayout>
                  <c:x val="1.2039404165388417E-3"/>
                  <c:y val="3.9873514104252416E-3"/>
                </c:manualLayout>
              </c:layout>
              <c:tx>
                <c:rich>
                  <a:bodyPr/>
                  <a:lstStyle/>
                  <a:p>
                    <a:r>
                      <a:rPr lang="ru-RU" sz="1000"/>
                      <a:t>4,0*</a:t>
                    </a:r>
                    <a:endParaRPr lang="en-US" sz="1000"/>
                  </a:p>
                </c:rich>
              </c:tx>
              <c:dLblPos val="outEnd"/>
            </c:dLbl>
            <c:dLbl>
              <c:idx val="5"/>
              <c:layout>
                <c:manualLayout>
                  <c:x val="-1.5628511428054401E-3"/>
                  <c:y val="1.9837695311139061E-2"/>
                </c:manualLayout>
              </c:layout>
              <c:tx>
                <c:rich>
                  <a:bodyPr/>
                  <a:lstStyle/>
                  <a:p>
                    <a:r>
                      <a:rPr lang="ru-RU" sz="1000" b="1"/>
                      <a:t>14,4*</a:t>
                    </a:r>
                    <a:endParaRPr lang="en-US" sz="1000" b="1"/>
                  </a:p>
                </c:rich>
              </c:tx>
              <c:dLblPos val="outEnd"/>
            </c:dLbl>
            <c:dLbl>
              <c:idx val="6"/>
              <c:layout>
                <c:manualLayout>
                  <c:x val="-7.5617342090612003E-4"/>
                  <c:y val="1.6455402091132061E-2"/>
                </c:manualLayout>
              </c:layout>
              <c:tx>
                <c:rich>
                  <a:bodyPr/>
                  <a:lstStyle/>
                  <a:p>
                    <a:r>
                      <a:rPr lang="ru-RU" sz="1000" b="1"/>
                      <a:t>8</a:t>
                    </a:r>
                    <a:r>
                      <a:rPr lang="en-US" sz="1000" b="1"/>
                      <a:t>,2</a:t>
                    </a:r>
                  </a:p>
                </c:rich>
              </c:tx>
              <c:dLblPos val="outEnd"/>
            </c:dLbl>
            <c:dLbl>
              <c:idx val="7"/>
              <c:layout>
                <c:manualLayout>
                  <c:xMode val="edge"/>
                  <c:yMode val="edge"/>
                  <c:x val="0.72802197802197965"/>
                  <c:y val="0.43750000000000488"/>
                </c:manualLayout>
              </c:layout>
              <c:dLblPos val="outEnd"/>
              <c:showVal val="1"/>
            </c:dLbl>
            <c:spPr>
              <a:noFill/>
              <a:ln w="28727">
                <a:noFill/>
              </a:ln>
            </c:spPr>
            <c:txPr>
              <a:bodyPr rot="0" vert="horz" anchor="ctr" anchorCtr="0"/>
              <a:lstStyle/>
              <a:p>
                <a:pPr>
                  <a:defRPr sz="1000" b="1"/>
                </a:pPr>
                <a:endParaRPr lang="ru-RU"/>
              </a:p>
            </c:txPr>
            <c:showVal val="1"/>
          </c:dLbls>
          <c:cat>
            <c:strRef>
              <c:f>Sheet1!$B$1:$G$1</c:f>
              <c:strCache>
                <c:ptCount val="6"/>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легкой промышленности</c:v>
                </c:pt>
                <c:pt idx="5">
                  <c:v>Прочие товары</c:v>
                </c:pt>
              </c:strCache>
            </c:strRef>
          </c:cat>
          <c:val>
            <c:numRef>
              <c:f>Sheet1!$B$2:$G$2</c:f>
              <c:numCache>
                <c:formatCode>0.0</c:formatCode>
                <c:ptCount val="6"/>
                <c:pt idx="0">
                  <c:v>574.96400000000006</c:v>
                </c:pt>
                <c:pt idx="1">
                  <c:v>135.48500000000001</c:v>
                </c:pt>
                <c:pt idx="2">
                  <c:v>99.808999999999983</c:v>
                </c:pt>
                <c:pt idx="3">
                  <c:v>118.708</c:v>
                </c:pt>
                <c:pt idx="4">
                  <c:v>45.835000000000001</c:v>
                </c:pt>
                <c:pt idx="5">
                  <c:v>163.48100000000107</c:v>
                </c:pt>
              </c:numCache>
            </c:numRef>
          </c:val>
        </c:ser>
        <c:ser>
          <c:idx val="1"/>
          <c:order val="1"/>
          <c:tx>
            <c:strRef>
              <c:f>Sheet1!$A$3</c:f>
              <c:strCache>
                <c:ptCount val="1"/>
                <c:pt idx="0">
                  <c:v>январь - декабрь 2016 г.</c:v>
                </c:pt>
              </c:strCache>
            </c:strRef>
          </c:tx>
          <c:spPr>
            <a:solidFill>
              <a:srgbClr val="C0504D">
                <a:lumMod val="75000"/>
              </a:srgbClr>
            </a:solidFill>
          </c:spPr>
          <c:dLbls>
            <c:dLbl>
              <c:idx val="0"/>
              <c:layout>
                <c:manualLayout>
                  <c:x val="5.2558529061472684E-3"/>
                  <c:y val="6.0188774629529422E-3"/>
                </c:manualLayout>
              </c:layout>
              <c:tx>
                <c:rich>
                  <a:bodyPr/>
                  <a:lstStyle/>
                  <a:p>
                    <a:r>
                      <a:rPr lang="ru-RU" sz="1000"/>
                      <a:t>47,7*</a:t>
                    </a:r>
                    <a:endParaRPr lang="en-US" sz="1000"/>
                  </a:p>
                </c:rich>
              </c:tx>
              <c:dLblPos val="outEnd"/>
            </c:dLbl>
            <c:dLbl>
              <c:idx val="1"/>
              <c:layout>
                <c:manualLayout>
                  <c:x val="9.1876075299207279E-4"/>
                  <c:y val="1.6703670237941701E-2"/>
                </c:manualLayout>
              </c:layout>
              <c:tx>
                <c:rich>
                  <a:bodyPr/>
                  <a:lstStyle/>
                  <a:p>
                    <a:r>
                      <a:rPr lang="ru-RU" sz="1000"/>
                      <a:t>7,0*</a:t>
                    </a:r>
                    <a:endParaRPr lang="en-US" sz="1000"/>
                  </a:p>
                </c:rich>
              </c:tx>
              <c:dLblPos val="outEnd"/>
            </c:dLbl>
            <c:dLbl>
              <c:idx val="2"/>
              <c:layout>
                <c:manualLayout>
                  <c:x val="7.8853360982597022E-3"/>
                  <c:y val="1.2483689461698441E-2"/>
                </c:manualLayout>
              </c:layout>
              <c:tx>
                <c:rich>
                  <a:bodyPr/>
                  <a:lstStyle/>
                  <a:p>
                    <a:r>
                      <a:rPr lang="ru-RU" sz="1000" b="1"/>
                      <a:t>12,0*</a:t>
                    </a:r>
                    <a:endParaRPr lang="en-US" sz="1000" b="1"/>
                  </a:p>
                </c:rich>
              </c:tx>
              <c:dLblPos val="outEnd"/>
            </c:dLbl>
            <c:dLbl>
              <c:idx val="3"/>
              <c:layout>
                <c:manualLayout>
                  <c:x val="1.1899232532642278E-2"/>
                  <c:y val="1.7186740546320599E-2"/>
                </c:manualLayout>
              </c:layout>
              <c:tx>
                <c:rich>
                  <a:bodyPr/>
                  <a:lstStyle/>
                  <a:p>
                    <a:r>
                      <a:rPr lang="ru-RU" sz="1000"/>
                      <a:t>10,4*</a:t>
                    </a:r>
                    <a:endParaRPr lang="en-US" sz="1000"/>
                  </a:p>
                </c:rich>
              </c:tx>
              <c:dLblPos val="outEnd"/>
            </c:dLbl>
            <c:dLbl>
              <c:idx val="4"/>
              <c:layout>
                <c:manualLayout>
                  <c:x val="1.0924639230358713E-2"/>
                  <c:y val="4.8544624769320784E-3"/>
                </c:manualLayout>
              </c:layout>
              <c:tx>
                <c:rich>
                  <a:bodyPr/>
                  <a:lstStyle/>
                  <a:p>
                    <a:r>
                      <a:rPr lang="ru-RU" sz="1000"/>
                      <a:t>5,2*</a:t>
                    </a:r>
                    <a:endParaRPr lang="en-US" sz="1000"/>
                  </a:p>
                </c:rich>
              </c:tx>
              <c:dLblPos val="outEnd"/>
            </c:dLbl>
            <c:dLbl>
              <c:idx val="5"/>
              <c:layout>
                <c:manualLayout>
                  <c:x val="1.6322401175000143E-2"/>
                  <c:y val="9.2570991388661768E-3"/>
                </c:manualLayout>
              </c:layout>
              <c:tx>
                <c:rich>
                  <a:bodyPr/>
                  <a:lstStyle/>
                  <a:p>
                    <a:r>
                      <a:rPr lang="ru-RU" sz="1000"/>
                      <a:t>17,8*</a:t>
                    </a:r>
                    <a:endParaRPr lang="en-US" sz="1000"/>
                  </a:p>
                </c:rich>
              </c:tx>
              <c:dLblPos val="outEnd"/>
            </c:dLbl>
            <c:dLbl>
              <c:idx val="6"/>
              <c:layout>
                <c:manualLayout>
                  <c:x val="4.0251667106205027E-3"/>
                  <c:y val="1.0088636461425918E-2"/>
                </c:manualLayout>
              </c:layout>
              <c:tx>
                <c:rich>
                  <a:bodyPr/>
                  <a:lstStyle/>
                  <a:p>
                    <a:r>
                      <a:rPr lang="en-US" sz="1000" b="1"/>
                      <a:t>9,</a:t>
                    </a:r>
                    <a:r>
                      <a:rPr lang="ru-RU" sz="1000" b="1"/>
                      <a:t>6</a:t>
                    </a:r>
                    <a:endParaRPr lang="en-US" sz="1000" b="1"/>
                  </a:p>
                </c:rich>
              </c:tx>
              <c:dLblPos val="outEnd"/>
            </c:dLbl>
            <c:dLbl>
              <c:idx val="7"/>
              <c:layout>
                <c:manualLayout>
                  <c:xMode val="edge"/>
                  <c:yMode val="edge"/>
                  <c:x val="0.75274725274725274"/>
                  <c:y val="0.48214285714289573"/>
                </c:manualLayout>
              </c:layout>
              <c:dLblPos val="outEnd"/>
              <c:showVal val="1"/>
            </c:dLbl>
            <c:spPr>
              <a:noFill/>
              <a:ln w="28727">
                <a:noFill/>
              </a:ln>
            </c:spPr>
            <c:txPr>
              <a:bodyPr rot="0" vert="horz"/>
              <a:lstStyle/>
              <a:p>
                <a:pPr>
                  <a:defRPr sz="1000" b="1"/>
                </a:pPr>
                <a:endParaRPr lang="ru-RU"/>
              </a:p>
            </c:txPr>
            <c:showVal val="1"/>
          </c:dLbls>
          <c:cat>
            <c:strRef>
              <c:f>Sheet1!$B$1:$G$1</c:f>
              <c:strCache>
                <c:ptCount val="6"/>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легкой промышленности</c:v>
                </c:pt>
                <c:pt idx="5">
                  <c:v>Прочие товары</c:v>
                </c:pt>
              </c:strCache>
            </c:strRef>
          </c:cat>
          <c:val>
            <c:numRef>
              <c:f>Sheet1!$B$3:$G$3</c:f>
              <c:numCache>
                <c:formatCode>0.0</c:formatCode>
                <c:ptCount val="6"/>
                <c:pt idx="0">
                  <c:v>408.79199999999656</c:v>
                </c:pt>
                <c:pt idx="1">
                  <c:v>59.866</c:v>
                </c:pt>
                <c:pt idx="2">
                  <c:v>102.57199999999999</c:v>
                </c:pt>
                <c:pt idx="3">
                  <c:v>89.043999999999997</c:v>
                </c:pt>
                <c:pt idx="4">
                  <c:v>44.913000000000004</c:v>
                </c:pt>
                <c:pt idx="5">
                  <c:v>152.608</c:v>
                </c:pt>
              </c:numCache>
            </c:numRef>
          </c:val>
        </c:ser>
        <c:gapWidth val="160"/>
        <c:axId val="153831680"/>
        <c:axId val="153673728"/>
      </c:barChart>
      <c:catAx>
        <c:axId val="153831680"/>
        <c:scaling>
          <c:orientation val="minMax"/>
        </c:scaling>
        <c:axPos val="b"/>
        <c:numFmt formatCode="General" sourceLinked="1"/>
        <c:tickLblPos val="low"/>
        <c:txPr>
          <a:bodyPr rot="-5400000" vert="horz"/>
          <a:lstStyle/>
          <a:p>
            <a:pPr>
              <a:defRPr sz="900" b="1"/>
            </a:pPr>
            <a:endParaRPr lang="ru-RU"/>
          </a:p>
        </c:txPr>
        <c:crossAx val="153673728"/>
        <c:crosses val="autoZero"/>
        <c:lblAlgn val="ctr"/>
        <c:lblOffset val="160"/>
        <c:tickLblSkip val="1"/>
        <c:tickMarkSkip val="1"/>
      </c:catAx>
      <c:valAx>
        <c:axId val="153673728"/>
        <c:scaling>
          <c:orientation val="minMax"/>
        </c:scaling>
        <c:axPos val="l"/>
        <c:title>
          <c:tx>
            <c:rich>
              <a:bodyPr rot="0" vert="horz"/>
              <a:lstStyle/>
              <a:p>
                <a:pPr algn="ctr">
                  <a:defRPr sz="1447" b="0" i="0" u="none" strike="noStrike" baseline="0">
                    <a:solidFill>
                      <a:srgbClr val="000000"/>
                    </a:solidFill>
                    <a:latin typeface="Times New Roman"/>
                    <a:ea typeface="Times New Roman"/>
                    <a:cs typeface="Times New Roman"/>
                  </a:defRPr>
                </a:pPr>
                <a:r>
                  <a:rPr lang="ru-RU" sz="905" b="1" i="0" strike="noStrike">
                    <a:solidFill>
                      <a:srgbClr val="000000"/>
                    </a:solidFill>
                    <a:latin typeface="Times New Roman"/>
                    <a:cs typeface="Times New Roman"/>
                  </a:rPr>
                  <a:t>*-удельный</a:t>
                </a:r>
              </a:p>
              <a:p>
                <a:pPr algn="ctr">
                  <a:defRPr sz="1447" b="0" i="0" u="none" strike="noStrike" baseline="0">
                    <a:solidFill>
                      <a:srgbClr val="000000"/>
                    </a:solidFill>
                    <a:latin typeface="Times New Roman"/>
                    <a:ea typeface="Times New Roman"/>
                    <a:cs typeface="Times New Roman"/>
                  </a:defRPr>
                </a:pPr>
                <a:r>
                  <a:rPr lang="ru-RU" sz="905" b="1" i="0" strike="noStrike">
                    <a:solidFill>
                      <a:srgbClr val="000000"/>
                    </a:solidFill>
                    <a:latin typeface="Times New Roman"/>
                    <a:cs typeface="Times New Roman"/>
                  </a:rPr>
                  <a:t> вес в общем </a:t>
                </a:r>
              </a:p>
              <a:p>
                <a:pPr algn="ctr">
                  <a:defRPr sz="1447" b="0" i="0" u="none" strike="noStrike" baseline="0">
                    <a:solidFill>
                      <a:srgbClr val="000000"/>
                    </a:solidFill>
                    <a:latin typeface="Times New Roman"/>
                    <a:ea typeface="Times New Roman"/>
                    <a:cs typeface="Times New Roman"/>
                  </a:defRPr>
                </a:pPr>
                <a:r>
                  <a:rPr lang="ru-RU" sz="905" b="1" i="0" strike="noStrike">
                    <a:solidFill>
                      <a:srgbClr val="000000"/>
                    </a:solidFill>
                    <a:latin typeface="Times New Roman"/>
                    <a:cs typeface="Times New Roman"/>
                  </a:rPr>
                  <a:t>объеме импорта,%</a:t>
                </a:r>
              </a:p>
            </c:rich>
          </c:tx>
          <c:layout>
            <c:manualLayout>
              <c:xMode val="edge"/>
              <c:yMode val="edge"/>
              <c:x val="0.81176168643476565"/>
              <c:y val="0.10976144176310219"/>
            </c:manualLayout>
          </c:layout>
          <c:spPr>
            <a:noFill/>
            <a:ln w="28727">
              <a:noFill/>
            </a:ln>
          </c:spPr>
        </c:title>
        <c:numFmt formatCode="0.0" sourceLinked="1"/>
        <c:tickLblPos val="nextTo"/>
        <c:txPr>
          <a:bodyPr rot="0" vert="horz"/>
          <a:lstStyle/>
          <a:p>
            <a:pPr>
              <a:defRPr b="1"/>
            </a:pPr>
            <a:endParaRPr lang="ru-RU"/>
          </a:p>
        </c:txPr>
        <c:crossAx val="153831680"/>
        <c:crosses val="autoZero"/>
        <c:crossBetween val="between"/>
      </c:valAx>
    </c:plotArea>
    <c:legend>
      <c:legendPos val="r"/>
      <c:layout>
        <c:manualLayout>
          <c:xMode val="edge"/>
          <c:yMode val="edge"/>
          <c:x val="5.2742616033756275E-2"/>
          <c:y val="0.93581084415730087"/>
          <c:w val="0.86241569487359349"/>
          <c:h val="6.4188707180833193E-2"/>
        </c:manualLayout>
      </c:layout>
      <c:txPr>
        <a:bodyPr/>
        <a:lstStyle/>
        <a:p>
          <a:pPr>
            <a:defRPr sz="100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32"/>
  <c:chart>
    <c:title>
      <c:tx>
        <c:rich>
          <a:bodyPr/>
          <a:lstStyle/>
          <a:p>
            <a:pPr>
              <a:defRPr sz="1197">
                <a:latin typeface="Times New Roman" pitchFamily="18" charset="0"/>
                <a:cs typeface="Times New Roman" pitchFamily="18" charset="0"/>
              </a:defRPr>
            </a:pPr>
            <a:r>
              <a:rPr lang="ru-RU" sz="1197">
                <a:latin typeface="Times New Roman" pitchFamily="18" charset="0"/>
                <a:cs typeface="Times New Roman" pitchFamily="18" charset="0"/>
              </a:rPr>
              <a:t>Импорт товаров в разрезе стран, тыс. долл. США</a:t>
            </a:r>
          </a:p>
        </c:rich>
      </c:tx>
      <c:layout>
        <c:manualLayout>
          <c:xMode val="edge"/>
          <c:yMode val="edge"/>
          <c:x val="0.28854201433776078"/>
          <c:y val="3.2542396846858782E-3"/>
        </c:manualLayout>
      </c:layout>
      <c:spPr>
        <a:noFill/>
        <a:ln w="25398">
          <a:noFill/>
        </a:ln>
      </c:spPr>
    </c:title>
    <c:plotArea>
      <c:layout>
        <c:manualLayout>
          <c:layoutTarget val="inner"/>
          <c:xMode val="edge"/>
          <c:yMode val="edge"/>
          <c:x val="0.24166122622487937"/>
          <c:y val="0.18682721229189467"/>
          <c:w val="0.74843287976818662"/>
          <c:h val="0.46851351610245906"/>
        </c:manualLayout>
      </c:layout>
      <c:barChart>
        <c:barDir val="col"/>
        <c:grouping val="clustered"/>
        <c:ser>
          <c:idx val="0"/>
          <c:order val="0"/>
          <c:tx>
            <c:strRef>
              <c:f>Лист1!$B$1</c:f>
              <c:strCache>
                <c:ptCount val="1"/>
                <c:pt idx="0">
                  <c:v>январь - декабрь 2015 г.</c:v>
                </c:pt>
              </c:strCache>
            </c:strRef>
          </c:tx>
          <c:dLbls>
            <c:dLbl>
              <c:idx val="0"/>
              <c:layout>
                <c:manualLayout>
                  <c:x val="-3.0228500849158561E-3"/>
                  <c:y val="4.2418869826703134E-3"/>
                </c:manualLayout>
              </c:layout>
              <c:tx>
                <c:rich>
                  <a:bodyPr/>
                  <a:lstStyle/>
                  <a:p>
                    <a:r>
                      <a:rPr lang="ru-RU" sz="898" b="1">
                        <a:latin typeface="Times New Roman" pitchFamily="18" charset="0"/>
                        <a:cs typeface="Times New Roman" pitchFamily="18" charset="0"/>
                      </a:rPr>
                      <a:t>51,6*</a:t>
                    </a:r>
                    <a:endParaRPr lang="en-US" sz="900" b="1">
                      <a:latin typeface="Times New Roman" pitchFamily="18" charset="0"/>
                      <a:cs typeface="Times New Roman" pitchFamily="18" charset="0"/>
                    </a:endParaRPr>
                  </a:p>
                </c:rich>
              </c:tx>
              <c:dLblPos val="outEnd"/>
            </c:dLbl>
            <c:dLbl>
              <c:idx val="1"/>
              <c:layout>
                <c:manualLayout>
                  <c:x val="8.2047012845861214E-4"/>
                  <c:y val="9.7335433070866728E-3"/>
                </c:manualLayout>
              </c:layout>
              <c:tx>
                <c:rich>
                  <a:bodyPr/>
                  <a:lstStyle/>
                  <a:p>
                    <a:r>
                      <a:rPr lang="ru-RU" sz="898" b="1">
                        <a:latin typeface="Times New Roman" pitchFamily="18" charset="0"/>
                        <a:cs typeface="Times New Roman" pitchFamily="18" charset="0"/>
                      </a:rPr>
                      <a:t>14,2*</a:t>
                    </a:r>
                    <a:endParaRPr lang="en-US" sz="900" b="1">
                      <a:latin typeface="Times New Roman" pitchFamily="18" charset="0"/>
                      <a:cs typeface="Times New Roman" pitchFamily="18" charset="0"/>
                    </a:endParaRPr>
                  </a:p>
                </c:rich>
              </c:tx>
              <c:dLblPos val="outEnd"/>
            </c:dLbl>
            <c:dLbl>
              <c:idx val="2"/>
              <c:layout>
                <c:manualLayout>
                  <c:x val="-2.1241315423809908E-3"/>
                  <c:y val="1.3422676470077001E-2"/>
                </c:manualLayout>
              </c:layout>
              <c:tx>
                <c:rich>
                  <a:bodyPr/>
                  <a:lstStyle/>
                  <a:p>
                    <a:r>
                      <a:rPr lang="ru-RU" sz="898" b="1">
                        <a:latin typeface="Times New Roman" pitchFamily="18" charset="0"/>
                        <a:cs typeface="Times New Roman" pitchFamily="18" charset="0"/>
                      </a:rPr>
                      <a:t>6,8*</a:t>
                    </a:r>
                    <a:endParaRPr lang="en-US" sz="900" b="1">
                      <a:latin typeface="Times New Roman" pitchFamily="18" charset="0"/>
                      <a:cs typeface="Times New Roman" pitchFamily="18" charset="0"/>
                    </a:endParaRPr>
                  </a:p>
                </c:rich>
              </c:tx>
              <c:dLblPos val="outEnd"/>
            </c:dLbl>
            <c:dLbl>
              <c:idx val="3"/>
              <c:layout>
                <c:manualLayout>
                  <c:x val="-1.2527404662653091E-3"/>
                  <c:y val="1.8752672472232362E-2"/>
                </c:manualLayout>
              </c:layout>
              <c:tx>
                <c:rich>
                  <a:bodyPr/>
                  <a:lstStyle/>
                  <a:p>
                    <a:r>
                      <a:rPr lang="ru-RU" sz="898" b="1">
                        <a:latin typeface="Times New Roman" pitchFamily="18" charset="0"/>
                        <a:cs typeface="Times New Roman" pitchFamily="18" charset="0"/>
                      </a:rPr>
                      <a:t>4,3*</a:t>
                    </a:r>
                    <a:endParaRPr lang="en-US" sz="900" b="1">
                      <a:latin typeface="Times New Roman" pitchFamily="18" charset="0"/>
                      <a:cs typeface="Times New Roman" pitchFamily="18" charset="0"/>
                    </a:endParaRPr>
                  </a:p>
                </c:rich>
              </c:tx>
              <c:dLblPos val="outEnd"/>
            </c:dLbl>
            <c:dLbl>
              <c:idx val="4"/>
              <c:layout>
                <c:manualLayout>
                  <c:x val="-3.5208973683889351E-3"/>
                  <c:y val="1.3422708778503161E-2"/>
                </c:manualLayout>
              </c:layout>
              <c:tx>
                <c:rich>
                  <a:bodyPr/>
                  <a:lstStyle/>
                  <a:p>
                    <a:r>
                      <a:rPr lang="ru-RU" sz="898" b="1">
                        <a:latin typeface="Times New Roman" pitchFamily="18" charset="0"/>
                        <a:cs typeface="Times New Roman" pitchFamily="18" charset="0"/>
                      </a:rPr>
                      <a:t>4,1*</a:t>
                    </a:r>
                    <a:endParaRPr lang="en-US" sz="900" b="1">
                      <a:latin typeface="Times New Roman" pitchFamily="18" charset="0"/>
                      <a:cs typeface="Times New Roman" pitchFamily="18" charset="0"/>
                    </a:endParaRPr>
                  </a:p>
                </c:rich>
              </c:tx>
              <c:dLblPos val="outEnd"/>
            </c:dLbl>
            <c:dLbl>
              <c:idx val="5"/>
              <c:layout>
                <c:manualLayout>
                  <c:x val="-6.9444444444449411E-3"/>
                  <c:y val="0"/>
                </c:manualLayout>
              </c:layout>
              <c:tx>
                <c:rich>
                  <a:bodyPr/>
                  <a:lstStyle/>
                  <a:p>
                    <a:r>
                      <a:rPr lang="ru-RU" sz="898" b="1">
                        <a:latin typeface="Times New Roman" pitchFamily="18" charset="0"/>
                        <a:cs typeface="Times New Roman" pitchFamily="18" charset="0"/>
                      </a:rPr>
                      <a:t>2,2*</a:t>
                    </a:r>
                    <a:endParaRPr lang="en-US" sz="900" b="1">
                      <a:latin typeface="Times New Roman" pitchFamily="18" charset="0"/>
                      <a:cs typeface="Times New Roman" pitchFamily="18" charset="0"/>
                    </a:endParaRPr>
                  </a:p>
                </c:rich>
              </c:tx>
              <c:dLblPos val="outEnd"/>
            </c:dLbl>
            <c:dLbl>
              <c:idx val="6"/>
              <c:layout>
                <c:manualLayout>
                  <c:x val="-7.4268010433377434E-3"/>
                  <c:y val="1.4869888475836441E-2"/>
                </c:manualLayout>
              </c:layout>
              <c:tx>
                <c:rich>
                  <a:bodyPr/>
                  <a:lstStyle/>
                  <a:p>
                    <a:r>
                      <a:rPr lang="ru-RU" sz="898" b="1">
                        <a:latin typeface="Times New Roman" pitchFamily="18" charset="0"/>
                        <a:cs typeface="Times New Roman" pitchFamily="18" charset="0"/>
                      </a:rPr>
                      <a:t>2,0*</a:t>
                    </a:r>
                    <a:endParaRPr lang="en-US" sz="900" b="1">
                      <a:latin typeface="Times New Roman" pitchFamily="18" charset="0"/>
                      <a:cs typeface="Times New Roman" pitchFamily="18" charset="0"/>
                    </a:endParaRPr>
                  </a:p>
                </c:rich>
              </c:tx>
              <c:dLblPos val="outEnd"/>
            </c:dLbl>
            <c:dLbl>
              <c:idx val="7"/>
              <c:layout>
                <c:manualLayout>
                  <c:x val="-1.2636096958468426E-2"/>
                  <c:y val="8.9485668596065767E-3"/>
                </c:manualLayout>
              </c:layout>
              <c:tx>
                <c:rich>
                  <a:bodyPr/>
                  <a:lstStyle/>
                  <a:p>
                    <a:r>
                      <a:rPr lang="ru-RU" sz="898" b="1">
                        <a:latin typeface="Times New Roman" pitchFamily="18" charset="0"/>
                        <a:cs typeface="Times New Roman" pitchFamily="18" charset="0"/>
                      </a:rPr>
                      <a:t>14,9*</a:t>
                    </a:r>
                    <a:endParaRPr lang="en-US" sz="900" b="1">
                      <a:latin typeface="Times New Roman" pitchFamily="18" charset="0"/>
                      <a:cs typeface="Times New Roman" pitchFamily="18" charset="0"/>
                    </a:endParaRPr>
                  </a:p>
                </c:rich>
              </c:tx>
              <c:dLblPos val="outEnd"/>
            </c:dLbl>
            <c:spPr>
              <a:noFill/>
              <a:ln w="25398">
                <a:noFill/>
              </a:ln>
            </c:spPr>
            <c:txPr>
              <a:bodyPr/>
              <a:lstStyle/>
              <a:p>
                <a:pPr>
                  <a:defRPr sz="898">
                    <a:latin typeface="Times New Roman" pitchFamily="18" charset="0"/>
                    <a:cs typeface="Times New Roman" pitchFamily="18" charset="0"/>
                  </a:defRPr>
                </a:pPr>
                <a:endParaRPr lang="ru-RU"/>
              </a:p>
            </c:txPr>
            <c:dLblPos val="outEnd"/>
            <c:showVal val="1"/>
          </c:dLbls>
          <c:cat>
            <c:strRef>
              <c:f>Лист1!$A$2:$A$9</c:f>
              <c:strCache>
                <c:ptCount val="8"/>
                <c:pt idx="0">
                  <c:v>Россия</c:v>
                </c:pt>
                <c:pt idx="1">
                  <c:v>Украина</c:v>
                </c:pt>
                <c:pt idx="2">
                  <c:v> Молдова</c:v>
                </c:pt>
                <c:pt idx="3">
                  <c:v>Беларусь</c:v>
                </c:pt>
                <c:pt idx="4">
                  <c:v>Германия</c:v>
                </c:pt>
                <c:pt idx="5">
                  <c:v>Италия</c:v>
                </c:pt>
                <c:pt idx="6">
                  <c:v>Польша</c:v>
                </c:pt>
                <c:pt idx="7">
                  <c:v>Прочие страны</c:v>
                </c:pt>
              </c:strCache>
            </c:strRef>
          </c:cat>
          <c:val>
            <c:numRef>
              <c:f>Лист1!$B$2:$B$9</c:f>
              <c:numCache>
                <c:formatCode>#,##0.0</c:formatCode>
                <c:ptCount val="8"/>
                <c:pt idx="0">
                  <c:v>587468.19999999355</c:v>
                </c:pt>
                <c:pt idx="1">
                  <c:v>161624.1</c:v>
                </c:pt>
                <c:pt idx="2">
                  <c:v>76967.5</c:v>
                </c:pt>
                <c:pt idx="3">
                  <c:v>48436.5</c:v>
                </c:pt>
                <c:pt idx="4">
                  <c:v>47162.9</c:v>
                </c:pt>
                <c:pt idx="5">
                  <c:v>24745.7</c:v>
                </c:pt>
                <c:pt idx="6">
                  <c:v>22255.9</c:v>
                </c:pt>
                <c:pt idx="7">
                  <c:v>169621.20000000019</c:v>
                </c:pt>
              </c:numCache>
            </c:numRef>
          </c:val>
        </c:ser>
        <c:ser>
          <c:idx val="1"/>
          <c:order val="1"/>
          <c:tx>
            <c:strRef>
              <c:f>Лист1!$C$1</c:f>
              <c:strCache>
                <c:ptCount val="1"/>
                <c:pt idx="0">
                  <c:v>январь - декабрь 2016 г.</c:v>
                </c:pt>
              </c:strCache>
            </c:strRef>
          </c:tx>
          <c:dLbls>
            <c:dLbl>
              <c:idx val="0"/>
              <c:layout>
                <c:manualLayout>
                  <c:x val="1.8424116103134169E-2"/>
                  <c:y val="0"/>
                </c:manualLayout>
              </c:layout>
              <c:tx>
                <c:rich>
                  <a:bodyPr/>
                  <a:lstStyle/>
                  <a:p>
                    <a:r>
                      <a:rPr lang="ru-RU" sz="898" b="1">
                        <a:latin typeface="Times New Roman" pitchFamily="18" charset="0"/>
                        <a:cs typeface="Times New Roman" pitchFamily="18" charset="0"/>
                      </a:rPr>
                      <a:t>48,9*</a:t>
                    </a:r>
                    <a:endParaRPr lang="en-US" sz="900" b="1">
                      <a:latin typeface="Times New Roman" pitchFamily="18" charset="0"/>
                      <a:cs typeface="Times New Roman" pitchFamily="18" charset="0"/>
                    </a:endParaRPr>
                  </a:p>
                </c:rich>
              </c:tx>
              <c:dLblPos val="outEnd"/>
            </c:dLbl>
            <c:dLbl>
              <c:idx val="1"/>
              <c:layout>
                <c:manualLayout>
                  <c:x val="1.1864597807626987E-2"/>
                  <c:y val="6.5359545288627002E-3"/>
                </c:manualLayout>
              </c:layout>
              <c:tx>
                <c:rich>
                  <a:bodyPr/>
                  <a:lstStyle/>
                  <a:p>
                    <a:r>
                      <a:rPr lang="ru-RU" sz="898" b="1">
                        <a:latin typeface="Times New Roman" pitchFamily="18" charset="0"/>
                        <a:cs typeface="Times New Roman" pitchFamily="18" charset="0"/>
                      </a:rPr>
                      <a:t>10,9*</a:t>
                    </a:r>
                    <a:endParaRPr lang="en-US" sz="900" b="1">
                      <a:latin typeface="Times New Roman" pitchFamily="18" charset="0"/>
                      <a:cs typeface="Times New Roman" pitchFamily="18" charset="0"/>
                    </a:endParaRPr>
                  </a:p>
                </c:rich>
              </c:tx>
              <c:dLblPos val="outEnd"/>
            </c:dLbl>
            <c:dLbl>
              <c:idx val="2"/>
              <c:layout>
                <c:manualLayout>
                  <c:x val="1.7099319337738322E-2"/>
                  <c:y val="1.3130901740730701E-2"/>
                </c:manualLayout>
              </c:layout>
              <c:tx>
                <c:rich>
                  <a:bodyPr/>
                  <a:lstStyle/>
                  <a:p>
                    <a:r>
                      <a:rPr lang="ru-RU" sz="898" b="1">
                        <a:latin typeface="Times New Roman" pitchFamily="18" charset="0"/>
                        <a:cs typeface="Times New Roman" pitchFamily="18" charset="0"/>
                      </a:rPr>
                      <a:t>8,5*</a:t>
                    </a:r>
                    <a:endParaRPr lang="en-US" sz="900" b="1">
                      <a:latin typeface="Times New Roman" pitchFamily="18" charset="0"/>
                      <a:cs typeface="Times New Roman" pitchFamily="18" charset="0"/>
                    </a:endParaRPr>
                  </a:p>
                </c:rich>
              </c:tx>
              <c:dLblPos val="outEnd"/>
            </c:dLbl>
            <c:dLbl>
              <c:idx val="3"/>
              <c:layout>
                <c:manualLayout>
                  <c:x val="7.8794323698917132E-3"/>
                  <c:y val="2.1432407156002052E-2"/>
                </c:manualLayout>
              </c:layout>
              <c:tx>
                <c:rich>
                  <a:bodyPr/>
                  <a:lstStyle/>
                  <a:p>
                    <a:r>
                      <a:rPr lang="ru-RU" sz="898" b="1">
                        <a:latin typeface="Times New Roman" pitchFamily="18" charset="0"/>
                        <a:cs typeface="Times New Roman" pitchFamily="18" charset="0"/>
                      </a:rPr>
                      <a:t>4,0*</a:t>
                    </a:r>
                    <a:endParaRPr lang="en-US" sz="900" b="1">
                      <a:latin typeface="Times New Roman" pitchFamily="18" charset="0"/>
                      <a:cs typeface="Times New Roman" pitchFamily="18" charset="0"/>
                    </a:endParaRPr>
                  </a:p>
                </c:rich>
              </c:tx>
              <c:dLblPos val="outEnd"/>
            </c:dLbl>
            <c:dLbl>
              <c:idx val="4"/>
              <c:layout>
                <c:manualLayout>
                  <c:x val="1.0321290721012817E-2"/>
                  <c:y val="8.8296744363908167E-3"/>
                </c:manualLayout>
              </c:layout>
              <c:tx>
                <c:rich>
                  <a:bodyPr/>
                  <a:lstStyle/>
                  <a:p>
                    <a:r>
                      <a:rPr lang="ru-RU" sz="898" b="1">
                        <a:latin typeface="Times New Roman" pitchFamily="18" charset="0"/>
                        <a:cs typeface="Times New Roman" pitchFamily="18" charset="0"/>
                      </a:rPr>
                      <a:t>4,1*</a:t>
                    </a:r>
                    <a:endParaRPr lang="en-US" sz="900" b="1">
                      <a:latin typeface="Times New Roman" pitchFamily="18" charset="0"/>
                      <a:cs typeface="Times New Roman" pitchFamily="18" charset="0"/>
                    </a:endParaRPr>
                  </a:p>
                </c:rich>
              </c:tx>
              <c:dLblPos val="outEnd"/>
            </c:dLbl>
            <c:dLbl>
              <c:idx val="5"/>
              <c:layout>
                <c:manualLayout>
                  <c:x val="9.9672687972827047E-3"/>
                  <c:y val="-1.7764335749423138E-4"/>
                </c:manualLayout>
              </c:layout>
              <c:tx>
                <c:rich>
                  <a:bodyPr/>
                  <a:lstStyle/>
                  <a:p>
                    <a:r>
                      <a:rPr lang="ru-RU" sz="898" b="1">
                        <a:latin typeface="Times New Roman" pitchFamily="18" charset="0"/>
                        <a:cs typeface="Times New Roman" pitchFamily="18" charset="0"/>
                      </a:rPr>
                      <a:t>2,4*</a:t>
                    </a:r>
                    <a:endParaRPr lang="en-US" sz="900" b="1">
                      <a:latin typeface="Times New Roman" pitchFamily="18" charset="0"/>
                      <a:cs typeface="Times New Roman" pitchFamily="18" charset="0"/>
                    </a:endParaRPr>
                  </a:p>
                </c:rich>
              </c:tx>
              <c:dLblPos val="outEnd"/>
            </c:dLbl>
            <c:dLbl>
              <c:idx val="6"/>
              <c:layout>
                <c:manualLayout>
                  <c:x val="1.1574002944753857E-2"/>
                  <c:y val="9.4562647754137547E-3"/>
                </c:manualLayout>
              </c:layout>
              <c:tx>
                <c:rich>
                  <a:bodyPr/>
                  <a:lstStyle/>
                  <a:p>
                    <a:r>
                      <a:rPr lang="ru-RU" sz="898" b="1">
                        <a:latin typeface="Times New Roman" pitchFamily="18" charset="0"/>
                        <a:cs typeface="Times New Roman" pitchFamily="18" charset="0"/>
                      </a:rPr>
                      <a:t>2,2*</a:t>
                    </a:r>
                    <a:endParaRPr lang="en-US" sz="900" b="1">
                      <a:latin typeface="Times New Roman" pitchFamily="18" charset="0"/>
                      <a:cs typeface="Times New Roman" pitchFamily="18" charset="0"/>
                    </a:endParaRPr>
                  </a:p>
                </c:rich>
              </c:tx>
              <c:dLblPos val="outEnd"/>
            </c:dLbl>
            <c:dLbl>
              <c:idx val="7"/>
              <c:layout>
                <c:manualLayout>
                  <c:x val="1.0951763651494778E-2"/>
                  <c:y val="7.5461489299654023E-3"/>
                </c:manualLayout>
              </c:layout>
              <c:tx>
                <c:rich>
                  <a:bodyPr/>
                  <a:lstStyle/>
                  <a:p>
                    <a:r>
                      <a:rPr lang="ru-RU" sz="898" b="1">
                        <a:latin typeface="Times New Roman" pitchFamily="18" charset="0"/>
                        <a:cs typeface="Times New Roman" pitchFamily="18" charset="0"/>
                      </a:rPr>
                      <a:t>19,0*</a:t>
                    </a:r>
                    <a:endParaRPr lang="en-US" sz="900" b="1">
                      <a:latin typeface="Times New Roman" pitchFamily="18" charset="0"/>
                      <a:cs typeface="Times New Roman" pitchFamily="18" charset="0"/>
                    </a:endParaRPr>
                  </a:p>
                </c:rich>
              </c:tx>
              <c:dLblPos val="outEnd"/>
            </c:dLbl>
            <c:spPr>
              <a:noFill/>
              <a:ln w="25398">
                <a:noFill/>
              </a:ln>
            </c:spPr>
            <c:txPr>
              <a:bodyPr/>
              <a:lstStyle/>
              <a:p>
                <a:pPr>
                  <a:defRPr sz="898">
                    <a:latin typeface="Times New Roman" pitchFamily="18" charset="0"/>
                    <a:cs typeface="Times New Roman" pitchFamily="18" charset="0"/>
                  </a:defRPr>
                </a:pPr>
                <a:endParaRPr lang="ru-RU"/>
              </a:p>
            </c:txPr>
            <c:dLblPos val="outEnd"/>
            <c:showVal val="1"/>
          </c:dLbls>
          <c:cat>
            <c:strRef>
              <c:f>Лист1!$A$2:$A$9</c:f>
              <c:strCache>
                <c:ptCount val="8"/>
                <c:pt idx="0">
                  <c:v>Россия</c:v>
                </c:pt>
                <c:pt idx="1">
                  <c:v>Украина</c:v>
                </c:pt>
                <c:pt idx="2">
                  <c:v> Молдова</c:v>
                </c:pt>
                <c:pt idx="3">
                  <c:v>Беларусь</c:v>
                </c:pt>
                <c:pt idx="4">
                  <c:v>Германия</c:v>
                </c:pt>
                <c:pt idx="5">
                  <c:v>Италия</c:v>
                </c:pt>
                <c:pt idx="6">
                  <c:v>Польша</c:v>
                </c:pt>
                <c:pt idx="7">
                  <c:v>Прочие страны</c:v>
                </c:pt>
              </c:strCache>
            </c:strRef>
          </c:cat>
          <c:val>
            <c:numRef>
              <c:f>Лист1!$C$2:$C$9</c:f>
              <c:numCache>
                <c:formatCode>#,##0.0</c:formatCode>
                <c:ptCount val="8"/>
                <c:pt idx="0">
                  <c:v>419343.4</c:v>
                </c:pt>
                <c:pt idx="1">
                  <c:v>93420.1</c:v>
                </c:pt>
                <c:pt idx="2">
                  <c:v>72974.7</c:v>
                </c:pt>
                <c:pt idx="3">
                  <c:v>34545.300000000003</c:v>
                </c:pt>
                <c:pt idx="4">
                  <c:v>35174.300000000003</c:v>
                </c:pt>
                <c:pt idx="5">
                  <c:v>20801.5</c:v>
                </c:pt>
                <c:pt idx="6">
                  <c:v>18919.5</c:v>
                </c:pt>
                <c:pt idx="7">
                  <c:v>162617</c:v>
                </c:pt>
              </c:numCache>
            </c:numRef>
          </c:val>
        </c:ser>
        <c:dLbls>
          <c:showVal val="1"/>
        </c:dLbls>
        <c:axId val="153626112"/>
        <c:axId val="153627648"/>
      </c:barChart>
      <c:catAx>
        <c:axId val="153626112"/>
        <c:scaling>
          <c:orientation val="minMax"/>
        </c:scaling>
        <c:axPos val="b"/>
        <c:numFmt formatCode="General" sourceLinked="1"/>
        <c:tickLblPos val="nextTo"/>
        <c:crossAx val="153627648"/>
        <c:crosses val="autoZero"/>
        <c:auto val="1"/>
        <c:lblAlgn val="ctr"/>
        <c:lblOffset val="100"/>
      </c:catAx>
      <c:valAx>
        <c:axId val="153627648"/>
        <c:scaling>
          <c:orientation val="minMax"/>
        </c:scaling>
        <c:axPos val="l"/>
        <c:title>
          <c:tx>
            <c:rich>
              <a:bodyPr rot="0" vert="horz"/>
              <a:lstStyle/>
              <a:p>
                <a:pPr algn="ctr">
                  <a:defRPr sz="895" b="0" i="0" u="none" strike="noStrike" baseline="0">
                    <a:solidFill>
                      <a:srgbClr val="000000"/>
                    </a:solidFill>
                    <a:latin typeface="Times New Roman"/>
                    <a:ea typeface="Times New Roman"/>
                    <a:cs typeface="Times New Roman"/>
                  </a:defRPr>
                </a:pPr>
                <a:r>
                  <a:rPr lang="ru-RU" b="1"/>
                  <a:t>*- удельный вес страны в общем импорте,%</a:t>
                </a:r>
              </a:p>
            </c:rich>
          </c:tx>
          <c:layout>
            <c:manualLayout>
              <c:xMode val="edge"/>
              <c:yMode val="edge"/>
              <c:x val="1.7122228952150213E-2"/>
              <c:y val="0.52658157802476857"/>
            </c:manualLayout>
          </c:layout>
          <c:spPr>
            <a:noFill/>
            <a:ln w="25398">
              <a:noFill/>
            </a:ln>
          </c:spPr>
        </c:title>
        <c:numFmt formatCode="#,##0.0" sourceLinked="1"/>
        <c:tickLblPos val="nextTo"/>
        <c:txPr>
          <a:bodyPr/>
          <a:lstStyle/>
          <a:p>
            <a:pPr>
              <a:defRPr sz="900" b="1">
                <a:latin typeface="Times New Roman" pitchFamily="18" charset="0"/>
                <a:cs typeface="Times New Roman" pitchFamily="18" charset="0"/>
              </a:defRPr>
            </a:pPr>
            <a:endParaRPr lang="ru-RU"/>
          </a:p>
        </c:txPr>
        <c:crossAx val="153626112"/>
        <c:crosses val="autoZero"/>
        <c:crossBetween val="between"/>
        <c:dispUnits>
          <c:builtInUnit val="thousands"/>
        </c:dispUnits>
      </c:valAx>
      <c:dTable>
        <c:showHorzBorder val="1"/>
        <c:showVertBorder val="1"/>
        <c:showOutline val="1"/>
        <c:showKeys val="1"/>
        <c:txPr>
          <a:bodyPr/>
          <a:lstStyle/>
          <a:p>
            <a:pPr rtl="0">
              <a:defRPr sz="900" b="1">
                <a:latin typeface="Times New Roman" pitchFamily="18" charset="0"/>
                <a:cs typeface="Times New Roman" pitchFamily="18" charset="0"/>
              </a:defRPr>
            </a:pPr>
            <a:endParaRPr lang="ru-RU"/>
          </a:p>
        </c:txPr>
      </c:dTable>
    </c:plotArea>
    <c:plotVisOnly val="1"/>
    <c:dispBlanksAs val="gap"/>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654429342829119E-2"/>
          <c:y val="7.2690913635795593E-2"/>
          <c:w val="0.92031746827824856"/>
          <c:h val="0.58174394867308465"/>
        </c:manualLayout>
      </c:layout>
      <c:lineChart>
        <c:grouping val="standard"/>
        <c:ser>
          <c:idx val="3"/>
          <c:order val="3"/>
          <c:tx>
            <c:strRef>
              <c:f>Лист1!$C$1</c:f>
              <c:strCache>
                <c:ptCount val="1"/>
                <c:pt idx="0">
                  <c:v>2015</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0.0</c:formatCode>
                <c:ptCount val="12"/>
                <c:pt idx="0" formatCode="General">
                  <c:v>601.9</c:v>
                </c:pt>
                <c:pt idx="1">
                  <c:v>609</c:v>
                </c:pt>
                <c:pt idx="2" formatCode="General">
                  <c:v>719.1</c:v>
                </c:pt>
                <c:pt idx="3" formatCode="General">
                  <c:v>693.7</c:v>
                </c:pt>
                <c:pt idx="4" formatCode="General">
                  <c:v>766.6</c:v>
                </c:pt>
                <c:pt idx="5" formatCode="General">
                  <c:v>860</c:v>
                </c:pt>
                <c:pt idx="6" formatCode="General">
                  <c:v>916.5</c:v>
                </c:pt>
                <c:pt idx="7" formatCode="General">
                  <c:v>766.4</c:v>
                </c:pt>
                <c:pt idx="8" formatCode="General">
                  <c:v>737.1</c:v>
                </c:pt>
                <c:pt idx="9" formatCode="General">
                  <c:v>783.7</c:v>
                </c:pt>
                <c:pt idx="10" formatCode="General">
                  <c:v>716.3</c:v>
                </c:pt>
                <c:pt idx="11" formatCode="General">
                  <c:v>823.4</c:v>
                </c:pt>
              </c:numCache>
            </c:numRef>
          </c:val>
        </c:ser>
        <c:ser>
          <c:idx val="4"/>
          <c:order val="4"/>
          <c:tx>
            <c:strRef>
              <c:f>Лист1!$C$1</c:f>
              <c:strCache>
                <c:ptCount val="1"/>
                <c:pt idx="0">
                  <c:v>2015</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0.0</c:formatCode>
                <c:ptCount val="12"/>
                <c:pt idx="0" formatCode="General">
                  <c:v>601.9</c:v>
                </c:pt>
                <c:pt idx="1">
                  <c:v>609</c:v>
                </c:pt>
                <c:pt idx="2" formatCode="General">
                  <c:v>719.1</c:v>
                </c:pt>
                <c:pt idx="3" formatCode="General">
                  <c:v>693.7</c:v>
                </c:pt>
                <c:pt idx="4" formatCode="General">
                  <c:v>766.6</c:v>
                </c:pt>
                <c:pt idx="5" formatCode="General">
                  <c:v>860</c:v>
                </c:pt>
                <c:pt idx="6" formatCode="General">
                  <c:v>916.5</c:v>
                </c:pt>
                <c:pt idx="7" formatCode="General">
                  <c:v>766.4</c:v>
                </c:pt>
                <c:pt idx="8" formatCode="General">
                  <c:v>737.1</c:v>
                </c:pt>
                <c:pt idx="9" formatCode="General">
                  <c:v>783.7</c:v>
                </c:pt>
                <c:pt idx="10" formatCode="General">
                  <c:v>716.3</c:v>
                </c:pt>
                <c:pt idx="11" formatCode="General">
                  <c:v>823.4</c:v>
                </c:pt>
              </c:numCache>
            </c:numRef>
          </c:val>
        </c:ser>
        <c:ser>
          <c:idx val="0"/>
          <c:order val="0"/>
          <c:tx>
            <c:strRef>
              <c:f>Лист1!$B$1</c:f>
              <c:strCache>
                <c:ptCount val="1"/>
                <c:pt idx="0">
                  <c:v>2016</c:v>
                </c:pt>
              </c:strCache>
            </c:strRef>
          </c:tx>
          <c:spPr>
            <a:ln>
              <a:solidFill>
                <a:schemeClr val="accent3">
                  <a:lumMod val="75000"/>
                </a:schemeClr>
              </a:solidFill>
            </a:ln>
          </c:spPr>
          <c:dLbls>
            <c:dLbl>
              <c:idx val="0"/>
              <c:layout>
                <c:manualLayout>
                  <c:x val="-3.9910059013324006E-2"/>
                  <c:y val="0.13337822427368259"/>
                </c:manualLayout>
              </c:layout>
              <c:tx>
                <c:rich>
                  <a:bodyPr/>
                  <a:lstStyle/>
                  <a:p>
                    <a:r>
                      <a:rPr lang="ru-RU" sz="800" b="1">
                        <a:latin typeface="Times New Roman" pitchFamily="18" charset="0"/>
                        <a:cs typeface="Times New Roman" pitchFamily="18" charset="0"/>
                      </a:rPr>
                      <a:t>82,0%*</a:t>
                    </a:r>
                    <a:endParaRPr lang="en-US" sz="800" b="1">
                      <a:latin typeface="Times New Roman" pitchFamily="18" charset="0"/>
                      <a:cs typeface="Times New Roman" pitchFamily="18" charset="0"/>
                    </a:endParaRPr>
                  </a:p>
                </c:rich>
              </c:tx>
              <c:dLblPos val="r"/>
            </c:dLbl>
            <c:dLbl>
              <c:idx val="1"/>
              <c:layout>
                <c:manualLayout>
                  <c:x val="-4.3368273233362002E-2"/>
                  <c:y val="0.2007071757539742"/>
                </c:manualLayout>
              </c:layout>
              <c:tx>
                <c:rich>
                  <a:bodyPr/>
                  <a:lstStyle/>
                  <a:p>
                    <a:r>
                      <a:rPr lang="ru-RU" sz="800" b="1">
                        <a:latin typeface="Times New Roman" pitchFamily="18" charset="0"/>
                        <a:cs typeface="Times New Roman" pitchFamily="18" charset="0"/>
                      </a:rPr>
                      <a:t>77,0%*</a:t>
                    </a:r>
                    <a:endParaRPr lang="en-US" sz="800" b="1">
                      <a:latin typeface="Times New Roman" pitchFamily="18" charset="0"/>
                      <a:cs typeface="Times New Roman" pitchFamily="18" charset="0"/>
                    </a:endParaRPr>
                  </a:p>
                </c:rich>
              </c:tx>
              <c:dLblPos val="r"/>
            </c:dLbl>
            <c:dLbl>
              <c:idx val="2"/>
              <c:layout>
                <c:manualLayout>
                  <c:x val="-4.3053479779995699E-2"/>
                  <c:y val="0.20961522666809509"/>
                </c:manualLayout>
              </c:layout>
              <c:tx>
                <c:rich>
                  <a:bodyPr/>
                  <a:lstStyle/>
                  <a:p>
                    <a:r>
                      <a:rPr lang="ru-RU" sz="800" b="1">
                        <a:latin typeface="Times New Roman" pitchFamily="18" charset="0"/>
                        <a:cs typeface="Times New Roman" pitchFamily="18" charset="0"/>
                      </a:rPr>
                      <a:t>92,0%*</a:t>
                    </a:r>
                    <a:endParaRPr lang="en-US" sz="800" b="1">
                      <a:latin typeface="Times New Roman" pitchFamily="18" charset="0"/>
                      <a:cs typeface="Times New Roman" pitchFamily="18" charset="0"/>
                    </a:endParaRPr>
                  </a:p>
                </c:rich>
              </c:tx>
              <c:dLblPos val="r"/>
            </c:dLbl>
            <c:dLbl>
              <c:idx val="3"/>
              <c:layout>
                <c:manualLayout>
                  <c:x val="-3.3237541167226846E-2"/>
                  <c:y val="-9.5409502383631065E-2"/>
                </c:manualLayout>
              </c:layout>
              <c:tx>
                <c:rich>
                  <a:bodyPr/>
                  <a:lstStyle/>
                  <a:p>
                    <a:r>
                      <a:rPr lang="ru-RU" sz="800" b="1">
                        <a:latin typeface="Times New Roman" pitchFamily="18" charset="0"/>
                        <a:cs typeface="Times New Roman" pitchFamily="18" charset="0"/>
                      </a:rPr>
                      <a:t>99,9%*</a:t>
                    </a:r>
                    <a:endParaRPr lang="en-US" sz="800" b="1">
                      <a:latin typeface="Times New Roman" pitchFamily="18" charset="0"/>
                      <a:cs typeface="Times New Roman" pitchFamily="18" charset="0"/>
                    </a:endParaRPr>
                  </a:p>
                </c:rich>
              </c:tx>
              <c:dLblPos val="r"/>
            </c:dLbl>
            <c:dLbl>
              <c:idx val="4"/>
              <c:layout>
                <c:manualLayout>
                  <c:x val="-3.9034053864286072E-2"/>
                  <c:y val="7.7911157331748984E-2"/>
                </c:manualLayout>
              </c:layout>
              <c:tx>
                <c:rich>
                  <a:bodyPr/>
                  <a:lstStyle/>
                  <a:p>
                    <a:r>
                      <a:rPr lang="ru-RU" sz="800" b="1">
                        <a:latin typeface="Times New Roman" pitchFamily="18" charset="0"/>
                        <a:cs typeface="Times New Roman" pitchFamily="18" charset="0"/>
                      </a:rPr>
                      <a:t>94,0%*</a:t>
                    </a:r>
                    <a:endParaRPr lang="en-US" sz="800" b="1">
                      <a:latin typeface="Times New Roman" pitchFamily="18" charset="0"/>
                      <a:cs typeface="Times New Roman" pitchFamily="18" charset="0"/>
                    </a:endParaRPr>
                  </a:p>
                </c:rich>
              </c:tx>
              <c:dLblPos val="r"/>
            </c:dLbl>
            <c:dLbl>
              <c:idx val="5"/>
              <c:layout>
                <c:manualLayout>
                  <c:x val="-3.7440397230099218E-2"/>
                  <c:y val="8.6535433070868764E-2"/>
                </c:manualLayout>
              </c:layout>
              <c:tx>
                <c:rich>
                  <a:bodyPr/>
                  <a:lstStyle/>
                  <a:p>
                    <a:r>
                      <a:rPr lang="ru-RU" sz="800" b="1">
                        <a:latin typeface="Times New Roman" pitchFamily="18" charset="0"/>
                        <a:cs typeface="Times New Roman" pitchFamily="18" charset="0"/>
                      </a:rPr>
                      <a:t>81,6%*</a:t>
                    </a:r>
                    <a:endParaRPr lang="en-US" sz="800" b="1">
                      <a:latin typeface="Times New Roman" pitchFamily="18" charset="0"/>
                      <a:cs typeface="Times New Roman" pitchFamily="18" charset="0"/>
                    </a:endParaRPr>
                  </a:p>
                </c:rich>
              </c:tx>
              <c:dLblPos val="r"/>
            </c:dLbl>
            <c:dLbl>
              <c:idx val="6"/>
              <c:layout>
                <c:manualLayout>
                  <c:x val="-1.5554106692077633E-2"/>
                  <c:y val="6.1335446276762545E-2"/>
                </c:manualLayout>
              </c:layout>
              <c:tx>
                <c:rich>
                  <a:bodyPr/>
                  <a:lstStyle/>
                  <a:p>
                    <a:r>
                      <a:rPr lang="ru-RU" sz="800" b="1">
                        <a:latin typeface="Times New Roman" pitchFamily="18" charset="0"/>
                        <a:cs typeface="Times New Roman" pitchFamily="18" charset="0"/>
                      </a:rPr>
                      <a:t>70,6%*</a:t>
                    </a:r>
                    <a:endParaRPr lang="en-US" sz="800" b="1">
                      <a:latin typeface="Times New Roman" pitchFamily="18" charset="0"/>
                      <a:cs typeface="Times New Roman" pitchFamily="18" charset="0"/>
                    </a:endParaRPr>
                  </a:p>
                </c:rich>
              </c:tx>
              <c:dLblPos val="r"/>
            </c:dLbl>
            <c:dLbl>
              <c:idx val="7"/>
              <c:layout>
                <c:manualLayout>
                  <c:x val="-3.3634752662286646E-2"/>
                  <c:y val="9.5734825599632881E-2"/>
                </c:manualLayout>
              </c:layout>
              <c:tx>
                <c:rich>
                  <a:bodyPr/>
                  <a:lstStyle/>
                  <a:p>
                    <a:r>
                      <a:rPr lang="ru-RU" sz="800" b="1">
                        <a:latin typeface="Times New Roman" pitchFamily="18" charset="0"/>
                        <a:cs typeface="Times New Roman" pitchFamily="18" charset="0"/>
                      </a:rPr>
                      <a:t>103,6%*</a:t>
                    </a:r>
                    <a:endParaRPr lang="en-US" sz="800" b="1">
                      <a:latin typeface="Times New Roman" pitchFamily="18" charset="0"/>
                      <a:cs typeface="Times New Roman" pitchFamily="18" charset="0"/>
                    </a:endParaRPr>
                  </a:p>
                </c:rich>
              </c:tx>
              <c:dLblPos val="r"/>
            </c:dLbl>
            <c:dLbl>
              <c:idx val="8"/>
              <c:layout>
                <c:manualLayout>
                  <c:x val="-4.8113412575020484E-2"/>
                  <c:y val="8.1345020551677208E-2"/>
                </c:manualLayout>
              </c:layout>
              <c:tx>
                <c:rich>
                  <a:bodyPr/>
                  <a:lstStyle/>
                  <a:p>
                    <a:r>
                      <a:rPr lang="ru-RU" sz="800" b="1">
                        <a:latin typeface="Times New Roman" pitchFamily="18" charset="0"/>
                        <a:cs typeface="Times New Roman" pitchFamily="18" charset="0"/>
                      </a:rPr>
                      <a:t>87,5%*</a:t>
                    </a:r>
                    <a:endParaRPr lang="en-US" sz="800" b="1">
                      <a:latin typeface="Times New Roman" pitchFamily="18" charset="0"/>
                      <a:cs typeface="Times New Roman" pitchFamily="18" charset="0"/>
                    </a:endParaRPr>
                  </a:p>
                </c:rich>
              </c:tx>
              <c:dLblPos val="r"/>
            </c:dLbl>
            <c:dLbl>
              <c:idx val="9"/>
              <c:layout>
                <c:manualLayout>
                  <c:x val="-3.0946553655315401E-2"/>
                  <c:y val="-0.21259776490203017"/>
                </c:manualLayout>
              </c:layout>
              <c:tx>
                <c:rich>
                  <a:bodyPr/>
                  <a:lstStyle/>
                  <a:p>
                    <a:r>
                      <a:rPr lang="ru-RU" sz="800" b="1">
                        <a:latin typeface="Times New Roman" pitchFamily="18" charset="0"/>
                        <a:cs typeface="Times New Roman" pitchFamily="18" charset="0"/>
                      </a:rPr>
                      <a:t>92,1%*</a:t>
                    </a:r>
                    <a:endParaRPr lang="en-US" sz="800" b="1">
                      <a:latin typeface="Times New Roman" pitchFamily="18" charset="0"/>
                      <a:cs typeface="Times New Roman" pitchFamily="18" charset="0"/>
                    </a:endParaRPr>
                  </a:p>
                </c:rich>
              </c:tx>
              <c:dLblPos val="r"/>
            </c:dLbl>
            <c:dLbl>
              <c:idx val="10"/>
              <c:layout>
                <c:manualLayout>
                  <c:x val="-4.5908520989016932E-2"/>
                  <c:y val="0.11094867858498818"/>
                </c:manualLayout>
              </c:layout>
              <c:tx>
                <c:rich>
                  <a:bodyPr/>
                  <a:lstStyle/>
                  <a:p>
                    <a:r>
                      <a:rPr lang="ru-RU" sz="800"/>
                      <a:t>95,1%*</a:t>
                    </a:r>
                    <a:endParaRPr lang="en-US" sz="800"/>
                  </a:p>
                </c:rich>
              </c:tx>
              <c:dLblPos val="r"/>
            </c:dLbl>
            <c:dLbl>
              <c:idx val="11"/>
              <c:layout>
                <c:manualLayout>
                  <c:x val="0"/>
                  <c:y val="9.2020006933095727E-2"/>
                </c:manualLayout>
              </c:layout>
              <c:tx>
                <c:rich>
                  <a:bodyPr/>
                  <a:lstStyle/>
                  <a:p>
                    <a:r>
                      <a:rPr lang="ru-RU" sz="800"/>
                      <a:t>86,0%*</a:t>
                    </a:r>
                    <a:endParaRPr lang="en-US" sz="800"/>
                  </a:p>
                </c:rich>
              </c:tx>
              <c:dLblPos val="r"/>
            </c:dLbl>
            <c:spPr>
              <a:noFill/>
              <a:ln w="24917">
                <a:noFill/>
              </a:ln>
            </c:spPr>
            <c:txPr>
              <a:bodyPr/>
              <a:lstStyle/>
              <a:p>
                <a:pPr>
                  <a:defRPr sz="800" b="1">
                    <a:latin typeface="Times New Roman" pitchFamily="18" charset="0"/>
                    <a:cs typeface="Times New Roman" pitchFamily="18" charset="0"/>
                  </a:defRPr>
                </a:pPr>
                <a:endParaRPr lang="ru-RU"/>
              </a:p>
            </c:txPr>
            <c:showVal val="1"/>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613.29999999999995</c:v>
                </c:pt>
                <c:pt idx="1">
                  <c:v>733.9</c:v>
                </c:pt>
                <c:pt idx="2">
                  <c:v>894.2</c:v>
                </c:pt>
                <c:pt idx="3">
                  <c:v>693.4</c:v>
                </c:pt>
                <c:pt idx="4" formatCode="0.0">
                  <c:v>721</c:v>
                </c:pt>
                <c:pt idx="5">
                  <c:v>701.8</c:v>
                </c:pt>
                <c:pt idx="6">
                  <c:v>647</c:v>
                </c:pt>
                <c:pt idx="7">
                  <c:v>793.9</c:v>
                </c:pt>
                <c:pt idx="8">
                  <c:v>645.1</c:v>
                </c:pt>
                <c:pt idx="9" formatCode="0.0">
                  <c:v>648</c:v>
                </c:pt>
                <c:pt idx="10" formatCode="0.0">
                  <c:v>752.9</c:v>
                </c:pt>
                <c:pt idx="11">
                  <c:v>708.3</c:v>
                </c:pt>
              </c:numCache>
            </c:numRef>
          </c:val>
        </c:ser>
        <c:ser>
          <c:idx val="1"/>
          <c:order val="1"/>
          <c:tx>
            <c:strRef>
              <c:f>Лист1!$C$1</c:f>
              <c:strCache>
                <c:ptCount val="1"/>
                <c:pt idx="0">
                  <c:v>2015</c:v>
                </c:pt>
              </c:strCache>
            </c:strRef>
          </c:tx>
          <c:spPr>
            <a:ln>
              <a:solidFill>
                <a:srgbClr val="C0504D">
                  <a:lumMod val="40000"/>
                  <a:lumOff val="60000"/>
                </a:srgbClr>
              </a:solidFill>
            </a:ln>
          </c:spPr>
          <c:marker>
            <c:spPr>
              <a:solidFill>
                <a:srgbClr val="C0504D">
                  <a:lumMod val="40000"/>
                  <a:lumOff val="60000"/>
                </a:srgbClr>
              </a:solidFill>
            </c:spPr>
          </c:marker>
          <c:dLbls>
            <c:dLbl>
              <c:idx val="0"/>
              <c:layout>
                <c:manualLayout>
                  <c:x val="-5.0894060216995433E-2"/>
                  <c:y val="-0.10674639726638038"/>
                </c:manualLayout>
              </c:layout>
              <c:tx>
                <c:rich>
                  <a:bodyPr/>
                  <a:lstStyle/>
                  <a:p>
                    <a:r>
                      <a:rPr lang="ru-RU" sz="800" b="1">
                        <a:latin typeface="Times New Roman" pitchFamily="18" charset="0"/>
                        <a:cs typeface="Times New Roman" pitchFamily="18" charset="0"/>
                      </a:rPr>
                      <a:t>101,9%*</a:t>
                    </a:r>
                    <a:endParaRPr lang="en-US" sz="800" b="1">
                      <a:latin typeface="Times New Roman" pitchFamily="18" charset="0"/>
                      <a:cs typeface="Times New Roman" pitchFamily="18" charset="0"/>
                    </a:endParaRPr>
                  </a:p>
                </c:rich>
              </c:tx>
              <c:dLblPos val="r"/>
            </c:dLbl>
            <c:dLbl>
              <c:idx val="1"/>
              <c:layout>
                <c:manualLayout>
                  <c:x val="-4.7770031930725224E-2"/>
                  <c:y val="-0.16468655703751317"/>
                </c:manualLayout>
              </c:layout>
              <c:tx>
                <c:rich>
                  <a:bodyPr/>
                  <a:lstStyle/>
                  <a:p>
                    <a:r>
                      <a:rPr lang="ru-RU" sz="800" b="1">
                        <a:latin typeface="Times New Roman" pitchFamily="18" charset="0"/>
                        <a:cs typeface="Times New Roman" pitchFamily="18" charset="0"/>
                      </a:rPr>
                      <a:t>120,5%*</a:t>
                    </a:r>
                    <a:endParaRPr lang="en-US" sz="800" b="1">
                      <a:latin typeface="Times New Roman" pitchFamily="18" charset="0"/>
                      <a:cs typeface="Times New Roman" pitchFamily="18" charset="0"/>
                    </a:endParaRPr>
                  </a:p>
                </c:rich>
              </c:tx>
              <c:dLblPos val="r"/>
            </c:dLbl>
            <c:dLbl>
              <c:idx val="2"/>
              <c:layout>
                <c:manualLayout>
                  <c:x val="-4.7740274503903939E-2"/>
                  <c:y val="-0.19641901905119352"/>
                </c:manualLayout>
              </c:layout>
              <c:tx>
                <c:rich>
                  <a:bodyPr/>
                  <a:lstStyle/>
                  <a:p>
                    <a:r>
                      <a:rPr lang="ru-RU" sz="800" b="1">
                        <a:latin typeface="Times New Roman" pitchFamily="18" charset="0"/>
                        <a:cs typeface="Times New Roman" pitchFamily="18" charset="0"/>
                      </a:rPr>
                      <a:t>124,4%*</a:t>
                    </a:r>
                    <a:endParaRPr lang="en-US" sz="800" b="1">
                      <a:latin typeface="Times New Roman" pitchFamily="18" charset="0"/>
                      <a:cs typeface="Times New Roman" pitchFamily="18" charset="0"/>
                    </a:endParaRPr>
                  </a:p>
                </c:rich>
              </c:tx>
              <c:dLblPos val="r"/>
            </c:dLbl>
            <c:dLbl>
              <c:idx val="3"/>
              <c:layout>
                <c:manualLayout>
                  <c:x val="-3.8958657237908867E-2"/>
                  <c:y val="7.7250037141584002E-2"/>
                </c:manualLayout>
              </c:layout>
              <c:tx>
                <c:rich>
                  <a:bodyPr/>
                  <a:lstStyle/>
                  <a:p>
                    <a:r>
                      <a:rPr lang="ru-RU" sz="800" b="1">
                        <a:latin typeface="Times New Roman" pitchFamily="18" charset="0"/>
                        <a:cs typeface="Times New Roman" pitchFamily="18" charset="0"/>
                      </a:rPr>
                      <a:t>81,2%*</a:t>
                    </a:r>
                    <a:endParaRPr lang="en-US" sz="800" b="1">
                      <a:latin typeface="Times New Roman" pitchFamily="18" charset="0"/>
                      <a:cs typeface="Times New Roman" pitchFamily="18" charset="0"/>
                    </a:endParaRPr>
                  </a:p>
                </c:rich>
              </c:tx>
              <c:dLblPos val="r"/>
            </c:dLbl>
            <c:dLbl>
              <c:idx val="4"/>
              <c:layout>
                <c:manualLayout>
                  <c:x val="-4.7779560994366192E-2"/>
                  <c:y val="-0.13548136482940007"/>
                </c:manualLayout>
              </c:layout>
              <c:tx>
                <c:rich>
                  <a:bodyPr/>
                  <a:lstStyle/>
                  <a:p>
                    <a:pPr>
                      <a:defRPr sz="800" b="1">
                        <a:solidFill>
                          <a:srgbClr val="FF0000"/>
                        </a:solidFill>
                        <a:latin typeface="Times New Roman" pitchFamily="18" charset="0"/>
                        <a:cs typeface="Times New Roman" pitchFamily="18" charset="0"/>
                      </a:defRPr>
                    </a:pPr>
                    <a:r>
                      <a:rPr lang="ru-RU" sz="800" b="1">
                        <a:solidFill>
                          <a:sysClr val="windowText" lastClr="000000"/>
                        </a:solidFill>
                        <a:latin typeface="Times New Roman" pitchFamily="18" charset="0"/>
                        <a:cs typeface="Times New Roman" pitchFamily="18" charset="0"/>
                      </a:rPr>
                      <a:t>97,4%*</a:t>
                    </a:r>
                    <a:endParaRPr lang="en-US" sz="800" b="1">
                      <a:solidFill>
                        <a:sysClr val="windowText" lastClr="000000"/>
                      </a:solidFill>
                      <a:latin typeface="Times New Roman" pitchFamily="18" charset="0"/>
                      <a:cs typeface="Times New Roman" pitchFamily="18" charset="0"/>
                    </a:endParaRPr>
                  </a:p>
                </c:rich>
              </c:tx>
              <c:spPr>
                <a:noFill/>
                <a:ln w="24917">
                  <a:noFill/>
                </a:ln>
              </c:spPr>
              <c:dLblPos val="r"/>
            </c:dLbl>
            <c:dLbl>
              <c:idx val="5"/>
              <c:layout>
                <c:manualLayout>
                  <c:x val="-4.5493755955664884E-2"/>
                  <c:y val="-7.566136780072312E-2"/>
                </c:manualLayout>
              </c:layout>
              <c:tx>
                <c:rich>
                  <a:bodyPr/>
                  <a:lstStyle/>
                  <a:p>
                    <a:r>
                      <a:rPr lang="ru-RU" sz="800" b="1">
                        <a:latin typeface="Times New Roman" pitchFamily="18" charset="0"/>
                        <a:cs typeface="Times New Roman" pitchFamily="18" charset="0"/>
                      </a:rPr>
                      <a:t>94,3%*</a:t>
                    </a:r>
                    <a:endParaRPr lang="en-US" sz="800" b="1">
                      <a:latin typeface="Times New Roman" pitchFamily="18" charset="0"/>
                      <a:cs typeface="Times New Roman" pitchFamily="18" charset="0"/>
                    </a:endParaRPr>
                  </a:p>
                </c:rich>
              </c:tx>
              <c:dLblPos val="r"/>
            </c:dLbl>
            <c:dLbl>
              <c:idx val="6"/>
              <c:layout>
                <c:manualLayout>
                  <c:x val="-3.9544109534078942E-2"/>
                  <c:y val="-7.0448175110186709E-2"/>
                </c:manualLayout>
              </c:layout>
              <c:tx>
                <c:rich>
                  <a:bodyPr/>
                  <a:lstStyle/>
                  <a:p>
                    <a:r>
                      <a:rPr lang="ru-RU" sz="800" b="1">
                        <a:latin typeface="Times New Roman" pitchFamily="18" charset="0"/>
                        <a:cs typeface="Times New Roman" pitchFamily="18" charset="0"/>
                      </a:rPr>
                      <a:t>103,8%*</a:t>
                    </a:r>
                    <a:endParaRPr lang="en-US" sz="800" b="1">
                      <a:latin typeface="Times New Roman" pitchFamily="18" charset="0"/>
                      <a:cs typeface="Times New Roman" pitchFamily="18" charset="0"/>
                    </a:endParaRPr>
                  </a:p>
                </c:rich>
              </c:tx>
              <c:dLblPos val="r"/>
            </c:dLbl>
            <c:dLbl>
              <c:idx val="7"/>
              <c:layout>
                <c:manualLayout>
                  <c:x val="-3.3150275005433251E-2"/>
                  <c:y val="-9.3830040112911267E-2"/>
                </c:manualLayout>
              </c:layout>
              <c:tx>
                <c:rich>
                  <a:bodyPr/>
                  <a:lstStyle/>
                  <a:p>
                    <a:r>
                      <a:rPr lang="ru-RU" sz="800" b="1">
                        <a:latin typeface="Times New Roman" pitchFamily="18" charset="0"/>
                        <a:cs typeface="Times New Roman" pitchFamily="18" charset="0"/>
                      </a:rPr>
                      <a:t>89,6%*</a:t>
                    </a:r>
                    <a:endParaRPr lang="en-US" sz="800" b="1">
                      <a:latin typeface="Times New Roman" pitchFamily="18" charset="0"/>
                      <a:cs typeface="Times New Roman" pitchFamily="18" charset="0"/>
                    </a:endParaRPr>
                  </a:p>
                </c:rich>
              </c:tx>
              <c:dLblPos val="r"/>
            </c:dLbl>
            <c:dLbl>
              <c:idx val="8"/>
              <c:layout>
                <c:manualLayout>
                  <c:x val="-4.1897119547954505E-2"/>
                  <c:y val="-8.1681770910711479E-2"/>
                </c:manualLayout>
              </c:layout>
              <c:tx>
                <c:rich>
                  <a:bodyPr/>
                  <a:lstStyle/>
                  <a:p>
                    <a:r>
                      <a:rPr lang="ru-RU" sz="800" b="1">
                        <a:latin typeface="Times New Roman" pitchFamily="18" charset="0"/>
                        <a:cs typeface="Times New Roman" pitchFamily="18" charset="0"/>
                      </a:rPr>
                      <a:t>92,2%*</a:t>
                    </a:r>
                    <a:endParaRPr lang="en-US" sz="800" b="1">
                      <a:latin typeface="Times New Roman" pitchFamily="18" charset="0"/>
                      <a:cs typeface="Times New Roman" pitchFamily="18" charset="0"/>
                    </a:endParaRPr>
                  </a:p>
                </c:rich>
              </c:tx>
              <c:dLblPos val="r"/>
            </c:dLbl>
            <c:dLbl>
              <c:idx val="9"/>
              <c:layout>
                <c:manualLayout>
                  <c:x val="-4.6219469381613906E-2"/>
                  <c:y val="0.1606999125109364"/>
                </c:manualLayout>
              </c:layout>
              <c:tx>
                <c:rich>
                  <a:bodyPr/>
                  <a:lstStyle/>
                  <a:p>
                    <a:r>
                      <a:rPr lang="ru-RU" sz="800" b="1">
                        <a:latin typeface="Times New Roman" pitchFamily="18" charset="0"/>
                        <a:cs typeface="Times New Roman" pitchFamily="18" charset="0"/>
                      </a:rPr>
                      <a:t>82,7%*</a:t>
                    </a:r>
                    <a:endParaRPr lang="en-US" sz="800" b="1">
                      <a:latin typeface="Times New Roman" pitchFamily="18" charset="0"/>
                      <a:cs typeface="Times New Roman" pitchFamily="18" charset="0"/>
                    </a:endParaRPr>
                  </a:p>
                </c:rich>
              </c:tx>
              <c:dLblPos val="r"/>
            </c:dLbl>
            <c:dLbl>
              <c:idx val="10"/>
              <c:layout>
                <c:manualLayout>
                  <c:x val="-4.1598375043883883E-2"/>
                  <c:y val="-9.3696495485236272E-2"/>
                </c:manualLayout>
              </c:layout>
              <c:tx>
                <c:rich>
                  <a:bodyPr/>
                  <a:lstStyle/>
                  <a:p>
                    <a:r>
                      <a:rPr lang="ru-RU" sz="800"/>
                      <a:t>104,3%*</a:t>
                    </a:r>
                    <a:endParaRPr lang="en-US" sz="800"/>
                  </a:p>
                </c:rich>
              </c:tx>
              <c:dLblPos val="r"/>
            </c:dLbl>
            <c:dLbl>
              <c:idx val="11"/>
              <c:layout>
                <c:manualLayout>
                  <c:x val="0"/>
                  <c:y val="-9.7201951884077126E-2"/>
                </c:manualLayout>
              </c:layout>
              <c:tx>
                <c:rich>
                  <a:bodyPr/>
                  <a:lstStyle/>
                  <a:p>
                    <a:r>
                      <a:rPr lang="ru-RU" sz="800"/>
                      <a:t>100,4%*</a:t>
                    </a:r>
                    <a:endParaRPr lang="en-US" sz="800"/>
                  </a:p>
                </c:rich>
              </c:tx>
              <c:dLblPos val="r"/>
            </c:dLbl>
            <c:spPr>
              <a:noFill/>
              <a:ln w="24917">
                <a:noFill/>
              </a:ln>
            </c:spPr>
            <c:txPr>
              <a:bodyPr/>
              <a:lstStyle/>
              <a:p>
                <a:pPr>
                  <a:defRPr sz="800" b="1">
                    <a:latin typeface="Times New Roman" pitchFamily="18" charset="0"/>
                    <a:cs typeface="Times New Roman" pitchFamily="18" charset="0"/>
                  </a:defRPr>
                </a:pPr>
                <a:endParaRPr lang="ru-RU"/>
              </a:p>
            </c:txPr>
            <c:showVal val="1"/>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0.0</c:formatCode>
                <c:ptCount val="12"/>
                <c:pt idx="0" formatCode="General">
                  <c:v>601.9</c:v>
                </c:pt>
                <c:pt idx="1">
                  <c:v>609</c:v>
                </c:pt>
                <c:pt idx="2" formatCode="General">
                  <c:v>719.1</c:v>
                </c:pt>
                <c:pt idx="3" formatCode="General">
                  <c:v>693.7</c:v>
                </c:pt>
                <c:pt idx="4" formatCode="General">
                  <c:v>766.6</c:v>
                </c:pt>
                <c:pt idx="5" formatCode="General">
                  <c:v>860</c:v>
                </c:pt>
                <c:pt idx="6" formatCode="General">
                  <c:v>916.5</c:v>
                </c:pt>
                <c:pt idx="7" formatCode="General">
                  <c:v>766.4</c:v>
                </c:pt>
                <c:pt idx="8" formatCode="General">
                  <c:v>737.1</c:v>
                </c:pt>
                <c:pt idx="9" formatCode="General">
                  <c:v>783.7</c:v>
                </c:pt>
                <c:pt idx="10" formatCode="General">
                  <c:v>716.3</c:v>
                </c:pt>
                <c:pt idx="11" formatCode="General">
                  <c:v>823.4</c:v>
                </c:pt>
              </c:numCache>
            </c:numRef>
          </c:val>
        </c:ser>
        <c:ser>
          <c:idx val="2"/>
          <c:order val="2"/>
          <c:tx>
            <c:strRef>
              <c:f>Лист1!$B$1</c:f>
              <c:strCache>
                <c:ptCount val="1"/>
                <c:pt idx="0">
                  <c:v>2016</c:v>
                </c:pt>
              </c:strCache>
            </c:strRef>
          </c:tx>
          <c:spPr>
            <a:ln>
              <a:solidFill>
                <a:schemeClr val="accent3">
                  <a:lumMod val="75000"/>
                </a:schemeClr>
              </a:solidFill>
            </a:ln>
          </c:spPr>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613.29999999999995</c:v>
                </c:pt>
                <c:pt idx="1">
                  <c:v>733.9</c:v>
                </c:pt>
                <c:pt idx="2">
                  <c:v>894.2</c:v>
                </c:pt>
                <c:pt idx="3">
                  <c:v>693.4</c:v>
                </c:pt>
                <c:pt idx="4" formatCode="0.0">
                  <c:v>721</c:v>
                </c:pt>
                <c:pt idx="5">
                  <c:v>701.8</c:v>
                </c:pt>
                <c:pt idx="6">
                  <c:v>647</c:v>
                </c:pt>
                <c:pt idx="7">
                  <c:v>793.9</c:v>
                </c:pt>
                <c:pt idx="8">
                  <c:v>645.1</c:v>
                </c:pt>
                <c:pt idx="9" formatCode="0.0">
                  <c:v>648</c:v>
                </c:pt>
                <c:pt idx="10" formatCode="0.0">
                  <c:v>752.9</c:v>
                </c:pt>
                <c:pt idx="11">
                  <c:v>708.3</c:v>
                </c:pt>
              </c:numCache>
            </c:numRef>
          </c:val>
        </c:ser>
        <c:marker val="1"/>
        <c:axId val="154031232"/>
        <c:axId val="154033152"/>
      </c:lineChart>
      <c:catAx>
        <c:axId val="154031232"/>
        <c:scaling>
          <c:orientation val="minMax"/>
        </c:scaling>
        <c:axPos val="b"/>
        <c:title>
          <c:tx>
            <c:rich>
              <a:bodyPr/>
              <a:lstStyle/>
              <a:p>
                <a:pPr>
                  <a:defRPr sz="800" b="1" i="0" u="none" strike="noStrike" baseline="0">
                    <a:solidFill>
                      <a:srgbClr val="000000"/>
                    </a:solidFill>
                    <a:latin typeface="Times New Roman"/>
                    <a:ea typeface="Times New Roman"/>
                    <a:cs typeface="Times New Roman"/>
                  </a:defRPr>
                </a:pPr>
                <a:r>
                  <a:rPr lang="ru-RU" sz="800"/>
                  <a:t>* - темп </a:t>
                </a:r>
                <a:r>
                  <a:rPr lang="ru-RU" sz="850"/>
                  <a:t>роста</a:t>
                </a:r>
                <a:r>
                  <a:rPr lang="ru-RU" sz="800"/>
                  <a:t> 
к предыдущему году</a:t>
                </a:r>
              </a:p>
            </c:rich>
          </c:tx>
          <c:layout>
            <c:manualLayout>
              <c:xMode val="edge"/>
              <c:yMode val="edge"/>
              <c:x val="4.8377551532173121E-3"/>
              <c:y val="0.79828735693752551"/>
            </c:manualLayout>
          </c:layout>
          <c:spPr>
            <a:noFill/>
            <a:ln w="24917">
              <a:noFill/>
            </a:ln>
          </c:spPr>
        </c:title>
        <c:numFmt formatCode="General" sourceLinked="1"/>
        <c:tickLblPos val="nextTo"/>
        <c:txPr>
          <a:bodyPr/>
          <a:lstStyle/>
          <a:p>
            <a:pPr>
              <a:defRPr sz="883" b="1">
                <a:latin typeface="Times New Roman" pitchFamily="18" charset="0"/>
                <a:cs typeface="Times New Roman" pitchFamily="18" charset="0"/>
              </a:defRPr>
            </a:pPr>
            <a:endParaRPr lang="ru-RU"/>
          </a:p>
        </c:txPr>
        <c:crossAx val="154033152"/>
        <c:crosses val="autoZero"/>
        <c:auto val="1"/>
        <c:lblAlgn val="ctr"/>
        <c:lblOffset val="100"/>
      </c:catAx>
      <c:valAx>
        <c:axId val="154033152"/>
        <c:scaling>
          <c:orientation val="minMax"/>
          <c:min val="300"/>
        </c:scaling>
        <c:axPos val="l"/>
        <c:majorGridlines/>
        <c:numFmt formatCode="General" sourceLinked="1"/>
        <c:tickLblPos val="nextTo"/>
        <c:txPr>
          <a:bodyPr/>
          <a:lstStyle/>
          <a:p>
            <a:pPr>
              <a:defRPr sz="800" b="1">
                <a:latin typeface="Times New Roman" pitchFamily="18" charset="0"/>
                <a:cs typeface="Times New Roman" pitchFamily="18" charset="0"/>
              </a:defRPr>
            </a:pPr>
            <a:endParaRPr lang="ru-RU"/>
          </a:p>
        </c:txPr>
        <c:crossAx val="154031232"/>
        <c:crosses val="autoZero"/>
        <c:crossBetween val="between"/>
        <c:majorUnit val="200"/>
      </c:valAx>
    </c:plotArea>
    <c:legend>
      <c:legendPos val="r"/>
      <c:legendEntry>
        <c:idx val="0"/>
        <c:delete val="1"/>
      </c:legendEntry>
      <c:legendEntry>
        <c:idx val="1"/>
        <c:delete val="1"/>
      </c:legendEntry>
      <c:legendEntry>
        <c:idx val="2"/>
        <c:delete val="1"/>
      </c:legendEntry>
      <c:legendEntry>
        <c:idx val="3"/>
        <c:txPr>
          <a:bodyPr/>
          <a:lstStyle/>
          <a:p>
            <a:pPr>
              <a:defRPr>
                <a:latin typeface="Times New Roman" pitchFamily="18" charset="0"/>
                <a:cs typeface="Times New Roman" pitchFamily="18" charset="0"/>
              </a:defRPr>
            </a:pPr>
            <a:endParaRPr lang="ru-RU"/>
          </a:p>
        </c:txPr>
      </c:legendEntry>
      <c:legendEntry>
        <c:idx val="4"/>
        <c:txPr>
          <a:bodyPr/>
          <a:lstStyle/>
          <a:p>
            <a:pPr>
              <a:defRPr>
                <a:latin typeface="Times New Roman" pitchFamily="18" charset="0"/>
                <a:cs typeface="Times New Roman" pitchFamily="18" charset="0"/>
              </a:defRPr>
            </a:pPr>
            <a:endParaRPr lang="ru-RU"/>
          </a:p>
        </c:txPr>
      </c:legendEntry>
      <c:layout>
        <c:manualLayout>
          <c:xMode val="edge"/>
          <c:yMode val="edge"/>
          <c:x val="0.38013390842068306"/>
          <c:y val="0.89792805311100965"/>
          <c:w val="0.29728521992076895"/>
          <c:h val="9.7756299775835068E-2"/>
        </c:manualLayout>
      </c:layout>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plotArea>
      <c:layout>
        <c:manualLayout>
          <c:layoutTarget val="inner"/>
          <c:xMode val="edge"/>
          <c:yMode val="edge"/>
          <c:x val="0.32824951733355023"/>
          <c:y val="6.4456721915289186E-2"/>
          <c:w val="0.62508600650861923"/>
          <c:h val="0.57064775742814788"/>
        </c:manualLayout>
      </c:layout>
      <c:barChart>
        <c:barDir val="col"/>
        <c:grouping val="clustered"/>
        <c:ser>
          <c:idx val="0"/>
          <c:order val="0"/>
          <c:tx>
            <c:strRef>
              <c:f>Sheet1!$B$1</c:f>
              <c:strCache>
                <c:ptCount val="1"/>
                <c:pt idx="0">
                  <c:v>январь - декабрь 2015 года</c:v>
                </c:pt>
              </c:strCache>
            </c:strRef>
          </c:tx>
          <c:spPr>
            <a:scene3d>
              <a:camera prst="orthographicFront"/>
              <a:lightRig rig="threePt" dir="t">
                <a:rot lat="0" lon="0" rev="1200000"/>
              </a:lightRig>
            </a:scene3d>
            <a:sp3d prstMaterial="metal">
              <a:bevelT w="63500" h="25400"/>
            </a:sp3d>
          </c:spPr>
          <c:dLbls>
            <c:dLbl>
              <c:idx val="0"/>
              <c:layout>
                <c:manualLayout>
                  <c:x val="-1.8042221709734223E-2"/>
                  <c:y val="3.4448818897637812E-3"/>
                </c:manualLayout>
              </c:layout>
              <c:tx>
                <c:rich>
                  <a:bodyPr/>
                  <a:lstStyle/>
                  <a:p>
                    <a:r>
                      <a:rPr lang="ru-RU" sz="880"/>
                      <a:t>-25,6*</a:t>
                    </a:r>
                    <a:endParaRPr lang="en-US" sz="900"/>
                  </a:p>
                </c:rich>
              </c:tx>
              <c:dLblPos val="outEnd"/>
            </c:dLbl>
            <c:dLbl>
              <c:idx val="1"/>
              <c:layout>
                <c:manualLayout>
                  <c:x val="-1.1157601115760201E-2"/>
                  <c:y val="3.333267716535461E-2"/>
                </c:manualLayout>
              </c:layout>
              <c:tx>
                <c:rich>
                  <a:bodyPr/>
                  <a:lstStyle/>
                  <a:p>
                    <a:r>
                      <a:rPr lang="ru-RU" sz="880"/>
                      <a:t>-14,7*</a:t>
                    </a:r>
                    <a:endParaRPr lang="en-US" sz="900"/>
                  </a:p>
                </c:rich>
              </c:tx>
            </c:dLbl>
            <c:dLbl>
              <c:idx val="2"/>
              <c:layout>
                <c:manualLayout>
                  <c:x val="-1.6736401673640221E-2"/>
                  <c:y val="3.3333333333333402E-2"/>
                </c:manualLayout>
              </c:layout>
              <c:tx>
                <c:rich>
                  <a:bodyPr/>
                  <a:lstStyle/>
                  <a:p>
                    <a:r>
                      <a:rPr lang="ru-RU" sz="880"/>
                      <a:t>-30,4*</a:t>
                    </a:r>
                    <a:endParaRPr lang="en-US" sz="900"/>
                  </a:p>
                </c:rich>
              </c:tx>
            </c:dLbl>
            <c:dLbl>
              <c:idx val="3"/>
              <c:delete val="1"/>
            </c:dLbl>
            <c:spPr>
              <a:noFill/>
              <a:ln w="24830">
                <a:noFill/>
              </a:ln>
            </c:spPr>
            <c:txPr>
              <a:bodyPr/>
              <a:lstStyle/>
              <a:p>
                <a:pPr>
                  <a:defRPr sz="880"/>
                </a:pPr>
                <a:endParaRPr lang="ru-RU"/>
              </a:p>
            </c:txPr>
            <c:showVal val="1"/>
          </c:dLbls>
          <c:cat>
            <c:strRef>
              <c:f>Sheet1!$A$2:$A$5</c:f>
              <c:strCache>
                <c:ptCount val="4"/>
                <c:pt idx="0">
                  <c:v>ВТО</c:v>
                </c:pt>
                <c:pt idx="1">
                  <c:v>Экспорт</c:v>
                </c:pt>
                <c:pt idx="2">
                  <c:v>Импорт</c:v>
                </c:pt>
                <c:pt idx="3">
                  <c:v>Сальдо</c:v>
                </c:pt>
              </c:strCache>
            </c:strRef>
          </c:cat>
          <c:val>
            <c:numRef>
              <c:f>Sheet1!$B$2:$B$5</c:f>
              <c:numCache>
                <c:formatCode>#,##0.0</c:formatCode>
                <c:ptCount val="4"/>
                <c:pt idx="0">
                  <c:v>1749.3819999999998</c:v>
                </c:pt>
                <c:pt idx="1">
                  <c:v>611.1</c:v>
                </c:pt>
                <c:pt idx="2">
                  <c:v>1138.2819999999999</c:v>
                </c:pt>
                <c:pt idx="3">
                  <c:v>-527.1819999999999</c:v>
                </c:pt>
              </c:numCache>
            </c:numRef>
          </c:val>
        </c:ser>
        <c:ser>
          <c:idx val="1"/>
          <c:order val="1"/>
          <c:tx>
            <c:strRef>
              <c:f>Sheet1!$C$1</c:f>
              <c:strCache>
                <c:ptCount val="1"/>
                <c:pt idx="0">
                  <c:v>январь - декабрь 2016 года</c:v>
                </c:pt>
              </c:strCache>
            </c:strRef>
          </c:tx>
          <c:spPr>
            <a:scene3d>
              <a:camera prst="orthographicFront"/>
              <a:lightRig rig="threePt" dir="t">
                <a:rot lat="0" lon="0" rev="1200000"/>
              </a:lightRig>
            </a:scene3d>
            <a:sp3d prstMaterial="metal">
              <a:bevelT w="63500" h="25400"/>
            </a:sp3d>
          </c:spPr>
          <c:dLbls>
            <c:dLbl>
              <c:idx val="0"/>
              <c:layout>
                <c:manualLayout>
                  <c:x val="2.5877581201931347E-2"/>
                  <c:y val="2.2645669291338578E-2"/>
                </c:manualLayout>
              </c:layout>
              <c:tx>
                <c:rich>
                  <a:bodyPr/>
                  <a:lstStyle/>
                  <a:p>
                    <a:r>
                      <a:rPr lang="ru-RU" sz="880">
                        <a:solidFill>
                          <a:sysClr val="windowText" lastClr="000000"/>
                        </a:solidFill>
                      </a:rPr>
                      <a:t>-20,6*</a:t>
                    </a:r>
                    <a:endParaRPr lang="en-US" sz="900">
                      <a:solidFill>
                        <a:sysClr val="windowText" lastClr="000000"/>
                      </a:solidFill>
                    </a:endParaRPr>
                  </a:p>
                </c:rich>
              </c:tx>
              <c:dLblPos val="outEnd"/>
            </c:dLbl>
            <c:dLbl>
              <c:idx val="1"/>
              <c:layout>
                <c:manualLayout>
                  <c:x val="2.3265794704532227E-2"/>
                  <c:y val="2.7354330708661612E-2"/>
                </c:manualLayout>
              </c:layout>
              <c:tx>
                <c:rich>
                  <a:bodyPr/>
                  <a:lstStyle/>
                  <a:p>
                    <a:r>
                      <a:rPr lang="ru-RU" sz="880">
                        <a:solidFill>
                          <a:sysClr val="windowText" lastClr="000000"/>
                        </a:solidFill>
                      </a:rPr>
                      <a:t>-13,2*</a:t>
                    </a:r>
                    <a:endParaRPr lang="en-US" sz="900">
                      <a:solidFill>
                        <a:sysClr val="windowText" lastClr="000000"/>
                      </a:solidFill>
                    </a:endParaRPr>
                  </a:p>
                </c:rich>
              </c:tx>
              <c:dLblPos val="outEnd"/>
            </c:dLbl>
            <c:dLbl>
              <c:idx val="2"/>
              <c:layout>
                <c:manualLayout>
                  <c:x val="2.9596781573851386E-2"/>
                  <c:y val="2.8624671916010497E-2"/>
                </c:manualLayout>
              </c:layout>
              <c:tx>
                <c:rich>
                  <a:bodyPr/>
                  <a:lstStyle/>
                  <a:p>
                    <a:r>
                      <a:rPr lang="ru-RU" sz="880">
                        <a:solidFill>
                          <a:sysClr val="windowText" lastClr="000000"/>
                        </a:solidFill>
                      </a:rPr>
                      <a:t>-24,6*</a:t>
                    </a:r>
                    <a:endParaRPr lang="en-US" sz="900">
                      <a:solidFill>
                        <a:sysClr val="windowText" lastClr="000000"/>
                      </a:solidFill>
                    </a:endParaRPr>
                  </a:p>
                </c:rich>
              </c:tx>
              <c:dLblPos val="outEnd"/>
            </c:dLbl>
            <c:dLbl>
              <c:idx val="3"/>
              <c:delete val="1"/>
            </c:dLbl>
            <c:spPr>
              <a:noFill/>
              <a:ln w="24830">
                <a:noFill/>
              </a:ln>
            </c:spPr>
            <c:txPr>
              <a:bodyPr/>
              <a:lstStyle/>
              <a:p>
                <a:pPr>
                  <a:defRPr sz="880">
                    <a:solidFill>
                      <a:sysClr val="windowText" lastClr="000000"/>
                    </a:solidFill>
                  </a:defRPr>
                </a:pPr>
                <a:endParaRPr lang="ru-RU"/>
              </a:p>
            </c:txPr>
            <c:showVal val="1"/>
          </c:dLbls>
          <c:cat>
            <c:strRef>
              <c:f>Sheet1!$A$2:$A$5</c:f>
              <c:strCache>
                <c:ptCount val="4"/>
                <c:pt idx="0">
                  <c:v>ВТО</c:v>
                </c:pt>
                <c:pt idx="1">
                  <c:v>Экспорт</c:v>
                </c:pt>
                <c:pt idx="2">
                  <c:v>Импорт</c:v>
                </c:pt>
                <c:pt idx="3">
                  <c:v>Сальдо</c:v>
                </c:pt>
              </c:strCache>
            </c:strRef>
          </c:cat>
          <c:val>
            <c:numRef>
              <c:f>Sheet1!$C$2:$C$5</c:f>
              <c:numCache>
                <c:formatCode>#,##0.0</c:formatCode>
                <c:ptCount val="4"/>
                <c:pt idx="0">
                  <c:v>1388.1509999999998</c:v>
                </c:pt>
                <c:pt idx="1">
                  <c:v>530.35599999999749</c:v>
                </c:pt>
                <c:pt idx="2">
                  <c:v>857.79500000000053</c:v>
                </c:pt>
                <c:pt idx="3">
                  <c:v>-327.43899999998905</c:v>
                </c:pt>
              </c:numCache>
            </c:numRef>
          </c:val>
        </c:ser>
        <c:gapWidth val="50"/>
        <c:overlap val="51"/>
        <c:axId val="139352320"/>
        <c:axId val="139407360"/>
      </c:barChart>
      <c:catAx>
        <c:axId val="139352320"/>
        <c:scaling>
          <c:orientation val="minMax"/>
        </c:scaling>
        <c:axPos val="b"/>
        <c:numFmt formatCode="General" sourceLinked="1"/>
        <c:majorTickMark val="cross"/>
        <c:tickLblPos val="nextTo"/>
        <c:txPr>
          <a:bodyPr rot="0" vert="horz"/>
          <a:lstStyle/>
          <a:p>
            <a:pPr>
              <a:defRPr/>
            </a:pPr>
            <a:endParaRPr lang="ru-RU"/>
          </a:p>
        </c:txPr>
        <c:crossAx val="139407360"/>
        <c:crosses val="autoZero"/>
        <c:lblAlgn val="ctr"/>
        <c:lblOffset val="20"/>
        <c:tickMarkSkip val="1"/>
      </c:catAx>
      <c:valAx>
        <c:axId val="139407360"/>
        <c:scaling>
          <c:orientation val="minMax"/>
        </c:scaling>
        <c:axPos val="l"/>
        <c:title>
          <c:tx>
            <c:rich>
              <a:bodyPr rot="0" vert="horz"/>
              <a:lstStyle/>
              <a:p>
                <a:pPr algn="ctr">
                  <a:defRPr sz="873" b="1" i="0" u="none" strike="noStrike" baseline="0">
                    <a:solidFill>
                      <a:srgbClr val="000000"/>
                    </a:solidFill>
                    <a:latin typeface="Arial Cyr"/>
                    <a:ea typeface="Arial Cyr"/>
                    <a:cs typeface="Arial Cyr"/>
                  </a:defRPr>
                </a:pPr>
                <a:r>
                  <a:rPr lang="ru-RU" sz="978" b="1" i="0" strike="noStrike">
                    <a:solidFill>
                      <a:srgbClr val="000000"/>
                    </a:solidFill>
                    <a:latin typeface="Times New Roman"/>
                    <a:cs typeface="Times New Roman"/>
                  </a:rPr>
                  <a:t>* - темп прироста (спада) в % к </a:t>
                </a:r>
              </a:p>
              <a:p>
                <a:pPr algn="ctr">
                  <a:defRPr sz="873" b="1" i="0" u="none" strike="noStrike" baseline="0">
                    <a:solidFill>
                      <a:srgbClr val="000000"/>
                    </a:solidFill>
                    <a:latin typeface="Arial Cyr"/>
                    <a:ea typeface="Arial Cyr"/>
                    <a:cs typeface="Arial Cyr"/>
                  </a:defRPr>
                </a:pPr>
                <a:r>
                  <a:rPr lang="ru-RU" sz="978" b="1" i="0" strike="noStrike">
                    <a:solidFill>
                      <a:srgbClr val="000000"/>
                    </a:solidFill>
                    <a:latin typeface="Times New Roman"/>
                    <a:cs typeface="Times New Roman"/>
                  </a:rPr>
                  <a:t>предыдущему </a:t>
                </a:r>
              </a:p>
              <a:p>
                <a:pPr algn="ctr">
                  <a:defRPr sz="873" b="1" i="0" u="none" strike="noStrike" baseline="0">
                    <a:solidFill>
                      <a:srgbClr val="000000"/>
                    </a:solidFill>
                    <a:latin typeface="Arial Cyr"/>
                    <a:ea typeface="Arial Cyr"/>
                    <a:cs typeface="Arial Cyr"/>
                  </a:defRPr>
                </a:pPr>
                <a:r>
                  <a:rPr lang="ru-RU" sz="978" b="1" i="0" strike="noStrike">
                    <a:solidFill>
                      <a:srgbClr val="000000"/>
                    </a:solidFill>
                    <a:latin typeface="Times New Roman"/>
                    <a:cs typeface="Times New Roman"/>
                  </a:rPr>
                  <a:t>году</a:t>
                </a:r>
              </a:p>
            </c:rich>
          </c:tx>
          <c:layout>
            <c:manualLayout>
              <c:xMode val="edge"/>
              <c:yMode val="edge"/>
              <c:x val="5.3495715144040834E-2"/>
              <c:y val="0.21780577427821518"/>
            </c:manualLayout>
          </c:layout>
          <c:spPr>
            <a:noFill/>
            <a:ln w="24830">
              <a:noFill/>
            </a:ln>
          </c:spPr>
        </c:title>
        <c:numFmt formatCode="#,##0.0" sourceLinked="1"/>
        <c:majorTickMark val="cross"/>
        <c:tickLblPos val="nextTo"/>
        <c:txPr>
          <a:bodyPr rot="0" vert="horz"/>
          <a:lstStyle/>
          <a:p>
            <a:pPr>
              <a:defRPr/>
            </a:pPr>
            <a:endParaRPr lang="ru-RU"/>
          </a:p>
        </c:txPr>
        <c:crossAx val="139352320"/>
        <c:crosses val="autoZero"/>
        <c:crossBetween val="between"/>
      </c:valAx>
      <c:dTable>
        <c:showHorzBorder val="1"/>
        <c:showVertBorder val="1"/>
        <c:showOutline val="1"/>
        <c:showKeys val="1"/>
      </c:dTable>
    </c:plotArea>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100"/>
              <a:t>2016 год</a:t>
            </a:r>
          </a:p>
        </c:rich>
      </c:tx>
      <c:layout>
        <c:manualLayout>
          <c:xMode val="edge"/>
          <c:yMode val="edge"/>
          <c:x val="0.25873702042224739"/>
          <c:y val="0"/>
        </c:manualLayout>
      </c:layout>
    </c:title>
    <c:view3D>
      <c:rotX val="30"/>
      <c:perspective val="30"/>
    </c:view3D>
    <c:plotArea>
      <c:layout>
        <c:manualLayout>
          <c:layoutTarget val="inner"/>
          <c:xMode val="edge"/>
          <c:yMode val="edge"/>
          <c:x val="3.7184594953519258E-2"/>
          <c:y val="0.17571130962889744"/>
          <c:w val="0.85044723991174409"/>
          <c:h val="0.81887211612361177"/>
        </c:manualLayout>
      </c:layout>
      <c:pie3DChart>
        <c:varyColors val="1"/>
        <c:ser>
          <c:idx val="0"/>
          <c:order val="0"/>
          <c:tx>
            <c:strRef>
              <c:f>Лист1!$B$1</c:f>
              <c:strCache>
                <c:ptCount val="1"/>
                <c:pt idx="0">
                  <c:v>2016 год</c:v>
                </c:pt>
              </c:strCache>
            </c:strRef>
          </c:tx>
          <c:explosion val="27"/>
          <c:dPt>
            <c:idx val="0"/>
            <c:explosion val="2"/>
            <c:spPr>
              <a:solidFill>
                <a:srgbClr val="CCFF33"/>
              </a:solidFill>
            </c:spPr>
          </c:dPt>
          <c:dPt>
            <c:idx val="1"/>
            <c:explosion val="11"/>
            <c:spPr>
              <a:blipFill>
                <a:blip xmlns:r="http://schemas.openxmlformats.org/officeDocument/2006/relationships" r:embed="rId2"/>
                <a:tile tx="0" ty="0" sx="100000" sy="100000" flip="none" algn="tl"/>
              </a:blipFill>
            </c:spPr>
          </c:dPt>
          <c:dPt>
            <c:idx val="2"/>
            <c:explosion val="7"/>
            <c:spPr>
              <a:blipFill>
                <a:blip xmlns:r="http://schemas.openxmlformats.org/officeDocument/2006/relationships" r:embed="rId3"/>
                <a:tile tx="0" ty="0" sx="100000" sy="100000" flip="none" algn="tl"/>
              </a:blipFill>
            </c:spPr>
          </c:dPt>
          <c:dPt>
            <c:idx val="3"/>
            <c:explosion val="17"/>
            <c:spPr>
              <a:solidFill>
                <a:srgbClr val="FF5050"/>
              </a:solidFill>
            </c:spPr>
          </c:dPt>
          <c:dPt>
            <c:idx val="4"/>
            <c:spPr>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c:spPr>
          </c:dPt>
          <c:dPt>
            <c:idx val="5"/>
            <c:explosion val="20"/>
            <c:spPr>
              <a:solidFill>
                <a:srgbClr val="F1019B"/>
              </a:solidFill>
            </c:spPr>
          </c:dPt>
          <c:dLbls>
            <c:dLbl>
              <c:idx val="0"/>
              <c:layout>
                <c:manualLayout>
                  <c:x val="8.2814935489385663E-2"/>
                  <c:y val="-8.9590988626424548E-2"/>
                </c:manualLayout>
              </c:layout>
              <c:tx>
                <c:rich>
                  <a:bodyPr/>
                  <a:lstStyle/>
                  <a:p>
                    <a:r>
                      <a:rPr lang="ru-RU"/>
                      <a:t>18,2%</a:t>
                    </a:r>
                    <a:endParaRPr lang="en-US"/>
                  </a:p>
                </c:rich>
              </c:tx>
              <c:showVal val="1"/>
            </c:dLbl>
            <c:dLbl>
              <c:idx val="1"/>
              <c:layout>
                <c:manualLayout>
                  <c:x val="6.1219220388970728E-2"/>
                  <c:y val="-4.3494563179602734E-3"/>
                </c:manualLayout>
              </c:layout>
              <c:tx>
                <c:rich>
                  <a:bodyPr/>
                  <a:lstStyle/>
                  <a:p>
                    <a:r>
                      <a:rPr lang="ru-RU" sz="900">
                        <a:latin typeface="Times New Roman" pitchFamily="18" charset="0"/>
                        <a:cs typeface="Times New Roman" pitchFamily="18" charset="0"/>
                      </a:rPr>
                      <a:t>41,4%</a:t>
                    </a:r>
                    <a:endParaRPr lang="en-US" sz="900">
                      <a:latin typeface="Times New Roman" pitchFamily="18" charset="0"/>
                      <a:cs typeface="Times New Roman" pitchFamily="18" charset="0"/>
                    </a:endParaRPr>
                  </a:p>
                </c:rich>
              </c:tx>
              <c:showVal val="1"/>
            </c:dLbl>
            <c:dLbl>
              <c:idx val="2"/>
              <c:layout>
                <c:manualLayout>
                  <c:x val="0.1484418232581485"/>
                  <c:y val="0.19078045737556348"/>
                </c:manualLayout>
              </c:layout>
              <c:tx>
                <c:rich>
                  <a:bodyPr/>
                  <a:lstStyle/>
                  <a:p>
                    <a:r>
                      <a:rPr lang="ru-RU"/>
                      <a:t>14,1%</a:t>
                    </a:r>
                    <a:endParaRPr lang="en-US"/>
                  </a:p>
                </c:rich>
              </c:tx>
              <c:showVal val="1"/>
            </c:dLbl>
            <c:dLbl>
              <c:idx val="3"/>
              <c:layout>
                <c:manualLayout>
                  <c:x val="0"/>
                  <c:y val="-7.8450718522063312E-2"/>
                </c:manualLayout>
              </c:layout>
              <c:tx>
                <c:rich>
                  <a:bodyPr/>
                  <a:lstStyle/>
                  <a:p>
                    <a:r>
                      <a:rPr lang="ru-RU"/>
                      <a:t>12,2%</a:t>
                    </a:r>
                    <a:endParaRPr lang="en-US"/>
                  </a:p>
                </c:rich>
              </c:tx>
              <c:showVal val="1"/>
            </c:dLbl>
            <c:dLbl>
              <c:idx val="4"/>
              <c:layout>
                <c:manualLayout>
                  <c:x val="-7.0245004235029024E-3"/>
                  <c:y val="-8.5418134887835159E-2"/>
                </c:manualLayout>
              </c:layout>
              <c:tx>
                <c:rich>
                  <a:bodyPr/>
                  <a:lstStyle/>
                  <a:p>
                    <a:r>
                      <a:rPr lang="ru-RU"/>
                      <a:t>6,0%</a:t>
                    </a:r>
                    <a:endParaRPr lang="en-US"/>
                  </a:p>
                </c:rich>
              </c:tx>
              <c:showVal val="1"/>
            </c:dLbl>
            <c:dLbl>
              <c:idx val="5"/>
              <c:layout>
                <c:manualLayout>
                  <c:x val="0.19668057429076038"/>
                  <c:y val="-2.0837864880150547E-2"/>
                </c:manualLayout>
              </c:layout>
              <c:tx>
                <c:rich>
                  <a:bodyPr/>
                  <a:lstStyle/>
                  <a:p>
                    <a:r>
                      <a:rPr lang="ru-RU"/>
                      <a:t>8,1%</a:t>
                    </a:r>
                    <a:endParaRPr lang="en-US"/>
                  </a:p>
                </c:rich>
              </c:tx>
              <c:showVal val="1"/>
            </c:dLbl>
            <c:txPr>
              <a:bodyPr/>
              <a:lstStyle/>
              <a:p>
                <a:pPr>
                  <a:defRPr sz="900">
                    <a:latin typeface="Times New Roman" pitchFamily="18" charset="0"/>
                    <a:cs typeface="Times New Roman" pitchFamily="18" charset="0"/>
                  </a:defRPr>
                </a:pPr>
                <a:endParaRPr lang="ru-RU"/>
              </a:p>
            </c:txPr>
            <c:showVal val="1"/>
            <c:showLeaderLines val="1"/>
          </c:dLbls>
          <c:cat>
            <c:strRef>
              <c:f>Лист1!$A$2:$A$7</c:f>
              <c:strCache>
                <c:ptCount val="6"/>
                <c:pt idx="0">
                  <c:v>черная металлургия</c:v>
                </c:pt>
                <c:pt idx="1">
                  <c:v>электроэнергетика</c:v>
                </c:pt>
                <c:pt idx="2">
                  <c:v>легкая промышленность</c:v>
                </c:pt>
                <c:pt idx="3">
                  <c:v>пищевая промышленность</c:v>
                </c:pt>
                <c:pt idx="4">
                  <c:v>промышленность строительных материалов</c:v>
                </c:pt>
                <c:pt idx="5">
                  <c:v>прочие</c:v>
                </c:pt>
              </c:strCache>
            </c:strRef>
          </c:cat>
          <c:val>
            <c:numRef>
              <c:f>Лист1!$B$2:$B$7</c:f>
              <c:numCache>
                <c:formatCode>0.0</c:formatCode>
                <c:ptCount val="6"/>
                <c:pt idx="0" formatCode="General">
                  <c:v>1550.4</c:v>
                </c:pt>
                <c:pt idx="1">
                  <c:v>3521.1</c:v>
                </c:pt>
                <c:pt idx="2">
                  <c:v>1204.4000000000001</c:v>
                </c:pt>
                <c:pt idx="3">
                  <c:v>1041</c:v>
                </c:pt>
                <c:pt idx="4">
                  <c:v>512</c:v>
                </c:pt>
                <c:pt idx="5" formatCode="General">
                  <c:v>687.30000000000109</c:v>
                </c:pt>
              </c:numCache>
            </c:numRef>
          </c:val>
        </c:ser>
      </c:pie3DChart>
    </c:plotArea>
    <c:plotVisOnly val="1"/>
  </c:chart>
  <c:spPr>
    <a:ln>
      <a:noFill/>
    </a:ln>
  </c:spPr>
  <c:externalData r:id="rId4"/>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100"/>
              <a:t>2015</a:t>
            </a:r>
            <a:r>
              <a:rPr lang="ru-RU"/>
              <a:t> год</a:t>
            </a:r>
            <a:endParaRPr lang="ru-RU" b="0"/>
          </a:p>
        </c:rich>
      </c:tx>
      <c:layout>
        <c:manualLayout>
          <c:xMode val="edge"/>
          <c:yMode val="edge"/>
          <c:x val="0.41323820710256531"/>
          <c:y val="4.1062258522032574E-3"/>
        </c:manualLayout>
      </c:layout>
    </c:title>
    <c:view3D>
      <c:rotX val="30"/>
      <c:perspective val="30"/>
    </c:view3D>
    <c:plotArea>
      <c:layout>
        <c:manualLayout>
          <c:layoutTarget val="inner"/>
          <c:xMode val="edge"/>
          <c:yMode val="edge"/>
          <c:x val="2.5782688766114201E-2"/>
          <c:y val="0.22488519123788772"/>
          <c:w val="0.60329693594930467"/>
          <c:h val="0.74017895490336461"/>
        </c:manualLayout>
      </c:layout>
      <c:pie3DChart>
        <c:varyColors val="1"/>
        <c:ser>
          <c:idx val="0"/>
          <c:order val="0"/>
          <c:tx>
            <c:strRef>
              <c:f>Лист1!$B$1</c:f>
              <c:strCache>
                <c:ptCount val="1"/>
                <c:pt idx="0">
                  <c:v>2015 год</c:v>
                </c:pt>
              </c:strCache>
            </c:strRef>
          </c:tx>
          <c:explosion val="29"/>
          <c:dPt>
            <c:idx val="0"/>
            <c:explosion val="10"/>
            <c:spPr>
              <a:solidFill>
                <a:srgbClr val="CCFF33"/>
              </a:solidFill>
            </c:spPr>
          </c:dPt>
          <c:dPt>
            <c:idx val="1"/>
            <c:explosion val="6"/>
            <c:spPr>
              <a:blipFill>
                <a:blip xmlns:r="http://schemas.openxmlformats.org/officeDocument/2006/relationships" r:embed="rId2"/>
                <a:tile tx="0" ty="0" sx="100000" sy="100000" flip="none" algn="tl"/>
              </a:blipFill>
            </c:spPr>
          </c:dPt>
          <c:dPt>
            <c:idx val="2"/>
            <c:explosion val="11"/>
            <c:spPr>
              <a:blipFill>
                <a:blip xmlns:r="http://schemas.openxmlformats.org/officeDocument/2006/relationships" r:embed="rId3"/>
                <a:tile tx="0" ty="0" sx="100000" sy="100000" flip="none" algn="tl"/>
              </a:blipFill>
            </c:spPr>
          </c:dPt>
          <c:dPt>
            <c:idx val="3"/>
            <c:explosion val="18"/>
            <c:spPr>
              <a:solidFill>
                <a:srgbClr val="FF5050"/>
              </a:solidFill>
            </c:spPr>
          </c:dPt>
          <c:dPt>
            <c:idx val="4"/>
            <c:explosion val="21"/>
            <c:spPr>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c:spPr>
          </c:dPt>
          <c:dPt>
            <c:idx val="5"/>
            <c:explosion val="21"/>
            <c:spPr>
              <a:solidFill>
                <a:srgbClr val="F1019B"/>
              </a:solidFill>
            </c:spPr>
          </c:dPt>
          <c:dLbls>
            <c:dLbl>
              <c:idx val="0"/>
              <c:layout>
                <c:manualLayout>
                  <c:x val="1.0009715636374183E-2"/>
                  <c:y val="-3.8208050080696415E-2"/>
                </c:manualLayout>
              </c:layout>
              <c:tx>
                <c:rich>
                  <a:bodyPr/>
                  <a:lstStyle/>
                  <a:p>
                    <a:r>
                      <a:rPr lang="ru-RU"/>
                      <a:t>24,3%</a:t>
                    </a:r>
                    <a:endParaRPr lang="en-US"/>
                  </a:p>
                </c:rich>
              </c:tx>
              <c:showVal val="1"/>
            </c:dLbl>
            <c:dLbl>
              <c:idx val="1"/>
              <c:layout>
                <c:manualLayout>
                  <c:x val="1.9627035570829888E-2"/>
                  <c:y val="1.3925433233889419E-2"/>
                </c:manualLayout>
              </c:layout>
              <c:tx>
                <c:rich>
                  <a:bodyPr/>
                  <a:lstStyle/>
                  <a:p>
                    <a:r>
                      <a:rPr lang="ru-RU"/>
                      <a:t>40,0%</a:t>
                    </a:r>
                    <a:endParaRPr lang="en-US"/>
                  </a:p>
                </c:rich>
              </c:tx>
              <c:showVal val="1"/>
            </c:dLbl>
            <c:dLbl>
              <c:idx val="2"/>
              <c:layout>
                <c:manualLayout>
                  <c:x val="0.11324284740650532"/>
                  <c:y val="0.25786551328971308"/>
                </c:manualLayout>
              </c:layout>
              <c:tx>
                <c:rich>
                  <a:bodyPr/>
                  <a:lstStyle/>
                  <a:p>
                    <a:r>
                      <a:rPr lang="ru-RU"/>
                      <a:t>12,1%</a:t>
                    </a:r>
                    <a:endParaRPr lang="en-US"/>
                  </a:p>
                </c:rich>
              </c:tx>
              <c:showVal val="1"/>
            </c:dLbl>
            <c:dLbl>
              <c:idx val="3"/>
              <c:layout>
                <c:manualLayout>
                  <c:x val="-3.6832412523021035E-3"/>
                  <c:y val="-6.6519293783929165E-2"/>
                </c:manualLayout>
              </c:layout>
              <c:tx>
                <c:rich>
                  <a:bodyPr/>
                  <a:lstStyle/>
                  <a:p>
                    <a:r>
                      <a:rPr lang="ru-RU"/>
                      <a:t>11,1%</a:t>
                    </a:r>
                    <a:endParaRPr lang="en-US"/>
                  </a:p>
                </c:rich>
              </c:tx>
              <c:showVal val="1"/>
            </c:dLbl>
            <c:dLbl>
              <c:idx val="4"/>
              <c:layout>
                <c:manualLayout>
                  <c:x val="-4.0257536868664899E-3"/>
                  <c:y val="-5.3356808659787092E-2"/>
                </c:manualLayout>
              </c:layout>
              <c:tx>
                <c:rich>
                  <a:bodyPr/>
                  <a:lstStyle/>
                  <a:p>
                    <a:r>
                      <a:rPr lang="ru-RU"/>
                      <a:t>4,7%</a:t>
                    </a:r>
                    <a:endParaRPr lang="en-US"/>
                  </a:p>
                </c:rich>
              </c:tx>
              <c:showVal val="1"/>
            </c:dLbl>
            <c:dLbl>
              <c:idx val="5"/>
              <c:layout>
                <c:manualLayout>
                  <c:x val="0.10846652455735872"/>
                  <c:y val="-7.9333561565674022E-3"/>
                </c:manualLayout>
              </c:layout>
              <c:tx>
                <c:rich>
                  <a:bodyPr/>
                  <a:lstStyle/>
                  <a:p>
                    <a:r>
                      <a:rPr lang="ru-RU"/>
                      <a:t>7,8%</a:t>
                    </a:r>
                    <a:endParaRPr lang="en-US"/>
                  </a:p>
                </c:rich>
              </c:tx>
              <c:showVal val="1"/>
            </c:dLbl>
            <c:txPr>
              <a:bodyPr/>
              <a:lstStyle/>
              <a:p>
                <a:pPr>
                  <a:defRPr sz="900">
                    <a:latin typeface="Times New Roman" pitchFamily="18" charset="0"/>
                    <a:cs typeface="Times New Roman" pitchFamily="18" charset="0"/>
                  </a:defRPr>
                </a:pPr>
                <a:endParaRPr lang="ru-RU"/>
              </a:p>
            </c:txPr>
            <c:showVal val="1"/>
            <c:showLeaderLines val="1"/>
          </c:dLbls>
          <c:cat>
            <c:strRef>
              <c:f>Лист1!$A$2:$A$7</c:f>
              <c:strCache>
                <c:ptCount val="6"/>
                <c:pt idx="0">
                  <c:v>черная металлургия</c:v>
                </c:pt>
                <c:pt idx="1">
                  <c:v>электроэнергетика</c:v>
                </c:pt>
                <c:pt idx="2">
                  <c:v>легкая промышленность</c:v>
                </c:pt>
                <c:pt idx="3">
                  <c:v>пищевая промышленность</c:v>
                </c:pt>
                <c:pt idx="4">
                  <c:v>промышленность строительных материалов</c:v>
                </c:pt>
                <c:pt idx="5">
                  <c:v>прочие</c:v>
                </c:pt>
              </c:strCache>
            </c:strRef>
          </c:cat>
          <c:val>
            <c:numRef>
              <c:f>Лист1!$B$2:$B$7</c:f>
              <c:numCache>
                <c:formatCode>0.0</c:formatCode>
                <c:ptCount val="6"/>
                <c:pt idx="0">
                  <c:v>2195.9</c:v>
                </c:pt>
                <c:pt idx="1">
                  <c:v>3612.2</c:v>
                </c:pt>
                <c:pt idx="2">
                  <c:v>1091.3</c:v>
                </c:pt>
                <c:pt idx="3" formatCode="General">
                  <c:v>999.8</c:v>
                </c:pt>
                <c:pt idx="4" formatCode="General">
                  <c:v>422.4</c:v>
                </c:pt>
                <c:pt idx="5">
                  <c:v>708.60000000000082</c:v>
                </c:pt>
              </c:numCache>
            </c:numRef>
          </c:val>
        </c:ser>
      </c:pie3DChart>
    </c:plotArea>
    <c:legend>
      <c:legendPos val="r"/>
      <c:layout>
        <c:manualLayout>
          <c:xMode val="edge"/>
          <c:yMode val="edge"/>
          <c:x val="0.60872000116008118"/>
          <c:y val="0.1662065481251464"/>
          <c:w val="0.38711039573092543"/>
          <c:h val="0.78892560965090663"/>
        </c:manualLayout>
      </c:layout>
      <c:txPr>
        <a:bodyPr/>
        <a:lstStyle/>
        <a:p>
          <a:pPr>
            <a:defRPr sz="850">
              <a:latin typeface="Times New Roman" pitchFamily="18" charset="0"/>
              <a:cs typeface="Times New Roman" pitchFamily="18" charset="0"/>
            </a:defRPr>
          </a:pPr>
          <a:endParaRPr lang="ru-RU"/>
        </a:p>
      </c:txPr>
    </c:legend>
    <c:plotVisOnly val="1"/>
  </c:chart>
  <c:spPr>
    <a:ln>
      <a:noFill/>
    </a:ln>
  </c:spPr>
  <c:externalData r:id="rId4"/>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832" b="1" i="0" u="none" strike="noStrike" baseline="0">
                <a:solidFill>
                  <a:srgbClr val="000000"/>
                </a:solidFill>
                <a:latin typeface="Times New Roman"/>
                <a:ea typeface="Times New Roman"/>
                <a:cs typeface="Times New Roman"/>
              </a:defRPr>
            </a:pPr>
            <a:r>
              <a:rPr lang="ru-RU" sz="1050"/>
              <a:t>Обьем производства по отрасли легкая промышленность,</a:t>
            </a:r>
            <a:r>
              <a:rPr lang="ru-RU" sz="1050" baseline="0"/>
              <a:t> </a:t>
            </a:r>
            <a:r>
              <a:rPr lang="ru-RU" sz="1050"/>
              <a:t>млн. руб.</a:t>
            </a:r>
          </a:p>
        </c:rich>
      </c:tx>
      <c:layout>
        <c:manualLayout>
          <c:xMode val="edge"/>
          <c:yMode val="edge"/>
          <c:x val="0.23817979609251463"/>
          <c:y val="7.8226552616174807E-3"/>
        </c:manualLayout>
      </c:layout>
      <c:spPr>
        <a:noFill/>
        <a:ln w="19217">
          <a:noFill/>
        </a:ln>
      </c:spPr>
    </c:title>
    <c:plotArea>
      <c:layout>
        <c:manualLayout>
          <c:layoutTarget val="inner"/>
          <c:xMode val="edge"/>
          <c:yMode val="edge"/>
          <c:x val="0.32546692064108873"/>
          <c:y val="0.22074339972209747"/>
          <c:w val="0.5728245756645961"/>
          <c:h val="0.57868083989501362"/>
        </c:manualLayout>
      </c:layout>
      <c:barChart>
        <c:barDir val="bar"/>
        <c:grouping val="clustered"/>
        <c:ser>
          <c:idx val="0"/>
          <c:order val="0"/>
          <c:tx>
            <c:strRef>
              <c:f>Лист1!$B$1</c:f>
              <c:strCache>
                <c:ptCount val="1"/>
                <c:pt idx="0">
                  <c:v>2015 год</c:v>
                </c:pt>
              </c:strCache>
            </c:strRef>
          </c:tx>
          <c:spPr>
            <a:gradFill>
              <a:gsLst>
                <a:gs pos="0">
                  <a:srgbClr val="8488C4"/>
                </a:gs>
                <a:gs pos="53000">
                  <a:srgbClr val="D4DEFF"/>
                </a:gs>
                <a:gs pos="83000">
                  <a:srgbClr val="D4DEFF"/>
                </a:gs>
                <a:gs pos="100000">
                  <a:srgbClr val="96AB94"/>
                </a:gs>
              </a:gsLst>
              <a:lin ang="5400000" scaled="0"/>
            </a:gradFill>
            <a:ln w="19217">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spPr>
          <c:dLbls>
            <c:dLbl>
              <c:idx val="0"/>
              <c:layout>
                <c:manualLayout>
                  <c:x val="-6.1600928543408193E-3"/>
                  <c:y val="1.6568837986160909E-2"/>
                </c:manualLayout>
              </c:layout>
              <c:tx>
                <c:rich>
                  <a:bodyPr/>
                  <a:lstStyle/>
                  <a:p>
                    <a:r>
                      <a:rPr lang="ru-RU" sz="850"/>
                      <a:t>78,7%*</a:t>
                    </a:r>
                  </a:p>
                </c:rich>
              </c:tx>
              <c:dLblPos val="outEnd"/>
            </c:dLbl>
            <c:dLbl>
              <c:idx val="1"/>
              <c:layout>
                <c:manualLayout>
                  <c:x val="2.2589649329273206E-2"/>
                  <c:y val="6.9244529147232834E-3"/>
                </c:manualLayout>
              </c:layout>
              <c:tx>
                <c:rich>
                  <a:bodyPr/>
                  <a:lstStyle/>
                  <a:p>
                    <a:r>
                      <a:rPr lang="ru-RU" sz="850"/>
                      <a:t>78,7%*</a:t>
                    </a:r>
                  </a:p>
                </c:rich>
              </c:tx>
              <c:dLblPos val="outEnd"/>
            </c:dLbl>
            <c:dLbl>
              <c:idx val="2"/>
              <c:layout>
                <c:manualLayout>
                  <c:x val="-6.4136825227152023E-3"/>
                  <c:y val="0"/>
                </c:manualLayout>
              </c:layout>
              <c:tx>
                <c:rich>
                  <a:bodyPr/>
                  <a:lstStyle/>
                  <a:p>
                    <a:r>
                      <a:rPr lang="ru-RU" sz="850"/>
                      <a:t>100,3%*</a:t>
                    </a:r>
                    <a:endParaRPr lang="en-US" sz="850"/>
                  </a:p>
                </c:rich>
              </c:tx>
              <c:dLblPos val="outEnd"/>
            </c:dLbl>
            <c:spPr>
              <a:noFill/>
              <a:ln w="19217">
                <a:noFill/>
              </a:ln>
            </c:spPr>
            <c:txPr>
              <a:bodyPr/>
              <a:lstStyle/>
              <a:p>
                <a:pPr>
                  <a:defRPr sz="850" b="0"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обьем производства подотрасли</c:v>
                </c:pt>
                <c:pt idx="1">
                  <c:v>объем производства ЗАО "Тиротекс"</c:v>
                </c:pt>
              </c:strCache>
            </c:strRef>
          </c:cat>
          <c:val>
            <c:numRef>
              <c:f>Лист1!$B$2:$B$3</c:f>
              <c:numCache>
                <c:formatCode>General</c:formatCode>
                <c:ptCount val="2"/>
                <c:pt idx="0">
                  <c:v>1025.9000000000001</c:v>
                </c:pt>
                <c:pt idx="1">
                  <c:v>720.8</c:v>
                </c:pt>
              </c:numCache>
            </c:numRef>
          </c:val>
        </c:ser>
        <c:ser>
          <c:idx val="1"/>
          <c:order val="1"/>
          <c:tx>
            <c:strRef>
              <c:f>Лист1!$C$1</c:f>
              <c:strCache>
                <c:ptCount val="1"/>
                <c:pt idx="0">
                  <c:v>2016 год</c:v>
                </c:pt>
              </c:strCache>
            </c:strRef>
          </c:tx>
          <c:spPr>
            <a:gradFill>
              <a:gsLst>
                <a:gs pos="0">
                  <a:srgbClr val="FFEFD1"/>
                </a:gs>
                <a:gs pos="64999">
                  <a:srgbClr val="F0EBD5"/>
                </a:gs>
                <a:gs pos="100000">
                  <a:srgbClr val="D1C39F"/>
                </a:gs>
              </a:gsLst>
              <a:lin ang="5400000" scaled="0"/>
            </a:gradFill>
            <a:ln w="19217">
              <a:noFill/>
            </a:ln>
          </c:spPr>
          <c:dLbls>
            <c:dLbl>
              <c:idx val="0"/>
              <c:layout>
                <c:manualLayout>
                  <c:x val="-2.615936490219154E-3"/>
                  <c:y val="4.8335483488292814E-3"/>
                </c:manualLayout>
              </c:layout>
              <c:tx>
                <c:rich>
                  <a:bodyPr/>
                  <a:lstStyle/>
                  <a:p>
                    <a:pPr>
                      <a:defRPr sz="900" b="0" i="0" u="none" strike="noStrike" baseline="0">
                        <a:solidFill>
                          <a:srgbClr val="000000"/>
                        </a:solidFill>
                        <a:latin typeface="Times New Roman"/>
                        <a:ea typeface="Times New Roman"/>
                        <a:cs typeface="Times New Roman"/>
                      </a:defRPr>
                    </a:pPr>
                    <a:r>
                      <a:rPr lang="ru-RU" sz="800"/>
                      <a:t>116,5%</a:t>
                    </a:r>
                    <a:r>
                      <a:rPr lang="ru-RU" sz="900"/>
                      <a:t> *</a:t>
                    </a:r>
                  </a:p>
                </c:rich>
              </c:tx>
              <c:spPr>
                <a:noFill/>
                <a:ln w="19217">
                  <a:noFill/>
                </a:ln>
              </c:spPr>
              <c:dLblPos val="outEnd"/>
            </c:dLbl>
            <c:dLbl>
              <c:idx val="1"/>
              <c:layout>
                <c:manualLayout>
                  <c:x val="-8.1632554020115659E-3"/>
                  <c:y val="2.8712141319413792E-3"/>
                </c:manualLayout>
              </c:layout>
              <c:tx>
                <c:rich>
                  <a:bodyPr/>
                  <a:lstStyle/>
                  <a:p>
                    <a:pPr>
                      <a:defRPr sz="850" b="0" i="0" u="none" strike="noStrike" baseline="0">
                        <a:solidFill>
                          <a:srgbClr val="000000"/>
                        </a:solidFill>
                        <a:latin typeface="Times New Roman"/>
                        <a:ea typeface="Times New Roman"/>
                        <a:cs typeface="Times New Roman"/>
                      </a:defRPr>
                    </a:pPr>
                    <a:r>
                      <a:rPr lang="ru-RU" sz="850"/>
                      <a:t>121,9% *</a:t>
                    </a:r>
                  </a:p>
                </c:rich>
              </c:tx>
              <c:spPr>
                <a:noFill/>
                <a:ln w="19217">
                  <a:noFill/>
                </a:ln>
              </c:spPr>
              <c:dLblPos val="outEnd"/>
            </c:dLbl>
            <c:dLbl>
              <c:idx val="2"/>
              <c:layout>
                <c:manualLayout>
                  <c:x val="-1.6055863387446961E-4"/>
                  <c:y val="-6.3642532488316734E-3"/>
                </c:manualLayout>
              </c:layout>
              <c:tx>
                <c:rich>
                  <a:bodyPr/>
                  <a:lstStyle/>
                  <a:p>
                    <a:r>
                      <a:rPr lang="ru-RU" sz="900"/>
                      <a:t>89,3%*</a:t>
                    </a:r>
                    <a:endParaRPr lang="en-US" sz="900"/>
                  </a:p>
                </c:rich>
              </c:tx>
              <c:dLblPos val="outEnd"/>
            </c:dLbl>
            <c:spPr>
              <a:noFill/>
              <a:ln w="19217">
                <a:noFill/>
              </a:ln>
            </c:spPr>
            <c:txPr>
              <a:bodyPr/>
              <a:lstStyle/>
              <a:p>
                <a:pPr>
                  <a:defRPr sz="900"/>
                </a:pPr>
                <a:endParaRPr lang="ru-RU"/>
              </a:p>
            </c:txPr>
            <c:showVal val="1"/>
          </c:dLbls>
          <c:cat>
            <c:strRef>
              <c:f>Лист1!$A$2:$A$3</c:f>
              <c:strCache>
                <c:ptCount val="2"/>
                <c:pt idx="0">
                  <c:v>обьем производства подотрасли</c:v>
                </c:pt>
                <c:pt idx="1">
                  <c:v>объем производства ЗАО "Тиротекс"</c:v>
                </c:pt>
              </c:strCache>
            </c:strRef>
          </c:cat>
          <c:val>
            <c:numRef>
              <c:f>Лист1!$C$2:$C$3</c:f>
              <c:numCache>
                <c:formatCode>General</c:formatCode>
                <c:ptCount val="2"/>
                <c:pt idx="0">
                  <c:v>1195.5</c:v>
                </c:pt>
                <c:pt idx="1">
                  <c:v>878.8</c:v>
                </c:pt>
              </c:numCache>
            </c:numRef>
          </c:val>
        </c:ser>
        <c:dLbls>
          <c:showVal val="1"/>
        </c:dLbls>
        <c:axId val="154537984"/>
        <c:axId val="154539520"/>
      </c:barChart>
      <c:catAx>
        <c:axId val="154537984"/>
        <c:scaling>
          <c:orientation val="minMax"/>
        </c:scaling>
        <c:axPos val="l"/>
        <c:numFmt formatCode="General" sourceLinked="1"/>
        <c:tickLblPos val="nextTo"/>
        <c:txPr>
          <a:bodyPr/>
          <a:lstStyle/>
          <a:p>
            <a:pPr>
              <a:defRPr sz="900" kern="0" baseline="0"/>
            </a:pPr>
            <a:endParaRPr lang="ru-RU"/>
          </a:p>
        </c:txPr>
        <c:crossAx val="154539520"/>
        <c:crosses val="autoZero"/>
        <c:auto val="1"/>
        <c:lblAlgn val="ctr"/>
        <c:lblOffset val="100"/>
      </c:catAx>
      <c:valAx>
        <c:axId val="154539520"/>
        <c:scaling>
          <c:orientation val="minMax"/>
        </c:scaling>
        <c:axPos val="b"/>
        <c:majorGridlines/>
        <c:title>
          <c:tx>
            <c:rich>
              <a:bodyPr/>
              <a:lstStyle/>
              <a:p>
                <a:pPr>
                  <a:defRPr sz="750" b="1" i="0" u="none" strike="noStrike" baseline="0">
                    <a:solidFill>
                      <a:srgbClr val="000000"/>
                    </a:solidFill>
                    <a:latin typeface="Times New Roman"/>
                    <a:ea typeface="Times New Roman"/>
                    <a:cs typeface="Times New Roman"/>
                  </a:defRPr>
                </a:pPr>
                <a:r>
                  <a:rPr lang="ru-RU" sz="750"/>
                  <a:t>* - темп роста 
к предыдущему году</a:t>
                </a:r>
              </a:p>
            </c:rich>
          </c:tx>
          <c:layout>
            <c:manualLayout>
              <c:xMode val="edge"/>
              <c:yMode val="edge"/>
              <c:x val="0"/>
              <c:y val="0.78966767615586564"/>
            </c:manualLayout>
          </c:layout>
          <c:spPr>
            <a:noFill/>
            <a:ln w="19217">
              <a:noFill/>
            </a:ln>
          </c:spPr>
        </c:title>
        <c:numFmt formatCode="General" sourceLinked="1"/>
        <c:tickLblPos val="nextTo"/>
        <c:txPr>
          <a:bodyPr/>
          <a:lstStyle/>
          <a:p>
            <a:pPr>
              <a:defRPr sz="900"/>
            </a:pPr>
            <a:endParaRPr lang="ru-RU"/>
          </a:p>
        </c:txPr>
        <c:crossAx val="154537984"/>
        <c:crosses val="autoZero"/>
        <c:crossBetween val="between"/>
        <c:majorUnit val="200"/>
      </c:valAx>
    </c:plotArea>
    <c:legend>
      <c:legendPos val="r"/>
      <c:layout>
        <c:manualLayout>
          <c:xMode val="edge"/>
          <c:yMode val="edge"/>
          <c:x val="0.8993047706824896"/>
          <c:y val="0.20889827795915755"/>
          <c:w val="9.8429775297274744E-2"/>
          <c:h val="0.30439103742981938"/>
        </c:manualLayout>
      </c:layout>
      <c:txPr>
        <a:bodyPr/>
        <a:lstStyle/>
        <a:p>
          <a:pPr>
            <a:defRPr sz="90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style val="31"/>
  <c:chart>
    <c:title>
      <c:tx>
        <c:rich>
          <a:bodyPr/>
          <a:lstStyle/>
          <a:p>
            <a:pPr>
              <a:defRPr sz="1198"/>
            </a:pPr>
            <a:r>
              <a:rPr lang="ru-RU" sz="1050"/>
              <a:t>Валовая продукция сельского хозяйства в хозяйствах </a:t>
            </a:r>
          </a:p>
          <a:p>
            <a:pPr>
              <a:defRPr sz="1198"/>
            </a:pPr>
            <a:r>
              <a:rPr lang="ru-RU" sz="1050"/>
              <a:t>всех категорий за 2015-2016 годы, млн.руб.</a:t>
            </a:r>
          </a:p>
        </c:rich>
      </c:tx>
      <c:layout>
        <c:manualLayout>
          <c:xMode val="edge"/>
          <c:yMode val="edge"/>
          <c:x val="0.25260680362837384"/>
          <c:y val="2.2245867915160001E-3"/>
        </c:manualLayout>
      </c:layout>
    </c:title>
    <c:plotArea>
      <c:layout>
        <c:manualLayout>
          <c:layoutTarget val="inner"/>
          <c:xMode val="edge"/>
          <c:yMode val="edge"/>
          <c:x val="0.35102601588483318"/>
          <c:y val="0.17118008897536471"/>
          <c:w val="0.62943001017382361"/>
          <c:h val="0.41698071524844132"/>
        </c:manualLayout>
      </c:layout>
      <c:barChart>
        <c:barDir val="col"/>
        <c:grouping val="clustered"/>
        <c:ser>
          <c:idx val="0"/>
          <c:order val="0"/>
          <c:tx>
            <c:strRef>
              <c:f>Лист1!$B$1</c:f>
              <c:strCache>
                <c:ptCount val="1"/>
                <c:pt idx="0">
                  <c:v>Валовая продукция сельского хозяйства</c:v>
                </c:pt>
              </c:strCache>
            </c:strRef>
          </c:tx>
          <c:spPr>
            <a:solidFill>
              <a:schemeClr val="accent3">
                <a:lumMod val="40000"/>
                <a:lumOff val="60000"/>
              </a:schemeClr>
            </a:solidFill>
          </c:spPr>
          <c:dLbls>
            <c:dLbl>
              <c:idx val="0"/>
              <c:layout>
                <c:manualLayout>
                  <c:x val="-1.3200304359349411E-4"/>
                  <c:y val="1.7444846421224378E-2"/>
                </c:manualLayout>
              </c:layout>
              <c:tx>
                <c:rich>
                  <a:bodyPr/>
                  <a:lstStyle/>
                  <a:p>
                    <a:r>
                      <a:rPr lang="ru-RU" sz="900" b="1">
                        <a:latin typeface="Times New Roman" pitchFamily="18" charset="0"/>
                        <a:cs typeface="Times New Roman" pitchFamily="18" charset="0"/>
                      </a:rPr>
                      <a:t>90,8*</a:t>
                    </a:r>
                    <a:endParaRPr lang="en-US" sz="900" b="1">
                      <a:latin typeface="Times New Roman" pitchFamily="18" charset="0"/>
                      <a:cs typeface="Times New Roman" pitchFamily="18" charset="0"/>
                    </a:endParaRPr>
                  </a:p>
                </c:rich>
              </c:tx>
              <c:dLblPos val="outEnd"/>
            </c:dLbl>
            <c:dLbl>
              <c:idx val="1"/>
              <c:layout>
                <c:manualLayout>
                  <c:x val="1.0581157798561263E-2"/>
                  <c:y val="1.4877503519607423E-2"/>
                </c:manualLayout>
              </c:layout>
              <c:tx>
                <c:rich>
                  <a:bodyPr/>
                  <a:lstStyle/>
                  <a:p>
                    <a:r>
                      <a:rPr lang="ru-RU" sz="900" b="1">
                        <a:latin typeface="Times New Roman" pitchFamily="18" charset="0"/>
                        <a:cs typeface="Times New Roman" pitchFamily="18" charset="0"/>
                      </a:rPr>
                      <a:t>108,6*</a:t>
                    </a:r>
                    <a:endParaRPr lang="en-US" sz="900" b="1">
                      <a:latin typeface="Times New Roman" pitchFamily="18" charset="0"/>
                      <a:cs typeface="Times New Roman" pitchFamily="18" charset="0"/>
                    </a:endParaRPr>
                  </a:p>
                </c:rich>
              </c:tx>
              <c:dLblPos val="outEnd"/>
            </c:dLbl>
            <c:dLbl>
              <c:idx val="2"/>
              <c:layout>
                <c:manualLayout>
                  <c:x val="8.4875562720160215E-17"/>
                  <c:y val="1.1904761904762775E-2"/>
                </c:manualLayout>
              </c:layout>
              <c:tx>
                <c:rich>
                  <a:bodyPr/>
                  <a:lstStyle/>
                  <a:p>
                    <a:r>
                      <a:rPr lang="ru-RU" sz="900" b="1">
                        <a:latin typeface="Times New Roman" pitchFamily="18" charset="0"/>
                        <a:cs typeface="Times New Roman" pitchFamily="18" charset="0"/>
                      </a:rPr>
                      <a:t>35,6*</a:t>
                    </a:r>
                    <a:endParaRPr lang="en-US" sz="900" b="1">
                      <a:latin typeface="Times New Roman" pitchFamily="18" charset="0"/>
                      <a:cs typeface="Times New Roman" pitchFamily="18" charset="0"/>
                    </a:endParaRPr>
                  </a:p>
                </c:rich>
              </c:tx>
              <c:dLblPos val="outEnd"/>
            </c:dLbl>
            <c:txPr>
              <a:bodyPr/>
              <a:lstStyle/>
              <a:p>
                <a:pPr>
                  <a:defRPr sz="900"/>
                </a:pPr>
                <a:endParaRPr lang="ru-RU"/>
              </a:p>
            </c:txPr>
            <c:dLblPos val="outEnd"/>
            <c:showVal val="1"/>
          </c:dLbls>
          <c:cat>
            <c:strRef>
              <c:f>Лист1!$A$2:$A$4</c:f>
              <c:strCache>
                <c:ptCount val="2"/>
                <c:pt idx="0">
                  <c:v>2015 г.</c:v>
                </c:pt>
                <c:pt idx="1">
                  <c:v>2016 г.</c:v>
                </c:pt>
              </c:strCache>
            </c:strRef>
          </c:cat>
          <c:val>
            <c:numRef>
              <c:f>Лист1!$B$2:$B$4</c:f>
              <c:numCache>
                <c:formatCode>#,##0.0</c:formatCode>
                <c:ptCount val="2"/>
                <c:pt idx="0">
                  <c:v>2037.1</c:v>
                </c:pt>
                <c:pt idx="1">
                  <c:v>2209.1</c:v>
                </c:pt>
              </c:numCache>
            </c:numRef>
          </c:val>
        </c:ser>
        <c:ser>
          <c:idx val="1"/>
          <c:order val="1"/>
          <c:tx>
            <c:strRef>
              <c:f>Лист1!$C$1</c:f>
              <c:strCache>
                <c:ptCount val="1"/>
                <c:pt idx="0">
                  <c:v>продукция растениеводства</c:v>
                </c:pt>
              </c:strCache>
            </c:strRef>
          </c:tx>
          <c:spPr>
            <a:solidFill>
              <a:schemeClr val="accent6">
                <a:lumMod val="75000"/>
              </a:schemeClr>
            </a:solidFill>
          </c:spPr>
          <c:dLbls>
            <c:dLbl>
              <c:idx val="0"/>
              <c:layout>
                <c:manualLayout>
                  <c:x val="-2.0226217651132402E-3"/>
                  <c:y val="1.8732253062961723E-2"/>
                </c:manualLayout>
              </c:layout>
              <c:tx>
                <c:rich>
                  <a:bodyPr/>
                  <a:lstStyle/>
                  <a:p>
                    <a:r>
                      <a:rPr lang="ru-RU" sz="900" b="1">
                        <a:latin typeface="Times New Roman" pitchFamily="18" charset="0"/>
                        <a:cs typeface="Times New Roman" pitchFamily="18" charset="0"/>
                      </a:rPr>
                      <a:t>92,7*</a:t>
                    </a:r>
                    <a:endParaRPr lang="en-US" sz="900" b="1">
                      <a:latin typeface="Times New Roman" pitchFamily="18" charset="0"/>
                      <a:cs typeface="Times New Roman" pitchFamily="18" charset="0"/>
                    </a:endParaRPr>
                  </a:p>
                </c:rich>
              </c:tx>
              <c:dLblPos val="outEnd"/>
            </c:dLbl>
            <c:dLbl>
              <c:idx val="1"/>
              <c:layout>
                <c:manualLayout>
                  <c:x val="8.5519134097807523E-3"/>
                  <c:y val="1.8114834702266203E-2"/>
                </c:manualLayout>
              </c:layout>
              <c:tx>
                <c:rich>
                  <a:bodyPr/>
                  <a:lstStyle/>
                  <a:p>
                    <a:r>
                      <a:rPr lang="ru-RU" sz="900" b="1">
                        <a:latin typeface="Times New Roman" pitchFamily="18" charset="0"/>
                        <a:cs typeface="Times New Roman" pitchFamily="18" charset="0"/>
                      </a:rPr>
                      <a:t>113,4*</a:t>
                    </a:r>
                    <a:endParaRPr lang="en-US" sz="900" b="1">
                      <a:latin typeface="Times New Roman" pitchFamily="18" charset="0"/>
                      <a:cs typeface="Times New Roman" pitchFamily="18" charset="0"/>
                    </a:endParaRPr>
                  </a:p>
                </c:rich>
              </c:tx>
              <c:dLblPos val="outEnd"/>
            </c:dLbl>
            <c:dLbl>
              <c:idx val="2"/>
              <c:layout>
                <c:manualLayout>
                  <c:x val="2.3148148148148147E-3"/>
                  <c:y val="1.1904761904762775E-2"/>
                </c:manualLayout>
              </c:layout>
              <c:tx>
                <c:rich>
                  <a:bodyPr/>
                  <a:lstStyle/>
                  <a:p>
                    <a:r>
                      <a:rPr lang="ru-RU" sz="900" b="1">
                        <a:latin typeface="Times New Roman" pitchFamily="18" charset="0"/>
                        <a:cs typeface="Times New Roman" pitchFamily="18" charset="0"/>
                      </a:rPr>
                      <a:t>29,7*</a:t>
                    </a:r>
                    <a:endParaRPr lang="en-US" sz="900" b="1">
                      <a:latin typeface="Times New Roman" pitchFamily="18" charset="0"/>
                      <a:cs typeface="Times New Roman" pitchFamily="18" charset="0"/>
                    </a:endParaRPr>
                  </a:p>
                </c:rich>
              </c:tx>
              <c:dLblPos val="outEnd"/>
            </c:dLbl>
            <c:txPr>
              <a:bodyPr/>
              <a:lstStyle/>
              <a:p>
                <a:pPr>
                  <a:defRPr sz="900"/>
                </a:pPr>
                <a:endParaRPr lang="ru-RU"/>
              </a:p>
            </c:txPr>
            <c:dLblPos val="outEnd"/>
            <c:showVal val="1"/>
          </c:dLbls>
          <c:cat>
            <c:strRef>
              <c:f>Лист1!$A$2:$A$4</c:f>
              <c:strCache>
                <c:ptCount val="2"/>
                <c:pt idx="0">
                  <c:v>2015 г.</c:v>
                </c:pt>
                <c:pt idx="1">
                  <c:v>2016 г.</c:v>
                </c:pt>
              </c:strCache>
            </c:strRef>
          </c:cat>
          <c:val>
            <c:numRef>
              <c:f>Лист1!$C$2:$C$4</c:f>
              <c:numCache>
                <c:formatCode>#,##0.0</c:formatCode>
                <c:ptCount val="2"/>
                <c:pt idx="0">
                  <c:v>1589.3</c:v>
                </c:pt>
                <c:pt idx="1">
                  <c:v>1805.7</c:v>
                </c:pt>
              </c:numCache>
            </c:numRef>
          </c:val>
        </c:ser>
        <c:ser>
          <c:idx val="2"/>
          <c:order val="2"/>
          <c:tx>
            <c:strRef>
              <c:f>Лист1!$D$1</c:f>
              <c:strCache>
                <c:ptCount val="1"/>
                <c:pt idx="0">
                  <c:v>продукция животноводства</c:v>
                </c:pt>
              </c:strCache>
            </c:strRef>
          </c:tx>
          <c:dLbls>
            <c:dLbl>
              <c:idx val="0"/>
              <c:layout>
                <c:manualLayout>
                  <c:x val="4.3537066010071422E-3"/>
                  <c:y val="1.7806017491056866E-2"/>
                </c:manualLayout>
              </c:layout>
              <c:tx>
                <c:rich>
                  <a:bodyPr/>
                  <a:lstStyle/>
                  <a:p>
                    <a:r>
                      <a:rPr lang="ru-RU" sz="900"/>
                      <a:t>84,8*</a:t>
                    </a:r>
                    <a:endParaRPr lang="en-US" sz="900"/>
                  </a:p>
                </c:rich>
              </c:tx>
              <c:dLblPos val="outEnd"/>
            </c:dLbl>
            <c:dLbl>
              <c:idx val="1"/>
              <c:layout>
                <c:manualLayout>
                  <c:x val="1.0869632169512141E-2"/>
                  <c:y val="4.4923629829292794E-3"/>
                </c:manualLayout>
              </c:layout>
              <c:tx>
                <c:rich>
                  <a:bodyPr/>
                  <a:lstStyle/>
                  <a:p>
                    <a:r>
                      <a:rPr lang="ru-RU" sz="900"/>
                      <a:t>91,4*</a:t>
                    </a:r>
                    <a:endParaRPr lang="en-US" sz="900"/>
                  </a:p>
                </c:rich>
              </c:tx>
              <c:dLblPos val="outEnd"/>
            </c:dLbl>
            <c:txPr>
              <a:bodyPr/>
              <a:lstStyle/>
              <a:p>
                <a:pPr>
                  <a:defRPr sz="900"/>
                </a:pPr>
                <a:endParaRPr lang="ru-RU"/>
              </a:p>
            </c:txPr>
            <c:showVal val="1"/>
          </c:dLbls>
          <c:cat>
            <c:strRef>
              <c:f>Лист1!$A$2:$A$4</c:f>
              <c:strCache>
                <c:ptCount val="2"/>
                <c:pt idx="0">
                  <c:v>2015 г.</c:v>
                </c:pt>
                <c:pt idx="1">
                  <c:v>2016 г.</c:v>
                </c:pt>
              </c:strCache>
            </c:strRef>
          </c:cat>
          <c:val>
            <c:numRef>
              <c:f>Лист1!$D$2:$D$4</c:f>
              <c:numCache>
                <c:formatCode>General</c:formatCode>
                <c:ptCount val="2"/>
                <c:pt idx="0">
                  <c:v>447.8</c:v>
                </c:pt>
                <c:pt idx="1">
                  <c:v>403.4</c:v>
                </c:pt>
              </c:numCache>
            </c:numRef>
          </c:val>
        </c:ser>
        <c:dLbls>
          <c:showVal val="1"/>
        </c:dLbls>
        <c:axId val="154423680"/>
        <c:axId val="154425216"/>
      </c:barChart>
      <c:catAx>
        <c:axId val="154423680"/>
        <c:scaling>
          <c:orientation val="minMax"/>
        </c:scaling>
        <c:axPos val="b"/>
        <c:numFmt formatCode="General" sourceLinked="1"/>
        <c:tickLblPos val="nextTo"/>
        <c:crossAx val="154425216"/>
        <c:crosses val="autoZero"/>
        <c:auto val="1"/>
        <c:lblAlgn val="ctr"/>
        <c:lblOffset val="100"/>
      </c:catAx>
      <c:valAx>
        <c:axId val="154425216"/>
        <c:scaling>
          <c:orientation val="minMax"/>
        </c:scaling>
        <c:axPos val="l"/>
        <c:numFmt formatCode="#,##0.0" sourceLinked="1"/>
        <c:tickLblPos val="nextTo"/>
        <c:crossAx val="154423680"/>
        <c:crosses val="autoZero"/>
        <c:crossBetween val="between"/>
      </c:valAx>
      <c:dTable>
        <c:showHorzBorder val="1"/>
        <c:showVertBorder val="1"/>
        <c:showOutline val="1"/>
        <c:showKeys val="1"/>
      </c:dTable>
    </c:plotArea>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2"/>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99" b="1" i="0" u="none" strike="noStrike" baseline="0">
                <a:solidFill>
                  <a:srgbClr val="000000"/>
                </a:solidFill>
                <a:latin typeface="Times New Roman"/>
                <a:ea typeface="Times New Roman"/>
                <a:cs typeface="Times New Roman"/>
              </a:defRPr>
            </a:pPr>
            <a:r>
              <a:rPr lang="ru-RU" sz="899"/>
              <a:t>2015 год</a:t>
            </a:r>
          </a:p>
        </c:rich>
      </c:tx>
      <c:layout>
        <c:manualLayout>
          <c:xMode val="edge"/>
          <c:yMode val="edge"/>
          <c:x val="0.49011773167777778"/>
          <c:y val="0"/>
        </c:manualLayout>
      </c:layout>
      <c:spPr>
        <a:noFill/>
        <a:ln w="25297">
          <a:noFill/>
        </a:ln>
      </c:spPr>
    </c:title>
    <c:view3D>
      <c:perspective val="0"/>
    </c:view3D>
    <c:plotArea>
      <c:layout>
        <c:manualLayout>
          <c:layoutTarget val="inner"/>
          <c:xMode val="edge"/>
          <c:yMode val="edge"/>
          <c:x val="0.24839743589743879"/>
          <c:y val="0.23037542427615387"/>
          <c:w val="0.63806026650516223"/>
          <c:h val="0.47020722540572479"/>
        </c:manualLayout>
      </c:layout>
      <c:pie3DChart>
        <c:varyColors val="1"/>
        <c:ser>
          <c:idx val="0"/>
          <c:order val="0"/>
          <c:tx>
            <c:strRef>
              <c:f>Sheet1!$A$2</c:f>
              <c:strCache>
                <c:ptCount val="1"/>
                <c:pt idx="0">
                  <c:v>Восток</c:v>
                </c:pt>
              </c:strCache>
            </c:strRef>
          </c:tx>
          <c:spPr>
            <a:pattFill prst="wdUpDiag">
              <a:fgClr>
                <a:srgbClr val="00FFFF"/>
              </a:fgClr>
              <a:bgClr>
                <a:srgbClr val="FFFFFF"/>
              </a:bgClr>
            </a:pattFill>
            <a:ln w="12649">
              <a:solidFill>
                <a:srgbClr val="000000"/>
              </a:solidFill>
              <a:prstDash val="solid"/>
            </a:ln>
          </c:spPr>
          <c:explosion val="16"/>
          <c:dPt>
            <c:idx val="0"/>
            <c:explosion val="26"/>
          </c:dPt>
          <c:dPt>
            <c:idx val="1"/>
            <c:spPr>
              <a:blipFill dpi="0" rotWithShape="0">
                <a:blip xmlns:r="http://schemas.openxmlformats.org/officeDocument/2006/relationships" r:embed="rId2"/>
                <a:srcRect/>
                <a:tile tx="0" ty="0" sx="100000" sy="100000" flip="none" algn="tl"/>
              </a:blipFill>
              <a:ln w="12649">
                <a:solidFill>
                  <a:srgbClr val="000000"/>
                </a:solidFill>
                <a:prstDash val="solid"/>
              </a:ln>
            </c:spPr>
          </c:dPt>
          <c:dPt>
            <c:idx val="2"/>
            <c:spPr>
              <a:solidFill>
                <a:srgbClr val="800000"/>
              </a:solidFill>
              <a:ln w="12649">
                <a:solidFill>
                  <a:srgbClr val="000000"/>
                </a:solidFill>
                <a:prstDash val="solid"/>
              </a:ln>
            </c:spPr>
          </c:dPt>
          <c:dPt>
            <c:idx val="3"/>
            <c:spPr>
              <a:pattFill prst="dkDnDiag">
                <a:fgClr>
                  <a:srgbClr val="993366"/>
                </a:fgClr>
                <a:bgClr>
                  <a:srgbClr val="FFFFFF"/>
                </a:bgClr>
              </a:pattFill>
              <a:ln w="12649">
                <a:solidFill>
                  <a:srgbClr val="000000"/>
                </a:solidFill>
                <a:prstDash val="solid"/>
              </a:ln>
            </c:spPr>
          </c:dPt>
          <c:dLbls>
            <c:dLbl>
              <c:idx val="0"/>
              <c:layout>
                <c:manualLayout>
                  <c:x val="3.2051282051282055E-2"/>
                  <c:y val="0.13091272622335817"/>
                </c:manualLayout>
              </c:layout>
              <c:tx>
                <c:rich>
                  <a:bodyPr/>
                  <a:lstStyle/>
                  <a:p>
                    <a:r>
                      <a:rPr lang="ru-RU" sz="899"/>
                      <a:t>53,8%</a:t>
                    </a:r>
                  </a:p>
                </c:rich>
              </c:tx>
              <c:dLblPos val="bestFit"/>
            </c:dLbl>
            <c:dLbl>
              <c:idx val="1"/>
              <c:layout>
                <c:manualLayout>
                  <c:x val="-7.927739501312342E-2"/>
                  <c:y val="0.14015674716638091"/>
                </c:manualLayout>
              </c:layout>
              <c:tx>
                <c:rich>
                  <a:bodyPr/>
                  <a:lstStyle/>
                  <a:p>
                    <a:r>
                      <a:rPr lang="en-US"/>
                      <a:t>3</a:t>
                    </a:r>
                    <a:r>
                      <a:rPr lang="ru-RU"/>
                      <a:t>8,3%</a:t>
                    </a:r>
                    <a:endParaRPr lang="en-US"/>
                  </a:p>
                </c:rich>
              </c:tx>
              <c:dLblPos val="bestFit"/>
              <c:showVal val="1"/>
            </c:dLbl>
            <c:dLbl>
              <c:idx val="2"/>
              <c:layout>
                <c:manualLayout>
                  <c:x val="-8.8568622470578728E-2"/>
                  <c:y val="-0.24249189439555349"/>
                </c:manualLayout>
              </c:layout>
              <c:tx>
                <c:rich>
                  <a:bodyPr/>
                  <a:lstStyle/>
                  <a:p>
                    <a:r>
                      <a:rPr lang="ru-RU" sz="899"/>
                      <a:t> 7,9%</a:t>
                    </a:r>
                  </a:p>
                </c:rich>
              </c:tx>
              <c:dLblPos val="bestFit"/>
            </c:dLbl>
            <c:dLbl>
              <c:idx val="3"/>
              <c:delete val="1"/>
            </c:dLbl>
            <c:spPr>
              <a:noFill/>
              <a:ln w="25297">
                <a:noFill/>
              </a:ln>
            </c:spPr>
            <c:txPr>
              <a:bodyPr/>
              <a:lstStyle/>
              <a:p>
                <a:pPr>
                  <a:defRPr sz="899" b="1" i="0" u="none" strike="noStrike" baseline="0">
                    <a:solidFill>
                      <a:srgbClr val="000000"/>
                    </a:solidFill>
                    <a:latin typeface="Times New Roman"/>
                    <a:ea typeface="Times New Roman"/>
                    <a:cs typeface="Times New Roman"/>
                  </a:defRPr>
                </a:pPr>
                <a:endParaRPr lang="ru-RU"/>
              </a:p>
            </c:txPr>
            <c:showVal val="1"/>
            <c:showLeaderLines val="1"/>
          </c:dLbls>
          <c:cat>
            <c:strRef>
              <c:f>Sheet1!$B$1:$E$1</c:f>
              <c:strCache>
                <c:ptCount val="3"/>
                <c:pt idx="0">
                  <c:v>Сельскохозяйственные организацииние государства</c:v>
                </c:pt>
                <c:pt idx="1">
                  <c:v>Хозяйства населения</c:v>
                </c:pt>
                <c:pt idx="2">
                  <c:v>Крестьянские (фермерские) хозяйства и арендаторы</c:v>
                </c:pt>
              </c:strCache>
            </c:strRef>
          </c:cat>
          <c:val>
            <c:numRef>
              <c:f>Sheet1!$B$2:$E$2</c:f>
              <c:numCache>
                <c:formatCode>0.0%</c:formatCode>
                <c:ptCount val="4"/>
                <c:pt idx="0">
                  <c:v>0.55000000000000004</c:v>
                </c:pt>
                <c:pt idx="1">
                  <c:v>0.37600000000000638</c:v>
                </c:pt>
                <c:pt idx="2">
                  <c:v>7.3999999999999996E-2</c:v>
                </c:pt>
              </c:numCache>
            </c:numRef>
          </c:val>
        </c:ser>
      </c:pie3DChart>
      <c:spPr>
        <a:solidFill>
          <a:srgbClr val="FFFFFF"/>
        </a:solidFill>
        <a:ln w="12649">
          <a:solidFill>
            <a:srgbClr val="FFFFFF"/>
          </a:solidFill>
          <a:prstDash val="solid"/>
        </a:ln>
      </c:spPr>
    </c:plotArea>
    <c:plotVisOnly val="1"/>
    <c:dispBlanksAs val="zero"/>
  </c:chart>
  <c:spPr>
    <a:noFill/>
    <a:ln>
      <a:noFill/>
    </a:ln>
  </c:spPr>
  <c:txPr>
    <a:bodyPr/>
    <a:lstStyle/>
    <a:p>
      <a:pPr>
        <a:defRPr sz="794" b="1" i="0" u="none" strike="noStrike" baseline="0">
          <a:solidFill>
            <a:srgbClr val="000000"/>
          </a:solidFill>
          <a:latin typeface="Times New Roman"/>
          <a:ea typeface="Times New Roman"/>
          <a:cs typeface="Times New Roman"/>
        </a:defRPr>
      </a:pPr>
      <a:endParaRPr lang="ru-RU"/>
    </a:p>
  </c:txPr>
  <c:externalData r:id="rId3"/>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1" i="0" u="none" strike="noStrike" baseline="0">
                <a:solidFill>
                  <a:srgbClr val="000000"/>
                </a:solidFill>
                <a:latin typeface="Times New Roman"/>
                <a:ea typeface="Times New Roman"/>
                <a:cs typeface="Times New Roman"/>
              </a:defRPr>
            </a:pPr>
            <a:r>
              <a:rPr lang="ru-RU" sz="900"/>
              <a:t>2016 год</a:t>
            </a:r>
          </a:p>
        </c:rich>
      </c:tx>
      <c:layout>
        <c:manualLayout>
          <c:xMode val="edge"/>
          <c:yMode val="edge"/>
          <c:x val="0.53656405386512618"/>
          <c:y val="7.8960025284797522E-3"/>
        </c:manualLayout>
      </c:layout>
      <c:spPr>
        <a:noFill/>
        <a:ln w="25313">
          <a:noFill/>
        </a:ln>
      </c:spPr>
    </c:title>
    <c:view3D>
      <c:perspective val="0"/>
    </c:view3D>
    <c:plotArea>
      <c:layout>
        <c:manualLayout>
          <c:layoutTarget val="inner"/>
          <c:xMode val="edge"/>
          <c:yMode val="edge"/>
          <c:x val="0.20232098814281391"/>
          <c:y val="0.24718019540751124"/>
          <c:w val="0.74240197048233292"/>
          <c:h val="0.42932005881465035"/>
        </c:manualLayout>
      </c:layout>
      <c:pie3DChart>
        <c:varyColors val="1"/>
        <c:ser>
          <c:idx val="0"/>
          <c:order val="0"/>
          <c:tx>
            <c:strRef>
              <c:f>Sheet1!$A$2</c:f>
              <c:strCache>
                <c:ptCount val="1"/>
                <c:pt idx="0">
                  <c:v>Восток</c:v>
                </c:pt>
              </c:strCache>
            </c:strRef>
          </c:tx>
          <c:spPr>
            <a:solidFill>
              <a:srgbClr val="9999FF"/>
            </a:solidFill>
            <a:ln w="12657">
              <a:solidFill>
                <a:srgbClr val="000000"/>
              </a:solidFill>
              <a:prstDash val="solid"/>
            </a:ln>
          </c:spPr>
          <c:explosion val="20"/>
          <c:dPt>
            <c:idx val="0"/>
            <c:spPr>
              <a:pattFill prst="wdUpDiag">
                <a:fgClr>
                  <a:srgbClr val="00FFFF"/>
                </a:fgClr>
                <a:bgClr>
                  <a:srgbClr val="FFFFFF"/>
                </a:bgClr>
              </a:pattFill>
              <a:ln w="12657">
                <a:solidFill>
                  <a:srgbClr val="000000"/>
                </a:solidFill>
                <a:prstDash val="solid"/>
              </a:ln>
            </c:spPr>
          </c:dPt>
          <c:dPt>
            <c:idx val="1"/>
            <c:spPr>
              <a:blipFill dpi="0" rotWithShape="0">
                <a:blip xmlns:r="http://schemas.openxmlformats.org/officeDocument/2006/relationships" r:embed="rId2"/>
                <a:srcRect/>
                <a:tile tx="0" ty="0" sx="100000" sy="100000" flip="none" algn="tl"/>
              </a:blipFill>
              <a:ln w="12657">
                <a:solidFill>
                  <a:srgbClr val="000000"/>
                </a:solidFill>
                <a:prstDash val="solid"/>
              </a:ln>
            </c:spPr>
          </c:dPt>
          <c:dPt>
            <c:idx val="2"/>
            <c:spPr>
              <a:solidFill>
                <a:srgbClr val="800000"/>
              </a:solidFill>
              <a:ln w="12657">
                <a:solidFill>
                  <a:srgbClr val="000000"/>
                </a:solidFill>
                <a:prstDash val="solid"/>
              </a:ln>
            </c:spPr>
          </c:dPt>
          <c:dLbls>
            <c:dLbl>
              <c:idx val="0"/>
              <c:layout>
                <c:manualLayout>
                  <c:x val="6.4195650166846219E-3"/>
                  <c:y val="0.17438059116955917"/>
                </c:manualLayout>
              </c:layout>
              <c:tx>
                <c:rich>
                  <a:bodyPr/>
                  <a:lstStyle/>
                  <a:p>
                    <a:pPr>
                      <a:defRPr sz="900"/>
                    </a:pPr>
                    <a:r>
                      <a:rPr lang="en-US"/>
                      <a:t>5</a:t>
                    </a:r>
                    <a:r>
                      <a:rPr lang="ru-RU"/>
                      <a:t>5,3</a:t>
                    </a:r>
                    <a:r>
                      <a:rPr lang="en-US"/>
                      <a:t>%</a:t>
                    </a:r>
                  </a:p>
                </c:rich>
              </c:tx>
              <c:spPr/>
              <c:dLblPos val="bestFit"/>
              <c:showVal val="1"/>
            </c:dLbl>
            <c:dLbl>
              <c:idx val="1"/>
              <c:layout>
                <c:manualLayout>
                  <c:x val="-7.4320091269999014E-2"/>
                  <c:y val="0.13836624479532081"/>
                </c:manualLayout>
              </c:layout>
              <c:tx>
                <c:rich>
                  <a:bodyPr/>
                  <a:lstStyle/>
                  <a:p>
                    <a:pPr>
                      <a:defRPr sz="900"/>
                    </a:pPr>
                    <a:r>
                      <a:rPr lang="en-US"/>
                      <a:t>3</a:t>
                    </a:r>
                    <a:r>
                      <a:rPr lang="ru-RU"/>
                      <a:t>6,3</a:t>
                    </a:r>
                    <a:r>
                      <a:rPr lang="en-US"/>
                      <a:t>%</a:t>
                    </a:r>
                  </a:p>
                </c:rich>
              </c:tx>
              <c:spPr/>
              <c:dLblPos val="bestFit"/>
              <c:showVal val="1"/>
            </c:dLbl>
            <c:dLbl>
              <c:idx val="2"/>
              <c:layout>
                <c:manualLayout>
                  <c:x val="-0.12441934079848059"/>
                  <c:y val="-7.0306165917742122E-2"/>
                </c:manualLayout>
              </c:layout>
              <c:tx>
                <c:rich>
                  <a:bodyPr/>
                  <a:lstStyle/>
                  <a:p>
                    <a:pPr>
                      <a:defRPr sz="900"/>
                    </a:pPr>
                    <a:r>
                      <a:rPr lang="ru-RU"/>
                      <a:t>8,4</a:t>
                    </a:r>
                    <a:r>
                      <a:rPr lang="en-US"/>
                      <a:t>%</a:t>
                    </a:r>
                  </a:p>
                </c:rich>
              </c:tx>
              <c:spPr/>
              <c:dLblPos val="bestFit"/>
              <c:showVal val="1"/>
            </c:dLbl>
            <c:dLblPos val="inEnd"/>
            <c:showVal val="1"/>
            <c:showLeaderLines val="1"/>
          </c:dLbls>
          <c:cat>
            <c:strRef>
              <c:f>Sheet1!$B$1:$D$1</c:f>
              <c:strCache>
                <c:ptCount val="3"/>
                <c:pt idx="0">
                  <c:v>Сельскохозяйственные организации</c:v>
                </c:pt>
                <c:pt idx="1">
                  <c:v>Хозяйства населения</c:v>
                </c:pt>
                <c:pt idx="2">
                  <c:v>Крестьянские (фермерские) хозяйства</c:v>
                </c:pt>
              </c:strCache>
            </c:strRef>
          </c:cat>
          <c:val>
            <c:numRef>
              <c:f>Sheet1!$B$2:$D$2</c:f>
              <c:numCache>
                <c:formatCode>0.0%</c:formatCode>
                <c:ptCount val="3"/>
                <c:pt idx="0">
                  <c:v>0.53900000000000003</c:v>
                </c:pt>
                <c:pt idx="1">
                  <c:v>0.38200000000000711</c:v>
                </c:pt>
                <c:pt idx="2">
                  <c:v>7.9000000000000514E-2</c:v>
                </c:pt>
              </c:numCache>
            </c:numRef>
          </c:val>
        </c:ser>
      </c:pie3DChart>
      <c:spPr>
        <a:solidFill>
          <a:srgbClr val="FFFFFF"/>
        </a:solidFill>
        <a:ln w="12657">
          <a:solidFill>
            <a:srgbClr val="FFFFFF"/>
          </a:solidFill>
          <a:prstDash val="solid"/>
        </a:ln>
      </c:spPr>
    </c:plotArea>
    <c:plotVisOnly val="1"/>
    <c:dispBlanksAs val="zero"/>
  </c:chart>
  <c:spPr>
    <a:noFill/>
    <a:ln>
      <a:noFill/>
    </a:ln>
  </c:spPr>
  <c:txPr>
    <a:bodyPr/>
    <a:lstStyle/>
    <a:p>
      <a:pPr>
        <a:defRPr sz="870" b="1" i="0" u="none" strike="noStrike" baseline="0">
          <a:solidFill>
            <a:srgbClr val="000000"/>
          </a:solidFill>
          <a:latin typeface="Times New Roman"/>
          <a:ea typeface="Times New Roman"/>
          <a:cs typeface="Times New Roman"/>
        </a:defRPr>
      </a:pPr>
      <a:endParaRPr lang="ru-RU"/>
    </a:p>
  </c:txPr>
  <c:externalData r:id="rId3"/>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198">
                <a:latin typeface="Times New Roman" pitchFamily="18" charset="0"/>
                <a:cs typeface="Times New Roman" pitchFamily="18" charset="0"/>
              </a:defRPr>
            </a:pPr>
            <a:r>
              <a:rPr lang="ru-RU" sz="1050">
                <a:latin typeface="Times New Roman" pitchFamily="18" charset="0"/>
                <a:cs typeface="Times New Roman" pitchFamily="18" charset="0"/>
              </a:rPr>
              <a:t>Структура поголовья основных видов скота и птицы по всем категориям хозяйств (по состоянию на 1 января 2017 года),в процентах</a:t>
            </a:r>
          </a:p>
        </c:rich>
      </c:tx>
      <c:layout>
        <c:manualLayout>
          <c:xMode val="edge"/>
          <c:yMode val="edge"/>
          <c:x val="0.21334851893513321"/>
          <c:y val="4.4939155332856095E-3"/>
        </c:manualLayout>
      </c:layout>
    </c:title>
    <c:plotArea>
      <c:layout>
        <c:manualLayout>
          <c:layoutTarget val="inner"/>
          <c:xMode val="edge"/>
          <c:yMode val="edge"/>
          <c:x val="0.2878473940757455"/>
          <c:y val="0.26871391076115475"/>
          <c:w val="0.67376021747283565"/>
          <c:h val="0.44464775236428777"/>
        </c:manualLayout>
      </c:layout>
      <c:barChart>
        <c:barDir val="col"/>
        <c:grouping val="percentStacked"/>
        <c:ser>
          <c:idx val="0"/>
          <c:order val="0"/>
          <c:tx>
            <c:strRef>
              <c:f>Лист1!$B$1</c:f>
              <c:strCache>
                <c:ptCount val="1"/>
                <c:pt idx="0">
                  <c:v>Сельскохозяйственные организации</c:v>
                </c:pt>
              </c:strCache>
            </c:strRef>
          </c:tx>
          <c:spPr>
            <a:solidFill>
              <a:srgbClr val="92D050"/>
            </a:solidFill>
          </c:spPr>
          <c:dLbls>
            <c:dLbl>
              <c:idx val="0"/>
              <c:layout>
                <c:manualLayout>
                  <c:x val="5.5455568053993439E-4"/>
                  <c:y val="-6.2170735852263778E-3"/>
                </c:manualLayout>
              </c:layout>
              <c:tx>
                <c:rich>
                  <a:bodyPr/>
                  <a:lstStyle/>
                  <a:p>
                    <a:r>
                      <a:rPr lang="ru-RU"/>
                      <a:t>39,7%</a:t>
                    </a:r>
                    <a:endParaRPr lang="en-US"/>
                  </a:p>
                </c:rich>
              </c:tx>
              <c:dLblPos val="ctr"/>
              <c:showVal val="1"/>
            </c:dLbl>
            <c:dLbl>
              <c:idx val="1"/>
              <c:layout>
                <c:manualLayout>
                  <c:x val="2.4533563611152391E-3"/>
                  <c:y val="-1.0050410365370995E-2"/>
                </c:manualLayout>
              </c:layout>
              <c:tx>
                <c:rich>
                  <a:bodyPr/>
                  <a:lstStyle/>
                  <a:p>
                    <a:r>
                      <a:rPr lang="en-US"/>
                      <a:t>5</a:t>
                    </a:r>
                    <a:r>
                      <a:rPr lang="ru-RU"/>
                      <a:t>6</a:t>
                    </a:r>
                    <a:r>
                      <a:rPr lang="en-US"/>
                      <a:t>,7</a:t>
                    </a:r>
                    <a:r>
                      <a:rPr lang="ru-RU"/>
                      <a:t>%</a:t>
                    </a:r>
                    <a:endParaRPr lang="en-US"/>
                  </a:p>
                </c:rich>
              </c:tx>
              <c:dLblPos val="ctr"/>
              <c:showVal val="1"/>
            </c:dLbl>
            <c:dLbl>
              <c:idx val="2"/>
              <c:layout>
                <c:manualLayout>
                  <c:x val="2.1885678205318692E-3"/>
                  <c:y val="5.2285131025288833E-4"/>
                </c:manualLayout>
              </c:layout>
              <c:tx>
                <c:rich>
                  <a:bodyPr/>
                  <a:lstStyle/>
                  <a:p>
                    <a:r>
                      <a:rPr lang="ru-RU"/>
                      <a:t>29,7%</a:t>
                    </a:r>
                    <a:endParaRPr lang="en-US"/>
                  </a:p>
                </c:rich>
              </c:tx>
              <c:dLblPos val="ctr"/>
              <c:showVal val="1"/>
            </c:dLbl>
            <c:dLbl>
              <c:idx val="3"/>
              <c:layout>
                <c:manualLayout>
                  <c:x val="2.4822958450948346E-3"/>
                  <c:y val="-5.5863850352041019E-3"/>
                </c:manualLayout>
              </c:layout>
              <c:tx>
                <c:rich>
                  <a:bodyPr/>
                  <a:lstStyle/>
                  <a:p>
                    <a:r>
                      <a:rPr lang="en-US"/>
                      <a:t>5</a:t>
                    </a:r>
                    <a:r>
                      <a:rPr lang="ru-RU"/>
                      <a:t>9,2%</a:t>
                    </a:r>
                    <a:endParaRPr lang="en-US"/>
                  </a:p>
                </c:rich>
              </c:tx>
              <c:dLblPos val="ctr"/>
              <c:showVal val="1"/>
            </c:dLbl>
            <c:txPr>
              <a:bodyPr/>
              <a:lstStyle/>
              <a:p>
                <a:pPr>
                  <a:defRPr sz="898" b="1">
                    <a:latin typeface="Times New Roman" pitchFamily="18" charset="0"/>
                    <a:cs typeface="Times New Roman" pitchFamily="18" charset="0"/>
                  </a:defRPr>
                </a:pPr>
                <a:endParaRPr lang="ru-RU"/>
              </a:p>
            </c:txPr>
            <c:showVal val="1"/>
          </c:dLbls>
          <c:cat>
            <c:strRef>
              <c:f>Лист1!$A$2:$A$5</c:f>
              <c:strCache>
                <c:ptCount val="4"/>
                <c:pt idx="0">
                  <c:v>КРС</c:v>
                </c:pt>
                <c:pt idx="1">
                  <c:v>Свиньи</c:v>
                </c:pt>
                <c:pt idx="2">
                  <c:v>Овцы и козы</c:v>
                </c:pt>
                <c:pt idx="3">
                  <c:v>Птица</c:v>
                </c:pt>
              </c:strCache>
            </c:strRef>
          </c:cat>
          <c:val>
            <c:numRef>
              <c:f>Лист1!$B$2:$B$5</c:f>
              <c:numCache>
                <c:formatCode>General</c:formatCode>
                <c:ptCount val="4"/>
                <c:pt idx="0" formatCode="0.0">
                  <c:v>39.700000000000003</c:v>
                </c:pt>
                <c:pt idx="1">
                  <c:v>56.7</c:v>
                </c:pt>
                <c:pt idx="2" formatCode="0.0">
                  <c:v>29.7</c:v>
                </c:pt>
                <c:pt idx="3">
                  <c:v>59.2</c:v>
                </c:pt>
              </c:numCache>
            </c:numRef>
          </c:val>
        </c:ser>
        <c:ser>
          <c:idx val="1"/>
          <c:order val="1"/>
          <c:tx>
            <c:strRef>
              <c:f>Лист1!$C$1</c:f>
              <c:strCache>
                <c:ptCount val="1"/>
                <c:pt idx="0">
                  <c:v>Хозяйства населения</c:v>
                </c:pt>
              </c:strCache>
            </c:strRef>
          </c:tx>
          <c:spPr>
            <a:solidFill>
              <a:srgbClr val="C0504D">
                <a:lumMod val="60000"/>
                <a:lumOff val="40000"/>
              </a:srgbClr>
            </a:solidFill>
          </c:spPr>
          <c:dLbls>
            <c:dLbl>
              <c:idx val="0"/>
              <c:layout>
                <c:manualLayout>
                  <c:x val="2.1042254741742189E-3"/>
                  <c:y val="-1.4756488772236804E-3"/>
                </c:manualLayout>
              </c:layout>
              <c:tx>
                <c:rich>
                  <a:bodyPr/>
                  <a:lstStyle/>
                  <a:p>
                    <a:r>
                      <a:rPr lang="ru-RU"/>
                      <a:t>60,3%</a:t>
                    </a:r>
                    <a:endParaRPr lang="en-US"/>
                  </a:p>
                </c:rich>
              </c:tx>
              <c:dLblPos val="ctr"/>
              <c:showVal val="1"/>
            </c:dLbl>
            <c:dLbl>
              <c:idx val="1"/>
              <c:layout>
                <c:manualLayout>
                  <c:x val="5.9022619224485583E-3"/>
                  <c:y val="3.3454151564388268E-3"/>
                </c:manualLayout>
              </c:layout>
              <c:tx>
                <c:rich>
                  <a:bodyPr/>
                  <a:lstStyle/>
                  <a:p>
                    <a:r>
                      <a:rPr lang="en-US"/>
                      <a:t>4</a:t>
                    </a:r>
                    <a:r>
                      <a:rPr lang="ru-RU"/>
                      <a:t>3</a:t>
                    </a:r>
                    <a:r>
                      <a:rPr lang="en-US"/>
                      <a:t>,3</a:t>
                    </a:r>
                    <a:r>
                      <a:rPr lang="ru-RU"/>
                      <a:t>%</a:t>
                    </a:r>
                    <a:endParaRPr lang="en-US"/>
                  </a:p>
                </c:rich>
              </c:tx>
              <c:dLblPos val="ctr"/>
              <c:showVal val="1"/>
            </c:dLbl>
            <c:dLbl>
              <c:idx val="2"/>
              <c:layout>
                <c:manualLayout>
                  <c:x val="3.8887238151835662E-3"/>
                  <c:y val="7.9752530933637905E-3"/>
                </c:manualLayout>
              </c:layout>
              <c:tx>
                <c:rich>
                  <a:bodyPr/>
                  <a:lstStyle/>
                  <a:p>
                    <a:r>
                      <a:rPr lang="ru-RU"/>
                      <a:t>70,3%</a:t>
                    </a:r>
                    <a:endParaRPr lang="en-US"/>
                  </a:p>
                </c:rich>
              </c:tx>
              <c:dLblPos val="ctr"/>
              <c:showVal val="1"/>
            </c:dLbl>
            <c:dLbl>
              <c:idx val="3"/>
              <c:layout>
                <c:manualLayout>
                  <c:x val="1.8290682414698221E-3"/>
                  <c:y val="1.6810398700162581E-2"/>
                </c:manualLayout>
              </c:layout>
              <c:tx>
                <c:rich>
                  <a:bodyPr/>
                  <a:lstStyle/>
                  <a:p>
                    <a:r>
                      <a:rPr lang="en-US"/>
                      <a:t>4</a:t>
                    </a:r>
                    <a:r>
                      <a:rPr lang="ru-RU"/>
                      <a:t>0,8%</a:t>
                    </a:r>
                    <a:endParaRPr lang="en-US"/>
                  </a:p>
                </c:rich>
              </c:tx>
              <c:dLblPos val="ctr"/>
              <c:showVal val="1"/>
            </c:dLbl>
            <c:txPr>
              <a:bodyPr/>
              <a:lstStyle/>
              <a:p>
                <a:pPr>
                  <a:defRPr sz="898" b="1">
                    <a:latin typeface="Times New Roman" pitchFamily="18" charset="0"/>
                    <a:cs typeface="Times New Roman" pitchFamily="18" charset="0"/>
                  </a:defRPr>
                </a:pPr>
                <a:endParaRPr lang="ru-RU"/>
              </a:p>
            </c:txPr>
            <c:showVal val="1"/>
          </c:dLbls>
          <c:cat>
            <c:strRef>
              <c:f>Лист1!$A$2:$A$5</c:f>
              <c:strCache>
                <c:ptCount val="4"/>
                <c:pt idx="0">
                  <c:v>КРС</c:v>
                </c:pt>
                <c:pt idx="1">
                  <c:v>Свиньи</c:v>
                </c:pt>
                <c:pt idx="2">
                  <c:v>Овцы и козы</c:v>
                </c:pt>
                <c:pt idx="3">
                  <c:v>Птица</c:v>
                </c:pt>
              </c:strCache>
            </c:strRef>
          </c:cat>
          <c:val>
            <c:numRef>
              <c:f>Лист1!$C$2:$C$5</c:f>
              <c:numCache>
                <c:formatCode>0.0</c:formatCode>
                <c:ptCount val="4"/>
                <c:pt idx="0">
                  <c:v>60.3</c:v>
                </c:pt>
                <c:pt idx="1">
                  <c:v>43.3</c:v>
                </c:pt>
                <c:pt idx="2">
                  <c:v>70.3</c:v>
                </c:pt>
                <c:pt idx="3" formatCode="General">
                  <c:v>40.800000000000004</c:v>
                </c:pt>
              </c:numCache>
            </c:numRef>
          </c:val>
        </c:ser>
        <c:overlap val="100"/>
        <c:axId val="154698112"/>
        <c:axId val="154699648"/>
      </c:barChart>
      <c:catAx>
        <c:axId val="154698112"/>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154699648"/>
        <c:crosses val="autoZero"/>
        <c:auto val="1"/>
        <c:lblAlgn val="ctr"/>
        <c:lblOffset val="100"/>
      </c:catAx>
      <c:valAx>
        <c:axId val="154699648"/>
        <c:scaling>
          <c:orientation val="minMax"/>
        </c:scaling>
        <c:axPos val="l"/>
        <c:numFmt formatCode="0%" sourceLinked="1"/>
        <c:tickLblPos val="nextTo"/>
        <c:txPr>
          <a:bodyPr/>
          <a:lstStyle/>
          <a:p>
            <a:pPr>
              <a:defRPr sz="898" b="1">
                <a:latin typeface="Times New Roman" pitchFamily="18" charset="0"/>
                <a:cs typeface="Times New Roman" pitchFamily="18" charset="0"/>
              </a:defRPr>
            </a:pPr>
            <a:endParaRPr lang="ru-RU"/>
          </a:p>
        </c:txPr>
        <c:crossAx val="154698112"/>
        <c:crosses val="autoZero"/>
        <c:crossBetween val="between"/>
      </c:valAx>
    </c:plotArea>
    <c:legend>
      <c:legendPos val="r"/>
      <c:layout>
        <c:manualLayout>
          <c:xMode val="edge"/>
          <c:yMode val="edge"/>
          <c:x val="0.25306524184476942"/>
          <c:y val="0.85509281794322245"/>
          <c:w val="0.67754443194601632"/>
          <c:h val="0.13922925499697344"/>
        </c:manualLayout>
      </c:layout>
      <c:txPr>
        <a:bodyPr/>
        <a:lstStyle/>
        <a:p>
          <a:pPr>
            <a:defRPr sz="900" b="0">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style val="31"/>
  <c:chart>
    <c:title>
      <c:tx>
        <c:rich>
          <a:bodyPr/>
          <a:lstStyle/>
          <a:p>
            <a:pPr>
              <a:defRPr sz="1198"/>
            </a:pPr>
            <a:r>
              <a:rPr lang="ru-RU" sz="1100"/>
              <a:t>Производство продукции животноводства </a:t>
            </a:r>
          </a:p>
          <a:p>
            <a:pPr>
              <a:defRPr sz="1198"/>
            </a:pPr>
            <a:r>
              <a:rPr lang="ru-RU" sz="1100"/>
              <a:t>(без  учёта хозяйств населения) за 2015-2016 годы</a:t>
            </a:r>
          </a:p>
        </c:rich>
      </c:tx>
      <c:layout>
        <c:manualLayout>
          <c:xMode val="edge"/>
          <c:yMode val="edge"/>
          <c:x val="0.24698136613521027"/>
          <c:y val="0"/>
        </c:manualLayout>
      </c:layout>
    </c:title>
    <c:plotArea>
      <c:layout>
        <c:manualLayout>
          <c:layoutTarget val="inner"/>
          <c:xMode val="edge"/>
          <c:yMode val="edge"/>
          <c:x val="0.11252844492305462"/>
          <c:y val="0.16577706195816436"/>
          <c:w val="0.87702219040801765"/>
          <c:h val="0.34272011453113499"/>
        </c:manualLayout>
      </c:layout>
      <c:barChart>
        <c:barDir val="col"/>
        <c:grouping val="clustered"/>
        <c:ser>
          <c:idx val="0"/>
          <c:order val="0"/>
          <c:tx>
            <c:strRef>
              <c:f>Лист1!$B$1</c:f>
              <c:strCache>
                <c:ptCount val="1"/>
                <c:pt idx="0">
                  <c:v>2015 год</c:v>
                </c:pt>
              </c:strCache>
            </c:strRef>
          </c:tx>
          <c:dLbls>
            <c:delete val="1"/>
          </c:dLbls>
          <c:cat>
            <c:strRef>
              <c:f>Лист1!$A$2:$A$4</c:f>
              <c:strCache>
                <c:ptCount val="3"/>
                <c:pt idx="0">
                  <c:v>Реализация скота и птицы на убой (в живом весе), тонн</c:v>
                </c:pt>
                <c:pt idx="1">
                  <c:v>Производство молока коровьего, тонн</c:v>
                </c:pt>
                <c:pt idx="2">
                  <c:v>Производство яиц куриных, тыс. шт.</c:v>
                </c:pt>
              </c:strCache>
            </c:strRef>
          </c:cat>
          <c:val>
            <c:numRef>
              <c:f>Лист1!$B$2:$B$4</c:f>
              <c:numCache>
                <c:formatCode>#,##0.0</c:formatCode>
                <c:ptCount val="3"/>
                <c:pt idx="0">
                  <c:v>5056.1000000000004</c:v>
                </c:pt>
                <c:pt idx="1">
                  <c:v>8326</c:v>
                </c:pt>
                <c:pt idx="2">
                  <c:v>28137.3</c:v>
                </c:pt>
              </c:numCache>
            </c:numRef>
          </c:val>
        </c:ser>
        <c:ser>
          <c:idx val="1"/>
          <c:order val="1"/>
          <c:tx>
            <c:strRef>
              <c:f>Лист1!$C$1</c:f>
              <c:strCache>
                <c:ptCount val="1"/>
                <c:pt idx="0">
                  <c:v>2016 год</c:v>
                </c:pt>
              </c:strCache>
            </c:strRef>
          </c:tx>
          <c:spPr>
            <a:solidFill>
              <a:schemeClr val="accent5">
                <a:lumMod val="40000"/>
                <a:lumOff val="60000"/>
              </a:schemeClr>
            </a:solidFill>
          </c:spPr>
          <c:dLbls>
            <c:dLbl>
              <c:idx val="0"/>
              <c:layout>
                <c:manualLayout>
                  <c:x val="1.2957599648703414E-2"/>
                  <c:y val="1.879437201497354E-2"/>
                </c:manualLayout>
              </c:layout>
              <c:tx>
                <c:rich>
                  <a:bodyPr/>
                  <a:lstStyle/>
                  <a:p>
                    <a:r>
                      <a:rPr lang="ru-RU" sz="900" b="1">
                        <a:latin typeface="Times New Roman" pitchFamily="18" charset="0"/>
                        <a:cs typeface="Times New Roman" pitchFamily="18" charset="0"/>
                      </a:rPr>
                      <a:t>134,8*</a:t>
                    </a:r>
                    <a:endParaRPr lang="en-US" sz="900" b="1">
                      <a:latin typeface="Times New Roman" pitchFamily="18" charset="0"/>
                      <a:cs typeface="Times New Roman" pitchFamily="18" charset="0"/>
                    </a:endParaRPr>
                  </a:p>
                </c:rich>
              </c:tx>
              <c:dLblPos val="outEnd"/>
            </c:dLbl>
            <c:dLbl>
              <c:idx val="1"/>
              <c:layout>
                <c:manualLayout>
                  <c:x val="1.2721278614120016E-2"/>
                  <c:y val="2.7312364642944231E-2"/>
                </c:manualLayout>
              </c:layout>
              <c:tx>
                <c:rich>
                  <a:bodyPr/>
                  <a:lstStyle/>
                  <a:p>
                    <a:r>
                      <a:rPr lang="ru-RU" sz="900" b="1">
                        <a:latin typeface="Times New Roman" pitchFamily="18" charset="0"/>
                        <a:cs typeface="Times New Roman" pitchFamily="18" charset="0"/>
                      </a:rPr>
                      <a:t>91,8*</a:t>
                    </a:r>
                    <a:endParaRPr lang="en-US" sz="900" b="1">
                      <a:latin typeface="Times New Roman" pitchFamily="18" charset="0"/>
                      <a:cs typeface="Times New Roman" pitchFamily="18" charset="0"/>
                    </a:endParaRPr>
                  </a:p>
                </c:rich>
              </c:tx>
              <c:dLblPos val="outEnd"/>
            </c:dLbl>
            <c:dLbl>
              <c:idx val="2"/>
              <c:layout>
                <c:manualLayout>
                  <c:x val="6.7452750965728637E-3"/>
                  <c:y val="2.2005090272807056E-2"/>
                </c:manualLayout>
              </c:layout>
              <c:tx>
                <c:rich>
                  <a:bodyPr/>
                  <a:lstStyle/>
                  <a:p>
                    <a:r>
                      <a:rPr lang="ru-RU" sz="900" b="1">
                        <a:latin typeface="Times New Roman" pitchFamily="18" charset="0"/>
                        <a:cs typeface="Times New Roman" pitchFamily="18" charset="0"/>
                      </a:rPr>
                      <a:t>74,0*</a:t>
                    </a:r>
                    <a:endParaRPr lang="en-US" sz="900" b="1">
                      <a:latin typeface="Times New Roman" pitchFamily="18" charset="0"/>
                      <a:cs typeface="Times New Roman" pitchFamily="18" charset="0"/>
                    </a:endParaRPr>
                  </a:p>
                </c:rich>
              </c:tx>
              <c:dLblPos val="outEnd"/>
            </c:dLbl>
            <c:txPr>
              <a:bodyPr/>
              <a:lstStyle/>
              <a:p>
                <a:pPr>
                  <a:defRPr sz="900"/>
                </a:pPr>
                <a:endParaRPr lang="ru-RU"/>
              </a:p>
            </c:txPr>
            <c:dLblPos val="outEnd"/>
            <c:showVal val="1"/>
          </c:dLbls>
          <c:cat>
            <c:strRef>
              <c:f>Лист1!$A$2:$A$4</c:f>
              <c:strCache>
                <c:ptCount val="3"/>
                <c:pt idx="0">
                  <c:v>Реализация скота и птицы на убой (в живом весе), тонн</c:v>
                </c:pt>
                <c:pt idx="1">
                  <c:v>Производство молока коровьего, тонн</c:v>
                </c:pt>
                <c:pt idx="2">
                  <c:v>Производство яиц куриных, тыс. шт.</c:v>
                </c:pt>
              </c:strCache>
            </c:strRef>
          </c:cat>
          <c:val>
            <c:numRef>
              <c:f>Лист1!$C$2:$C$4</c:f>
              <c:numCache>
                <c:formatCode>#,##0.0</c:formatCode>
                <c:ptCount val="3"/>
                <c:pt idx="0">
                  <c:v>6815.8</c:v>
                </c:pt>
                <c:pt idx="1">
                  <c:v>7640.4</c:v>
                </c:pt>
                <c:pt idx="2">
                  <c:v>7318.1</c:v>
                </c:pt>
              </c:numCache>
            </c:numRef>
          </c:val>
        </c:ser>
        <c:dLbls>
          <c:showVal val="1"/>
        </c:dLbls>
        <c:axId val="155069056"/>
        <c:axId val="155263360"/>
      </c:barChart>
      <c:catAx>
        <c:axId val="155069056"/>
        <c:scaling>
          <c:orientation val="minMax"/>
        </c:scaling>
        <c:axPos val="b"/>
        <c:numFmt formatCode="General" sourceLinked="1"/>
        <c:tickLblPos val="nextTo"/>
        <c:crossAx val="155263360"/>
        <c:crosses val="autoZero"/>
        <c:auto val="1"/>
        <c:lblAlgn val="ctr"/>
        <c:lblOffset val="100"/>
      </c:catAx>
      <c:valAx>
        <c:axId val="155263360"/>
        <c:scaling>
          <c:orientation val="minMax"/>
        </c:scaling>
        <c:axPos val="l"/>
        <c:numFmt formatCode="#,##0.0" sourceLinked="1"/>
        <c:tickLblPos val="nextTo"/>
        <c:crossAx val="155069056"/>
        <c:crosses val="autoZero"/>
        <c:crossBetween val="between"/>
      </c:valAx>
      <c:dTable>
        <c:showHorzBorder val="1"/>
        <c:showVertBorder val="1"/>
        <c:showOutline val="1"/>
      </c:dTable>
      <c:spPr>
        <a:noFill/>
        <a:ln w="25400">
          <a:noFill/>
        </a:ln>
      </c:spPr>
    </c:plotArea>
    <c:legend>
      <c:legendPos val="r"/>
      <c:layout>
        <c:manualLayout>
          <c:xMode val="edge"/>
          <c:yMode val="edge"/>
          <c:x val="0.37002657583162818"/>
          <c:y val="0.88832464603896344"/>
          <c:w val="0.26127320954907168"/>
          <c:h val="7.603299587551586E-2"/>
        </c:manualLayout>
      </c:layout>
    </c:legend>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2"/>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pPr>
            <a:r>
              <a:rPr lang="ru-RU" sz="1200">
                <a:latin typeface="Times New Roman" pitchFamily="18" charset="0"/>
                <a:cs typeface="Times New Roman" pitchFamily="18" charset="0"/>
              </a:rPr>
              <a:t>Инвестиции в основной капитал</a:t>
            </a:r>
          </a:p>
          <a:p>
            <a:pPr algn="ctr">
              <a:defRPr/>
            </a:pPr>
            <a:r>
              <a:rPr lang="ru-RU" sz="1100" i="1">
                <a:latin typeface="Times New Roman" pitchFamily="18" charset="0"/>
                <a:cs typeface="Times New Roman" pitchFamily="18" charset="0"/>
              </a:rPr>
              <a:t>(в части</a:t>
            </a:r>
            <a:r>
              <a:rPr lang="ru-RU" sz="1100" i="1" baseline="0">
                <a:latin typeface="Times New Roman" pitchFamily="18" charset="0"/>
                <a:cs typeface="Times New Roman" pitchFamily="18" charset="0"/>
              </a:rPr>
              <a:t> новых и преобретенных по импорту основных средств</a:t>
            </a:r>
            <a:r>
              <a:rPr lang="ru-RU" sz="1100" i="1">
                <a:latin typeface="Times New Roman" pitchFamily="18" charset="0"/>
                <a:cs typeface="Times New Roman" pitchFamily="18" charset="0"/>
              </a:rPr>
              <a:t>)</a:t>
            </a:r>
          </a:p>
          <a:p>
            <a:pPr algn="ctr">
              <a:defRPr/>
            </a:pPr>
            <a:r>
              <a:rPr lang="ru-RU" sz="1200" i="0">
                <a:latin typeface="Times New Roman" pitchFamily="18" charset="0"/>
                <a:cs typeface="Times New Roman" pitchFamily="18" charset="0"/>
              </a:rPr>
              <a:t>в текущих ценах </a:t>
            </a:r>
            <a:r>
              <a:rPr lang="ru-RU" sz="1100" b="0">
                <a:latin typeface="Times New Roman" pitchFamily="18" charset="0"/>
                <a:cs typeface="Times New Roman" pitchFamily="18" charset="0"/>
              </a:rPr>
              <a:t>(без субъектов малого предпринимательств), млн. руб.</a:t>
            </a:r>
          </a:p>
        </c:rich>
      </c:tx>
      <c:layout>
        <c:manualLayout>
          <c:xMode val="edge"/>
          <c:yMode val="edge"/>
          <c:x val="0.17968243012915744"/>
          <c:y val="1.5904197245314538E-2"/>
        </c:manualLayout>
      </c:layout>
    </c:title>
    <c:plotArea>
      <c:layout>
        <c:manualLayout>
          <c:layoutTarget val="inner"/>
          <c:xMode val="edge"/>
          <c:yMode val="edge"/>
          <c:x val="0.3608247422680434"/>
          <c:y val="0.24604622338874321"/>
          <c:w val="0.61349509559040782"/>
          <c:h val="0.39898877223680868"/>
        </c:manualLayout>
      </c:layout>
      <c:barChart>
        <c:barDir val="col"/>
        <c:grouping val="clustered"/>
        <c:ser>
          <c:idx val="0"/>
          <c:order val="0"/>
          <c:tx>
            <c:strRef>
              <c:f>Лист1!$B$1</c:f>
              <c:strCache>
                <c:ptCount val="1"/>
                <c:pt idx="0">
                  <c:v>прочие</c:v>
                </c:pt>
              </c:strCache>
            </c:strRef>
          </c:tx>
          <c:dLbls>
            <c:dLbl>
              <c:idx val="0"/>
              <c:layout>
                <c:manualLayout>
                  <c:x val="-9.6894138232721228E-4"/>
                  <c:y val="9.1291473181238109E-3"/>
                </c:manualLayout>
              </c:layout>
              <c:tx>
                <c:rich>
                  <a:bodyPr/>
                  <a:lstStyle/>
                  <a:p>
                    <a:r>
                      <a:rPr lang="ru-RU" sz="900"/>
                      <a:t>5,7*</a:t>
                    </a:r>
                    <a:endParaRPr lang="en-US" sz="900"/>
                  </a:p>
                </c:rich>
              </c:tx>
              <c:showVal val="1"/>
            </c:dLbl>
            <c:dLbl>
              <c:idx val="1"/>
              <c:layout>
                <c:manualLayout>
                  <c:x val="-3.4949759720402092E-3"/>
                  <c:y val="-8.2559339525286098E-3"/>
                </c:manualLayout>
              </c:layout>
              <c:tx>
                <c:rich>
                  <a:bodyPr/>
                  <a:lstStyle/>
                  <a:p>
                    <a:r>
                      <a:rPr lang="ru-RU" sz="900"/>
                      <a:t>3,9*</a:t>
                    </a:r>
                    <a:endParaRPr lang="en-US" sz="900"/>
                  </a:p>
                </c:rich>
              </c:tx>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Лист1!$B$2:$B$3</c:f>
              <c:numCache>
                <c:formatCode>General</c:formatCode>
                <c:ptCount val="2"/>
                <c:pt idx="0">
                  <c:v>76.7</c:v>
                </c:pt>
                <c:pt idx="1">
                  <c:v>41.9</c:v>
                </c:pt>
              </c:numCache>
            </c:numRef>
          </c:val>
        </c:ser>
        <c:ser>
          <c:idx val="1"/>
          <c:order val="1"/>
          <c:tx>
            <c:strRef>
              <c:f>Лист1!$C$1</c:f>
              <c:strCache>
                <c:ptCount val="1"/>
                <c:pt idx="0">
                  <c:v>строительно-монтажные работы</c:v>
                </c:pt>
              </c:strCache>
            </c:strRef>
          </c:tx>
          <c:dLbls>
            <c:dLbl>
              <c:idx val="0"/>
              <c:layout>
                <c:manualLayout>
                  <c:x val="-3.1817352042741889E-3"/>
                  <c:y val="1.007116378493926E-2"/>
                </c:manualLayout>
              </c:layout>
              <c:tx>
                <c:rich>
                  <a:bodyPr/>
                  <a:lstStyle/>
                  <a:p>
                    <a:pPr>
                      <a:defRPr sz="900" b="1">
                        <a:latin typeface="Times New Roman" pitchFamily="18" charset="0"/>
                        <a:cs typeface="Times New Roman" pitchFamily="18" charset="0"/>
                      </a:defRPr>
                    </a:pPr>
                    <a:r>
                      <a:rPr lang="ru-RU" sz="900">
                        <a:latin typeface="Times New Roman" pitchFamily="18" charset="0"/>
                        <a:cs typeface="Times New Roman" pitchFamily="18" charset="0"/>
                      </a:rPr>
                      <a:t> 43,0*</a:t>
                    </a:r>
                    <a:endParaRPr lang="en-US" sz="900">
                      <a:latin typeface="Times New Roman" pitchFamily="18" charset="0"/>
                      <a:cs typeface="Times New Roman" pitchFamily="18" charset="0"/>
                    </a:endParaRPr>
                  </a:p>
                </c:rich>
              </c:tx>
              <c:spPr/>
              <c:showVal val="1"/>
            </c:dLbl>
            <c:dLbl>
              <c:idx val="1"/>
              <c:layout>
                <c:manualLayout>
                  <c:x val="-9.6894138232721206E-4"/>
                  <c:y val="-6.1144760751059846E-3"/>
                </c:manualLayout>
              </c:layout>
              <c:tx>
                <c:rich>
                  <a:bodyPr/>
                  <a:lstStyle/>
                  <a:p>
                    <a:r>
                      <a:rPr lang="ru-RU" sz="900" b="1">
                        <a:latin typeface="Times New Roman" pitchFamily="18" charset="0"/>
                        <a:cs typeface="Times New Roman" pitchFamily="18" charset="0"/>
                      </a:rPr>
                      <a:t>41,2*</a:t>
                    </a:r>
                    <a:endParaRPr lang="en-US" sz="900" b="1">
                      <a:latin typeface="Times New Roman" pitchFamily="18" charset="0"/>
                      <a:cs typeface="Times New Roman" pitchFamily="18" charset="0"/>
                    </a:endParaRPr>
                  </a:p>
                </c:rich>
              </c:tx>
              <c:showVal val="1"/>
            </c:dLbl>
            <c:txPr>
              <a:bodyPr/>
              <a:lstStyle/>
              <a:p>
                <a:pPr>
                  <a:defRPr sz="900">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Лист1!$C$2:$C$3</c:f>
              <c:numCache>
                <c:formatCode>General</c:formatCode>
                <c:ptCount val="2"/>
                <c:pt idx="0">
                  <c:v>581.9</c:v>
                </c:pt>
                <c:pt idx="1">
                  <c:v>447.8</c:v>
                </c:pt>
              </c:numCache>
            </c:numRef>
          </c:val>
        </c:ser>
        <c:ser>
          <c:idx val="2"/>
          <c:order val="2"/>
          <c:tx>
            <c:strRef>
              <c:f>Лист1!$D$1</c:f>
              <c:strCache>
                <c:ptCount val="1"/>
                <c:pt idx="0">
                  <c:v>машины, оборудование, транспортные средства, инструмент, инвентарь</c:v>
                </c:pt>
              </c:strCache>
            </c:strRef>
          </c:tx>
          <c:dLbls>
            <c:dLbl>
              <c:idx val="0"/>
              <c:layout>
                <c:manualLayout>
                  <c:x val="-2.0607934054610874E-3"/>
                  <c:y val="1.9689549115639384E-2"/>
                </c:manualLayout>
              </c:layout>
              <c:tx>
                <c:rich>
                  <a:bodyPr/>
                  <a:lstStyle/>
                  <a:p>
                    <a:r>
                      <a:rPr lang="ru-RU" sz="900" b="1">
                        <a:latin typeface="Times New Roman" pitchFamily="18" charset="0"/>
                        <a:cs typeface="Times New Roman" pitchFamily="18" charset="0"/>
                      </a:rPr>
                      <a:t>51,3*</a:t>
                    </a:r>
                    <a:endParaRPr lang="en-US" sz="900" b="1">
                      <a:latin typeface="Times New Roman" pitchFamily="18" charset="0"/>
                      <a:cs typeface="Times New Roman" pitchFamily="18" charset="0"/>
                    </a:endParaRPr>
                  </a:p>
                </c:rich>
              </c:tx>
              <c:showVal val="1"/>
            </c:dLbl>
            <c:dLbl>
              <c:idx val="1"/>
              <c:layout>
                <c:manualLayout>
                  <c:x val="2.0608721986674892E-3"/>
                  <c:y val="1.4053772124638268E-2"/>
                </c:manualLayout>
              </c:layout>
              <c:tx>
                <c:rich>
                  <a:bodyPr/>
                  <a:lstStyle/>
                  <a:p>
                    <a:r>
                      <a:rPr lang="ru-RU" sz="900" b="1">
                        <a:latin typeface="Times New Roman" pitchFamily="18" charset="0"/>
                        <a:cs typeface="Times New Roman" pitchFamily="18" charset="0"/>
                      </a:rPr>
                      <a:t>54,9*</a:t>
                    </a:r>
                    <a:endParaRPr lang="en-US" sz="900" b="1">
                      <a:latin typeface="Times New Roman" pitchFamily="18" charset="0"/>
                      <a:cs typeface="Times New Roman" pitchFamily="18" charset="0"/>
                    </a:endParaRPr>
                  </a:p>
                </c:rich>
              </c:tx>
              <c:showVal val="1"/>
            </c:dLbl>
            <c:txPr>
              <a:bodyPr/>
              <a:lstStyle/>
              <a:p>
                <a:pPr>
                  <a:defRPr sz="900">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Лист1!$D$2:$D$3</c:f>
              <c:numCache>
                <c:formatCode>0.0</c:formatCode>
                <c:ptCount val="2"/>
                <c:pt idx="0" formatCode="General">
                  <c:v>693.8</c:v>
                </c:pt>
                <c:pt idx="1">
                  <c:v>595.70000000000005</c:v>
                </c:pt>
              </c:numCache>
            </c:numRef>
          </c:val>
        </c:ser>
        <c:dLbls>
          <c:showVal val="1"/>
        </c:dLbls>
        <c:axId val="155517696"/>
        <c:axId val="155519232"/>
      </c:barChart>
      <c:catAx>
        <c:axId val="155517696"/>
        <c:scaling>
          <c:orientation val="minMax"/>
        </c:scaling>
        <c:delete val="1"/>
        <c:axPos val="b"/>
        <c:majorGridlines>
          <c:spPr>
            <a:ln>
              <a:solidFill>
                <a:schemeClr val="bg1">
                  <a:lumMod val="65000"/>
                </a:schemeClr>
              </a:solidFill>
            </a:ln>
          </c:spPr>
        </c:majorGridlines>
        <c:tickLblPos val="none"/>
        <c:crossAx val="155519232"/>
        <c:crossesAt val="0"/>
        <c:auto val="1"/>
        <c:lblAlgn val="ctr"/>
        <c:lblOffset val="100"/>
      </c:catAx>
      <c:valAx>
        <c:axId val="155519232"/>
        <c:scaling>
          <c:orientation val="minMax"/>
          <c:min val="0"/>
        </c:scaling>
        <c:axPos val="l"/>
        <c:majorGridlines/>
        <c:numFmt formatCode="General" sourceLinked="1"/>
        <c:majorTickMark val="in"/>
        <c:tickLblPos val="nextTo"/>
        <c:spPr>
          <a:ln w="6350" cap="sq"/>
        </c:spPr>
        <c:txPr>
          <a:bodyPr/>
          <a:lstStyle/>
          <a:p>
            <a:pPr>
              <a:defRPr sz="950" b="1">
                <a:latin typeface="Times New Roman" pitchFamily="18" charset="0"/>
                <a:cs typeface="Times New Roman" pitchFamily="18" charset="0"/>
              </a:defRPr>
            </a:pPr>
            <a:endParaRPr lang="ru-RU"/>
          </a:p>
        </c:txPr>
        <c:crossAx val="155517696"/>
        <c:crosses val="autoZero"/>
        <c:crossBetween val="between"/>
      </c:valAx>
      <c:dTable>
        <c:showHorzBorder val="1"/>
        <c:showVertBorder val="1"/>
        <c:showOutline val="1"/>
        <c:showKeys val="1"/>
        <c:spPr>
          <a:ln>
            <a:solidFill>
              <a:schemeClr val="tx1"/>
            </a:solidFill>
          </a:ln>
        </c:spPr>
        <c:txPr>
          <a:bodyPr/>
          <a:lstStyle/>
          <a:p>
            <a:pPr algn="just" rtl="0">
              <a:defRPr sz="900" b="1">
                <a:latin typeface="Times New Roman" pitchFamily="18" charset="0"/>
                <a:cs typeface="Times New Roman" pitchFamily="18" charset="0"/>
              </a:defRPr>
            </a:pPr>
            <a:endParaRPr lang="ru-RU"/>
          </a:p>
        </c:txPr>
      </c:dTable>
      <c:spPr>
        <a:noFill/>
        <a:ln w="25400">
          <a:noFill/>
        </a:ln>
      </c:spPr>
    </c:plotArea>
    <c:plotVisOnly val="1"/>
    <c:dispBlanksAs val="gap"/>
  </c:chart>
  <c:spPr>
    <a:noFill/>
    <a:ln>
      <a:noFill/>
    </a:ln>
  </c:spPr>
  <c:externalData r:id="rId1"/>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pPr>
            <a:r>
              <a:rPr lang="ru-RU" sz="1200">
                <a:latin typeface="Times New Roman" pitchFamily="18" charset="0"/>
                <a:cs typeface="Times New Roman" pitchFamily="18" charset="0"/>
              </a:rPr>
              <a:t>Динамика инвестиций по объектам </a:t>
            </a:r>
          </a:p>
          <a:p>
            <a:pPr algn="ctr">
              <a:defRPr/>
            </a:pPr>
            <a:r>
              <a:rPr lang="ru-RU" sz="1200">
                <a:latin typeface="Times New Roman" pitchFamily="18" charset="0"/>
                <a:cs typeface="Times New Roman" pitchFamily="18" charset="0"/>
              </a:rPr>
              <a:t>производственного и непроизводственного назначения,</a:t>
            </a:r>
            <a:r>
              <a:rPr lang="ru-RU" sz="1200" b="0">
                <a:latin typeface="Times New Roman" pitchFamily="18" charset="0"/>
                <a:cs typeface="Times New Roman" pitchFamily="18" charset="0"/>
              </a:rPr>
              <a:t> </a:t>
            </a:r>
            <a:r>
              <a:rPr lang="ru-RU" sz="1200">
                <a:latin typeface="Times New Roman" pitchFamily="18" charset="0"/>
                <a:cs typeface="Times New Roman" pitchFamily="18" charset="0"/>
              </a:rPr>
              <a:t>млн. руб.</a:t>
            </a:r>
          </a:p>
        </c:rich>
      </c:tx>
      <c:layout>
        <c:manualLayout>
          <c:xMode val="edge"/>
          <c:yMode val="edge"/>
          <c:x val="0.18554848913116972"/>
          <c:y val="3.8285839270091292E-3"/>
        </c:manualLayout>
      </c:layout>
    </c:title>
    <c:plotArea>
      <c:layout>
        <c:manualLayout>
          <c:layoutTarget val="inner"/>
          <c:xMode val="edge"/>
          <c:yMode val="edge"/>
          <c:x val="0.34602771427765266"/>
          <c:y val="0.19839138085267502"/>
          <c:w val="0.61642653792363544"/>
          <c:h val="0.53133923163451302"/>
        </c:manualLayout>
      </c:layout>
      <c:barChart>
        <c:barDir val="col"/>
        <c:grouping val="clustered"/>
        <c:ser>
          <c:idx val="0"/>
          <c:order val="0"/>
          <c:tx>
            <c:strRef>
              <c:f>Лист1!$B$1</c:f>
              <c:strCache>
                <c:ptCount val="1"/>
                <c:pt idx="0">
                  <c:v>производственного назначения</c:v>
                </c:pt>
              </c:strCache>
            </c:strRef>
          </c:tx>
          <c:spPr>
            <a:solidFill>
              <a:srgbClr val="00B0F0"/>
            </a:solidFill>
            <a:ln>
              <a:noFill/>
            </a:ln>
          </c:spPr>
          <c:dLbls>
            <c:dLbl>
              <c:idx val="0"/>
              <c:layout>
                <c:manualLayout>
                  <c:x val="-6.828353186620951E-3"/>
                  <c:y val="1.506673367956666E-2"/>
                </c:manualLayout>
              </c:layout>
              <c:tx>
                <c:rich>
                  <a:bodyPr/>
                  <a:lstStyle/>
                  <a:p>
                    <a:r>
                      <a:rPr lang="ru-RU" sz="950"/>
                      <a:t>77,1*</a:t>
                    </a:r>
                    <a:endParaRPr lang="en-US" sz="950"/>
                  </a:p>
                </c:rich>
              </c:tx>
              <c:showVal val="1"/>
            </c:dLbl>
            <c:dLbl>
              <c:idx val="1"/>
              <c:layout>
                <c:manualLayout>
                  <c:x val="2.2798245109872492E-3"/>
                  <c:y val="1.9894848567126602E-2"/>
                </c:manualLayout>
              </c:layout>
              <c:tx>
                <c:rich>
                  <a:bodyPr/>
                  <a:lstStyle/>
                  <a:p>
                    <a:r>
                      <a:rPr lang="ru-RU" sz="950"/>
                      <a:t>76,2*</a:t>
                    </a:r>
                    <a:endParaRPr lang="en-US" sz="950"/>
                  </a:p>
                </c:rich>
              </c:tx>
              <c:showVal val="1"/>
            </c:dLbl>
            <c:txPr>
              <a:bodyPr/>
              <a:lstStyle/>
              <a:p>
                <a:pPr>
                  <a:defRPr sz="950"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Лист1!$B$2:$B$3</c:f>
              <c:numCache>
                <c:formatCode>General</c:formatCode>
                <c:ptCount val="2"/>
                <c:pt idx="0" formatCode="#,##0.0">
                  <c:v>1042.0999999999999</c:v>
                </c:pt>
                <c:pt idx="1">
                  <c:v>827.2</c:v>
                </c:pt>
              </c:numCache>
            </c:numRef>
          </c:val>
        </c:ser>
        <c:ser>
          <c:idx val="1"/>
          <c:order val="1"/>
          <c:tx>
            <c:strRef>
              <c:f>Лист1!$C$1</c:f>
              <c:strCache>
                <c:ptCount val="1"/>
                <c:pt idx="0">
                  <c:v>непроизводственного назначения</c:v>
                </c:pt>
              </c:strCache>
            </c:strRef>
          </c:tx>
          <c:spPr>
            <a:solidFill>
              <a:schemeClr val="accent6">
                <a:lumMod val="75000"/>
              </a:schemeClr>
            </a:solidFill>
            <a:ln>
              <a:noFill/>
            </a:ln>
          </c:spPr>
          <c:dLbls>
            <c:dLbl>
              <c:idx val="0"/>
              <c:layout>
                <c:manualLayout>
                  <c:x val="1.7194966013863653E-4"/>
                  <c:y val="1.6976252303568445E-2"/>
                </c:manualLayout>
              </c:layout>
              <c:tx>
                <c:rich>
                  <a:bodyPr/>
                  <a:lstStyle/>
                  <a:p>
                    <a:r>
                      <a:rPr lang="ru-RU"/>
                      <a:t>22,9*</a:t>
                    </a:r>
                    <a:endParaRPr lang="en-US"/>
                  </a:p>
                </c:rich>
              </c:tx>
              <c:showVal val="1"/>
            </c:dLbl>
            <c:dLbl>
              <c:idx val="1"/>
              <c:layout>
                <c:manualLayout>
                  <c:x val="-1.6682951127459621E-3"/>
                  <c:y val="2.135479146611385E-2"/>
                </c:manualLayout>
              </c:layout>
              <c:tx>
                <c:rich>
                  <a:bodyPr/>
                  <a:lstStyle/>
                  <a:p>
                    <a:r>
                      <a:rPr lang="ru-RU"/>
                      <a:t>23,8*</a:t>
                    </a:r>
                    <a:endParaRPr lang="en-US"/>
                  </a:p>
                </c:rich>
              </c:tx>
              <c:showVal val="1"/>
            </c:dLbl>
            <c:txPr>
              <a:bodyPr/>
              <a:lstStyle/>
              <a:p>
                <a:pPr>
                  <a:defRPr sz="950"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Лист1!$C$2:$C$3</c:f>
              <c:numCache>
                <c:formatCode>0.0</c:formatCode>
                <c:ptCount val="2"/>
                <c:pt idx="0" formatCode="General">
                  <c:v>310.3</c:v>
                </c:pt>
                <c:pt idx="1">
                  <c:v>258.2</c:v>
                </c:pt>
              </c:numCache>
            </c:numRef>
          </c:val>
        </c:ser>
        <c:gapWidth val="142"/>
        <c:axId val="52151424"/>
        <c:axId val="52152960"/>
      </c:barChart>
      <c:catAx>
        <c:axId val="52151424"/>
        <c:scaling>
          <c:orientation val="minMax"/>
        </c:scaling>
        <c:axPos val="b"/>
        <c:majorGridlines>
          <c:spPr>
            <a:ln>
              <a:solidFill>
                <a:schemeClr val="bg1">
                  <a:lumMod val="65000"/>
                </a:schemeClr>
              </a:solidFill>
            </a:ln>
          </c:spPr>
        </c:majorGridlines>
        <c:numFmt formatCode="General" sourceLinked="1"/>
        <c:majorTickMark val="none"/>
        <c:tickLblPos val="none"/>
        <c:spPr>
          <a:ln w="6350" cap="sq"/>
        </c:spPr>
        <c:txPr>
          <a:bodyPr/>
          <a:lstStyle/>
          <a:p>
            <a:pPr>
              <a:defRPr sz="950" b="1">
                <a:latin typeface="Times New Roman" pitchFamily="18" charset="0"/>
                <a:cs typeface="Times New Roman" pitchFamily="18" charset="0"/>
              </a:defRPr>
            </a:pPr>
            <a:endParaRPr lang="ru-RU"/>
          </a:p>
        </c:txPr>
        <c:crossAx val="52152960"/>
        <c:crossesAt val="0"/>
        <c:auto val="1"/>
        <c:lblAlgn val="ctr"/>
        <c:lblOffset val="100"/>
        <c:tickLblSkip val="1"/>
      </c:catAx>
      <c:valAx>
        <c:axId val="52152960"/>
        <c:scaling>
          <c:orientation val="minMax"/>
        </c:scaling>
        <c:axPos val="l"/>
        <c:majorGridlines/>
        <c:numFmt formatCode="#,##0.0" sourceLinked="1"/>
        <c:majorTickMark val="none"/>
        <c:tickLblPos val="nextTo"/>
        <c:spPr>
          <a:ln>
            <a:noFill/>
          </a:ln>
        </c:spPr>
        <c:txPr>
          <a:bodyPr/>
          <a:lstStyle/>
          <a:p>
            <a:pPr>
              <a:defRPr sz="950" b="1">
                <a:latin typeface="Times New Roman" pitchFamily="18" charset="0"/>
                <a:cs typeface="Times New Roman" pitchFamily="18" charset="0"/>
              </a:defRPr>
            </a:pPr>
            <a:endParaRPr lang="ru-RU"/>
          </a:p>
        </c:txPr>
        <c:crossAx val="52151424"/>
        <c:crosses val="autoZero"/>
        <c:crossBetween val="between"/>
      </c:valAx>
      <c:dTable>
        <c:showHorzBorder val="1"/>
        <c:showVertBorder val="1"/>
        <c:showOutline val="1"/>
        <c:showKeys val="1"/>
        <c:spPr>
          <a:ln>
            <a:solidFill>
              <a:schemeClr val="tx1"/>
            </a:solidFill>
          </a:ln>
        </c:spPr>
        <c:txPr>
          <a:bodyPr/>
          <a:lstStyle/>
          <a:p>
            <a:pPr algn="just" rtl="0">
              <a:defRPr sz="950" b="1">
                <a:latin typeface="Times New Roman" pitchFamily="18" charset="0"/>
                <a:cs typeface="Times New Roman" pitchFamily="18" charset="0"/>
              </a:defRPr>
            </a:pPr>
            <a:endParaRPr lang="ru-RU"/>
          </a:p>
        </c:txPr>
      </c:dTable>
      <c:spPr>
        <a:noFill/>
        <a:ln w="25400">
          <a:noFill/>
        </a:ln>
      </c:spPr>
    </c:plotArea>
    <c:plotVisOnly val="1"/>
    <c:dispBlanksAs val="gap"/>
  </c:chart>
  <c:spPr>
    <a:noFill/>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9.9643482064741926E-2"/>
          <c:y val="0.11568132930752065"/>
          <c:w val="0.86834612392943755"/>
          <c:h val="0.31108569762113081"/>
        </c:manualLayout>
      </c:layout>
      <c:barChart>
        <c:barDir val="col"/>
        <c:grouping val="clustered"/>
        <c:ser>
          <c:idx val="0"/>
          <c:order val="0"/>
          <c:tx>
            <c:strRef>
              <c:f>Sheet1!$A$2</c:f>
              <c:strCache>
                <c:ptCount val="1"/>
                <c:pt idx="0">
                  <c:v>январь - декабрь 2015 год</c:v>
                </c:pt>
              </c:strCache>
            </c:strRef>
          </c:tx>
          <c:dLbls>
            <c:dLbl>
              <c:idx val="0"/>
              <c:layout>
                <c:manualLayout>
                  <c:x val="-6.4205457463884395E-3"/>
                  <c:y val="1.5936254980079678E-2"/>
                </c:manualLayout>
              </c:layout>
              <c:tx>
                <c:rich>
                  <a:bodyPr/>
                  <a:lstStyle/>
                  <a:p>
                    <a:r>
                      <a:rPr lang="ru-RU"/>
                      <a:t>21,3*</a:t>
                    </a:r>
                    <a:endParaRPr lang="en-US"/>
                  </a:p>
                </c:rich>
              </c:tx>
              <c:dLblPos val="outEnd"/>
            </c:dLbl>
            <c:dLbl>
              <c:idx val="1"/>
              <c:layout>
                <c:manualLayout>
                  <c:x val="-4.2804024496939114E-3"/>
                  <c:y val="0"/>
                </c:manualLayout>
              </c:layout>
              <c:tx>
                <c:rich>
                  <a:bodyPr/>
                  <a:lstStyle/>
                  <a:p>
                    <a:r>
                      <a:rPr lang="ru-RU"/>
                      <a:t>37,2*</a:t>
                    </a:r>
                    <a:endParaRPr lang="en-US"/>
                  </a:p>
                </c:rich>
              </c:tx>
              <c:dLblPos val="outEnd"/>
            </c:dLbl>
            <c:dLbl>
              <c:idx val="2"/>
              <c:layout>
                <c:manualLayout>
                  <c:x val="-8.5608146876613566E-3"/>
                  <c:y val="1.5245580341754708E-2"/>
                </c:manualLayout>
              </c:layout>
              <c:tx>
                <c:rich>
                  <a:bodyPr/>
                  <a:lstStyle/>
                  <a:p>
                    <a:r>
                      <a:rPr lang="ru-RU"/>
                      <a:t>16,9*</a:t>
                    </a:r>
                    <a:endParaRPr lang="en-US"/>
                  </a:p>
                </c:rich>
              </c:tx>
              <c:dLblPos val="outEnd"/>
            </c:dLbl>
            <c:dLbl>
              <c:idx val="3"/>
              <c:layout>
                <c:manualLayout>
                  <c:x val="-6.4136825227152014E-3"/>
                  <c:y val="3.1316810222595942E-2"/>
                </c:manualLayout>
              </c:layout>
              <c:tx>
                <c:rich>
                  <a:bodyPr/>
                  <a:lstStyle/>
                  <a:p>
                    <a:r>
                      <a:rPr lang="ru-RU"/>
                      <a:t>13,8*</a:t>
                    </a:r>
                    <a:endParaRPr lang="en-US"/>
                  </a:p>
                </c:rich>
              </c:tx>
              <c:dLblPos val="outEnd"/>
            </c:dLbl>
            <c:dLbl>
              <c:idx val="4"/>
              <c:layout>
                <c:manualLayout>
                  <c:x val="-6.411325788979883E-3"/>
                  <c:y val="1.0270023236908801E-2"/>
                </c:manualLayout>
              </c:layout>
              <c:tx>
                <c:rich>
                  <a:bodyPr/>
                  <a:lstStyle/>
                  <a:p>
                    <a:r>
                      <a:rPr lang="ru-RU"/>
                      <a:t>4,1*</a:t>
                    </a:r>
                    <a:endParaRPr lang="en-US"/>
                  </a:p>
                </c:rich>
              </c:tx>
              <c:dLblPos val="outEnd"/>
            </c:dLbl>
            <c:dLbl>
              <c:idx val="5"/>
              <c:tx>
                <c:rich>
                  <a:bodyPr/>
                  <a:lstStyle/>
                  <a:p>
                    <a:r>
                      <a:rPr lang="ru-RU"/>
                      <a:t>4,1*</a:t>
                    </a:r>
                    <a:endParaRPr lang="en-US"/>
                  </a:p>
                </c:rich>
              </c:tx>
              <c:dLblPos val="outEnd"/>
            </c:dLbl>
            <c:dLbl>
              <c:idx val="6"/>
              <c:layout>
                <c:manualLayout>
                  <c:x val="-4.2803638309256934E-3"/>
                  <c:y val="0"/>
                </c:manualLayout>
              </c:layout>
              <c:tx>
                <c:rich>
                  <a:bodyPr/>
                  <a:lstStyle/>
                  <a:p>
                    <a:r>
                      <a:rPr lang="ru-RU"/>
                      <a:t>2,6*</a:t>
                    </a:r>
                    <a:endParaRPr lang="en-US"/>
                  </a:p>
                </c:rich>
              </c:tx>
              <c:dLblPos val="outEnd"/>
            </c:dLbl>
            <c:spPr>
              <a:noFill/>
              <a:ln w="24878">
                <a:noFill/>
              </a:ln>
            </c:spPr>
            <c:txPr>
              <a:bodyPr rot="-5400000" vert="horz"/>
              <a:lstStyle/>
              <a:p>
                <a:pPr>
                  <a:defRPr sz="881" b="1">
                    <a:latin typeface="Times New Roman" pitchFamily="18" charset="0"/>
                    <a:cs typeface="Times New Roman" pitchFamily="18" charset="0"/>
                  </a:defRPr>
                </a:pPr>
                <a:endParaRPr lang="ru-RU"/>
              </a:p>
            </c:txPr>
            <c:dLblPos val="outEnd"/>
            <c:showVal val="1"/>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Sheet1!$B$2:$H$2</c:f>
              <c:numCache>
                <c:formatCode>0.0</c:formatCode>
                <c:ptCount val="7"/>
                <c:pt idx="0">
                  <c:v>130.40300000000002</c:v>
                </c:pt>
                <c:pt idx="1">
                  <c:v>227.078</c:v>
                </c:pt>
                <c:pt idx="2">
                  <c:v>103.52</c:v>
                </c:pt>
                <c:pt idx="3">
                  <c:v>84.384</c:v>
                </c:pt>
                <c:pt idx="4">
                  <c:v>24.781999999999989</c:v>
                </c:pt>
                <c:pt idx="5">
                  <c:v>25.263000000000002</c:v>
                </c:pt>
                <c:pt idx="6">
                  <c:v>15.629999999999882</c:v>
                </c:pt>
              </c:numCache>
            </c:numRef>
          </c:val>
        </c:ser>
        <c:ser>
          <c:idx val="1"/>
          <c:order val="1"/>
          <c:tx>
            <c:strRef>
              <c:f>Sheet1!$A$3</c:f>
              <c:strCache>
                <c:ptCount val="1"/>
                <c:pt idx="0">
                  <c:v>январь - декабрь 2016 год</c:v>
                </c:pt>
              </c:strCache>
            </c:strRef>
          </c:tx>
          <c:spPr>
            <a:scene3d>
              <a:camera prst="orthographicFront"/>
              <a:lightRig rig="threePt" dir="t">
                <a:rot lat="0" lon="0" rev="1800000"/>
              </a:lightRig>
            </a:scene3d>
            <a:sp3d>
              <a:bevelT w="63500" h="25400"/>
            </a:sp3d>
          </c:spPr>
          <c:dLbls>
            <c:dLbl>
              <c:idx val="0"/>
              <c:layout>
                <c:manualLayout>
                  <c:x val="9.0902586936120008E-6"/>
                  <c:y val="4.0041953018208959E-3"/>
                </c:manualLayout>
              </c:layout>
              <c:tx>
                <c:rich>
                  <a:bodyPr/>
                  <a:lstStyle/>
                  <a:p>
                    <a:r>
                      <a:rPr lang="ru-RU"/>
                      <a:t>16,2*</a:t>
                    </a:r>
                    <a:endParaRPr lang="en-US"/>
                  </a:p>
                </c:rich>
              </c:tx>
              <c:dLblPos val="outEnd"/>
            </c:dLbl>
            <c:dLbl>
              <c:idx val="1"/>
              <c:layout>
                <c:manualLayout>
                  <c:x val="-2.1309923111562002E-3"/>
                  <c:y val="5.0505548664761275E-3"/>
                </c:manualLayout>
              </c:layout>
              <c:tx>
                <c:rich>
                  <a:bodyPr/>
                  <a:lstStyle/>
                  <a:p>
                    <a:r>
                      <a:rPr lang="ru-RU"/>
                      <a:t>35,3*</a:t>
                    </a:r>
                    <a:endParaRPr lang="en-US"/>
                  </a:p>
                </c:rich>
              </c:tx>
              <c:dLblPos val="outEnd"/>
            </c:dLbl>
            <c:dLbl>
              <c:idx val="2"/>
              <c:layout>
                <c:manualLayout>
                  <c:x val="8.5606669556475244E-3"/>
                  <c:y val="1.8850500452490943E-2"/>
                </c:manualLayout>
              </c:layout>
              <c:tx>
                <c:rich>
                  <a:bodyPr/>
                  <a:lstStyle/>
                  <a:p>
                    <a:r>
                      <a:rPr lang="ru-RU"/>
                      <a:t>20,5*</a:t>
                    </a:r>
                  </a:p>
                  <a:p>
                    <a:endParaRPr lang="en-US"/>
                  </a:p>
                </c:rich>
              </c:tx>
              <c:dLblPos val="outEnd"/>
            </c:dLbl>
            <c:dLbl>
              <c:idx val="3"/>
              <c:layout>
                <c:manualLayout>
                  <c:x val="-6.3402871006704433E-3"/>
                  <c:y val="1.0101109732952675E-2"/>
                </c:manualLayout>
              </c:layout>
              <c:tx>
                <c:rich>
                  <a:bodyPr/>
                  <a:lstStyle/>
                  <a:p>
                    <a:r>
                      <a:rPr lang="ru-RU"/>
                      <a:t>15,9*</a:t>
                    </a:r>
                    <a:endParaRPr lang="en-US"/>
                  </a:p>
                </c:rich>
              </c:tx>
              <c:dLblPos val="outEnd"/>
            </c:dLbl>
            <c:dLbl>
              <c:idx val="4"/>
              <c:layout>
                <c:manualLayout>
                  <c:x val="-4.271243219130149E-3"/>
                  <c:y val="0"/>
                </c:manualLayout>
              </c:layout>
              <c:tx>
                <c:rich>
                  <a:bodyPr/>
                  <a:lstStyle/>
                  <a:p>
                    <a:r>
                      <a:rPr lang="ru-RU"/>
                      <a:t>4,2*</a:t>
                    </a:r>
                    <a:endParaRPr lang="en-US"/>
                  </a:p>
                </c:rich>
              </c:tx>
              <c:dLblPos val="outEnd"/>
            </c:dLbl>
            <c:dLbl>
              <c:idx val="5"/>
              <c:layout>
                <c:manualLayout>
                  <c:x val="-2.1264471818093831E-3"/>
                  <c:y val="0"/>
                </c:manualLayout>
              </c:layout>
              <c:tx>
                <c:rich>
                  <a:bodyPr/>
                  <a:lstStyle/>
                  <a:p>
                    <a:r>
                      <a:rPr lang="ru-RU"/>
                      <a:t>5,3*</a:t>
                    </a:r>
                    <a:endParaRPr lang="en-US"/>
                  </a:p>
                </c:rich>
              </c:tx>
              <c:dLblPos val="outEnd"/>
            </c:dLbl>
            <c:dLbl>
              <c:idx val="6"/>
              <c:layout>
                <c:manualLayout>
                  <c:x val="4.2803638309256934E-3"/>
                  <c:y val="1.5936254980079678E-2"/>
                </c:manualLayout>
              </c:layout>
              <c:tx>
                <c:rich>
                  <a:bodyPr/>
                  <a:lstStyle/>
                  <a:p>
                    <a:r>
                      <a:rPr lang="ru-RU"/>
                      <a:t>2,6*</a:t>
                    </a:r>
                    <a:endParaRPr lang="en-US"/>
                  </a:p>
                </c:rich>
              </c:tx>
              <c:dLblPos val="outEnd"/>
            </c:dLbl>
            <c:spPr>
              <a:noFill/>
              <a:ln w="24878">
                <a:noFill/>
              </a:ln>
            </c:spPr>
            <c:txPr>
              <a:bodyPr rot="-5400000" vert="horz"/>
              <a:lstStyle/>
              <a:p>
                <a:pPr>
                  <a:defRPr sz="881" b="1">
                    <a:latin typeface="Times New Roman" pitchFamily="18" charset="0"/>
                    <a:cs typeface="Times New Roman" pitchFamily="18" charset="0"/>
                  </a:defRPr>
                </a:pPr>
                <a:endParaRPr lang="ru-RU"/>
              </a:p>
            </c:txPr>
            <c:dLblPos val="outEnd"/>
            <c:showVal val="1"/>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Sheet1!$B$3:$H$3</c:f>
              <c:numCache>
                <c:formatCode>0.0</c:formatCode>
                <c:ptCount val="7"/>
                <c:pt idx="0">
                  <c:v>85.738</c:v>
                </c:pt>
                <c:pt idx="1">
                  <c:v>187.08800000000087</c:v>
                </c:pt>
                <c:pt idx="2">
                  <c:v>108.47799999999999</c:v>
                </c:pt>
                <c:pt idx="3">
                  <c:v>84.331999999999994</c:v>
                </c:pt>
                <c:pt idx="4">
                  <c:v>22.49</c:v>
                </c:pt>
                <c:pt idx="5">
                  <c:v>28.254999999999999</c:v>
                </c:pt>
                <c:pt idx="6">
                  <c:v>13.975000000000026</c:v>
                </c:pt>
              </c:numCache>
            </c:numRef>
          </c:val>
        </c:ser>
        <c:dLbls>
          <c:showVal val="1"/>
        </c:dLbls>
        <c:gapWidth val="160"/>
        <c:axId val="117713152"/>
        <c:axId val="117735424"/>
      </c:barChart>
      <c:catAx>
        <c:axId val="117713152"/>
        <c:scaling>
          <c:orientation val="minMax"/>
        </c:scaling>
        <c:axPos val="b"/>
        <c:numFmt formatCode="General" sourceLinked="1"/>
        <c:tickLblPos val="low"/>
        <c:txPr>
          <a:bodyPr rot="-5400000" vert="horz"/>
          <a:lstStyle/>
          <a:p>
            <a:pPr>
              <a:defRPr sz="900" b="1">
                <a:latin typeface="Times New Roman" pitchFamily="18" charset="0"/>
                <a:cs typeface="Times New Roman" pitchFamily="18" charset="0"/>
              </a:defRPr>
            </a:pPr>
            <a:endParaRPr lang="ru-RU"/>
          </a:p>
        </c:txPr>
        <c:crossAx val="117735424"/>
        <c:crossesAt val="0"/>
        <c:lblAlgn val="ctr"/>
        <c:lblOffset val="160"/>
        <c:tickLblSkip val="1"/>
        <c:tickMarkSkip val="1"/>
      </c:catAx>
      <c:valAx>
        <c:axId val="117735424"/>
        <c:scaling>
          <c:orientation val="minMax"/>
          <c:max val="250"/>
          <c:min val="0"/>
        </c:scaling>
        <c:axPos val="l"/>
        <c:title>
          <c:tx>
            <c:rich>
              <a:bodyPr rot="0" vert="horz"/>
              <a:lstStyle/>
              <a:p>
                <a:pPr algn="ctr">
                  <a:defRPr sz="784" b="1" i="0" u="none" strike="noStrike" baseline="0">
                    <a:solidFill>
                      <a:srgbClr val="000000"/>
                    </a:solidFill>
                    <a:latin typeface="Times New Roman"/>
                    <a:ea typeface="Times New Roman"/>
                    <a:cs typeface="Times New Roman"/>
                  </a:defRPr>
                </a:pPr>
                <a:r>
                  <a:rPr lang="ru-RU" sz="900"/>
                  <a:t>*- удельный вес в общем объеме экспорта,%</a:t>
                </a:r>
              </a:p>
            </c:rich>
          </c:tx>
          <c:layout>
            <c:manualLayout>
              <c:xMode val="edge"/>
              <c:yMode val="edge"/>
              <c:x val="0.78116633330801499"/>
              <c:y val="4.7138206436642023E-2"/>
            </c:manualLayout>
          </c:layout>
          <c:spPr>
            <a:noFill/>
            <a:ln w="24878">
              <a:noFill/>
            </a:ln>
          </c:spPr>
        </c:title>
        <c:numFmt formatCode="0.0" sourceLinked="1"/>
        <c:tickLblPos val="nextTo"/>
        <c:txPr>
          <a:bodyPr rot="0" vert="horz"/>
          <a:lstStyle/>
          <a:p>
            <a:pPr>
              <a:defRPr sz="900" b="1">
                <a:latin typeface="Times New Roman" pitchFamily="18" charset="0"/>
                <a:cs typeface="Times New Roman" pitchFamily="18" charset="0"/>
              </a:defRPr>
            </a:pPr>
            <a:endParaRPr lang="ru-RU"/>
          </a:p>
        </c:txPr>
        <c:crossAx val="117713152"/>
        <c:crosses val="autoZero"/>
        <c:crossBetween val="between"/>
        <c:majorUnit val="50"/>
        <c:minorUnit val="10"/>
      </c:valAx>
    </c:plotArea>
    <c:legend>
      <c:legendPos val="r"/>
      <c:legendEntry>
        <c:idx val="1"/>
        <c:txPr>
          <a:bodyPr/>
          <a:lstStyle/>
          <a:p>
            <a:pPr>
              <a:defRPr>
                <a:latin typeface="Times New Roman" pitchFamily="18" charset="0"/>
                <a:cs typeface="Times New Roman" pitchFamily="18" charset="0"/>
              </a:defRPr>
            </a:pPr>
            <a:endParaRPr lang="ru-RU"/>
          </a:p>
        </c:txPr>
      </c:legendEntry>
      <c:layout>
        <c:manualLayout>
          <c:xMode val="edge"/>
          <c:yMode val="edge"/>
          <c:x val="6.0896350220373513E-2"/>
          <c:y val="0.89990002018978565"/>
          <c:w val="0.90885029402970263"/>
          <c:h val="9.5590712699374164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1" i="0" u="none" strike="noStrike" baseline="0">
                <a:solidFill>
                  <a:srgbClr val="000000"/>
                </a:solidFill>
                <a:latin typeface="Times New Roman" pitchFamily="18" charset="0"/>
                <a:ea typeface="Calibri"/>
                <a:cs typeface="Times New Roman" pitchFamily="18" charset="0"/>
              </a:defRPr>
            </a:pPr>
            <a:r>
              <a:rPr lang="ru-RU" sz="900">
                <a:latin typeface="Times New Roman" pitchFamily="18" charset="0"/>
                <a:cs typeface="Times New Roman" pitchFamily="18" charset="0"/>
              </a:rPr>
              <a:t>2015  год</a:t>
            </a:r>
          </a:p>
        </c:rich>
      </c:tx>
      <c:layout>
        <c:manualLayout>
          <c:xMode val="edge"/>
          <c:yMode val="edge"/>
          <c:x val="0.43047123419917338"/>
          <c:y val="6.4017212440720325E-3"/>
        </c:manualLayout>
      </c:layout>
      <c:spPr>
        <a:noFill/>
        <a:ln w="18548">
          <a:noFill/>
        </a:ln>
      </c:spPr>
    </c:title>
    <c:view3D>
      <c:rotX val="30"/>
      <c:rotY val="60"/>
      <c:perspective val="0"/>
    </c:view3D>
    <c:plotArea>
      <c:layout>
        <c:manualLayout>
          <c:layoutTarget val="inner"/>
          <c:xMode val="edge"/>
          <c:yMode val="edge"/>
          <c:x val="0.25809273840769903"/>
          <c:y val="0.18483913737587312"/>
          <c:w val="0.71323342646685295"/>
          <c:h val="0.69737262223665342"/>
        </c:manualLayout>
      </c:layout>
      <c:pie3DChart>
        <c:ser>
          <c:idx val="0"/>
          <c:order val="0"/>
          <c:tx>
            <c:strRef>
              <c:f>Sheet1!$A$2</c:f>
              <c:strCache>
                <c:ptCount val="1"/>
                <c:pt idx="0">
                  <c:v>Восток</c:v>
                </c:pt>
              </c:strCache>
            </c:strRef>
          </c:tx>
          <c:explosion val="25"/>
          <c:dPt>
            <c:idx val="0"/>
            <c:spPr>
              <a:blipFill>
                <a:blip xmlns:r="http://schemas.openxmlformats.org/officeDocument/2006/relationships" r:embed="rId2"/>
                <a:tile tx="0" ty="0" sx="100000" sy="100000" flip="none" algn="tl"/>
              </a:blipFill>
            </c:spPr>
          </c:dPt>
          <c:dPt>
            <c:idx val="1"/>
            <c:explosion val="14"/>
            <c:spPr>
              <a:blipFill>
                <a:blip xmlns:r="http://schemas.openxmlformats.org/officeDocument/2006/relationships" r:embed="rId3"/>
                <a:tile tx="0" ty="0" sx="100000" sy="100000" flip="none" algn="tl"/>
              </a:blipFill>
            </c:spPr>
          </c:dPt>
          <c:dPt>
            <c:idx val="2"/>
            <c:spPr>
              <a:blipFill>
                <a:blip xmlns:r="http://schemas.openxmlformats.org/officeDocument/2006/relationships" r:embed="rId4"/>
                <a:tile tx="0" ty="0" sx="100000" sy="100000" flip="none" algn="tl"/>
              </a:blipFill>
            </c:spPr>
          </c:dPt>
          <c:dPt>
            <c:idx val="3"/>
            <c:explosion val="33"/>
            <c:spPr>
              <a:blipFill>
                <a:blip xmlns:r="http://schemas.openxmlformats.org/officeDocument/2006/relationships" r:embed="rId5"/>
                <a:tile tx="0" ty="0" sx="100000" sy="100000" flip="none" algn="tl"/>
              </a:blipFill>
            </c:spPr>
          </c:dPt>
          <c:dLbls>
            <c:dLbl>
              <c:idx val="0"/>
              <c:layout>
                <c:manualLayout>
                  <c:x val="0"/>
                  <c:y val="-0.1330826940623839"/>
                </c:manualLayout>
              </c:layout>
              <c:tx>
                <c:rich>
                  <a:bodyPr/>
                  <a:lstStyle/>
                  <a:p>
                    <a:r>
                      <a:rPr lang="ru-RU" sz="900">
                        <a:latin typeface="Times New Roman" pitchFamily="18" charset="0"/>
                        <a:cs typeface="Times New Roman" pitchFamily="18" charset="0"/>
                      </a:rPr>
                      <a:t>3,0</a:t>
                    </a:r>
                    <a:r>
                      <a:rPr lang="en-US" sz="900">
                        <a:latin typeface="Times New Roman" pitchFamily="18" charset="0"/>
                        <a:cs typeface="Times New Roman" pitchFamily="18" charset="0"/>
                      </a:rPr>
                      <a:t>%</a:t>
                    </a:r>
                  </a:p>
                </c:rich>
              </c:tx>
              <c:dLblPos val="bestFit"/>
            </c:dLbl>
            <c:dLbl>
              <c:idx val="1"/>
              <c:layout>
                <c:manualLayout>
                  <c:x val="0.14645641069060222"/>
                  <c:y val="0.16151960386395001"/>
                </c:manualLayout>
              </c:layout>
              <c:tx>
                <c:rich>
                  <a:bodyPr/>
                  <a:lstStyle/>
                  <a:p>
                    <a:r>
                      <a:rPr lang="ru-RU" sz="900">
                        <a:latin typeface="Times New Roman" pitchFamily="18" charset="0"/>
                        <a:cs typeface="Times New Roman" pitchFamily="18" charset="0"/>
                      </a:rPr>
                      <a:t>94,9</a:t>
                    </a:r>
                    <a:r>
                      <a:rPr lang="en-US" sz="900">
                        <a:latin typeface="Times New Roman" pitchFamily="18" charset="0"/>
                        <a:cs typeface="Times New Roman" pitchFamily="18" charset="0"/>
                      </a:rPr>
                      <a:t>%</a:t>
                    </a:r>
                  </a:p>
                </c:rich>
              </c:tx>
              <c:dLblPos val="bestFit"/>
            </c:dLbl>
            <c:dLbl>
              <c:idx val="2"/>
              <c:layout>
                <c:manualLayout>
                  <c:x val="-0.12021027543970809"/>
                  <c:y val="-4.4659975442983793E-2"/>
                </c:manualLayout>
              </c:layout>
              <c:tx>
                <c:rich>
                  <a:bodyPr/>
                  <a:lstStyle/>
                  <a:p>
                    <a:r>
                      <a:rPr lang="ru-RU" sz="900">
                        <a:latin typeface="Times New Roman" pitchFamily="18" charset="0"/>
                        <a:cs typeface="Times New Roman" pitchFamily="18" charset="0"/>
                      </a:rPr>
                      <a:t>0,2%</a:t>
                    </a:r>
                    <a:endParaRPr lang="en-US" sz="900">
                      <a:latin typeface="Times New Roman" pitchFamily="18" charset="0"/>
                      <a:cs typeface="Times New Roman" pitchFamily="18" charset="0"/>
                    </a:endParaRPr>
                  </a:p>
                </c:rich>
              </c:tx>
              <c:dLblPos val="bestFit"/>
            </c:dLbl>
            <c:dLbl>
              <c:idx val="3"/>
              <c:layout>
                <c:manualLayout>
                  <c:x val="7.6824448668054018E-3"/>
                  <c:y val="-7.8443332995392773E-2"/>
                </c:manualLayout>
              </c:layout>
              <c:tx>
                <c:rich>
                  <a:bodyPr/>
                  <a:lstStyle/>
                  <a:p>
                    <a:r>
                      <a:rPr lang="ru-RU" sz="900">
                        <a:latin typeface="Times New Roman" pitchFamily="18" charset="0"/>
                        <a:cs typeface="Times New Roman" pitchFamily="18" charset="0"/>
                      </a:rPr>
                      <a:t>1,9</a:t>
                    </a:r>
                    <a:r>
                      <a:rPr lang="en-US" sz="900">
                        <a:latin typeface="Times New Roman" pitchFamily="18" charset="0"/>
                        <a:cs typeface="Times New Roman" pitchFamily="18" charset="0"/>
                      </a:rPr>
                      <a:t>%</a:t>
                    </a:r>
                  </a:p>
                </c:rich>
              </c:tx>
              <c:dLblPos val="bestFit"/>
            </c:dLbl>
            <c:txPr>
              <a:bodyPr/>
              <a:lstStyle/>
              <a:p>
                <a:pPr>
                  <a:defRPr sz="900">
                    <a:latin typeface="Times New Roman" pitchFamily="18" charset="0"/>
                    <a:cs typeface="Times New Roman" pitchFamily="18" charset="0"/>
                  </a:defRPr>
                </a:pPr>
                <a:endParaRPr lang="ru-RU"/>
              </a:p>
            </c:txPr>
            <c:showVal val="1"/>
            <c:showPercent val="1"/>
            <c:showLeaderLines val="1"/>
          </c:dLbls>
          <c:cat>
            <c:strRef>
              <c:f>Sheet1!$B$1:$E$1</c:f>
              <c:strCache>
                <c:ptCount val="4"/>
                <c:pt idx="0">
                  <c:v>средства бюджетов</c:v>
                </c:pt>
                <c:pt idx="1">
                  <c:v>собственные средства организаций</c:v>
                </c:pt>
                <c:pt idx="2">
                  <c:v>кредиты (займы) банков</c:v>
                </c:pt>
                <c:pt idx="3">
                  <c:v>прочие источники</c:v>
                </c:pt>
              </c:strCache>
            </c:strRef>
          </c:cat>
          <c:val>
            <c:numRef>
              <c:f>Sheet1!$B$2:$E$2</c:f>
              <c:numCache>
                <c:formatCode>0.0%</c:formatCode>
                <c:ptCount val="4"/>
                <c:pt idx="0">
                  <c:v>3.9000000000000014E-2</c:v>
                </c:pt>
                <c:pt idx="1">
                  <c:v>0.84500000000000064</c:v>
                </c:pt>
                <c:pt idx="2">
                  <c:v>1.0000000000000041E-3</c:v>
                </c:pt>
                <c:pt idx="3">
                  <c:v>0.115</c:v>
                </c:pt>
              </c:numCache>
            </c:numRef>
          </c:val>
        </c:ser>
        <c:dLbls>
          <c:showVal val="1"/>
          <c:showPercent val="1"/>
        </c:dLbls>
      </c:pie3DChart>
      <c:spPr>
        <a:noFill/>
        <a:ln w="18594">
          <a:noFill/>
        </a:ln>
      </c:spPr>
    </c:plotArea>
    <c:legend>
      <c:legendPos val="l"/>
      <c:legendEntry>
        <c:idx val="0"/>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1"/>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2"/>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3"/>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ayout>
        <c:manualLayout>
          <c:xMode val="edge"/>
          <c:yMode val="edge"/>
          <c:x val="2.3668900891520791E-2"/>
          <c:y val="5.4617958162954956E-2"/>
          <c:w val="0.31415093274630995"/>
          <c:h val="0.91789113807126044"/>
        </c:manualLayout>
      </c:layout>
      <c:spPr>
        <a:solidFill>
          <a:srgbClr val="FFFFFF"/>
        </a:solidFill>
        <a:ln>
          <a:noFill/>
        </a:ln>
      </c:spPr>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chart>
  <c:spPr>
    <a:noFill/>
    <a:ln>
      <a:noFill/>
    </a:ln>
  </c:spPr>
  <c:txPr>
    <a:bodyPr/>
    <a:lstStyle/>
    <a:p>
      <a:pPr>
        <a:defRPr sz="586" b="1" i="0" u="none" strike="noStrike" baseline="0">
          <a:solidFill>
            <a:srgbClr val="000000"/>
          </a:solidFill>
          <a:latin typeface="Calibri"/>
          <a:ea typeface="Calibri"/>
          <a:cs typeface="Calibri"/>
        </a:defRPr>
      </a:pPr>
      <a:endParaRPr lang="ru-RU"/>
    </a:p>
  </c:txPr>
  <c:externalData r:id="rId6"/>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765" b="1" i="0" u="none" strike="noStrike" baseline="0">
                <a:solidFill>
                  <a:srgbClr val="000000"/>
                </a:solidFill>
                <a:latin typeface="Times New Roman" pitchFamily="18" charset="0"/>
                <a:ea typeface="Calibri"/>
                <a:cs typeface="Times New Roman" pitchFamily="18" charset="0"/>
              </a:defRPr>
            </a:pPr>
            <a:r>
              <a:rPr lang="ru-RU" sz="900">
                <a:latin typeface="Times New Roman" pitchFamily="18" charset="0"/>
                <a:cs typeface="Times New Roman" pitchFamily="18" charset="0"/>
              </a:rPr>
              <a:t>2016 год</a:t>
            </a:r>
          </a:p>
        </c:rich>
      </c:tx>
      <c:layout>
        <c:manualLayout>
          <c:xMode val="edge"/>
          <c:yMode val="edge"/>
          <c:x val="0.53192891074087612"/>
          <c:y val="6.0367454068242232E-3"/>
        </c:manualLayout>
      </c:layout>
      <c:spPr>
        <a:noFill/>
        <a:ln w="24324">
          <a:noFill/>
        </a:ln>
      </c:spPr>
    </c:title>
    <c:view3D>
      <c:rotX val="25"/>
      <c:rotY val="65"/>
      <c:perspective val="0"/>
    </c:view3D>
    <c:plotArea>
      <c:layout>
        <c:manualLayout>
          <c:layoutTarget val="inner"/>
          <c:xMode val="edge"/>
          <c:yMode val="edge"/>
          <c:x val="3.485645375409155E-3"/>
          <c:y val="0.26059536527783633"/>
          <c:w val="0.95533031344054964"/>
          <c:h val="0.60351363114786527"/>
        </c:manualLayout>
      </c:layout>
      <c:pie3DChart>
        <c:varyColors val="1"/>
        <c:ser>
          <c:idx val="0"/>
          <c:order val="0"/>
          <c:tx>
            <c:strRef>
              <c:f>Sheet1!$A$2</c:f>
              <c:strCache>
                <c:ptCount val="1"/>
                <c:pt idx="0">
                  <c:v>Восток</c:v>
                </c:pt>
              </c:strCache>
            </c:strRef>
          </c:tx>
          <c:explosion val="22"/>
          <c:dPt>
            <c:idx val="0"/>
            <c:spPr>
              <a:blipFill>
                <a:blip xmlns:r="http://schemas.openxmlformats.org/officeDocument/2006/relationships" r:embed="rId2"/>
                <a:tile tx="0" ty="0" sx="100000" sy="100000" flip="none" algn="tl"/>
              </a:blipFill>
            </c:spPr>
          </c:dPt>
          <c:dPt>
            <c:idx val="1"/>
            <c:spPr>
              <a:blipFill>
                <a:blip xmlns:r="http://schemas.openxmlformats.org/officeDocument/2006/relationships" r:embed="rId3"/>
                <a:tile tx="0" ty="0" sx="100000" sy="100000" flip="none" algn="tl"/>
              </a:blipFill>
            </c:spPr>
          </c:dPt>
          <c:dPt>
            <c:idx val="2"/>
            <c:spPr>
              <a:blipFill>
                <a:blip xmlns:r="http://schemas.openxmlformats.org/officeDocument/2006/relationships" r:embed="rId4"/>
                <a:tile tx="0" ty="0" sx="100000" sy="100000" flip="none" algn="tl"/>
              </a:blipFill>
            </c:spPr>
          </c:dPt>
          <c:dPt>
            <c:idx val="3"/>
            <c:spPr>
              <a:blipFill>
                <a:blip xmlns:r="http://schemas.openxmlformats.org/officeDocument/2006/relationships" r:embed="rId5"/>
                <a:tile tx="0" ty="0" sx="100000" sy="100000" flip="none" algn="tl"/>
              </a:blipFill>
            </c:spPr>
          </c:dPt>
          <c:dLbls>
            <c:dLbl>
              <c:idx val="0"/>
              <c:layout>
                <c:manualLayout>
                  <c:x val="1.544783718109425E-2"/>
                  <c:y val="-0.10553490363060852"/>
                </c:manualLayout>
              </c:layout>
              <c:tx>
                <c:rich>
                  <a:bodyPr/>
                  <a:lstStyle/>
                  <a:p>
                    <a:r>
                      <a:rPr lang="ru-RU" sz="900">
                        <a:latin typeface="Times New Roman" pitchFamily="18" charset="0"/>
                        <a:cs typeface="Times New Roman" pitchFamily="18" charset="0"/>
                      </a:rPr>
                      <a:t>2,0</a:t>
                    </a:r>
                    <a:r>
                      <a:rPr lang="en-US" sz="900">
                        <a:latin typeface="Times New Roman" pitchFamily="18" charset="0"/>
                        <a:cs typeface="Times New Roman" pitchFamily="18" charset="0"/>
                      </a:rPr>
                      <a:t>%</a:t>
                    </a:r>
                  </a:p>
                </c:rich>
              </c:tx>
              <c:dLblPos val="bestFit"/>
              <c:separator>; </c:separator>
            </c:dLbl>
            <c:dLbl>
              <c:idx val="1"/>
              <c:layout>
                <c:manualLayout>
                  <c:x val="0.21624375778375471"/>
                  <c:y val="0.15517781307379497"/>
                </c:manualLayout>
              </c:layout>
              <c:tx>
                <c:rich>
                  <a:bodyPr/>
                  <a:lstStyle/>
                  <a:p>
                    <a:r>
                      <a:rPr lang="ru-RU" sz="900">
                        <a:latin typeface="Times New Roman" pitchFamily="18" charset="0"/>
                        <a:cs typeface="Times New Roman" pitchFamily="18" charset="0"/>
                      </a:rPr>
                      <a:t>92,2%</a:t>
                    </a:r>
                    <a:endParaRPr lang="en-US" sz="900">
                      <a:latin typeface="Times New Roman" pitchFamily="18" charset="0"/>
                      <a:cs typeface="Times New Roman" pitchFamily="18" charset="0"/>
                    </a:endParaRPr>
                  </a:p>
                </c:rich>
              </c:tx>
              <c:dLblPos val="bestFit"/>
              <c:separator>; </c:separator>
            </c:dLbl>
            <c:dLbl>
              <c:idx val="2"/>
              <c:layout>
                <c:manualLayout>
                  <c:x val="-0.19006113416657541"/>
                  <c:y val="-9.0525835558110362E-2"/>
                </c:manualLayout>
              </c:layout>
              <c:spPr/>
              <c:txPr>
                <a:bodyPr/>
                <a:lstStyle/>
                <a:p>
                  <a:pPr>
                    <a:defRPr sz="900">
                      <a:latin typeface="Times New Roman" pitchFamily="18" charset="0"/>
                      <a:cs typeface="Times New Roman" pitchFamily="18" charset="0"/>
                    </a:defRPr>
                  </a:pPr>
                  <a:endParaRPr lang="ru-RU"/>
                </a:p>
              </c:txPr>
              <c:showVal val="1"/>
            </c:dLbl>
            <c:dLbl>
              <c:idx val="3"/>
              <c:layout>
                <c:manualLayout>
                  <c:x val="4.4528552941701494E-2"/>
                  <c:y val="-0.16918657699976317"/>
                </c:manualLayout>
              </c:layout>
              <c:tx>
                <c:rich>
                  <a:bodyPr/>
                  <a:lstStyle/>
                  <a:p>
                    <a:r>
                      <a:rPr lang="ru-RU" sz="900">
                        <a:latin typeface="Times New Roman" pitchFamily="18" charset="0"/>
                        <a:cs typeface="Times New Roman" pitchFamily="18" charset="0"/>
                      </a:rPr>
                      <a:t>5,8</a:t>
                    </a:r>
                    <a:r>
                      <a:rPr lang="en-US" sz="900">
                        <a:latin typeface="Times New Roman" pitchFamily="18" charset="0"/>
                        <a:cs typeface="Times New Roman" pitchFamily="18" charset="0"/>
                      </a:rPr>
                      <a:t>%</a:t>
                    </a:r>
                  </a:p>
                </c:rich>
              </c:tx>
              <c:dLblPos val="bestFit"/>
              <c:separator>; </c:separator>
            </c:dLbl>
            <c:dLbl>
              <c:idx val="4"/>
              <c:layout>
                <c:manualLayout>
                  <c:x val="-7.9423291546550534E-2"/>
                  <c:y val="1.1341417274298561E-3"/>
                </c:manualLayout>
              </c:layout>
              <c:dLblPos val="bestFit"/>
              <c:showPercent val="1"/>
              <c:separator>; </c:separator>
            </c:dLbl>
            <c:dLbl>
              <c:idx val="5"/>
              <c:layout>
                <c:manualLayout>
                  <c:x val="-0.12883613558915979"/>
                  <c:y val="-5.6232996118203933E-2"/>
                </c:manualLayout>
              </c:layout>
              <c:dLblPos val="bestFit"/>
              <c:showPercent val="1"/>
              <c:separator>; </c:separator>
            </c:dLbl>
            <c:dLbl>
              <c:idx val="6"/>
              <c:layout>
                <c:manualLayout>
                  <c:x val="-4.6739807796465846E-2"/>
                  <c:y val="-0.13727101005578182"/>
                </c:manualLayout>
              </c:layout>
              <c:dLblPos val="bestFit"/>
              <c:showPercent val="1"/>
              <c:separator>; </c:separator>
            </c:dLbl>
            <c:dLbl>
              <c:idx val="7"/>
              <c:layout>
                <c:manualLayout>
                  <c:x val="-0.12131749626794185"/>
                  <c:y val="-0.14979121978685594"/>
                </c:manualLayout>
              </c:layout>
              <c:dLblPos val="bestFit"/>
              <c:showPercent val="1"/>
              <c:separator>; </c:separator>
            </c:dLbl>
            <c:dLbl>
              <c:idx val="8"/>
              <c:layout>
                <c:manualLayout>
                  <c:x val="7.9664857278558709E-2"/>
                  <c:y val="-0.1359210952999807"/>
                </c:manualLayout>
              </c:layout>
              <c:dLblPos val="bestFit"/>
              <c:showPercent val="1"/>
              <c:separator>; </c:separator>
            </c:dLbl>
            <c:dLbl>
              <c:idx val="9"/>
              <c:layout>
                <c:manualLayout>
                  <c:x val="5.5932806936557874E-2"/>
                  <c:y val="-9.9738752073467746E-2"/>
                </c:manualLayout>
              </c:layout>
              <c:dLblPos val="bestFit"/>
              <c:showPercent val="1"/>
              <c:separator>; </c:separator>
            </c:dLbl>
            <c:dLbl>
              <c:idx val="10"/>
              <c:layout>
                <c:manualLayout>
                  <c:x val="8.9960564866300274E-2"/>
                  <c:y val="-6.6121948348689341E-2"/>
                </c:manualLayout>
              </c:layout>
              <c:dLblPos val="bestFit"/>
              <c:showPercent val="1"/>
              <c:separator>; </c:separator>
            </c:dLbl>
            <c:dLbl>
              <c:idx val="11"/>
              <c:layout>
                <c:manualLayout>
                  <c:x val="4.7145589451160895E-2"/>
                  <c:y val="-1.489385283150272E-2"/>
                </c:manualLayout>
              </c:layout>
              <c:dLblPos val="bestFit"/>
              <c:showPercent val="1"/>
              <c:separator>; </c:separator>
            </c:dLbl>
            <c:showPercent val="1"/>
            <c:separator>; </c:separator>
            <c:showLeaderLines val="1"/>
          </c:dLbls>
          <c:cat>
            <c:strRef>
              <c:f>Sheet1!$B$1:$E$1</c:f>
              <c:strCache>
                <c:ptCount val="4"/>
                <c:pt idx="0">
                  <c:v>средства бюджетов</c:v>
                </c:pt>
                <c:pt idx="1">
                  <c:v>собственные средства организаций</c:v>
                </c:pt>
                <c:pt idx="2">
                  <c:v>кредиты (займы) банков</c:v>
                </c:pt>
                <c:pt idx="3">
                  <c:v>прочие источники</c:v>
                </c:pt>
              </c:strCache>
            </c:strRef>
          </c:cat>
          <c:val>
            <c:numRef>
              <c:f>Sheet1!$B$2:$E$2</c:f>
              <c:numCache>
                <c:formatCode>0.0%</c:formatCode>
                <c:ptCount val="4"/>
                <c:pt idx="0">
                  <c:v>3.3000000000000002E-2</c:v>
                </c:pt>
                <c:pt idx="1">
                  <c:v>0.84100000000000064</c:v>
                </c:pt>
                <c:pt idx="2">
                  <c:v>2.0000000000000052E-3</c:v>
                </c:pt>
                <c:pt idx="3">
                  <c:v>0.12400000000000012</c:v>
                </c:pt>
              </c:numCache>
            </c:numRef>
          </c:val>
        </c:ser>
        <c:dLbls>
          <c:showVal val="1"/>
          <c:showPercent val="1"/>
        </c:dLbls>
      </c:pie3DChart>
      <c:spPr>
        <a:solidFill>
          <a:srgbClr val="FFFFFF"/>
        </a:solidFill>
        <a:ln w="12162">
          <a:solidFill>
            <a:srgbClr val="FFFFFF"/>
          </a:solidFill>
          <a:prstDash val="solid"/>
        </a:ln>
      </c:spPr>
    </c:plotArea>
    <c:plotVisOnly val="1"/>
    <c:dispBlanksAs val="zero"/>
  </c:chart>
  <c:spPr>
    <a:noFill/>
    <a:ln>
      <a:noFill/>
    </a:ln>
  </c:spPr>
  <c:txPr>
    <a:bodyPr/>
    <a:lstStyle/>
    <a:p>
      <a:pPr>
        <a:defRPr sz="763" b="1" i="0" u="none" strike="noStrike" baseline="0">
          <a:solidFill>
            <a:srgbClr val="000000"/>
          </a:solidFill>
          <a:latin typeface="Calibri"/>
          <a:ea typeface="Calibri"/>
          <a:cs typeface="Calibri"/>
        </a:defRPr>
      </a:pPr>
      <a:endParaRPr lang="ru-RU"/>
    </a:p>
  </c:txPr>
  <c:externalData r:id="rId6"/>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50" b="1" i="0" u="none" strike="noStrike" baseline="0">
                <a:solidFill>
                  <a:srgbClr val="000000"/>
                </a:solidFill>
                <a:latin typeface="Times New Roman" pitchFamily="18" charset="0"/>
                <a:ea typeface="Calibri"/>
                <a:cs typeface="Times New Roman" pitchFamily="18" charset="0"/>
              </a:defRPr>
            </a:pPr>
            <a:r>
              <a:rPr lang="ru-RU" sz="900">
                <a:latin typeface="Times New Roman" pitchFamily="18" charset="0"/>
                <a:cs typeface="Times New Roman" pitchFamily="18" charset="0"/>
              </a:rPr>
              <a:t>2015 год</a:t>
            </a:r>
          </a:p>
        </c:rich>
      </c:tx>
      <c:layout>
        <c:manualLayout>
          <c:xMode val="edge"/>
          <c:yMode val="edge"/>
          <c:x val="0.54915546271001869"/>
          <c:y val="1.5180936093395565E-2"/>
        </c:manualLayout>
      </c:layout>
      <c:spPr>
        <a:noFill/>
        <a:ln w="23471">
          <a:noFill/>
        </a:ln>
      </c:spPr>
    </c:title>
    <c:view3D>
      <c:rotX val="30"/>
      <c:rotY val="80"/>
      <c:perspective val="0"/>
    </c:view3D>
    <c:plotArea>
      <c:layout>
        <c:manualLayout>
          <c:layoutTarget val="inner"/>
          <c:xMode val="edge"/>
          <c:yMode val="edge"/>
          <c:x val="0.32013285949875736"/>
          <c:y val="0.21789284813974524"/>
          <c:w val="0.67986714050124253"/>
          <c:h val="0.67461126681200012"/>
        </c:manualLayout>
      </c:layout>
      <c:pie3DChart>
        <c:varyColors val="1"/>
        <c:ser>
          <c:idx val="0"/>
          <c:order val="0"/>
          <c:tx>
            <c:strRef>
              <c:f>Sheet1!$A$2</c:f>
              <c:strCache>
                <c:ptCount val="1"/>
                <c:pt idx="0">
                  <c:v>Восток</c:v>
                </c:pt>
              </c:strCache>
            </c:strRef>
          </c:tx>
          <c:spPr>
            <a:solidFill>
              <a:srgbClr val="9999FF"/>
            </a:solidFill>
            <a:ln w="11735">
              <a:solidFill>
                <a:srgbClr val="000000"/>
              </a:solidFill>
              <a:prstDash val="solid"/>
            </a:ln>
          </c:spPr>
          <c:dPt>
            <c:idx val="0"/>
            <c:explosion val="15"/>
            <c:spPr>
              <a:solidFill>
                <a:srgbClr val="00B0F0"/>
              </a:solidFill>
              <a:ln w="11735">
                <a:solidFill>
                  <a:srgbClr val="000000"/>
                </a:solidFill>
                <a:prstDash val="solid"/>
              </a:ln>
            </c:spPr>
          </c:dPt>
          <c:dPt>
            <c:idx val="1"/>
            <c:explosion val="29"/>
            <c:spPr>
              <a:blipFill dpi="0" rotWithShape="0">
                <a:blip xmlns:r="http://schemas.openxmlformats.org/officeDocument/2006/relationships" r:embed="rId2"/>
                <a:srcRect/>
                <a:tile tx="0" ty="0" sx="100000" sy="100000" flip="none" algn="tl"/>
              </a:blipFill>
              <a:ln w="11735">
                <a:solidFill>
                  <a:srgbClr val="000000"/>
                </a:solidFill>
                <a:prstDash val="solid"/>
              </a:ln>
            </c:spPr>
          </c:dPt>
          <c:dPt>
            <c:idx val="2"/>
            <c:explosion val="7"/>
            <c:spPr>
              <a:solidFill>
                <a:srgbClr val="00B050"/>
              </a:solidFill>
              <a:ln w="11735">
                <a:solidFill>
                  <a:srgbClr val="000000"/>
                </a:solidFill>
                <a:prstDash val="solid"/>
              </a:ln>
            </c:spPr>
          </c:dPt>
          <c:dPt>
            <c:idx val="3"/>
            <c:explosion val="23"/>
            <c:spPr>
              <a:pattFill prst="lgCheck">
                <a:fgClr>
                  <a:srgbClr val="993366"/>
                </a:fgClr>
                <a:bgClr>
                  <a:srgbClr val="FFFFFF"/>
                </a:bgClr>
              </a:pattFill>
              <a:ln w="11735">
                <a:solidFill>
                  <a:srgbClr val="000000"/>
                </a:solidFill>
                <a:prstDash val="solid"/>
              </a:ln>
            </c:spPr>
          </c:dPt>
          <c:dLbls>
            <c:dLbl>
              <c:idx val="0"/>
              <c:layout>
                <c:manualLayout>
                  <c:x val="7.6335877862595422E-2"/>
                  <c:y val="2.0833333333333412E-2"/>
                </c:manualLayout>
              </c:layout>
              <c:dLblPos val="bestFit"/>
              <c:showVal val="1"/>
            </c:dLbl>
            <c:dLbl>
              <c:idx val="1"/>
              <c:layout>
                <c:manualLayout>
                  <c:x val="0.15552788044351598"/>
                  <c:y val="6.3097231624328134E-2"/>
                </c:manualLayout>
              </c:layout>
              <c:dLblPos val="bestFit"/>
              <c:showVal val="1"/>
            </c:dLbl>
            <c:dLbl>
              <c:idx val="2"/>
              <c:layout>
                <c:manualLayout>
                  <c:x val="-4.8563708297524759E-2"/>
                  <c:y val="-5.9792695404602268E-2"/>
                </c:manualLayout>
              </c:layout>
              <c:dLblPos val="bestFit"/>
              <c:showVal val="1"/>
            </c:dLbl>
            <c:dLbl>
              <c:idx val="3"/>
              <c:layout>
                <c:manualLayout>
                  <c:x val="-3.9331366764995884E-3"/>
                  <c:y val="-0.14418553613001764"/>
                </c:manualLayout>
              </c:layout>
              <c:dLblPos val="bestFit"/>
              <c:showVal val="1"/>
            </c:dLbl>
            <c:txPr>
              <a:bodyPr/>
              <a:lstStyle/>
              <a:p>
                <a:pPr>
                  <a:defRPr sz="900">
                    <a:latin typeface="Times New Roman" pitchFamily="18" charset="0"/>
                    <a:cs typeface="Times New Roman" pitchFamily="18" charset="0"/>
                  </a:defRPr>
                </a:pPr>
                <a:endParaRPr lang="ru-RU"/>
              </a:p>
            </c:txPr>
            <c:dLblPos val="outEnd"/>
            <c:showVal val="1"/>
            <c:showLeaderLines val="1"/>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0.0%</c:formatCode>
                <c:ptCount val="4"/>
                <c:pt idx="0">
                  <c:v>0.31700000000000245</c:v>
                </c:pt>
                <c:pt idx="1">
                  <c:v>0.10600000000000002</c:v>
                </c:pt>
                <c:pt idx="2">
                  <c:v>0.57500000000000062</c:v>
                </c:pt>
                <c:pt idx="3">
                  <c:v>2.0000000000000052E-3</c:v>
                </c:pt>
              </c:numCache>
            </c:numRef>
          </c:val>
        </c:ser>
        <c:dLbls>
          <c:showVal val="1"/>
          <c:showPercent val="1"/>
        </c:dLbls>
      </c:pie3DChart>
      <c:spPr>
        <a:solidFill>
          <a:srgbClr val="FFFFFF"/>
        </a:solidFill>
        <a:ln w="11735">
          <a:solidFill>
            <a:srgbClr val="FFFFFF"/>
          </a:solidFill>
          <a:prstDash val="solid"/>
        </a:ln>
      </c:spPr>
    </c:plotArea>
    <c:legend>
      <c:legendPos val="l"/>
      <c:legendEntry>
        <c:idx val="0"/>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1"/>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2"/>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3"/>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ayout>
        <c:manualLayout>
          <c:xMode val="edge"/>
          <c:yMode val="edge"/>
          <c:x val="4.7197640117994114E-2"/>
          <c:y val="0.31877040793630312"/>
          <c:w val="0.33564882371355104"/>
          <c:h val="0.51571689132078824"/>
        </c:manualLayout>
      </c:layout>
      <c:spPr>
        <a:solidFill>
          <a:srgbClr val="FFFFFF"/>
        </a:solidFill>
        <a:ln w="2934">
          <a:noFill/>
          <a:prstDash val="solid"/>
        </a:ln>
      </c:spPr>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chart>
  <c:spPr>
    <a:noFill/>
    <a:ln>
      <a:noFill/>
    </a:ln>
  </c:spPr>
  <c:txPr>
    <a:bodyPr/>
    <a:lstStyle/>
    <a:p>
      <a:pPr>
        <a:defRPr sz="741" b="1" i="0" u="none" strike="noStrike" baseline="0">
          <a:solidFill>
            <a:srgbClr val="000000"/>
          </a:solidFill>
          <a:latin typeface="Calibri"/>
          <a:ea typeface="Calibri"/>
          <a:cs typeface="Calibri"/>
        </a:defRPr>
      </a:pPr>
      <a:endParaRPr lang="ru-RU"/>
    </a:p>
  </c:txPr>
  <c:externalData r:id="rId3"/>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1" i="0" u="none" strike="noStrike" baseline="0">
                <a:solidFill>
                  <a:srgbClr val="000000"/>
                </a:solidFill>
                <a:latin typeface="Times New Roman" pitchFamily="18" charset="0"/>
                <a:ea typeface="Calibri"/>
                <a:cs typeface="Times New Roman" pitchFamily="18" charset="0"/>
              </a:defRPr>
            </a:pPr>
            <a:r>
              <a:rPr lang="ru-RU" sz="900">
                <a:latin typeface="Times New Roman" pitchFamily="18" charset="0"/>
                <a:cs typeface="Times New Roman" pitchFamily="18" charset="0"/>
              </a:rPr>
              <a:t>2016 год</a:t>
            </a:r>
          </a:p>
        </c:rich>
      </c:tx>
      <c:layout>
        <c:manualLayout>
          <c:xMode val="edge"/>
          <c:yMode val="edge"/>
          <c:x val="0.4527041119860018"/>
          <c:y val="5.9132492831460663E-3"/>
        </c:manualLayout>
      </c:layout>
      <c:spPr>
        <a:noFill/>
        <a:ln w="22943">
          <a:noFill/>
        </a:ln>
      </c:spPr>
    </c:title>
    <c:view3D>
      <c:rotX val="30"/>
      <c:rotY val="80"/>
      <c:perspective val="0"/>
    </c:view3D>
    <c:plotArea>
      <c:layout>
        <c:manualLayout>
          <c:layoutTarget val="inner"/>
          <c:xMode val="edge"/>
          <c:yMode val="edge"/>
          <c:x val="3.9547869016372951E-2"/>
          <c:y val="0.24057591067012576"/>
          <c:w val="0.96045214348205232"/>
          <c:h val="0.62911292157844423"/>
        </c:manualLayout>
      </c:layout>
      <c:pie3DChart>
        <c:varyColors val="1"/>
        <c:ser>
          <c:idx val="0"/>
          <c:order val="0"/>
          <c:tx>
            <c:strRef>
              <c:f>Sheet1!$A$2</c:f>
              <c:strCache>
                <c:ptCount val="1"/>
                <c:pt idx="0">
                  <c:v>Восток</c:v>
                </c:pt>
              </c:strCache>
            </c:strRef>
          </c:tx>
          <c:spPr>
            <a:solidFill>
              <a:srgbClr val="9999FF"/>
            </a:solidFill>
            <a:ln w="11472">
              <a:solidFill>
                <a:srgbClr val="000000"/>
              </a:solidFill>
              <a:prstDash val="solid"/>
            </a:ln>
          </c:spPr>
          <c:dPt>
            <c:idx val="0"/>
            <c:explosion val="19"/>
            <c:spPr>
              <a:solidFill>
                <a:srgbClr val="00B0F0"/>
              </a:solidFill>
              <a:ln w="11472">
                <a:solidFill>
                  <a:srgbClr val="000000"/>
                </a:solidFill>
                <a:prstDash val="solid"/>
              </a:ln>
            </c:spPr>
          </c:dPt>
          <c:dPt>
            <c:idx val="1"/>
            <c:explosion val="18"/>
            <c:spPr>
              <a:blipFill dpi="0" rotWithShape="0">
                <a:blip xmlns:r="http://schemas.openxmlformats.org/officeDocument/2006/relationships" r:embed="rId2"/>
                <a:srcRect/>
                <a:tile tx="0" ty="0" sx="100000" sy="100000" flip="none" algn="tl"/>
              </a:blipFill>
              <a:ln w="11472">
                <a:solidFill>
                  <a:srgbClr val="000000"/>
                </a:solidFill>
                <a:prstDash val="solid"/>
              </a:ln>
            </c:spPr>
          </c:dPt>
          <c:dPt>
            <c:idx val="2"/>
            <c:explosion val="13"/>
            <c:spPr>
              <a:solidFill>
                <a:srgbClr val="00B050"/>
              </a:solidFill>
              <a:ln w="11472">
                <a:solidFill>
                  <a:srgbClr val="000000"/>
                </a:solidFill>
                <a:prstDash val="solid"/>
              </a:ln>
            </c:spPr>
          </c:dPt>
          <c:dPt>
            <c:idx val="3"/>
            <c:explosion val="20"/>
            <c:spPr>
              <a:pattFill prst="lgCheck">
                <a:fgClr>
                  <a:srgbClr val="993366"/>
                </a:fgClr>
                <a:bgClr>
                  <a:srgbClr val="FFFFFF"/>
                </a:bgClr>
              </a:pattFill>
              <a:ln w="11472">
                <a:solidFill>
                  <a:srgbClr val="000000"/>
                </a:solidFill>
                <a:prstDash val="solid"/>
              </a:ln>
            </c:spPr>
          </c:dPt>
          <c:dLbls>
            <c:dLbl>
              <c:idx val="0"/>
              <c:layout>
                <c:manualLayout>
                  <c:x val="9.4501859142608766E-2"/>
                  <c:y val="-4.0294181977252874E-3"/>
                </c:manualLayout>
              </c:layout>
              <c:tx>
                <c:rich>
                  <a:bodyPr/>
                  <a:lstStyle/>
                  <a:p>
                    <a:r>
                      <a:rPr lang="ru-RU" sz="900">
                        <a:latin typeface="Times New Roman" pitchFamily="18" charset="0"/>
                        <a:cs typeface="Times New Roman" pitchFamily="18" charset="0"/>
                      </a:rPr>
                      <a:t>28,7</a:t>
                    </a:r>
                    <a:r>
                      <a:rPr lang="en-US" sz="900">
                        <a:latin typeface="Times New Roman" pitchFamily="18" charset="0"/>
                        <a:cs typeface="Times New Roman" pitchFamily="18" charset="0"/>
                      </a:rPr>
                      <a:t>%</a:t>
                    </a:r>
                  </a:p>
                </c:rich>
              </c:tx>
              <c:dLblPos val="bestFit"/>
            </c:dLbl>
            <c:dLbl>
              <c:idx val="1"/>
              <c:layout>
                <c:manualLayout>
                  <c:x val="0.19182257217847767"/>
                  <c:y val="5.9182255397266112E-2"/>
                </c:manualLayout>
              </c:layout>
              <c:tx>
                <c:rich>
                  <a:bodyPr/>
                  <a:lstStyle/>
                  <a:p>
                    <a:r>
                      <a:rPr lang="ru-RU" sz="900">
                        <a:latin typeface="Times New Roman" pitchFamily="18" charset="0"/>
                        <a:cs typeface="Times New Roman" pitchFamily="18" charset="0"/>
                      </a:rPr>
                      <a:t>13,1</a:t>
                    </a:r>
                    <a:r>
                      <a:rPr lang="en-US" sz="900">
                        <a:latin typeface="Times New Roman" pitchFamily="18" charset="0"/>
                        <a:cs typeface="Times New Roman" pitchFamily="18" charset="0"/>
                      </a:rPr>
                      <a:t>% </a:t>
                    </a:r>
                  </a:p>
                </c:rich>
              </c:tx>
              <c:dLblPos val="bestFit"/>
            </c:dLbl>
            <c:dLbl>
              <c:idx val="2"/>
              <c:layout>
                <c:manualLayout>
                  <c:x val="-7.7556255468066493E-2"/>
                  <c:y val="-6.0112572633623934E-2"/>
                </c:manualLayout>
              </c:layout>
              <c:tx>
                <c:rich>
                  <a:bodyPr/>
                  <a:lstStyle/>
                  <a:p>
                    <a:r>
                      <a:rPr lang="ru-RU" sz="900">
                        <a:latin typeface="Times New Roman" pitchFamily="18" charset="0"/>
                        <a:cs typeface="Times New Roman" pitchFamily="18" charset="0"/>
                      </a:rPr>
                      <a:t>58,0</a:t>
                    </a:r>
                    <a:r>
                      <a:rPr lang="en-US" sz="900">
                        <a:latin typeface="Times New Roman" pitchFamily="18" charset="0"/>
                        <a:cs typeface="Times New Roman" pitchFamily="18" charset="0"/>
                      </a:rPr>
                      <a:t>% </a:t>
                    </a:r>
                  </a:p>
                </c:rich>
              </c:tx>
              <c:dLblPos val="bestFit"/>
            </c:dLbl>
            <c:dLbl>
              <c:idx val="3"/>
              <c:layout>
                <c:manualLayout>
                  <c:x val="6.4336966559740472E-2"/>
                  <c:y val="-8.3578849518817319E-2"/>
                </c:manualLayout>
              </c:layout>
              <c:tx>
                <c:rich>
                  <a:bodyPr/>
                  <a:lstStyle/>
                  <a:p>
                    <a:r>
                      <a:rPr lang="en-US" sz="900">
                        <a:latin typeface="Times New Roman" pitchFamily="18" charset="0"/>
                        <a:cs typeface="Times New Roman" pitchFamily="18" charset="0"/>
                      </a:rPr>
                      <a:t>0,</a:t>
                    </a:r>
                    <a:r>
                      <a:rPr lang="ru-RU" sz="900">
                        <a:latin typeface="Times New Roman" pitchFamily="18" charset="0"/>
                        <a:cs typeface="Times New Roman" pitchFamily="18" charset="0"/>
                      </a:rPr>
                      <a:t>2</a:t>
                    </a:r>
                    <a:r>
                      <a:rPr lang="en-US" sz="900">
                        <a:latin typeface="Times New Roman" pitchFamily="18" charset="0"/>
                        <a:cs typeface="Times New Roman" pitchFamily="18" charset="0"/>
                      </a:rPr>
                      <a:t>% </a:t>
                    </a:r>
                  </a:p>
                </c:rich>
              </c:tx>
              <c:dLblPos val="bestFit"/>
            </c:dLbl>
            <c:txPr>
              <a:bodyPr/>
              <a:lstStyle/>
              <a:p>
                <a:pPr>
                  <a:defRPr sz="900">
                    <a:latin typeface="Times New Roman" pitchFamily="18" charset="0"/>
                    <a:cs typeface="Times New Roman" pitchFamily="18" charset="0"/>
                  </a:defRPr>
                </a:pPr>
                <a:endParaRPr lang="ru-RU"/>
              </a:p>
            </c:txPr>
            <c:showVal val="1"/>
            <c:showPercent val="1"/>
            <c:showLeaderLines val="1"/>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0.0%</c:formatCode>
                <c:ptCount val="4"/>
                <c:pt idx="0">
                  <c:v>0.28700000000000031</c:v>
                </c:pt>
                <c:pt idx="1">
                  <c:v>0.13100000000000001</c:v>
                </c:pt>
                <c:pt idx="2">
                  <c:v>0.58000000000000007</c:v>
                </c:pt>
                <c:pt idx="3">
                  <c:v>2.0000000000000052E-3</c:v>
                </c:pt>
              </c:numCache>
            </c:numRef>
          </c:val>
        </c:ser>
        <c:ser>
          <c:idx val="1"/>
          <c:order val="1"/>
          <c:tx>
            <c:strRef>
              <c:f>Sheet1!$A$2</c:f>
              <c:strCache>
                <c:ptCount val="1"/>
                <c:pt idx="0">
                  <c:v>Восток</c:v>
                </c:pt>
              </c:strCache>
            </c:strRef>
          </c:tx>
          <c:spPr>
            <a:solidFill>
              <a:srgbClr val="9999FF"/>
            </a:solidFill>
            <a:ln w="11468">
              <a:solidFill>
                <a:srgbClr val="000000"/>
              </a:solidFill>
              <a:prstDash val="solid"/>
            </a:ln>
          </c:spPr>
          <c:dPt>
            <c:idx val="0"/>
            <c:spPr>
              <a:solidFill>
                <a:srgbClr val="969696"/>
              </a:solidFill>
              <a:ln w="11468">
                <a:solidFill>
                  <a:srgbClr val="000000"/>
                </a:solidFill>
                <a:prstDash val="solid"/>
              </a:ln>
            </c:spPr>
          </c:dPt>
          <c:dPt>
            <c:idx val="1"/>
            <c:spPr>
              <a:blipFill dpi="0" rotWithShape="0">
                <a:blip xmlns:r="http://schemas.openxmlformats.org/officeDocument/2006/relationships" r:embed="rId2"/>
                <a:srcRect/>
                <a:tile tx="0" ty="0" sx="100000" sy="100000" flip="none" algn="tl"/>
              </a:blipFill>
              <a:ln w="11468">
                <a:solidFill>
                  <a:srgbClr val="000000"/>
                </a:solidFill>
                <a:prstDash val="solid"/>
              </a:ln>
            </c:spPr>
          </c:dPt>
          <c:dPt>
            <c:idx val="2"/>
            <c:spPr>
              <a:solidFill>
                <a:srgbClr val="00B050"/>
              </a:solidFill>
              <a:ln w="11468">
                <a:solidFill>
                  <a:srgbClr val="000000"/>
                </a:solidFill>
                <a:prstDash val="solid"/>
              </a:ln>
            </c:spPr>
          </c:dPt>
          <c:dPt>
            <c:idx val="3"/>
            <c:spPr>
              <a:pattFill prst="lgCheck">
                <a:fgClr>
                  <a:srgbClr val="993366"/>
                </a:fgClr>
                <a:bgClr>
                  <a:srgbClr val="FFFFFF"/>
                </a:bgClr>
              </a:pattFill>
              <a:ln w="11468">
                <a:solidFill>
                  <a:srgbClr val="000000"/>
                </a:solidFill>
                <a:prstDash val="solid"/>
              </a:ln>
            </c:spPr>
          </c:dPt>
          <c:dLbls>
            <c:dLbl>
              <c:idx val="0"/>
              <c:tx>
                <c:rich>
                  <a:bodyPr/>
                  <a:lstStyle/>
                  <a:p>
                    <a:r>
                      <a:rPr lang="en-US"/>
                      <a:t> 2</a:t>
                    </a:r>
                    <a:r>
                      <a:rPr lang="ru-RU"/>
                      <a:t>4,7</a:t>
                    </a:r>
                    <a:r>
                      <a:rPr lang="en-US"/>
                      <a:t>%</a:t>
                    </a:r>
                  </a:p>
                </c:rich>
              </c:tx>
              <c:dLblPos val="bestFit"/>
            </c:dLbl>
            <c:dLbl>
              <c:idx val="1"/>
              <c:tx>
                <c:rich>
                  <a:bodyPr/>
                  <a:lstStyle/>
                  <a:p>
                    <a:r>
                      <a:rPr lang="en-US"/>
                      <a:t> </a:t>
                    </a:r>
                    <a:r>
                      <a:rPr lang="ru-RU"/>
                      <a:t>4,0%</a:t>
                    </a:r>
                    <a:endParaRPr lang="en-US"/>
                  </a:p>
                </c:rich>
              </c:tx>
              <c:dLblPos val="bestFit"/>
            </c:dLbl>
            <c:dLbl>
              <c:idx val="2"/>
              <c:tx>
                <c:rich>
                  <a:bodyPr/>
                  <a:lstStyle/>
                  <a:p>
                    <a:r>
                      <a:rPr lang="en-US"/>
                      <a:t> 7</a:t>
                    </a:r>
                    <a:r>
                      <a:rPr lang="ru-RU"/>
                      <a:t>1,0</a:t>
                    </a:r>
                    <a:r>
                      <a:rPr lang="en-US"/>
                      <a:t>%</a:t>
                    </a:r>
                  </a:p>
                </c:rich>
              </c:tx>
              <c:dLblPos val="bestFit"/>
            </c:dLbl>
            <c:dLbl>
              <c:idx val="3"/>
              <c:tx>
                <c:rich>
                  <a:bodyPr/>
                  <a:lstStyle/>
                  <a:p>
                    <a:r>
                      <a:rPr lang="en-US"/>
                      <a:t> 0</a:t>
                    </a:r>
                    <a:r>
                      <a:rPr lang="ru-RU"/>
                      <a:t>,3</a:t>
                    </a:r>
                    <a:r>
                      <a:rPr lang="en-US"/>
                      <a:t>%</a:t>
                    </a:r>
                  </a:p>
                </c:rich>
              </c:tx>
              <c:dLblPos val="bestFit"/>
            </c:dLbl>
            <c:txPr>
              <a:bodyPr/>
              <a:lstStyle/>
              <a:p>
                <a:pPr>
                  <a:defRPr>
                    <a:latin typeface="Times New Roman" pitchFamily="18" charset="0"/>
                    <a:cs typeface="Times New Roman" pitchFamily="18" charset="0"/>
                  </a:defRPr>
                </a:pPr>
                <a:endParaRPr lang="ru-RU"/>
              </a:p>
            </c:txPr>
            <c:showVal val="1"/>
            <c:showPercent val="1"/>
            <c:showLeaderLines val="1"/>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0.0%</c:formatCode>
                <c:ptCount val="4"/>
                <c:pt idx="0">
                  <c:v>0.28700000000000031</c:v>
                </c:pt>
                <c:pt idx="1">
                  <c:v>0.13100000000000001</c:v>
                </c:pt>
                <c:pt idx="2">
                  <c:v>0.58000000000000007</c:v>
                </c:pt>
                <c:pt idx="3">
                  <c:v>2.0000000000000052E-3</c:v>
                </c:pt>
              </c:numCache>
            </c:numRef>
          </c:val>
        </c:ser>
        <c:dLbls>
          <c:showVal val="1"/>
          <c:showPercent val="1"/>
        </c:dLbls>
      </c:pie3DChart>
      <c:spPr>
        <a:solidFill>
          <a:srgbClr val="FFFFFF"/>
        </a:solidFill>
        <a:ln w="11472">
          <a:solidFill>
            <a:srgbClr val="FFFFFF"/>
          </a:solidFill>
          <a:prstDash val="solid"/>
        </a:ln>
      </c:spPr>
    </c:plotArea>
    <c:plotVisOnly val="1"/>
    <c:dispBlanksAs val="zero"/>
  </c:chart>
  <c:spPr>
    <a:noFill/>
    <a:ln>
      <a:noFill/>
    </a:ln>
  </c:spPr>
  <c:txPr>
    <a:bodyPr/>
    <a:lstStyle/>
    <a:p>
      <a:pPr>
        <a:defRPr sz="726" b="1" i="0" u="none" strike="noStrike" baseline="0">
          <a:solidFill>
            <a:srgbClr val="000000"/>
          </a:solidFill>
          <a:latin typeface="Calibri"/>
          <a:ea typeface="Calibri"/>
          <a:cs typeface="Calibri"/>
        </a:defRPr>
      </a:pPr>
      <a:endParaRPr lang="ru-RU"/>
    </a:p>
  </c:txPr>
  <c:externalData r:id="rId3"/>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Анализ основных доходов от предоставления услуг электросвязи (млн. руб.)</a:t>
            </a:r>
          </a:p>
        </c:rich>
      </c:tx>
      <c:layout>
        <c:manualLayout>
          <c:xMode val="edge"/>
          <c:yMode val="edge"/>
          <c:x val="0.14733610087230636"/>
          <c:y val="1.0531116042927081E-3"/>
        </c:manualLayout>
      </c:layout>
    </c:title>
    <c:view3D>
      <c:rotX val="5"/>
      <c:rotY val="5"/>
      <c:depthPercent val="110"/>
      <c:perspective val="0"/>
    </c:view3D>
    <c:plotArea>
      <c:layout>
        <c:manualLayout>
          <c:layoutTarget val="inner"/>
          <c:xMode val="edge"/>
          <c:yMode val="edge"/>
          <c:x val="0.23890278100929532"/>
          <c:y val="0.13930056040292271"/>
          <c:w val="0.76109722146802172"/>
          <c:h val="0.52828178477689958"/>
        </c:manualLayout>
      </c:layout>
      <c:bar3DChart>
        <c:barDir val="col"/>
        <c:grouping val="stacked"/>
        <c:ser>
          <c:idx val="0"/>
          <c:order val="0"/>
          <c:tx>
            <c:strRef>
              <c:f>Лист1!$B$1</c:f>
              <c:strCache>
                <c:ptCount val="1"/>
                <c:pt idx="0">
                  <c:v>Фиксированная связь</c:v>
                </c:pt>
              </c:strCache>
            </c:strRef>
          </c:tx>
          <c:spPr>
            <a:solidFill>
              <a:schemeClr val="tx2">
                <a:lumMod val="40000"/>
                <a:lumOff val="60000"/>
              </a:schemeClr>
            </a:solidFill>
          </c:spPr>
          <c:dLbls>
            <c:dLbl>
              <c:idx val="0"/>
              <c:layout>
                <c:manualLayout>
                  <c:x val="-4.1472265422498704E-3"/>
                  <c:y val="-1.029601029601030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 2015 год</c:v>
                </c:pt>
                <c:pt idx="1">
                  <c:v> 2016 год</c:v>
                </c:pt>
              </c:strCache>
            </c:strRef>
          </c:cat>
          <c:val>
            <c:numRef>
              <c:f>Лист1!$B$2:$B$3</c:f>
              <c:numCache>
                <c:formatCode>#,##0.0</c:formatCode>
                <c:ptCount val="2"/>
                <c:pt idx="0">
                  <c:v>178</c:v>
                </c:pt>
                <c:pt idx="1">
                  <c:v>162.1</c:v>
                </c:pt>
              </c:numCache>
            </c:numRef>
          </c:val>
        </c:ser>
        <c:ser>
          <c:idx val="1"/>
          <c:order val="1"/>
          <c:tx>
            <c:strRef>
              <c:f>Лист1!$C$1</c:f>
              <c:strCache>
                <c:ptCount val="1"/>
                <c:pt idx="0">
                  <c:v>Мобильная связь</c:v>
                </c:pt>
              </c:strCache>
            </c:strRef>
          </c:tx>
          <c:spPr>
            <a:solidFill>
              <a:srgbClr val="C00000"/>
            </a:solidFill>
          </c:spPr>
          <c:dPt>
            <c:idx val="0"/>
            <c:spPr>
              <a:solidFill>
                <a:srgbClr val="FF5D5D"/>
              </a:solidFill>
            </c:spPr>
          </c:dPt>
          <c:dPt>
            <c:idx val="1"/>
            <c:spPr>
              <a:solidFill>
                <a:srgbClr val="FF5D5D"/>
              </a:solidFill>
            </c:spPr>
          </c:dPt>
          <c:dLbls>
            <c:dLbl>
              <c:idx val="0"/>
              <c:layout>
                <c:manualLayout>
                  <c:x val="0"/>
                  <c:y val="1.544401544401552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 2015 год</c:v>
                </c:pt>
                <c:pt idx="1">
                  <c:v> 2016 год</c:v>
                </c:pt>
              </c:strCache>
            </c:strRef>
          </c:cat>
          <c:val>
            <c:numRef>
              <c:f>Лист1!$C$2:$C$3</c:f>
              <c:numCache>
                <c:formatCode>#,##0.0</c:formatCode>
                <c:ptCount val="2"/>
                <c:pt idx="0">
                  <c:v>272.65499999999997</c:v>
                </c:pt>
                <c:pt idx="1">
                  <c:v>265.08</c:v>
                </c:pt>
              </c:numCache>
            </c:numRef>
          </c:val>
        </c:ser>
        <c:ser>
          <c:idx val="2"/>
          <c:order val="2"/>
          <c:tx>
            <c:strRef>
              <c:f>Лист1!$D$1</c:f>
              <c:strCache>
                <c:ptCount val="1"/>
                <c:pt idx="0">
                  <c:v>Услуги по передаче данных и доступа к глобальной сети Интернет или к информационным ресурсам</c:v>
                </c:pt>
              </c:strCache>
            </c:strRef>
          </c:tx>
          <c:spPr>
            <a:solidFill>
              <a:srgbClr val="92D050"/>
            </a:solidFill>
          </c:spPr>
          <c:dLbls>
            <c:dLbl>
              <c:idx val="0"/>
              <c:layout>
                <c:manualLayout>
                  <c:x val="-2.0736132711249486E-3"/>
                  <c:y val="1.544401544401552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 2015 год</c:v>
                </c:pt>
                <c:pt idx="1">
                  <c:v> 2016 год</c:v>
                </c:pt>
              </c:strCache>
            </c:strRef>
          </c:cat>
          <c:val>
            <c:numRef>
              <c:f>Лист1!$D$2:$D$3</c:f>
              <c:numCache>
                <c:formatCode>#,##0.0</c:formatCode>
                <c:ptCount val="2"/>
                <c:pt idx="0">
                  <c:v>190.72299999999998</c:v>
                </c:pt>
                <c:pt idx="1">
                  <c:v>188.61499999999998</c:v>
                </c:pt>
              </c:numCache>
            </c:numRef>
          </c:val>
        </c:ser>
        <c:ser>
          <c:idx val="3"/>
          <c:order val="3"/>
          <c:tx>
            <c:strRef>
              <c:f>Лист1!$E$1</c:f>
              <c:strCache>
                <c:ptCount val="1"/>
                <c:pt idx="0">
                  <c:v>Услуги для целей телевизионного вещания</c:v>
                </c:pt>
              </c:strCache>
            </c:strRef>
          </c:tx>
          <c:spPr>
            <a:solidFill>
              <a:schemeClr val="bg1">
                <a:lumMod val="95000"/>
              </a:schemeClr>
            </a:solidFill>
          </c:spPr>
          <c:dPt>
            <c:idx val="0"/>
            <c:spPr>
              <a:solidFill>
                <a:schemeClr val="bg1">
                  <a:lumMod val="85000"/>
                </a:schemeClr>
              </a:solidFill>
            </c:spPr>
          </c:dPt>
          <c:dPt>
            <c:idx val="1"/>
            <c:spPr>
              <a:solidFill>
                <a:schemeClr val="bg1">
                  <a:lumMod val="85000"/>
                </a:schemeClr>
              </a:solidFill>
            </c:spPr>
          </c:dPt>
          <c:dLbls>
            <c:dLbl>
              <c:idx val="0"/>
              <c:spPr/>
              <c:txPr>
                <a:bodyPr/>
                <a:lstStyle/>
                <a:p>
                  <a:pPr>
                    <a:defRPr sz="1000" b="1">
                      <a:latin typeface="Times New Roman" pitchFamily="18" charset="0"/>
                      <a:cs typeface="Times New Roman" pitchFamily="18" charset="0"/>
                    </a:defRPr>
                  </a:pPr>
                  <a:endParaRPr lang="ru-RU"/>
                </a:p>
              </c:txPr>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 2015 год</c:v>
                </c:pt>
                <c:pt idx="1">
                  <c:v> 2016 год</c:v>
                </c:pt>
              </c:strCache>
            </c:strRef>
          </c:cat>
          <c:val>
            <c:numRef>
              <c:f>Лист1!$E$2:$E$3</c:f>
              <c:numCache>
                <c:formatCode>#,##0.0</c:formatCode>
                <c:ptCount val="2"/>
                <c:pt idx="0">
                  <c:v>62.8</c:v>
                </c:pt>
                <c:pt idx="1">
                  <c:v>63.233000000000011</c:v>
                </c:pt>
              </c:numCache>
            </c:numRef>
          </c:val>
        </c:ser>
        <c:ser>
          <c:idx val="4"/>
          <c:order val="4"/>
          <c:tx>
            <c:strRef>
              <c:f>Лист1!$F$1</c:f>
              <c:strCache>
                <c:ptCount val="1"/>
                <c:pt idx="0">
                  <c:v>Услуги для целей радиовещания</c:v>
                </c:pt>
              </c:strCache>
            </c:strRef>
          </c:tx>
          <c:spPr>
            <a:solidFill>
              <a:schemeClr val="accent6"/>
            </a:solidFill>
          </c:spPr>
          <c:dLbls>
            <c:dLbl>
              <c:idx val="0"/>
              <c:layout>
                <c:manualLayout>
                  <c:x val="1.0099823003807129E-4"/>
                  <c:y val="-3.8864808565596022E-2"/>
                </c:manualLayout>
              </c:layout>
              <c:showVal val="1"/>
            </c:dLbl>
            <c:dLbl>
              <c:idx val="1"/>
              <c:layout>
                <c:manualLayout>
                  <c:x val="-1.7587082483074968E-3"/>
                  <c:y val="-3.88651418572678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 2015 год</c:v>
                </c:pt>
                <c:pt idx="1">
                  <c:v> 2016 год</c:v>
                </c:pt>
              </c:strCache>
            </c:strRef>
          </c:cat>
          <c:val>
            <c:numRef>
              <c:f>Лист1!$F$2:$F$3</c:f>
              <c:numCache>
                <c:formatCode>#,##0.0</c:formatCode>
                <c:ptCount val="2"/>
                <c:pt idx="0">
                  <c:v>27.797000000000001</c:v>
                </c:pt>
                <c:pt idx="1">
                  <c:v>29.521999999999988</c:v>
                </c:pt>
              </c:numCache>
            </c:numRef>
          </c:val>
        </c:ser>
        <c:gapWidth val="75"/>
        <c:shape val="cylinder"/>
        <c:axId val="155943680"/>
        <c:axId val="155945216"/>
        <c:axId val="0"/>
      </c:bar3DChart>
      <c:catAx>
        <c:axId val="155943680"/>
        <c:scaling>
          <c:orientation val="minMax"/>
        </c:scaling>
        <c:axPos val="b"/>
        <c:majorTickMark val="none"/>
        <c:tickLblPos val="nextTo"/>
        <c:txPr>
          <a:bodyPr/>
          <a:lstStyle/>
          <a:p>
            <a:pPr>
              <a:defRPr sz="1000" b="1">
                <a:latin typeface="Times New Roman" pitchFamily="18" charset="0"/>
                <a:cs typeface="Times New Roman" pitchFamily="18" charset="0"/>
              </a:defRPr>
            </a:pPr>
            <a:endParaRPr lang="ru-RU"/>
          </a:p>
        </c:txPr>
        <c:crossAx val="155945216"/>
        <c:crosses val="autoZero"/>
        <c:auto val="1"/>
        <c:lblAlgn val="ctr"/>
        <c:lblOffset val="100"/>
      </c:catAx>
      <c:valAx>
        <c:axId val="155945216"/>
        <c:scaling>
          <c:orientation val="minMax"/>
        </c:scaling>
        <c:axPos val="l"/>
        <c:majorGridlines/>
        <c:numFmt formatCode="#,##0.0" sourceLinked="1"/>
        <c:majorTickMark val="none"/>
        <c:tickLblPos val="nextTo"/>
        <c:spPr>
          <a:ln w="9525">
            <a:noFill/>
          </a:ln>
        </c:spPr>
        <c:txPr>
          <a:bodyPr/>
          <a:lstStyle/>
          <a:p>
            <a:pPr>
              <a:defRPr b="1">
                <a:latin typeface="Times New Roman" pitchFamily="18" charset="0"/>
                <a:cs typeface="Times New Roman" pitchFamily="18" charset="0"/>
              </a:defRPr>
            </a:pPr>
            <a:endParaRPr lang="ru-RU"/>
          </a:p>
        </c:txPr>
        <c:crossAx val="155943680"/>
        <c:crosses val="autoZero"/>
        <c:crossBetween val="between"/>
      </c:valAx>
    </c:plotArea>
    <c:legend>
      <c:legendPos val="b"/>
      <c:layout>
        <c:manualLayout>
          <c:xMode val="edge"/>
          <c:yMode val="edge"/>
          <c:x val="1.2330538805915841E-2"/>
          <c:y val="0.71459620089861653"/>
          <c:w val="0.9767661335413127"/>
          <c:h val="0.28425041314280397"/>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a:effectLst>
      <a:outerShdw blurRad="50800" dist="38100" algn="l" rotWithShape="0">
        <a:prstClr val="black">
          <a:alpha val="40000"/>
        </a:prstClr>
      </a:outerShdw>
    </a:effectLst>
    <a:scene3d>
      <a:camera prst="orthographicFront"/>
      <a:lightRig rig="threePt" dir="t"/>
    </a:scene3d>
    <a:sp3d prstMaterial="powder"/>
  </c:spPr>
  <c:externalData r:id="rId1"/>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30"/>
      <c:depthPercent val="120"/>
      <c:perspective val="0"/>
    </c:view3D>
    <c:plotArea>
      <c:layout>
        <c:manualLayout>
          <c:layoutTarget val="inner"/>
          <c:xMode val="edge"/>
          <c:yMode val="edge"/>
          <c:x val="0.1961628716963057"/>
          <c:y val="2.7344309234073012E-2"/>
          <c:w val="0.59880050464824353"/>
          <c:h val="0.64047684057160725"/>
        </c:manualLayout>
      </c:layout>
      <c:pie3DChart>
        <c:varyColors val="1"/>
        <c:ser>
          <c:idx val="0"/>
          <c:order val="0"/>
          <c:tx>
            <c:strRef>
              <c:f>Sheet1!$A$2</c:f>
              <c:strCache>
                <c:ptCount val="1"/>
                <c:pt idx="0">
                  <c:v>2015 год</c:v>
                </c:pt>
              </c:strCache>
            </c:strRef>
          </c:tx>
          <c:spPr>
            <a:solidFill>
              <a:srgbClr val="FFFFFF"/>
            </a:solidFill>
            <a:ln w="12720">
              <a:solidFill>
                <a:srgbClr val="000000"/>
              </a:solidFill>
              <a:prstDash val="solid"/>
            </a:ln>
          </c:spPr>
          <c:explosion val="24"/>
          <c:dPt>
            <c:idx val="0"/>
            <c:explosion val="32"/>
            <c:spPr>
              <a:pattFill prst="diagBrick">
                <a:fgClr>
                  <a:srgbClr val="000000"/>
                </a:fgClr>
                <a:bgClr>
                  <a:srgbClr val="FFFFFF"/>
                </a:bgClr>
              </a:pattFill>
              <a:ln w="12720">
                <a:solidFill>
                  <a:srgbClr val="000000"/>
                </a:solidFill>
                <a:prstDash val="solid"/>
              </a:ln>
            </c:spPr>
          </c:dPt>
          <c:dPt>
            <c:idx val="1"/>
            <c:spPr>
              <a:pattFill prst="divot">
                <a:fgClr>
                  <a:srgbClr val="000000"/>
                </a:fgClr>
                <a:bgClr>
                  <a:srgbClr val="FFFFFF"/>
                </a:bgClr>
              </a:pattFill>
              <a:ln w="12720">
                <a:solidFill>
                  <a:srgbClr val="000000"/>
                </a:solidFill>
                <a:prstDash val="solid"/>
              </a:ln>
            </c:spPr>
          </c:dPt>
          <c:dPt>
            <c:idx val="2"/>
            <c:spPr>
              <a:pattFill prst="ltVert">
                <a:fgClr>
                  <a:srgbClr val="000000"/>
                </a:fgClr>
                <a:bgClr>
                  <a:srgbClr val="FFFFFF"/>
                </a:bgClr>
              </a:pattFill>
              <a:ln w="12720">
                <a:solidFill>
                  <a:srgbClr val="000000"/>
                </a:solidFill>
                <a:prstDash val="solid"/>
              </a:ln>
            </c:spPr>
          </c:dPt>
          <c:dPt>
            <c:idx val="3"/>
            <c:spPr>
              <a:pattFill prst="zigZag">
                <a:fgClr>
                  <a:srgbClr val="000000"/>
                </a:fgClr>
                <a:bgClr>
                  <a:srgbClr val="FFFFFF"/>
                </a:bgClr>
              </a:pattFill>
              <a:ln w="12720">
                <a:solidFill>
                  <a:srgbClr val="000000"/>
                </a:solidFill>
                <a:prstDash val="solid"/>
              </a:ln>
            </c:spPr>
          </c:dPt>
          <c:dPt>
            <c:idx val="4"/>
            <c:spPr>
              <a:pattFill prst="solidDmnd">
                <a:fgClr>
                  <a:srgbClr val="000000"/>
                </a:fgClr>
                <a:bgClr>
                  <a:srgbClr val="FFFFFF"/>
                </a:bgClr>
              </a:pattFill>
              <a:ln w="12720">
                <a:solidFill>
                  <a:srgbClr val="000000"/>
                </a:solidFill>
                <a:prstDash val="solid"/>
              </a:ln>
            </c:spPr>
          </c:dPt>
          <c:dPt>
            <c:idx val="5"/>
            <c:spPr>
              <a:pattFill prst="dotGrid">
                <a:fgClr>
                  <a:srgbClr val="000000"/>
                </a:fgClr>
                <a:bgClr>
                  <a:srgbClr val="FFFFFF"/>
                </a:bgClr>
              </a:pattFill>
              <a:ln w="12720">
                <a:solidFill>
                  <a:srgbClr val="000000"/>
                </a:solidFill>
                <a:prstDash val="solid"/>
              </a:ln>
            </c:spPr>
          </c:dPt>
          <c:dPt>
            <c:idx val="6"/>
            <c:spPr>
              <a:pattFill prst="dkHorz">
                <a:fgClr>
                  <a:srgbClr val="000000"/>
                </a:fgClr>
                <a:bgClr>
                  <a:srgbClr val="FFFFFF"/>
                </a:bgClr>
              </a:pattFill>
              <a:ln w="12720">
                <a:solidFill>
                  <a:srgbClr val="000000"/>
                </a:solidFill>
                <a:prstDash val="solid"/>
              </a:ln>
            </c:spPr>
          </c:dPt>
          <c:dPt>
            <c:idx val="8"/>
            <c:spPr>
              <a:solidFill>
                <a:schemeClr val="tx1">
                  <a:lumMod val="95000"/>
                  <a:lumOff val="5000"/>
                </a:schemeClr>
              </a:solidFill>
              <a:ln w="12720">
                <a:solidFill>
                  <a:srgbClr val="000000"/>
                </a:solidFill>
                <a:prstDash val="solid"/>
              </a:ln>
            </c:spPr>
          </c:dPt>
          <c:dPt>
            <c:idx val="9"/>
            <c:spPr>
              <a:blipFill>
                <a:blip xmlns:r="http://schemas.openxmlformats.org/officeDocument/2006/relationships" r:embed="rId1"/>
                <a:tile tx="0" ty="0" sx="100000" sy="100000" flip="none" algn="tl"/>
              </a:blipFill>
              <a:ln w="12720">
                <a:solidFill>
                  <a:srgbClr val="000000"/>
                </a:solidFill>
                <a:prstDash val="solid"/>
              </a:ln>
            </c:spPr>
          </c:dPt>
          <c:dLbls>
            <c:dLbl>
              <c:idx val="0"/>
              <c:layout>
                <c:manualLayout>
                  <c:x val="2.6324542343938138E-2"/>
                  <c:y val="8.0366531079543196E-2"/>
                </c:manualLayout>
              </c:layout>
              <c:dLblPos val="bestFit"/>
              <c:showPercent val="1"/>
            </c:dLbl>
            <c:dLbl>
              <c:idx val="1"/>
              <c:layout>
                <c:manualLayout>
                  <c:x val="-1.4541371331094021E-2"/>
                  <c:y val="4.6403577612238539E-2"/>
                </c:manualLayout>
              </c:layout>
              <c:dLblPos val="bestFit"/>
              <c:showPercent val="1"/>
            </c:dLbl>
            <c:dLbl>
              <c:idx val="2"/>
              <c:layout>
                <c:manualLayout>
                  <c:x val="-2.0674256091399498E-2"/>
                  <c:y val="3.0267874386158411E-2"/>
                </c:manualLayout>
              </c:layout>
              <c:dLblPos val="bestFit"/>
              <c:showPercent val="1"/>
            </c:dLbl>
            <c:dLbl>
              <c:idx val="3"/>
              <c:layout>
                <c:manualLayout>
                  <c:x val="-2.7400110014567346E-2"/>
                  <c:y val="4.5618798092862886E-2"/>
                </c:manualLayout>
              </c:layout>
              <c:dLblPos val="bestFit"/>
              <c:showPercent val="1"/>
            </c:dLbl>
            <c:dLbl>
              <c:idx val="4"/>
              <c:layout>
                <c:manualLayout>
                  <c:x val="-4.0610888861903977E-2"/>
                  <c:y val="-2.4412447965099091E-2"/>
                </c:manualLayout>
              </c:layout>
              <c:dLblPos val="bestFit"/>
              <c:showPercent val="1"/>
            </c:dLbl>
            <c:dLbl>
              <c:idx val="5"/>
              <c:layout>
                <c:manualLayout>
                  <c:x val="-3.3725383192412438E-2"/>
                  <c:y val="-7.1510661503271414E-2"/>
                </c:manualLayout>
              </c:layout>
              <c:dLblPos val="bestFit"/>
              <c:showPercent val="1"/>
            </c:dLbl>
            <c:dLbl>
              <c:idx val="6"/>
              <c:layout>
                <c:manualLayout>
                  <c:x val="-1.7785204540495664E-2"/>
                  <c:y val="-9.018266496835764E-2"/>
                </c:manualLayout>
              </c:layout>
              <c:dLblPos val="bestFit"/>
              <c:showPercent val="1"/>
            </c:dLbl>
            <c:dLbl>
              <c:idx val="7"/>
              <c:layout>
                <c:manualLayout>
                  <c:x val="-5.1641515449601605E-2"/>
                  <c:y val="-2.8329186124461708E-2"/>
                </c:manualLayout>
              </c:layout>
              <c:showPercent val="1"/>
            </c:dLbl>
            <c:dLbl>
              <c:idx val="8"/>
              <c:layout>
                <c:manualLayout>
                  <c:x val="-0.1064353570656868"/>
                  <c:y val="-4.2212450716387732E-2"/>
                </c:manualLayout>
              </c:layout>
              <c:showPercent val="1"/>
            </c:dLbl>
            <c:dLbl>
              <c:idx val="9"/>
              <c:layout>
                <c:manualLayout>
                  <c:x val="5.0060213710884982E-2"/>
                  <c:y val="-4.3896643104078523E-2"/>
                </c:manualLayout>
              </c:layout>
              <c:showPercent val="1"/>
            </c:dLbl>
            <c:dLbl>
              <c:idx val="10"/>
              <c:layout>
                <c:manualLayout>
                  <c:x val="0.11076487342377124"/>
                  <c:y val="5.6166523854883812E-2"/>
                </c:manualLayout>
              </c:layout>
              <c:showPercent val="1"/>
            </c:dLbl>
            <c:numFmt formatCode="0.0%" sourceLinked="0"/>
            <c:spPr>
              <a:noFill/>
              <a:ln w="25441">
                <a:noFill/>
              </a:ln>
            </c:spPr>
            <c:txPr>
              <a:bodyPr/>
              <a:lstStyle/>
              <a:p>
                <a:pPr>
                  <a:defRPr sz="850" b="0" i="0" u="none" strike="noStrike" baseline="0">
                    <a:solidFill>
                      <a:srgbClr val="000000"/>
                    </a:solidFill>
                    <a:latin typeface="Times New Roman"/>
                    <a:ea typeface="Times New Roman"/>
                    <a:cs typeface="Times New Roman"/>
                  </a:defRPr>
                </a:pPr>
                <a:endParaRPr lang="ru-RU"/>
              </a:p>
            </c:txPr>
            <c:showPercent val="1"/>
            <c:showLeaderLines val="1"/>
          </c:dLbls>
          <c:cat>
            <c:strRef>
              <c:f>Sheet1!$B$1:$L$1</c:f>
              <c:strCache>
                <c:ptCount val="11"/>
                <c:pt idx="0">
                  <c:v>ГУП "Почта Приднестровья"</c:v>
                </c:pt>
                <c:pt idx="1">
                  <c:v>ДГУП "Бендерская почта"</c:v>
                </c:pt>
                <c:pt idx="2">
                  <c:v>ДГУП "Слободзейская почта"</c:v>
                </c:pt>
                <c:pt idx="3">
                  <c:v>ДГУП "Григориопольская почта"</c:v>
                </c:pt>
                <c:pt idx="4">
                  <c:v>ДГУП "Дубоссарская почта"</c:v>
                </c:pt>
                <c:pt idx="5">
                  <c:v>ДГУП "Рыбницкая почта"</c:v>
                </c:pt>
                <c:pt idx="6">
                  <c:v>ДГУП "Каменская почта"</c:v>
                </c:pt>
                <c:pt idx="7">
                  <c:v>ООО "СНП"</c:v>
                </c:pt>
                <c:pt idx="8">
                  <c:v>ООО "Авиаэкспресс"</c:v>
                </c:pt>
                <c:pt idx="9">
                  <c:v>ООО "Экспресс-Курьер и Компания"</c:v>
                </c:pt>
                <c:pt idx="10">
                  <c:v>ООО "Деливири Интернешнл Персел"</c:v>
                </c:pt>
              </c:strCache>
            </c:strRef>
          </c:cat>
          <c:val>
            <c:numRef>
              <c:f>Sheet1!$B$2:$L$2</c:f>
              <c:numCache>
                <c:formatCode>0.0</c:formatCode>
                <c:ptCount val="11"/>
                <c:pt idx="0">
                  <c:v>2854.3</c:v>
                </c:pt>
                <c:pt idx="1">
                  <c:v>836.2</c:v>
                </c:pt>
                <c:pt idx="2">
                  <c:v>391</c:v>
                </c:pt>
                <c:pt idx="3">
                  <c:v>216.1</c:v>
                </c:pt>
                <c:pt idx="4">
                  <c:v>244.7</c:v>
                </c:pt>
                <c:pt idx="5">
                  <c:v>511.2</c:v>
                </c:pt>
                <c:pt idx="6">
                  <c:v>227.3</c:v>
                </c:pt>
                <c:pt idx="7">
                  <c:v>957.9</c:v>
                </c:pt>
                <c:pt idx="8">
                  <c:v>0</c:v>
                </c:pt>
                <c:pt idx="9">
                  <c:v>127.6</c:v>
                </c:pt>
                <c:pt idx="10">
                  <c:v>0</c:v>
                </c:pt>
              </c:numCache>
            </c:numRef>
          </c:val>
        </c:ser>
        <c:dLbls>
          <c:showVal val="1"/>
          <c:showPercent val="1"/>
        </c:dLbls>
      </c:pie3DChart>
      <c:spPr>
        <a:noFill/>
        <a:ln w="25441">
          <a:noFill/>
        </a:ln>
      </c:spPr>
    </c:plotArea>
    <c:legend>
      <c:legendPos val="b"/>
      <c:layout>
        <c:manualLayout>
          <c:xMode val="edge"/>
          <c:yMode val="edge"/>
          <c:x val="0"/>
          <c:y val="0.65513487654622771"/>
          <c:w val="1"/>
          <c:h val="0.34486512345377685"/>
        </c:manualLayout>
      </c:layout>
      <c:spPr>
        <a:solidFill>
          <a:srgbClr val="FFFFFF"/>
        </a:solidFill>
        <a:ln w="25441">
          <a:noFill/>
        </a:ln>
      </c:spPr>
      <c:txPr>
        <a:bodyPr/>
        <a:lstStyle/>
        <a:p>
          <a:pPr algn="l">
            <a:lnSpc>
              <a:spcPct val="100000"/>
            </a:lnSpc>
            <a:defRPr sz="700"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202" b="1" i="0" u="none" strike="noStrike" baseline="0">
          <a:solidFill>
            <a:srgbClr val="000000"/>
          </a:solidFill>
          <a:latin typeface="Arial Cyr"/>
          <a:ea typeface="Arial Cyr"/>
          <a:cs typeface="Arial Cyr"/>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30"/>
      <c:depthPercent val="120"/>
      <c:perspective val="0"/>
    </c:view3D>
    <c:plotArea>
      <c:layout>
        <c:manualLayout>
          <c:layoutTarget val="inner"/>
          <c:xMode val="edge"/>
          <c:yMode val="edge"/>
          <c:x val="9.4533027121610588E-2"/>
          <c:y val="1.5345581802274741E-3"/>
          <c:w val="0.84096967045785964"/>
          <c:h val="0.86887409514841085"/>
        </c:manualLayout>
      </c:layout>
      <c:pie3DChart>
        <c:varyColors val="1"/>
        <c:ser>
          <c:idx val="0"/>
          <c:order val="0"/>
          <c:tx>
            <c:strRef>
              <c:f>Sheet1!$A$2</c:f>
              <c:strCache>
                <c:ptCount val="1"/>
                <c:pt idx="0">
                  <c:v>2016  год</c:v>
                </c:pt>
              </c:strCache>
            </c:strRef>
          </c:tx>
          <c:spPr>
            <a:solidFill>
              <a:srgbClr val="FFFFFF"/>
            </a:solidFill>
            <a:ln w="12720">
              <a:solidFill>
                <a:srgbClr val="000000"/>
              </a:solidFill>
              <a:prstDash val="solid"/>
            </a:ln>
          </c:spPr>
          <c:explosion val="39"/>
          <c:dPt>
            <c:idx val="0"/>
            <c:explosion val="26"/>
            <c:spPr>
              <a:pattFill prst="diagBrick">
                <a:fgClr>
                  <a:srgbClr val="000000"/>
                </a:fgClr>
                <a:bgClr>
                  <a:srgbClr val="FFFFFF"/>
                </a:bgClr>
              </a:pattFill>
              <a:ln w="12720">
                <a:solidFill>
                  <a:srgbClr val="000000"/>
                </a:solidFill>
                <a:prstDash val="solid"/>
              </a:ln>
            </c:spPr>
          </c:dPt>
          <c:dPt>
            <c:idx val="1"/>
            <c:explosion val="24"/>
            <c:spPr>
              <a:pattFill prst="divot">
                <a:fgClr>
                  <a:srgbClr val="000000"/>
                </a:fgClr>
                <a:bgClr>
                  <a:srgbClr val="FFFFFF"/>
                </a:bgClr>
              </a:pattFill>
              <a:ln w="12720">
                <a:solidFill>
                  <a:srgbClr val="000000"/>
                </a:solidFill>
                <a:prstDash val="solid"/>
              </a:ln>
            </c:spPr>
          </c:dPt>
          <c:dPt>
            <c:idx val="2"/>
            <c:spPr>
              <a:pattFill prst="ltVert">
                <a:fgClr>
                  <a:srgbClr val="000000"/>
                </a:fgClr>
                <a:bgClr>
                  <a:srgbClr val="FFFFFF"/>
                </a:bgClr>
              </a:pattFill>
              <a:ln w="12720">
                <a:solidFill>
                  <a:srgbClr val="000000"/>
                </a:solidFill>
                <a:prstDash val="solid"/>
              </a:ln>
            </c:spPr>
          </c:dPt>
          <c:dPt>
            <c:idx val="3"/>
            <c:spPr>
              <a:pattFill prst="zigZag">
                <a:fgClr>
                  <a:srgbClr val="000000"/>
                </a:fgClr>
                <a:bgClr>
                  <a:srgbClr val="FFFFFF"/>
                </a:bgClr>
              </a:pattFill>
              <a:ln w="12720">
                <a:solidFill>
                  <a:srgbClr val="000000"/>
                </a:solidFill>
                <a:prstDash val="solid"/>
              </a:ln>
            </c:spPr>
          </c:dPt>
          <c:dPt>
            <c:idx val="4"/>
            <c:spPr>
              <a:pattFill prst="solidDmnd">
                <a:fgClr>
                  <a:srgbClr val="000000"/>
                </a:fgClr>
                <a:bgClr>
                  <a:srgbClr val="FFFFFF"/>
                </a:bgClr>
              </a:pattFill>
              <a:ln w="12720">
                <a:solidFill>
                  <a:srgbClr val="000000"/>
                </a:solidFill>
                <a:prstDash val="solid"/>
              </a:ln>
            </c:spPr>
          </c:dPt>
          <c:dPt>
            <c:idx val="5"/>
            <c:spPr>
              <a:pattFill prst="dotGrid">
                <a:fgClr>
                  <a:srgbClr val="000000"/>
                </a:fgClr>
                <a:bgClr>
                  <a:srgbClr val="FFFFFF"/>
                </a:bgClr>
              </a:pattFill>
              <a:ln w="12720">
                <a:solidFill>
                  <a:srgbClr val="000000"/>
                </a:solidFill>
                <a:prstDash val="solid"/>
              </a:ln>
            </c:spPr>
          </c:dPt>
          <c:dPt>
            <c:idx val="6"/>
            <c:explosion val="41"/>
            <c:spPr>
              <a:pattFill prst="dkHorz">
                <a:fgClr>
                  <a:srgbClr val="000000"/>
                </a:fgClr>
                <a:bgClr>
                  <a:srgbClr val="FFFFFF"/>
                </a:bgClr>
              </a:pattFill>
              <a:ln w="12720">
                <a:solidFill>
                  <a:srgbClr val="000000"/>
                </a:solidFill>
                <a:prstDash val="solid"/>
              </a:ln>
            </c:spPr>
          </c:dPt>
          <c:dPt>
            <c:idx val="7"/>
            <c:explosion val="44"/>
          </c:dPt>
          <c:dPt>
            <c:idx val="8"/>
            <c:explosion val="61"/>
            <c:spPr>
              <a:solidFill>
                <a:schemeClr val="tx1">
                  <a:lumMod val="95000"/>
                  <a:lumOff val="5000"/>
                </a:schemeClr>
              </a:solidFill>
              <a:ln w="12720">
                <a:solidFill>
                  <a:srgbClr val="000000"/>
                </a:solidFill>
                <a:prstDash val="solid"/>
              </a:ln>
            </c:spPr>
          </c:dPt>
          <c:dPt>
            <c:idx val="9"/>
            <c:explosion val="57"/>
            <c:spPr>
              <a:blipFill>
                <a:blip xmlns:r="http://schemas.openxmlformats.org/officeDocument/2006/relationships" r:embed="rId1"/>
                <a:tile tx="0" ty="0" sx="100000" sy="100000" flip="none" algn="tl"/>
              </a:blipFill>
              <a:ln w="12720">
                <a:solidFill>
                  <a:srgbClr val="000000"/>
                </a:solidFill>
                <a:prstDash val="solid"/>
              </a:ln>
            </c:spPr>
          </c:dPt>
          <c:dLbls>
            <c:dLbl>
              <c:idx val="0"/>
              <c:layout>
                <c:manualLayout>
                  <c:x val="3.4455380577428071E-2"/>
                  <c:y val="7.2508166016870976E-2"/>
                </c:manualLayout>
              </c:layout>
              <c:dLblPos val="bestFit"/>
              <c:showPercent val="1"/>
            </c:dLbl>
            <c:dLbl>
              <c:idx val="1"/>
              <c:layout>
                <c:manualLayout>
                  <c:x val="-1.4541371331094021E-2"/>
                  <c:y val="4.6403577612238539E-2"/>
                </c:manualLayout>
              </c:layout>
              <c:dLblPos val="bestFit"/>
              <c:showPercent val="1"/>
            </c:dLbl>
            <c:dLbl>
              <c:idx val="2"/>
              <c:layout>
                <c:manualLayout>
                  <c:x val="-2.0674256091399498E-2"/>
                  <c:y val="3.0267874386158411E-2"/>
                </c:manualLayout>
              </c:layout>
              <c:dLblPos val="bestFit"/>
              <c:showPercent val="1"/>
            </c:dLbl>
            <c:dLbl>
              <c:idx val="3"/>
              <c:layout>
                <c:manualLayout>
                  <c:x val="-2.7400110014567325E-2"/>
                  <c:y val="4.5618798092862886E-2"/>
                </c:manualLayout>
              </c:layout>
              <c:dLblPos val="bestFit"/>
              <c:showPercent val="1"/>
            </c:dLbl>
            <c:dLbl>
              <c:idx val="4"/>
              <c:layout>
                <c:manualLayout>
                  <c:x val="-4.0610888861903977E-2"/>
                  <c:y val="-2.4412447965099091E-2"/>
                </c:manualLayout>
              </c:layout>
              <c:dLblPos val="bestFit"/>
              <c:showPercent val="1"/>
            </c:dLbl>
            <c:dLbl>
              <c:idx val="5"/>
              <c:layout>
                <c:manualLayout>
                  <c:x val="-3.3725383192412438E-2"/>
                  <c:y val="-7.1510661503271414E-2"/>
                </c:manualLayout>
              </c:layout>
              <c:dLblPos val="bestFit"/>
              <c:showPercent val="1"/>
            </c:dLbl>
            <c:dLbl>
              <c:idx val="6"/>
              <c:layout>
                <c:manualLayout>
                  <c:x val="-1.7785204540495664E-2"/>
                  <c:y val="-9.018266496835764E-2"/>
                </c:manualLayout>
              </c:layout>
              <c:dLblPos val="bestFit"/>
              <c:showPercent val="1"/>
            </c:dLbl>
            <c:dLbl>
              <c:idx val="7"/>
              <c:layout>
                <c:manualLayout>
                  <c:x val="-4.4085374744823824E-2"/>
                  <c:y val="-7.7129027088467708E-2"/>
                </c:manualLayout>
              </c:layout>
              <c:showPercent val="1"/>
            </c:dLbl>
            <c:dLbl>
              <c:idx val="8"/>
              <c:layout>
                <c:manualLayout>
                  <c:x val="-0.16369386118401866"/>
                  <c:y val="-6.6124472434162945E-2"/>
                </c:manualLayout>
              </c:layout>
              <c:showPercent val="1"/>
            </c:dLbl>
            <c:dLbl>
              <c:idx val="9"/>
              <c:layout>
                <c:manualLayout>
                  <c:x val="6.1069918343540412E-2"/>
                  <c:y val="-3.0273508197573639E-2"/>
                </c:manualLayout>
              </c:layout>
              <c:showPercent val="1"/>
            </c:dLbl>
            <c:dLbl>
              <c:idx val="10"/>
              <c:layout>
                <c:manualLayout>
                  <c:x val="9.1739938757655293E-2"/>
                  <c:y val="4.4379262060614461E-2"/>
                </c:manualLayout>
              </c:layout>
              <c:showPercent val="1"/>
            </c:dLbl>
            <c:numFmt formatCode="0.0%" sourceLinked="0"/>
            <c:spPr>
              <a:noFill/>
              <a:ln w="25441">
                <a:noFill/>
              </a:ln>
            </c:spPr>
            <c:txPr>
              <a:bodyPr/>
              <a:lstStyle/>
              <a:p>
                <a:pPr>
                  <a:defRPr sz="850" b="0" i="0" u="none" strike="noStrike" baseline="0">
                    <a:solidFill>
                      <a:srgbClr val="000000"/>
                    </a:solidFill>
                    <a:latin typeface="Times New Roman"/>
                    <a:ea typeface="Times New Roman"/>
                    <a:cs typeface="Times New Roman"/>
                  </a:defRPr>
                </a:pPr>
                <a:endParaRPr lang="ru-RU"/>
              </a:p>
            </c:txPr>
            <c:showPercent val="1"/>
            <c:showLeaderLines val="1"/>
          </c:dLbls>
          <c:cat>
            <c:strRef>
              <c:f>Sheet1!$B$1:$L$1</c:f>
              <c:strCache>
                <c:ptCount val="11"/>
                <c:pt idx="0">
                  <c:v>ГУП "Почта Приднестровья"</c:v>
                </c:pt>
                <c:pt idx="1">
                  <c:v>ДГУП "Бендерская почта"</c:v>
                </c:pt>
                <c:pt idx="2">
                  <c:v>ДГУП "Слободзейская почта"</c:v>
                </c:pt>
                <c:pt idx="3">
                  <c:v>ДГУП "Григориопольская почта"</c:v>
                </c:pt>
                <c:pt idx="4">
                  <c:v>ДГУП "Дубоссарская почта"</c:v>
                </c:pt>
                <c:pt idx="5">
                  <c:v>ДГУП "Рыбницкая почта"</c:v>
                </c:pt>
                <c:pt idx="6">
                  <c:v>ДГУП "Каменская почта"</c:v>
                </c:pt>
                <c:pt idx="7">
                  <c:v>ООО "СНП"</c:v>
                </c:pt>
                <c:pt idx="8">
                  <c:v>ООО "Авиаэкспресс"</c:v>
                </c:pt>
                <c:pt idx="9">
                  <c:v>ООО "Экспресс-Курьер и Компания"</c:v>
                </c:pt>
                <c:pt idx="10">
                  <c:v>ООО "Деливири Интернешнл Персел"</c:v>
                </c:pt>
              </c:strCache>
            </c:strRef>
          </c:cat>
          <c:val>
            <c:numRef>
              <c:f>Sheet1!$B$2:$L$2</c:f>
              <c:numCache>
                <c:formatCode>0.0</c:formatCode>
                <c:ptCount val="11"/>
                <c:pt idx="0">
                  <c:v>2978.9</c:v>
                </c:pt>
                <c:pt idx="1">
                  <c:v>808.7</c:v>
                </c:pt>
                <c:pt idx="2">
                  <c:v>416.6</c:v>
                </c:pt>
                <c:pt idx="3">
                  <c:v>205.5</c:v>
                </c:pt>
                <c:pt idx="4">
                  <c:v>227.3</c:v>
                </c:pt>
                <c:pt idx="5">
                  <c:v>478.7</c:v>
                </c:pt>
                <c:pt idx="6">
                  <c:v>223.8</c:v>
                </c:pt>
                <c:pt idx="7">
                  <c:v>887.9</c:v>
                </c:pt>
                <c:pt idx="8">
                  <c:v>144.5</c:v>
                </c:pt>
                <c:pt idx="9">
                  <c:v>20.5</c:v>
                </c:pt>
                <c:pt idx="10">
                  <c:v>21.4</c:v>
                </c:pt>
              </c:numCache>
            </c:numRef>
          </c:val>
        </c:ser>
        <c:dLbls>
          <c:showVal val="1"/>
          <c:showPercent val="1"/>
        </c:dLbls>
      </c:pie3DChart>
      <c:spPr>
        <a:noFill/>
        <a:ln w="25441">
          <a:noFill/>
        </a:ln>
      </c:spPr>
    </c:plotArea>
    <c:plotVisOnly val="1"/>
    <c:dispBlanksAs val="zero"/>
  </c:chart>
  <c:spPr>
    <a:noFill/>
    <a:ln>
      <a:noFill/>
    </a:ln>
  </c:spPr>
  <c:txPr>
    <a:bodyPr/>
    <a:lstStyle/>
    <a:p>
      <a:pPr>
        <a:defRPr sz="1202" b="1" i="0" u="none" strike="noStrike" baseline="0">
          <a:solidFill>
            <a:srgbClr val="000000"/>
          </a:solidFill>
          <a:latin typeface="Arial Cyr"/>
          <a:ea typeface="Arial Cyr"/>
          <a:cs typeface="Arial Cyr"/>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доходов от основной деятельности государственных предприятий почтовой связи по видам отправлений,</a:t>
            </a:r>
            <a:r>
              <a:rPr lang="ru-RU" baseline="0"/>
              <a:t> %</a:t>
            </a:r>
            <a:endParaRPr lang="ru-RU"/>
          </a:p>
        </c:rich>
      </c:tx>
      <c:layout>
        <c:manualLayout>
          <c:xMode val="edge"/>
          <c:yMode val="edge"/>
          <c:x val="0.12473885859435946"/>
          <c:y val="0"/>
        </c:manualLayout>
      </c:layout>
    </c:title>
    <c:view3D>
      <c:rotX val="10"/>
      <c:rAngAx val="1"/>
    </c:view3D>
    <c:plotArea>
      <c:layout>
        <c:manualLayout>
          <c:layoutTarget val="inner"/>
          <c:xMode val="edge"/>
          <c:yMode val="edge"/>
          <c:x val="7.9391445029839913E-2"/>
          <c:y val="0.14814814814814894"/>
          <c:w val="0.91279986780569355"/>
          <c:h val="0.49641621463983976"/>
        </c:manualLayout>
      </c:layout>
      <c:bar3DChart>
        <c:barDir val="bar"/>
        <c:grouping val="stacked"/>
        <c:ser>
          <c:idx val="0"/>
          <c:order val="0"/>
          <c:tx>
            <c:strRef>
              <c:f>Лист1!$B$1</c:f>
              <c:strCache>
                <c:ptCount val="1"/>
                <c:pt idx="0">
                  <c:v>Реализация знаков почтовой отправки</c:v>
                </c:pt>
              </c:strCache>
            </c:strRef>
          </c:tx>
          <c:spPr>
            <a:solidFill>
              <a:schemeClr val="tx2">
                <a:lumMod val="60000"/>
                <a:lumOff val="40000"/>
              </a:schemeClr>
            </a:solidFill>
          </c:spPr>
          <c:dLbls>
            <c:txPr>
              <a:bodyPr/>
              <a:lstStyle/>
              <a:p>
                <a:pPr>
                  <a:defRPr b="1"/>
                </a:pPr>
                <a:endParaRPr lang="ru-RU"/>
              </a:p>
            </c:txPr>
            <c:showVal val="1"/>
          </c:dLbls>
          <c:cat>
            <c:strRef>
              <c:f>Лист1!$A$2:$A$3</c:f>
              <c:strCache>
                <c:ptCount val="2"/>
                <c:pt idx="0">
                  <c:v>2015 г.</c:v>
                </c:pt>
                <c:pt idx="1">
                  <c:v>2016 г.</c:v>
                </c:pt>
              </c:strCache>
            </c:strRef>
          </c:cat>
          <c:val>
            <c:numRef>
              <c:f>Лист1!$B$5:$B$6</c:f>
              <c:numCache>
                <c:formatCode>0.0</c:formatCode>
                <c:ptCount val="2"/>
                <c:pt idx="0">
                  <c:v>39.126647477654679</c:v>
                </c:pt>
                <c:pt idx="1">
                  <c:v>41.75750084279133</c:v>
                </c:pt>
              </c:numCache>
            </c:numRef>
          </c:val>
        </c:ser>
        <c:ser>
          <c:idx val="1"/>
          <c:order val="1"/>
          <c:tx>
            <c:strRef>
              <c:f>Лист1!$C$1</c:f>
              <c:strCache>
                <c:ptCount val="1"/>
                <c:pt idx="0">
                  <c:v>Писменная корреспонденция</c:v>
                </c:pt>
              </c:strCache>
            </c:strRef>
          </c:tx>
          <c:spPr>
            <a:solidFill>
              <a:schemeClr val="accent2">
                <a:lumMod val="60000"/>
                <a:lumOff val="40000"/>
              </a:schemeClr>
            </a:solidFill>
          </c:spPr>
          <c:dLbls>
            <c:txPr>
              <a:bodyPr/>
              <a:lstStyle/>
              <a:p>
                <a:pPr>
                  <a:defRPr b="1"/>
                </a:pPr>
                <a:endParaRPr lang="ru-RU"/>
              </a:p>
            </c:txPr>
            <c:showVal val="1"/>
          </c:dLbls>
          <c:cat>
            <c:strRef>
              <c:f>Лист1!$A$2:$A$3</c:f>
              <c:strCache>
                <c:ptCount val="2"/>
                <c:pt idx="0">
                  <c:v>2015 г.</c:v>
                </c:pt>
                <c:pt idx="1">
                  <c:v>2016 г.</c:v>
                </c:pt>
              </c:strCache>
            </c:strRef>
          </c:cat>
          <c:val>
            <c:numRef>
              <c:f>Лист1!$C$5:$C$6</c:f>
              <c:numCache>
                <c:formatCode>0.0</c:formatCode>
                <c:ptCount val="2"/>
                <c:pt idx="0">
                  <c:v>3.7702620815028025</c:v>
                </c:pt>
                <c:pt idx="1">
                  <c:v>3.8506199198411628</c:v>
                </c:pt>
              </c:numCache>
            </c:numRef>
          </c:val>
        </c:ser>
        <c:ser>
          <c:idx val="2"/>
          <c:order val="2"/>
          <c:tx>
            <c:strRef>
              <c:f>Лист1!$D$1</c:f>
              <c:strCache>
                <c:ptCount val="1"/>
                <c:pt idx="0">
                  <c:v>Денежные переводы</c:v>
                </c:pt>
              </c:strCache>
            </c:strRef>
          </c:tx>
          <c:spPr>
            <a:solidFill>
              <a:schemeClr val="accent3">
                <a:lumMod val="50000"/>
              </a:schemeClr>
            </a:solidFill>
          </c:spPr>
          <c:dLbls>
            <c:spPr>
              <a:solidFill>
                <a:schemeClr val="accent3">
                  <a:lumMod val="60000"/>
                  <a:lumOff val="40000"/>
                </a:schemeClr>
              </a:solidFill>
            </c:spPr>
            <c:txPr>
              <a:bodyPr/>
              <a:lstStyle/>
              <a:p>
                <a:pPr>
                  <a:defRPr b="1"/>
                </a:pPr>
                <a:endParaRPr lang="ru-RU"/>
              </a:p>
            </c:txPr>
            <c:showVal val="1"/>
          </c:dLbls>
          <c:cat>
            <c:strRef>
              <c:f>Лист1!$A$2:$A$3</c:f>
              <c:strCache>
                <c:ptCount val="2"/>
                <c:pt idx="0">
                  <c:v>2015 г.</c:v>
                </c:pt>
                <c:pt idx="1">
                  <c:v>2016 г.</c:v>
                </c:pt>
              </c:strCache>
            </c:strRef>
          </c:cat>
          <c:val>
            <c:numRef>
              <c:f>Лист1!$D$5:$D$6</c:f>
              <c:numCache>
                <c:formatCode>0.0</c:formatCode>
                <c:ptCount val="2"/>
                <c:pt idx="0">
                  <c:v>5.1791395243144978</c:v>
                </c:pt>
                <c:pt idx="1">
                  <c:v>5.7590740532644125</c:v>
                </c:pt>
              </c:numCache>
            </c:numRef>
          </c:val>
        </c:ser>
        <c:ser>
          <c:idx val="3"/>
          <c:order val="3"/>
          <c:tx>
            <c:strRef>
              <c:f>Лист1!$E$1</c:f>
              <c:strCache>
                <c:ptCount val="1"/>
                <c:pt idx="0">
                  <c:v>Посылки</c:v>
                </c:pt>
              </c:strCache>
            </c:strRef>
          </c:tx>
          <c:spPr>
            <a:solidFill>
              <a:schemeClr val="accent6">
                <a:lumMod val="75000"/>
              </a:schemeClr>
            </a:solidFill>
          </c:spPr>
          <c:dLbls>
            <c:txPr>
              <a:bodyPr/>
              <a:lstStyle/>
              <a:p>
                <a:pPr>
                  <a:defRPr b="1"/>
                </a:pPr>
                <a:endParaRPr lang="ru-RU"/>
              </a:p>
            </c:txPr>
            <c:showVal val="1"/>
          </c:dLbls>
          <c:cat>
            <c:strRef>
              <c:f>Лист1!$A$2:$A$3</c:f>
              <c:strCache>
                <c:ptCount val="2"/>
                <c:pt idx="0">
                  <c:v>2015 г.</c:v>
                </c:pt>
                <c:pt idx="1">
                  <c:v>2016 г.</c:v>
                </c:pt>
              </c:strCache>
            </c:strRef>
          </c:cat>
          <c:val>
            <c:numRef>
              <c:f>Лист1!$E$5:$E$6</c:f>
              <c:numCache>
                <c:formatCode>0.0</c:formatCode>
                <c:ptCount val="2"/>
                <c:pt idx="0">
                  <c:v>8.5100742311770947</c:v>
                </c:pt>
                <c:pt idx="1">
                  <c:v>7.0251339101771695</c:v>
                </c:pt>
              </c:numCache>
            </c:numRef>
          </c:val>
        </c:ser>
        <c:ser>
          <c:idx val="4"/>
          <c:order val="4"/>
          <c:tx>
            <c:strRef>
              <c:f>Лист1!$F$1</c:f>
              <c:strCache>
                <c:ptCount val="1"/>
                <c:pt idx="0">
                  <c:v>Периодические издания</c:v>
                </c:pt>
              </c:strCache>
            </c:strRef>
          </c:tx>
          <c:spPr>
            <a:solidFill>
              <a:schemeClr val="accent4">
                <a:lumMod val="60000"/>
                <a:lumOff val="40000"/>
              </a:schemeClr>
            </a:solidFill>
          </c:spPr>
          <c:dLbls>
            <c:txPr>
              <a:bodyPr/>
              <a:lstStyle/>
              <a:p>
                <a:pPr>
                  <a:defRPr b="1"/>
                </a:pPr>
                <a:endParaRPr lang="ru-RU"/>
              </a:p>
            </c:txPr>
            <c:showVal val="1"/>
          </c:dLbls>
          <c:cat>
            <c:strRef>
              <c:f>Лист1!$A$2:$A$3</c:f>
              <c:strCache>
                <c:ptCount val="2"/>
                <c:pt idx="0">
                  <c:v>2015 г.</c:v>
                </c:pt>
                <c:pt idx="1">
                  <c:v>2016 г.</c:v>
                </c:pt>
              </c:strCache>
            </c:strRef>
          </c:cat>
          <c:val>
            <c:numRef>
              <c:f>Лист1!$F$5:$F$6</c:f>
              <c:numCache>
                <c:formatCode>0.0</c:formatCode>
                <c:ptCount val="2"/>
                <c:pt idx="0">
                  <c:v>29.228525980911815</c:v>
                </c:pt>
                <c:pt idx="1">
                  <c:v>29.939693598531516</c:v>
                </c:pt>
              </c:numCache>
            </c:numRef>
          </c:val>
        </c:ser>
        <c:ser>
          <c:idx val="5"/>
          <c:order val="5"/>
          <c:tx>
            <c:strRef>
              <c:f>Лист1!$G$1</c:f>
              <c:strCache>
                <c:ptCount val="1"/>
                <c:pt idx="0">
                  <c:v>Спецсвязь</c:v>
                </c:pt>
              </c:strCache>
            </c:strRef>
          </c:tx>
          <c:spPr>
            <a:solidFill>
              <a:srgbClr val="0070C0"/>
            </a:solidFill>
          </c:spPr>
          <c:dLbls>
            <c:spPr>
              <a:solidFill>
                <a:schemeClr val="tx2">
                  <a:lumMod val="40000"/>
                  <a:lumOff val="60000"/>
                </a:schemeClr>
              </a:solidFill>
            </c:spPr>
            <c:txPr>
              <a:bodyPr/>
              <a:lstStyle/>
              <a:p>
                <a:pPr>
                  <a:defRPr b="1"/>
                </a:pPr>
                <a:endParaRPr lang="ru-RU"/>
              </a:p>
            </c:txPr>
            <c:showVal val="1"/>
          </c:dLbls>
          <c:cat>
            <c:strRef>
              <c:f>Лист1!$A$2:$A$3</c:f>
              <c:strCache>
                <c:ptCount val="2"/>
                <c:pt idx="0">
                  <c:v>2015 г.</c:v>
                </c:pt>
                <c:pt idx="1">
                  <c:v>2016 г.</c:v>
                </c:pt>
              </c:strCache>
            </c:strRef>
          </c:cat>
          <c:val>
            <c:numRef>
              <c:f>Лист1!$G$5:$G$6</c:f>
              <c:numCache>
                <c:formatCode>0.0</c:formatCode>
                <c:ptCount val="2"/>
                <c:pt idx="0">
                  <c:v>1.8482048174519012</c:v>
                </c:pt>
                <c:pt idx="1">
                  <c:v>2.0526650934561679</c:v>
                </c:pt>
              </c:numCache>
            </c:numRef>
          </c:val>
        </c:ser>
        <c:ser>
          <c:idx val="6"/>
          <c:order val="6"/>
          <c:tx>
            <c:strRef>
              <c:f>Лист1!$H$1</c:f>
              <c:strCache>
                <c:ptCount val="1"/>
                <c:pt idx="0">
                  <c:v>Прочие доходы</c:v>
                </c:pt>
              </c:strCache>
            </c:strRef>
          </c:tx>
          <c:spPr>
            <a:solidFill>
              <a:schemeClr val="bg1">
                <a:lumMod val="75000"/>
              </a:schemeClr>
            </a:solidFill>
          </c:spPr>
          <c:dLbls>
            <c:txPr>
              <a:bodyPr/>
              <a:lstStyle/>
              <a:p>
                <a:pPr>
                  <a:defRPr b="1"/>
                </a:pPr>
                <a:endParaRPr lang="ru-RU"/>
              </a:p>
            </c:txPr>
            <c:showVal val="1"/>
          </c:dLbls>
          <c:cat>
            <c:strRef>
              <c:f>Лист1!$A$2:$A$3</c:f>
              <c:strCache>
                <c:ptCount val="2"/>
                <c:pt idx="0">
                  <c:v>2015 г.</c:v>
                </c:pt>
                <c:pt idx="1">
                  <c:v>2016 г.</c:v>
                </c:pt>
              </c:strCache>
            </c:strRef>
          </c:cat>
          <c:val>
            <c:numRef>
              <c:f>Лист1!$H$5:$H$6</c:f>
              <c:numCache>
                <c:formatCode>0.0</c:formatCode>
                <c:ptCount val="2"/>
                <c:pt idx="0">
                  <c:v>11.657324647780639</c:v>
                </c:pt>
                <c:pt idx="1">
                  <c:v>9.1676967449526163</c:v>
                </c:pt>
              </c:numCache>
            </c:numRef>
          </c:val>
        </c:ser>
        <c:ser>
          <c:idx val="7"/>
          <c:order val="7"/>
          <c:tx>
            <c:strRef>
              <c:f>Лист1!$I$1</c:f>
              <c:strCache>
                <c:ptCount val="1"/>
                <c:pt idx="0">
                  <c:v>Ускоренная почта EMS</c:v>
                </c:pt>
              </c:strCache>
            </c:strRef>
          </c:tx>
          <c:spPr>
            <a:solidFill>
              <a:srgbClr val="FF0000"/>
            </a:solidFill>
          </c:spPr>
          <c:dLbls>
            <c:dLbl>
              <c:idx val="0"/>
              <c:layout>
                <c:manualLayout>
                  <c:x val="1.1713030746705809E-2"/>
                  <c:y val="-1.1851851851851863E-2"/>
                </c:manualLayout>
              </c:layout>
              <c:showVal val="1"/>
            </c:dLbl>
            <c:dLbl>
              <c:idx val="1"/>
              <c:layout>
                <c:manualLayout>
                  <c:x val="9.7608589555881267E-3"/>
                  <c:y val="-5.9259259259259274E-3"/>
                </c:manualLayout>
              </c:layout>
              <c:showVal val="1"/>
            </c:dLbl>
            <c:txPr>
              <a:bodyPr/>
              <a:lstStyle/>
              <a:p>
                <a:pPr>
                  <a:defRPr b="1"/>
                </a:pPr>
                <a:endParaRPr lang="ru-RU"/>
              </a:p>
            </c:txPr>
            <c:showVal val="1"/>
          </c:dLbls>
          <c:cat>
            <c:strRef>
              <c:f>Лист1!$A$2:$A$3</c:f>
              <c:strCache>
                <c:ptCount val="2"/>
                <c:pt idx="0">
                  <c:v>2015 г.</c:v>
                </c:pt>
                <c:pt idx="1">
                  <c:v>2016 г.</c:v>
                </c:pt>
              </c:strCache>
            </c:strRef>
          </c:cat>
          <c:val>
            <c:numRef>
              <c:f>Лист1!$I$5:$I$6</c:f>
              <c:numCache>
                <c:formatCode>0.0</c:formatCode>
                <c:ptCount val="2"/>
                <c:pt idx="0">
                  <c:v>0.6798212392061902</c:v>
                </c:pt>
                <c:pt idx="1">
                  <c:v>0.44761583698542906</c:v>
                </c:pt>
              </c:numCache>
            </c:numRef>
          </c:val>
        </c:ser>
        <c:dLbls>
          <c:showVal val="1"/>
        </c:dLbls>
        <c:shape val="box"/>
        <c:axId val="156657920"/>
        <c:axId val="156676096"/>
        <c:axId val="0"/>
      </c:bar3DChart>
      <c:catAx>
        <c:axId val="156657920"/>
        <c:scaling>
          <c:orientation val="minMax"/>
        </c:scaling>
        <c:axPos val="l"/>
        <c:tickLblPos val="nextTo"/>
        <c:txPr>
          <a:bodyPr/>
          <a:lstStyle/>
          <a:p>
            <a:pPr>
              <a:defRPr b="1"/>
            </a:pPr>
            <a:endParaRPr lang="ru-RU"/>
          </a:p>
        </c:txPr>
        <c:crossAx val="156676096"/>
        <c:crosses val="autoZero"/>
        <c:auto val="1"/>
        <c:lblAlgn val="ctr"/>
        <c:lblOffset val="100"/>
      </c:catAx>
      <c:valAx>
        <c:axId val="156676096"/>
        <c:scaling>
          <c:orientation val="minMax"/>
        </c:scaling>
        <c:axPos val="b"/>
        <c:majorGridlines/>
        <c:numFmt formatCode="0.0" sourceLinked="1"/>
        <c:tickLblPos val="nextTo"/>
        <c:txPr>
          <a:bodyPr/>
          <a:lstStyle/>
          <a:p>
            <a:pPr>
              <a:defRPr b="1"/>
            </a:pPr>
            <a:endParaRPr lang="ru-RU"/>
          </a:p>
        </c:txPr>
        <c:crossAx val="156657920"/>
        <c:crosses val="autoZero"/>
        <c:crossBetween val="between"/>
      </c:valAx>
    </c:plotArea>
    <c:legend>
      <c:legendPos val="b"/>
      <c:layout>
        <c:manualLayout>
          <c:xMode val="edge"/>
          <c:yMode val="edge"/>
          <c:x val="6.4951522348139862E-2"/>
          <c:y val="0.76319160104987482"/>
          <c:w val="0.93256629890516562"/>
          <c:h val="0.23680839895013217"/>
        </c:manualLayout>
      </c:layout>
    </c:legend>
    <c:plotVisOnly val="1"/>
  </c:chart>
  <c:spPr>
    <a:ln>
      <a:noFill/>
    </a:ln>
  </c:spPr>
  <c:txPr>
    <a:bodyPr/>
    <a:lstStyle/>
    <a:p>
      <a:pPr>
        <a:defRPr sz="900">
          <a:latin typeface="Times New Roman" pitchFamily="18" charset="0"/>
          <a:cs typeface="Times New Roman" pitchFamily="18" charset="0"/>
        </a:defRPr>
      </a:pPr>
      <a:endParaRPr lang="ru-RU"/>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perspective val="30"/>
    </c:view3D>
    <c:plotArea>
      <c:layout/>
      <c:bar3DChart>
        <c:barDir val="col"/>
        <c:grouping val="clustered"/>
        <c:ser>
          <c:idx val="0"/>
          <c:order val="0"/>
          <c:tx>
            <c:strRef>
              <c:f>Лист1!$B$1</c:f>
              <c:strCache>
                <c:ptCount val="1"/>
                <c:pt idx="0">
                  <c:v>январь-декабрь 2015 года</c:v>
                </c:pt>
              </c:strCache>
            </c:strRef>
          </c:tx>
          <c:spPr>
            <a:solidFill>
              <a:schemeClr val="accent2">
                <a:lumMod val="75000"/>
              </a:schemeClr>
            </a:solidFill>
          </c:spPr>
          <c:dLbls>
            <c:dLbl>
              <c:idx val="0"/>
              <c:layout>
                <c:manualLayout>
                  <c:x val="1.3888888888889058E-2"/>
                  <c:y val="0"/>
                </c:manualLayout>
              </c:layout>
              <c:tx>
                <c:rich>
                  <a:bodyPr/>
                  <a:lstStyle/>
                  <a:p>
                    <a:r>
                      <a:rPr lang="ru-RU"/>
                      <a:t>-26,4*</a:t>
                    </a:r>
                    <a:endParaRPr lang="en-US"/>
                  </a:p>
                </c:rich>
              </c:tx>
              <c:showVal val="1"/>
            </c:dLbl>
            <c:dLbl>
              <c:idx val="1"/>
              <c:layout>
                <c:manualLayout>
                  <c:x val="-2.3148148148147301E-3"/>
                  <c:y val="-5.7887259505405939E-3"/>
                </c:manualLayout>
              </c:layout>
              <c:tx>
                <c:rich>
                  <a:bodyPr/>
                  <a:lstStyle/>
                  <a:p>
                    <a:r>
                      <a:rPr lang="ru-RU"/>
                      <a:t>-24,0*</a:t>
                    </a:r>
                    <a:endParaRPr lang="en-US"/>
                  </a:p>
                </c:rich>
              </c:tx>
              <c:showVal val="1"/>
            </c:dLbl>
            <c:txPr>
              <a:bodyPr/>
              <a:lstStyle/>
              <a:p>
                <a:pPr>
                  <a:defRPr b="1"/>
                </a:pPr>
                <a:endParaRPr lang="ru-RU"/>
              </a:p>
            </c:txPr>
            <c:showVal val="1"/>
          </c:dLbls>
          <c:cat>
            <c:strRef>
              <c:f>Лист1!$A$2:$A$3</c:f>
              <c:strCache>
                <c:ptCount val="2"/>
                <c:pt idx="0">
                  <c:v>в текущих ценах</c:v>
                </c:pt>
                <c:pt idx="1">
                  <c:v>в сопоставимых ценах</c:v>
                </c:pt>
              </c:strCache>
            </c:strRef>
          </c:cat>
          <c:val>
            <c:numRef>
              <c:f>Лист1!$B$2:$B$3</c:f>
              <c:numCache>
                <c:formatCode>General</c:formatCode>
                <c:ptCount val="2"/>
                <c:pt idx="0" formatCode="0.0">
                  <c:v>73.599999999999994</c:v>
                </c:pt>
                <c:pt idx="1">
                  <c:v>76</c:v>
                </c:pt>
              </c:numCache>
            </c:numRef>
          </c:val>
        </c:ser>
        <c:ser>
          <c:idx val="1"/>
          <c:order val="1"/>
          <c:tx>
            <c:strRef>
              <c:f>Лист1!$C$1</c:f>
              <c:strCache>
                <c:ptCount val="1"/>
                <c:pt idx="0">
                  <c:v>январь-декабрь 2016 года</c:v>
                </c:pt>
              </c:strCache>
            </c:strRef>
          </c:tx>
          <c:spPr>
            <a:solidFill>
              <a:schemeClr val="accent2">
                <a:lumMod val="40000"/>
                <a:lumOff val="60000"/>
              </a:schemeClr>
            </a:solidFill>
          </c:spPr>
          <c:dLbls>
            <c:dLbl>
              <c:idx val="0"/>
              <c:layout>
                <c:manualLayout>
                  <c:x val="1.8518518518518674E-2"/>
                  <c:y val="-1.1904933901610931E-2"/>
                </c:manualLayout>
              </c:layout>
              <c:tx>
                <c:rich>
                  <a:bodyPr/>
                  <a:lstStyle/>
                  <a:p>
                    <a:r>
                      <a:rPr lang="ru-RU"/>
                      <a:t>+0,3*</a:t>
                    </a:r>
                    <a:endParaRPr lang="en-US"/>
                  </a:p>
                </c:rich>
              </c:tx>
              <c:showVal val="1"/>
            </c:dLbl>
            <c:dLbl>
              <c:idx val="1"/>
              <c:layout>
                <c:manualLayout>
                  <c:x val="1.3888888888889324E-2"/>
                  <c:y val="-1.9841269841270354E-2"/>
                </c:manualLayout>
              </c:layout>
              <c:tx>
                <c:rich>
                  <a:bodyPr/>
                  <a:lstStyle/>
                  <a:p>
                    <a:r>
                      <a:rPr lang="ru-RU"/>
                      <a:t>-0,6*</a:t>
                    </a:r>
                    <a:endParaRPr lang="en-US"/>
                  </a:p>
                </c:rich>
              </c:tx>
              <c:showVal val="1"/>
            </c:dLbl>
            <c:txPr>
              <a:bodyPr/>
              <a:lstStyle/>
              <a:p>
                <a:pPr>
                  <a:defRPr b="1"/>
                </a:pPr>
                <a:endParaRPr lang="ru-RU"/>
              </a:p>
            </c:txPr>
            <c:showVal val="1"/>
          </c:dLbls>
          <c:cat>
            <c:strRef>
              <c:f>Лист1!$A$2:$A$3</c:f>
              <c:strCache>
                <c:ptCount val="2"/>
                <c:pt idx="0">
                  <c:v>в текущих ценах</c:v>
                </c:pt>
                <c:pt idx="1">
                  <c:v>в сопоставимых ценах</c:v>
                </c:pt>
              </c:strCache>
            </c:strRef>
          </c:cat>
          <c:val>
            <c:numRef>
              <c:f>Лист1!$C$2:$C$3</c:f>
              <c:numCache>
                <c:formatCode>General</c:formatCode>
                <c:ptCount val="2"/>
                <c:pt idx="0" formatCode="0.0">
                  <c:v>99.3</c:v>
                </c:pt>
                <c:pt idx="1">
                  <c:v>98.5</c:v>
                </c:pt>
              </c:numCache>
            </c:numRef>
          </c:val>
        </c:ser>
        <c:dLbls>
          <c:showVal val="1"/>
        </c:dLbls>
        <c:shape val="cylinder"/>
        <c:axId val="156698112"/>
        <c:axId val="156699648"/>
        <c:axId val="0"/>
      </c:bar3DChart>
      <c:catAx>
        <c:axId val="156698112"/>
        <c:scaling>
          <c:orientation val="minMax"/>
        </c:scaling>
        <c:axPos val="b"/>
        <c:tickLblPos val="nextTo"/>
        <c:txPr>
          <a:bodyPr/>
          <a:lstStyle/>
          <a:p>
            <a:pPr>
              <a:defRPr sz="1000" b="1"/>
            </a:pPr>
            <a:endParaRPr lang="ru-RU"/>
          </a:p>
        </c:txPr>
        <c:crossAx val="156699648"/>
        <c:crosses val="autoZero"/>
        <c:auto val="1"/>
        <c:lblAlgn val="ctr"/>
        <c:lblOffset val="100"/>
      </c:catAx>
      <c:valAx>
        <c:axId val="156699648"/>
        <c:scaling>
          <c:orientation val="minMax"/>
          <c:max val="120"/>
        </c:scaling>
        <c:axPos val="l"/>
        <c:title>
          <c:tx>
            <c:rich>
              <a:bodyPr rot="0" vert="horz"/>
              <a:lstStyle/>
              <a:p>
                <a:pPr>
                  <a:defRPr/>
                </a:pPr>
                <a:r>
                  <a:rPr lang="ru-RU"/>
                  <a:t>*-темп прироста (спада),%</a:t>
                </a:r>
              </a:p>
            </c:rich>
          </c:tx>
          <c:layout>
            <c:manualLayout>
              <c:xMode val="edge"/>
              <c:yMode val="edge"/>
              <c:x val="2.6760692433837278E-2"/>
              <c:y val="0.26542322834645682"/>
            </c:manualLayout>
          </c:layout>
        </c:title>
        <c:numFmt formatCode="0.0" sourceLinked="1"/>
        <c:tickLblPos val="nextTo"/>
        <c:txPr>
          <a:bodyPr/>
          <a:lstStyle/>
          <a:p>
            <a:pPr>
              <a:defRPr b="1"/>
            </a:pPr>
            <a:endParaRPr lang="ru-RU"/>
          </a:p>
        </c:txPr>
        <c:crossAx val="156698112"/>
        <c:crosses val="autoZero"/>
        <c:crossBetween val="between"/>
      </c:valAx>
    </c:plotArea>
    <c:legend>
      <c:legendPos val="b"/>
      <c:layout>
        <c:manualLayout>
          <c:xMode val="edge"/>
          <c:yMode val="edge"/>
          <c:x val="0.17000989068862321"/>
          <c:y val="0.88648231767237629"/>
          <c:w val="0.65998021862275635"/>
          <c:h val="7.5602990384495833E-2"/>
        </c:manualLayout>
      </c:layout>
      <c:txPr>
        <a:bodyPr/>
        <a:lstStyle/>
        <a:p>
          <a:pPr>
            <a:defRPr b="1"/>
          </a:pPr>
          <a:endParaRPr lang="ru-RU"/>
        </a:p>
      </c:txPr>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style val="32"/>
  <c:chart>
    <c:title>
      <c:tx>
        <c:rich>
          <a:bodyPr/>
          <a:lstStyle/>
          <a:p>
            <a:pPr>
              <a:defRPr sz="1200"/>
            </a:pPr>
            <a:r>
              <a:rPr lang="ru-RU" sz="1200"/>
              <a:t>Товарная структура розничного товарооборота, %</a:t>
            </a:r>
          </a:p>
        </c:rich>
      </c:tx>
      <c:layout>
        <c:manualLayout>
          <c:xMode val="edge"/>
          <c:yMode val="edge"/>
          <c:x val="0.1919772670231456"/>
          <c:y val="0"/>
        </c:manualLayout>
      </c:layout>
    </c:title>
    <c:plotArea>
      <c:layout/>
      <c:barChart>
        <c:barDir val="col"/>
        <c:grouping val="clustered"/>
        <c:ser>
          <c:idx val="0"/>
          <c:order val="0"/>
          <c:tx>
            <c:strRef>
              <c:f>Лист1!$B$1</c:f>
              <c:strCache>
                <c:ptCount val="1"/>
                <c:pt idx="0">
                  <c:v>Продовольственные товары</c:v>
                </c:pt>
              </c:strCache>
            </c:strRef>
          </c:tx>
          <c:dLbls>
            <c:dLbl>
              <c:idx val="0"/>
              <c:layout>
                <c:manualLayout>
                  <c:x val="4.27578834847675E-3"/>
                  <c:y val="2.6157755293855948E-2"/>
                </c:manualLayout>
              </c:layout>
              <c:tx>
                <c:rich>
                  <a:bodyPr/>
                  <a:lstStyle/>
                  <a:p>
                    <a:r>
                      <a:rPr lang="ru-RU"/>
                      <a:t>44,7</a:t>
                    </a:r>
                    <a:endParaRPr lang="en-US"/>
                  </a:p>
                </c:rich>
              </c:tx>
              <c:showVal val="1"/>
            </c:dLbl>
            <c:dLbl>
              <c:idx val="1"/>
              <c:layout>
                <c:manualLayout>
                  <c:x val="0"/>
                  <c:y val="3.4877007058475185E-2"/>
                </c:manualLayout>
              </c:layout>
              <c:tx>
                <c:rich>
                  <a:bodyPr/>
                  <a:lstStyle/>
                  <a:p>
                    <a:r>
                      <a:rPr lang="ru-RU"/>
                      <a:t>45,7</a:t>
                    </a:r>
                    <a:endParaRPr lang="en-US"/>
                  </a:p>
                </c:rich>
              </c:tx>
              <c:showVal val="1"/>
            </c:dLbl>
            <c:txPr>
              <a:bodyPr/>
              <a:lstStyle/>
              <a:p>
                <a:pPr>
                  <a:defRPr b="1"/>
                </a:pPr>
                <a:endParaRPr lang="ru-RU"/>
              </a:p>
            </c:txPr>
            <c:showVal val="1"/>
          </c:dLbls>
          <c:cat>
            <c:strRef>
              <c:f>Лист1!$A$2:$A$3</c:f>
              <c:strCache>
                <c:ptCount val="2"/>
                <c:pt idx="0">
                  <c:v>январь-декабрь 2015 года</c:v>
                </c:pt>
                <c:pt idx="1">
                  <c:v>январь-декабрь 2016 года</c:v>
                </c:pt>
              </c:strCache>
            </c:strRef>
          </c:cat>
          <c:val>
            <c:numRef>
              <c:f>Лист1!$B$2:$B$3</c:f>
              <c:numCache>
                <c:formatCode>0.0</c:formatCode>
                <c:ptCount val="2"/>
                <c:pt idx="0" formatCode="General">
                  <c:v>46.4</c:v>
                </c:pt>
                <c:pt idx="1">
                  <c:v>47.7</c:v>
                </c:pt>
              </c:numCache>
            </c:numRef>
          </c:val>
        </c:ser>
        <c:ser>
          <c:idx val="1"/>
          <c:order val="1"/>
          <c:tx>
            <c:strRef>
              <c:f>Лист1!$C$1</c:f>
              <c:strCache>
                <c:ptCount val="1"/>
                <c:pt idx="0">
                  <c:v>Непродовольственные товары</c:v>
                </c:pt>
              </c:strCache>
            </c:strRef>
          </c:tx>
          <c:spPr>
            <a:solidFill>
              <a:schemeClr val="accent6">
                <a:lumMod val="40000"/>
                <a:lumOff val="60000"/>
              </a:schemeClr>
            </a:solidFill>
          </c:spPr>
          <c:dLbls>
            <c:dLbl>
              <c:idx val="0"/>
              <c:layout>
                <c:manualLayout>
                  <c:x val="0"/>
                  <c:y val="3.4877007058475185E-2"/>
                </c:manualLayout>
              </c:layout>
              <c:tx>
                <c:rich>
                  <a:bodyPr/>
                  <a:lstStyle/>
                  <a:p>
                    <a:r>
                      <a:rPr lang="ru-RU"/>
                      <a:t>55,3</a:t>
                    </a:r>
                    <a:endParaRPr lang="en-US"/>
                  </a:p>
                </c:rich>
              </c:tx>
              <c:showVal val="1"/>
            </c:dLbl>
            <c:dLbl>
              <c:idx val="1"/>
              <c:layout>
                <c:manualLayout>
                  <c:x val="2.1378941742383802E-3"/>
                  <c:y val="3.4877007058475185E-2"/>
                </c:manualLayout>
              </c:layout>
              <c:tx>
                <c:rich>
                  <a:bodyPr/>
                  <a:lstStyle/>
                  <a:p>
                    <a:r>
                      <a:rPr lang="ru-RU"/>
                      <a:t>54,3</a:t>
                    </a:r>
                    <a:endParaRPr lang="en-US"/>
                  </a:p>
                </c:rich>
              </c:tx>
              <c:showVal val="1"/>
            </c:dLbl>
            <c:txPr>
              <a:bodyPr/>
              <a:lstStyle/>
              <a:p>
                <a:pPr>
                  <a:defRPr b="1"/>
                </a:pPr>
                <a:endParaRPr lang="ru-RU"/>
              </a:p>
            </c:txPr>
            <c:showVal val="1"/>
          </c:dLbls>
          <c:cat>
            <c:strRef>
              <c:f>Лист1!$A$2:$A$3</c:f>
              <c:strCache>
                <c:ptCount val="2"/>
                <c:pt idx="0">
                  <c:v>январь-декабрь 2015 года</c:v>
                </c:pt>
                <c:pt idx="1">
                  <c:v>январь-декабрь 2016 года</c:v>
                </c:pt>
              </c:strCache>
            </c:strRef>
          </c:cat>
          <c:val>
            <c:numRef>
              <c:f>Лист1!$C$2:$C$3</c:f>
              <c:numCache>
                <c:formatCode>0.0</c:formatCode>
                <c:ptCount val="2"/>
                <c:pt idx="0" formatCode="General">
                  <c:v>53.6</c:v>
                </c:pt>
                <c:pt idx="1">
                  <c:v>52.3</c:v>
                </c:pt>
              </c:numCache>
            </c:numRef>
          </c:val>
        </c:ser>
        <c:axId val="157389184"/>
        <c:axId val="157390720"/>
      </c:barChart>
      <c:catAx>
        <c:axId val="157389184"/>
        <c:scaling>
          <c:orientation val="minMax"/>
        </c:scaling>
        <c:axPos val="b"/>
        <c:tickLblPos val="nextTo"/>
        <c:txPr>
          <a:bodyPr/>
          <a:lstStyle/>
          <a:p>
            <a:pPr>
              <a:defRPr b="1"/>
            </a:pPr>
            <a:endParaRPr lang="ru-RU"/>
          </a:p>
        </c:txPr>
        <c:crossAx val="157390720"/>
        <c:crosses val="autoZero"/>
        <c:auto val="1"/>
        <c:lblAlgn val="ctr"/>
        <c:lblOffset val="100"/>
      </c:catAx>
      <c:valAx>
        <c:axId val="157390720"/>
        <c:scaling>
          <c:orientation val="minMax"/>
          <c:max val="60"/>
          <c:min val="0"/>
        </c:scaling>
        <c:axPos val="l"/>
        <c:numFmt formatCode="General" sourceLinked="1"/>
        <c:tickLblPos val="nextTo"/>
        <c:txPr>
          <a:bodyPr/>
          <a:lstStyle/>
          <a:p>
            <a:pPr>
              <a:defRPr b="1"/>
            </a:pPr>
            <a:endParaRPr lang="ru-RU"/>
          </a:p>
        </c:txPr>
        <c:crossAx val="157389184"/>
        <c:crosses val="autoZero"/>
        <c:crossBetween val="between"/>
        <c:majorUnit val="20"/>
      </c:valAx>
    </c:plotArea>
    <c:legend>
      <c:legendPos val="b"/>
      <c:layout>
        <c:manualLayout>
          <c:xMode val="edge"/>
          <c:yMode val="edge"/>
          <c:x val="0.12682005232965179"/>
          <c:y val="0.826680309029168"/>
          <c:w val="0.74635970341632762"/>
          <c:h val="9.2172760583144914E-2"/>
        </c:manualLayout>
      </c:layout>
      <c:txPr>
        <a:bodyPr/>
        <a:lstStyle/>
        <a:p>
          <a:pPr>
            <a:defRPr b="1"/>
          </a:pPr>
          <a:endParaRPr lang="ru-RU"/>
        </a:p>
      </c:txPr>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sz="1200"/>
            </a:pPr>
            <a:r>
              <a:rPr lang="ru-RU" sz="1200"/>
              <a:t>Товарная структура импорта ПМР, млн. долл. США</a:t>
            </a:r>
          </a:p>
        </c:rich>
      </c:tx>
      <c:layout>
        <c:manualLayout>
          <c:xMode val="edge"/>
          <c:yMode val="edge"/>
          <c:x val="0.20873792195533941"/>
          <c:y val="5.6755808749712738E-3"/>
        </c:manualLayout>
      </c:layout>
      <c:spPr>
        <a:noFill/>
        <a:ln w="28727">
          <a:noFill/>
        </a:ln>
      </c:spPr>
    </c:title>
    <c:plotArea>
      <c:layout>
        <c:manualLayout>
          <c:layoutTarget val="inner"/>
          <c:xMode val="edge"/>
          <c:yMode val="edge"/>
          <c:x val="8.8611111111111113E-2"/>
          <c:y val="0.10796397146392009"/>
          <c:w val="0.91040084388185649"/>
          <c:h val="0.35034205744524882"/>
        </c:manualLayout>
      </c:layout>
      <c:barChart>
        <c:barDir val="col"/>
        <c:grouping val="clustered"/>
        <c:ser>
          <c:idx val="0"/>
          <c:order val="0"/>
          <c:tx>
            <c:strRef>
              <c:f>Sheet1!$A$2</c:f>
              <c:strCache>
                <c:ptCount val="1"/>
                <c:pt idx="0">
                  <c:v>январь - декабрь 2015 г.</c:v>
                </c:pt>
              </c:strCache>
            </c:strRef>
          </c:tx>
          <c:spPr>
            <a:solidFill>
              <a:srgbClr val="4F81BD"/>
            </a:solidFill>
          </c:spPr>
          <c:dLbls>
            <c:dLbl>
              <c:idx val="0"/>
              <c:layout>
                <c:manualLayout>
                  <c:x val="-5.146938139947899E-3"/>
                  <c:y val="2.3060336786534442E-2"/>
                </c:manualLayout>
              </c:layout>
              <c:tx>
                <c:rich>
                  <a:bodyPr/>
                  <a:lstStyle/>
                  <a:p>
                    <a:r>
                      <a:rPr lang="ru-RU" sz="1000"/>
                      <a:t>50,5*</a:t>
                    </a:r>
                    <a:endParaRPr lang="en-US" sz="1000"/>
                  </a:p>
                </c:rich>
              </c:tx>
              <c:dLblPos val="outEnd"/>
            </c:dLbl>
            <c:dLbl>
              <c:idx val="1"/>
              <c:layout>
                <c:manualLayout>
                  <c:x val="-1.5731287177619545E-3"/>
                  <c:y val="2.0290865281184192E-2"/>
                </c:manualLayout>
              </c:layout>
              <c:tx>
                <c:rich>
                  <a:bodyPr/>
                  <a:lstStyle/>
                  <a:p>
                    <a:r>
                      <a:rPr lang="ru-RU" sz="1000"/>
                      <a:t>11,9*</a:t>
                    </a:r>
                    <a:endParaRPr lang="en-US" sz="1000"/>
                  </a:p>
                </c:rich>
              </c:tx>
              <c:dLblPos val="outEnd"/>
            </c:dLbl>
            <c:dLbl>
              <c:idx val="2"/>
              <c:layout>
                <c:manualLayout>
                  <c:x val="-1.3042927798846641E-3"/>
                  <c:y val="1.8925405541558721E-2"/>
                </c:manualLayout>
              </c:layout>
              <c:tx>
                <c:rich>
                  <a:bodyPr/>
                  <a:lstStyle/>
                  <a:p>
                    <a:r>
                      <a:rPr lang="ru-RU" sz="1000"/>
                      <a:t>8,8*</a:t>
                    </a:r>
                    <a:endParaRPr lang="en-US" sz="1000"/>
                  </a:p>
                </c:rich>
              </c:tx>
              <c:dLblPos val="outEnd"/>
            </c:dLbl>
            <c:dLbl>
              <c:idx val="3"/>
              <c:layout>
                <c:manualLayout>
                  <c:x val="-4.1449626488996565E-3"/>
                  <c:y val="1.1628763795829869E-2"/>
                </c:manualLayout>
              </c:layout>
              <c:tx>
                <c:rich>
                  <a:bodyPr/>
                  <a:lstStyle/>
                  <a:p>
                    <a:r>
                      <a:rPr lang="ru-RU" sz="1000"/>
                      <a:t>10,4*</a:t>
                    </a:r>
                    <a:endParaRPr lang="en-US" sz="1000"/>
                  </a:p>
                </c:rich>
              </c:tx>
              <c:dLblPos val="outEnd"/>
            </c:dLbl>
            <c:dLbl>
              <c:idx val="4"/>
              <c:layout>
                <c:manualLayout>
                  <c:x val="1.2039404165388417E-3"/>
                  <c:y val="3.9873514104252416E-3"/>
                </c:manualLayout>
              </c:layout>
              <c:tx>
                <c:rich>
                  <a:bodyPr/>
                  <a:lstStyle/>
                  <a:p>
                    <a:r>
                      <a:rPr lang="ru-RU" sz="1000"/>
                      <a:t>4,0*</a:t>
                    </a:r>
                    <a:endParaRPr lang="en-US" sz="1000"/>
                  </a:p>
                </c:rich>
              </c:tx>
              <c:dLblPos val="outEnd"/>
            </c:dLbl>
            <c:dLbl>
              <c:idx val="5"/>
              <c:layout>
                <c:manualLayout>
                  <c:x val="-1.5628511428054401E-3"/>
                  <c:y val="1.9837695311139061E-2"/>
                </c:manualLayout>
              </c:layout>
              <c:tx>
                <c:rich>
                  <a:bodyPr/>
                  <a:lstStyle/>
                  <a:p>
                    <a:r>
                      <a:rPr lang="ru-RU" sz="1000" b="1"/>
                      <a:t>14,4*</a:t>
                    </a:r>
                    <a:endParaRPr lang="en-US" sz="1000" b="1"/>
                  </a:p>
                </c:rich>
              </c:tx>
              <c:dLblPos val="outEnd"/>
            </c:dLbl>
            <c:dLbl>
              <c:idx val="6"/>
              <c:layout>
                <c:manualLayout>
                  <c:x val="-7.5617342090612003E-4"/>
                  <c:y val="1.6455402091132061E-2"/>
                </c:manualLayout>
              </c:layout>
              <c:tx>
                <c:rich>
                  <a:bodyPr/>
                  <a:lstStyle/>
                  <a:p>
                    <a:r>
                      <a:rPr lang="ru-RU" sz="1000" b="1"/>
                      <a:t>8</a:t>
                    </a:r>
                    <a:r>
                      <a:rPr lang="en-US" sz="1000" b="1"/>
                      <a:t>,2</a:t>
                    </a:r>
                  </a:p>
                </c:rich>
              </c:tx>
              <c:dLblPos val="outEnd"/>
            </c:dLbl>
            <c:dLbl>
              <c:idx val="7"/>
              <c:layout>
                <c:manualLayout>
                  <c:xMode val="edge"/>
                  <c:yMode val="edge"/>
                  <c:x val="0.72802197802197965"/>
                  <c:y val="0.43750000000000488"/>
                </c:manualLayout>
              </c:layout>
              <c:dLblPos val="outEnd"/>
              <c:showVal val="1"/>
            </c:dLbl>
            <c:spPr>
              <a:noFill/>
              <a:ln w="28727">
                <a:noFill/>
              </a:ln>
            </c:spPr>
            <c:txPr>
              <a:bodyPr rot="0" vert="horz" anchor="ctr" anchorCtr="0"/>
              <a:lstStyle/>
              <a:p>
                <a:pPr>
                  <a:defRPr sz="1000" b="1"/>
                </a:pPr>
                <a:endParaRPr lang="ru-RU"/>
              </a:p>
            </c:txPr>
            <c:showVal val="1"/>
          </c:dLbls>
          <c:cat>
            <c:strRef>
              <c:f>Sheet1!$B$1:$G$1</c:f>
              <c:strCache>
                <c:ptCount val="6"/>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легкой промышленности</c:v>
                </c:pt>
                <c:pt idx="5">
                  <c:v>Прочие товары</c:v>
                </c:pt>
              </c:strCache>
            </c:strRef>
          </c:cat>
          <c:val>
            <c:numRef>
              <c:f>Sheet1!$B$2:$G$2</c:f>
              <c:numCache>
                <c:formatCode>0.0</c:formatCode>
                <c:ptCount val="6"/>
                <c:pt idx="0">
                  <c:v>574.96400000000006</c:v>
                </c:pt>
                <c:pt idx="1">
                  <c:v>135.48500000000001</c:v>
                </c:pt>
                <c:pt idx="2">
                  <c:v>99.808999999999983</c:v>
                </c:pt>
                <c:pt idx="3">
                  <c:v>118.708</c:v>
                </c:pt>
                <c:pt idx="4">
                  <c:v>45.835000000000001</c:v>
                </c:pt>
                <c:pt idx="5">
                  <c:v>163.48100000000107</c:v>
                </c:pt>
              </c:numCache>
            </c:numRef>
          </c:val>
        </c:ser>
        <c:ser>
          <c:idx val="1"/>
          <c:order val="1"/>
          <c:tx>
            <c:strRef>
              <c:f>Sheet1!$A$3</c:f>
              <c:strCache>
                <c:ptCount val="1"/>
                <c:pt idx="0">
                  <c:v>январь - декабрь 2016 г.</c:v>
                </c:pt>
              </c:strCache>
            </c:strRef>
          </c:tx>
          <c:spPr>
            <a:solidFill>
              <a:srgbClr val="C0504D">
                <a:lumMod val="75000"/>
              </a:srgbClr>
            </a:solidFill>
          </c:spPr>
          <c:dLbls>
            <c:dLbl>
              <c:idx val="0"/>
              <c:layout>
                <c:manualLayout>
                  <c:x val="5.2558529061472684E-3"/>
                  <c:y val="6.0188774629529422E-3"/>
                </c:manualLayout>
              </c:layout>
              <c:tx>
                <c:rich>
                  <a:bodyPr/>
                  <a:lstStyle/>
                  <a:p>
                    <a:r>
                      <a:rPr lang="ru-RU" sz="1000"/>
                      <a:t>47,7*</a:t>
                    </a:r>
                    <a:endParaRPr lang="en-US" sz="1000"/>
                  </a:p>
                </c:rich>
              </c:tx>
              <c:dLblPos val="outEnd"/>
            </c:dLbl>
            <c:dLbl>
              <c:idx val="1"/>
              <c:layout>
                <c:manualLayout>
                  <c:x val="9.1876075299209361E-4"/>
                  <c:y val="1.6703670237941701E-2"/>
                </c:manualLayout>
              </c:layout>
              <c:tx>
                <c:rich>
                  <a:bodyPr/>
                  <a:lstStyle/>
                  <a:p>
                    <a:r>
                      <a:rPr lang="ru-RU" sz="1000"/>
                      <a:t>7,0*</a:t>
                    </a:r>
                    <a:endParaRPr lang="en-US" sz="1000"/>
                  </a:p>
                </c:rich>
              </c:tx>
              <c:dLblPos val="outEnd"/>
            </c:dLbl>
            <c:dLbl>
              <c:idx val="2"/>
              <c:layout>
                <c:manualLayout>
                  <c:x val="7.8853360982597022E-3"/>
                  <c:y val="1.2483689461698441E-2"/>
                </c:manualLayout>
              </c:layout>
              <c:tx>
                <c:rich>
                  <a:bodyPr/>
                  <a:lstStyle/>
                  <a:p>
                    <a:r>
                      <a:rPr lang="ru-RU" sz="1000" b="1"/>
                      <a:t>12,0*</a:t>
                    </a:r>
                    <a:endParaRPr lang="en-US" sz="1000" b="1"/>
                  </a:p>
                </c:rich>
              </c:tx>
              <c:dLblPos val="outEnd"/>
            </c:dLbl>
            <c:dLbl>
              <c:idx val="3"/>
              <c:layout>
                <c:manualLayout>
                  <c:x val="1.1899232532642278E-2"/>
                  <c:y val="1.7186740546320599E-2"/>
                </c:manualLayout>
              </c:layout>
              <c:tx>
                <c:rich>
                  <a:bodyPr/>
                  <a:lstStyle/>
                  <a:p>
                    <a:r>
                      <a:rPr lang="ru-RU" sz="1000"/>
                      <a:t>10,4*</a:t>
                    </a:r>
                    <a:endParaRPr lang="en-US" sz="1000"/>
                  </a:p>
                </c:rich>
              </c:tx>
              <c:dLblPos val="outEnd"/>
            </c:dLbl>
            <c:dLbl>
              <c:idx val="4"/>
              <c:layout>
                <c:manualLayout>
                  <c:x val="1.0924639230358942E-2"/>
                  <c:y val="4.8544624769320784E-3"/>
                </c:manualLayout>
              </c:layout>
              <c:tx>
                <c:rich>
                  <a:bodyPr/>
                  <a:lstStyle/>
                  <a:p>
                    <a:r>
                      <a:rPr lang="ru-RU" sz="1000"/>
                      <a:t>5,2*</a:t>
                    </a:r>
                    <a:endParaRPr lang="en-US" sz="1000"/>
                  </a:p>
                </c:rich>
              </c:tx>
              <c:dLblPos val="outEnd"/>
            </c:dLbl>
            <c:dLbl>
              <c:idx val="5"/>
              <c:layout>
                <c:manualLayout>
                  <c:x val="1.6322401175000143E-2"/>
                  <c:y val="9.2570991388661768E-3"/>
                </c:manualLayout>
              </c:layout>
              <c:tx>
                <c:rich>
                  <a:bodyPr/>
                  <a:lstStyle/>
                  <a:p>
                    <a:r>
                      <a:rPr lang="ru-RU" sz="1000"/>
                      <a:t>17,8*</a:t>
                    </a:r>
                    <a:endParaRPr lang="en-US" sz="1000"/>
                  </a:p>
                </c:rich>
              </c:tx>
              <c:dLblPos val="outEnd"/>
            </c:dLbl>
            <c:dLbl>
              <c:idx val="6"/>
              <c:layout>
                <c:manualLayout>
                  <c:x val="4.0251667106205027E-3"/>
                  <c:y val="1.0088636461425918E-2"/>
                </c:manualLayout>
              </c:layout>
              <c:tx>
                <c:rich>
                  <a:bodyPr/>
                  <a:lstStyle/>
                  <a:p>
                    <a:r>
                      <a:rPr lang="en-US" sz="1000" b="1"/>
                      <a:t>9,</a:t>
                    </a:r>
                    <a:r>
                      <a:rPr lang="ru-RU" sz="1000" b="1"/>
                      <a:t>6</a:t>
                    </a:r>
                    <a:endParaRPr lang="en-US" sz="1000" b="1"/>
                  </a:p>
                </c:rich>
              </c:tx>
              <c:dLblPos val="outEnd"/>
            </c:dLbl>
            <c:dLbl>
              <c:idx val="7"/>
              <c:layout>
                <c:manualLayout>
                  <c:xMode val="edge"/>
                  <c:yMode val="edge"/>
                  <c:x val="0.75274725274725274"/>
                  <c:y val="0.48214285714290062"/>
                </c:manualLayout>
              </c:layout>
              <c:dLblPos val="outEnd"/>
              <c:showVal val="1"/>
            </c:dLbl>
            <c:spPr>
              <a:noFill/>
              <a:ln w="28727">
                <a:noFill/>
              </a:ln>
            </c:spPr>
            <c:txPr>
              <a:bodyPr rot="0" vert="horz"/>
              <a:lstStyle/>
              <a:p>
                <a:pPr>
                  <a:defRPr sz="1000" b="1"/>
                </a:pPr>
                <a:endParaRPr lang="ru-RU"/>
              </a:p>
            </c:txPr>
            <c:showVal val="1"/>
          </c:dLbls>
          <c:cat>
            <c:strRef>
              <c:f>Sheet1!$B$1:$G$1</c:f>
              <c:strCache>
                <c:ptCount val="6"/>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легкой промышленности</c:v>
                </c:pt>
                <c:pt idx="5">
                  <c:v>Прочие товары</c:v>
                </c:pt>
              </c:strCache>
            </c:strRef>
          </c:cat>
          <c:val>
            <c:numRef>
              <c:f>Sheet1!$B$3:$G$3</c:f>
              <c:numCache>
                <c:formatCode>0.0</c:formatCode>
                <c:ptCount val="6"/>
                <c:pt idx="0">
                  <c:v>408.79199999999088</c:v>
                </c:pt>
                <c:pt idx="1">
                  <c:v>59.866</c:v>
                </c:pt>
                <c:pt idx="2">
                  <c:v>102.57199999999999</c:v>
                </c:pt>
                <c:pt idx="3">
                  <c:v>89.043999999999997</c:v>
                </c:pt>
                <c:pt idx="4">
                  <c:v>44.913000000000004</c:v>
                </c:pt>
                <c:pt idx="5">
                  <c:v>152.608</c:v>
                </c:pt>
              </c:numCache>
            </c:numRef>
          </c:val>
        </c:ser>
        <c:gapWidth val="160"/>
        <c:axId val="118236672"/>
        <c:axId val="118238208"/>
      </c:barChart>
      <c:catAx>
        <c:axId val="118236672"/>
        <c:scaling>
          <c:orientation val="minMax"/>
        </c:scaling>
        <c:axPos val="b"/>
        <c:numFmt formatCode="General" sourceLinked="1"/>
        <c:tickLblPos val="low"/>
        <c:txPr>
          <a:bodyPr rot="-5400000" vert="horz"/>
          <a:lstStyle/>
          <a:p>
            <a:pPr>
              <a:defRPr sz="900" b="1"/>
            </a:pPr>
            <a:endParaRPr lang="ru-RU"/>
          </a:p>
        </c:txPr>
        <c:crossAx val="118238208"/>
        <c:crosses val="autoZero"/>
        <c:lblAlgn val="ctr"/>
        <c:lblOffset val="160"/>
        <c:tickLblSkip val="1"/>
        <c:tickMarkSkip val="1"/>
      </c:catAx>
      <c:valAx>
        <c:axId val="118238208"/>
        <c:scaling>
          <c:orientation val="minMax"/>
        </c:scaling>
        <c:axPos val="l"/>
        <c:title>
          <c:tx>
            <c:rich>
              <a:bodyPr rot="0" vert="horz"/>
              <a:lstStyle/>
              <a:p>
                <a:pPr algn="ctr">
                  <a:defRPr sz="1447" b="0" i="0" u="none" strike="noStrike" baseline="0">
                    <a:solidFill>
                      <a:srgbClr val="000000"/>
                    </a:solidFill>
                    <a:latin typeface="Times New Roman"/>
                    <a:ea typeface="Times New Roman"/>
                    <a:cs typeface="Times New Roman"/>
                  </a:defRPr>
                </a:pPr>
                <a:r>
                  <a:rPr lang="ru-RU" sz="905" b="1" i="0" strike="noStrike">
                    <a:solidFill>
                      <a:srgbClr val="000000"/>
                    </a:solidFill>
                    <a:latin typeface="Times New Roman"/>
                    <a:cs typeface="Times New Roman"/>
                  </a:rPr>
                  <a:t>*-удельный</a:t>
                </a:r>
              </a:p>
              <a:p>
                <a:pPr algn="ctr">
                  <a:defRPr sz="1447" b="0" i="0" u="none" strike="noStrike" baseline="0">
                    <a:solidFill>
                      <a:srgbClr val="000000"/>
                    </a:solidFill>
                    <a:latin typeface="Times New Roman"/>
                    <a:ea typeface="Times New Roman"/>
                    <a:cs typeface="Times New Roman"/>
                  </a:defRPr>
                </a:pPr>
                <a:r>
                  <a:rPr lang="ru-RU" sz="905" b="1" i="0" strike="noStrike">
                    <a:solidFill>
                      <a:srgbClr val="000000"/>
                    </a:solidFill>
                    <a:latin typeface="Times New Roman"/>
                    <a:cs typeface="Times New Roman"/>
                  </a:rPr>
                  <a:t> вес в общем </a:t>
                </a:r>
              </a:p>
              <a:p>
                <a:pPr algn="ctr">
                  <a:defRPr sz="1447" b="0" i="0" u="none" strike="noStrike" baseline="0">
                    <a:solidFill>
                      <a:srgbClr val="000000"/>
                    </a:solidFill>
                    <a:latin typeface="Times New Roman"/>
                    <a:ea typeface="Times New Roman"/>
                    <a:cs typeface="Times New Roman"/>
                  </a:defRPr>
                </a:pPr>
                <a:r>
                  <a:rPr lang="ru-RU" sz="905" b="1" i="0" strike="noStrike">
                    <a:solidFill>
                      <a:srgbClr val="000000"/>
                    </a:solidFill>
                    <a:latin typeface="Times New Roman"/>
                    <a:cs typeface="Times New Roman"/>
                  </a:rPr>
                  <a:t>объеме импорта,%</a:t>
                </a:r>
              </a:p>
            </c:rich>
          </c:tx>
          <c:layout>
            <c:manualLayout>
              <c:xMode val="edge"/>
              <c:yMode val="edge"/>
              <c:x val="0.81176168643476565"/>
              <c:y val="0.10976144176310515"/>
            </c:manualLayout>
          </c:layout>
          <c:spPr>
            <a:noFill/>
            <a:ln w="28727">
              <a:noFill/>
            </a:ln>
          </c:spPr>
        </c:title>
        <c:numFmt formatCode="0.0" sourceLinked="1"/>
        <c:tickLblPos val="nextTo"/>
        <c:txPr>
          <a:bodyPr rot="0" vert="horz"/>
          <a:lstStyle/>
          <a:p>
            <a:pPr>
              <a:defRPr b="1"/>
            </a:pPr>
            <a:endParaRPr lang="ru-RU"/>
          </a:p>
        </c:txPr>
        <c:crossAx val="118236672"/>
        <c:crosses val="autoZero"/>
        <c:crossBetween val="between"/>
      </c:valAx>
    </c:plotArea>
    <c:legend>
      <c:legendPos val="r"/>
      <c:layout>
        <c:manualLayout>
          <c:xMode val="edge"/>
          <c:yMode val="edge"/>
          <c:x val="5.2742616033757454E-2"/>
          <c:y val="0.93581084415730087"/>
          <c:w val="0.86241569487360004"/>
          <c:h val="6.4188707180833193E-2"/>
        </c:manualLayout>
      </c:layout>
      <c:txPr>
        <a:bodyPr/>
        <a:lstStyle/>
        <a:p>
          <a:pPr>
            <a:defRPr sz="100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style val="30"/>
  <c:chart>
    <c:view3D>
      <c:rotX val="0"/>
      <c:rotY val="0"/>
      <c:perspective val="30"/>
    </c:view3D>
    <c:floor>
      <c:spPr>
        <a:effectLst/>
      </c:spPr>
    </c:floor>
    <c:plotArea>
      <c:layout>
        <c:manualLayout>
          <c:layoutTarget val="inner"/>
          <c:xMode val="edge"/>
          <c:yMode val="edge"/>
          <c:x val="0.31480805906456516"/>
          <c:y val="4.2124542124542107E-2"/>
          <c:w val="0.65161879944863565"/>
          <c:h val="0.72187418880332266"/>
        </c:manualLayout>
      </c:layout>
      <c:bar3DChart>
        <c:barDir val="col"/>
        <c:grouping val="clustered"/>
        <c:ser>
          <c:idx val="0"/>
          <c:order val="0"/>
          <c:tx>
            <c:strRef>
              <c:f>Лист1!$B$1</c:f>
              <c:strCache>
                <c:ptCount val="1"/>
                <c:pt idx="0">
                  <c:v>в текущих ценах</c:v>
                </c:pt>
              </c:strCache>
            </c:strRef>
          </c:tx>
          <c:spPr>
            <a:blipFill>
              <a:blip xmlns:r="http://schemas.openxmlformats.org/officeDocument/2006/relationships" r:embed="rId1"/>
              <a:tile tx="0" ty="0" sx="100000" sy="100000" flip="none" algn="tl"/>
            </a:blipFill>
          </c:spPr>
          <c:dLbls>
            <c:dLbl>
              <c:idx val="0"/>
              <c:tx>
                <c:rich>
                  <a:bodyPr/>
                  <a:lstStyle/>
                  <a:p>
                    <a:r>
                      <a:rPr lang="ru-RU"/>
                      <a:t>-1,6*</a:t>
                    </a:r>
                    <a:endParaRPr lang="en-US"/>
                  </a:p>
                </c:rich>
              </c:tx>
              <c:showVal val="1"/>
            </c:dLbl>
            <c:dLbl>
              <c:idx val="1"/>
              <c:layout>
                <c:manualLayout>
                  <c:x val="5.5528133610165224E-3"/>
                  <c:y val="2.1885370055615864E-2"/>
                </c:manualLayout>
              </c:layout>
              <c:tx>
                <c:rich>
                  <a:bodyPr/>
                  <a:lstStyle/>
                  <a:p>
                    <a:r>
                      <a:rPr lang="ru-RU"/>
                      <a:t>+1,5*</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январь-декабрь 2015 года</c:v>
                </c:pt>
                <c:pt idx="1">
                  <c:v>январь-декабрь 2016 года</c:v>
                </c:pt>
              </c:strCache>
            </c:strRef>
          </c:cat>
          <c:val>
            <c:numRef>
              <c:f>Лист1!$B$2:$B$3</c:f>
              <c:numCache>
                <c:formatCode>0.0</c:formatCode>
                <c:ptCount val="2"/>
                <c:pt idx="0">
                  <c:v>98.4</c:v>
                </c:pt>
                <c:pt idx="1">
                  <c:v>101.5</c:v>
                </c:pt>
              </c:numCache>
            </c:numRef>
          </c:val>
        </c:ser>
        <c:ser>
          <c:idx val="1"/>
          <c:order val="1"/>
          <c:tx>
            <c:strRef>
              <c:f>Лист1!$C$1</c:f>
              <c:strCache>
                <c:ptCount val="1"/>
                <c:pt idx="0">
                  <c:v>в сопоставимых ценах</c:v>
                </c:pt>
              </c:strCache>
            </c:strRef>
          </c:tx>
          <c:spPr>
            <a:blipFill>
              <a:blip xmlns:r="http://schemas.openxmlformats.org/officeDocument/2006/relationships" r:embed="rId2"/>
              <a:tile tx="0" ty="0" sx="100000" sy="100000" flip="none" algn="tl"/>
            </a:blipFill>
          </c:spPr>
          <c:dLbls>
            <c:dLbl>
              <c:idx val="0"/>
              <c:layout>
                <c:manualLayout>
                  <c:x val="1.0824600162389775E-2"/>
                  <c:y val="-4.5784661532694082E-3"/>
                </c:manualLayout>
              </c:layout>
              <c:tx>
                <c:rich>
                  <a:bodyPr/>
                  <a:lstStyle/>
                  <a:p>
                    <a:r>
                      <a:rPr lang="ru-RU"/>
                      <a:t>-8,6*</a:t>
                    </a:r>
                    <a:endParaRPr lang="en-US"/>
                  </a:p>
                </c:rich>
              </c:tx>
              <c:showVal val="1"/>
            </c:dLbl>
            <c:dLbl>
              <c:idx val="1"/>
              <c:layout>
                <c:manualLayout>
                  <c:x val="-8.2546149393018659E-3"/>
                  <c:y val="2.2725727565992601E-2"/>
                </c:manualLayout>
              </c:layout>
              <c:tx>
                <c:rich>
                  <a:bodyPr/>
                  <a:lstStyle/>
                  <a:p>
                    <a:r>
                      <a:rPr lang="ru-RU"/>
                      <a:t>+1,0*</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январь-декабрь 2015 года</c:v>
                </c:pt>
                <c:pt idx="1">
                  <c:v>январь-декабрь 2016 года</c:v>
                </c:pt>
              </c:strCache>
            </c:strRef>
          </c:cat>
          <c:val>
            <c:numRef>
              <c:f>Лист1!$C$2:$C$3</c:f>
              <c:numCache>
                <c:formatCode>0.0</c:formatCode>
                <c:ptCount val="2"/>
                <c:pt idx="0">
                  <c:v>91.4</c:v>
                </c:pt>
                <c:pt idx="1">
                  <c:v>97.2</c:v>
                </c:pt>
              </c:numCache>
            </c:numRef>
          </c:val>
        </c:ser>
        <c:dLbls>
          <c:showVal val="1"/>
        </c:dLbls>
        <c:shape val="cylinder"/>
        <c:axId val="156732800"/>
        <c:axId val="157361280"/>
        <c:axId val="0"/>
      </c:bar3DChart>
      <c:catAx>
        <c:axId val="156732800"/>
        <c:scaling>
          <c:orientation val="minMax"/>
        </c:scaling>
        <c:axPos val="b"/>
        <c:tickLblPos val="nextTo"/>
        <c:spPr>
          <a:noFill/>
        </c:spPr>
        <c:txPr>
          <a:bodyPr/>
          <a:lstStyle/>
          <a:p>
            <a:pPr>
              <a:defRPr b="1">
                <a:latin typeface="Times New Roman" pitchFamily="18" charset="0"/>
                <a:cs typeface="Times New Roman" pitchFamily="18" charset="0"/>
              </a:defRPr>
            </a:pPr>
            <a:endParaRPr lang="ru-RU"/>
          </a:p>
        </c:txPr>
        <c:crossAx val="157361280"/>
        <c:crosses val="autoZero"/>
        <c:auto val="1"/>
        <c:lblAlgn val="ctr"/>
        <c:lblOffset val="100"/>
      </c:catAx>
      <c:valAx>
        <c:axId val="157361280"/>
        <c:scaling>
          <c:orientation val="minMax"/>
          <c:max val="115"/>
        </c:scaling>
        <c:axPos val="l"/>
        <c:title>
          <c:tx>
            <c:rich>
              <a:bodyPr rot="0" vert="horz"/>
              <a:lstStyle/>
              <a:p>
                <a:pPr>
                  <a:defRPr sz="800">
                    <a:latin typeface="Times New Roman" pitchFamily="18" charset="0"/>
                    <a:cs typeface="Times New Roman" pitchFamily="18" charset="0"/>
                  </a:defRPr>
                </a:pPr>
                <a:r>
                  <a:rPr lang="ru-RU" sz="800">
                    <a:latin typeface="Times New Roman" pitchFamily="18" charset="0"/>
                    <a:cs typeface="Times New Roman" pitchFamily="18" charset="0"/>
                  </a:rPr>
                  <a:t>*-темп прироста (спада),%</a:t>
                </a:r>
              </a:p>
            </c:rich>
          </c:tx>
        </c:title>
        <c:numFmt formatCode="0.0" sourceLinked="1"/>
        <c:tickLblPos val="nextTo"/>
        <c:txPr>
          <a:bodyPr/>
          <a:lstStyle/>
          <a:p>
            <a:pPr>
              <a:defRPr b="1">
                <a:latin typeface="Times New Roman" pitchFamily="18" charset="0"/>
                <a:cs typeface="Times New Roman" pitchFamily="18" charset="0"/>
              </a:defRPr>
            </a:pPr>
            <a:endParaRPr lang="ru-RU"/>
          </a:p>
        </c:txPr>
        <c:crossAx val="156732800"/>
        <c:crosses val="autoZero"/>
        <c:crossBetween val="between"/>
      </c:valAx>
    </c:plotArea>
    <c:legend>
      <c:legendPos val="b"/>
      <c:layout>
        <c:manualLayout>
          <c:xMode val="edge"/>
          <c:yMode val="edge"/>
          <c:x val="0.11574893344517502"/>
          <c:y val="0.86162261895481795"/>
          <c:w val="0.84266940859196771"/>
          <c:h val="9.6283809594223252E-2"/>
        </c:manualLayout>
      </c:layout>
      <c:txPr>
        <a:bodyPr/>
        <a:lstStyle/>
        <a:p>
          <a:pPr>
            <a:defRPr b="1">
              <a:latin typeface="Times New Roman" pitchFamily="18" charset="0"/>
              <a:cs typeface="Times New Roman" pitchFamily="18" charset="0"/>
            </a:defRPr>
          </a:pPr>
          <a:endParaRPr lang="ru-RU"/>
        </a:p>
      </c:txPr>
    </c:legend>
    <c:plotVisOnly val="1"/>
  </c:chart>
  <c:spPr>
    <a:ln>
      <a:noFill/>
    </a:ln>
  </c:spPr>
  <c:externalData r:id="rId3"/>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a:t>январь-декабрь 2015 года</a:t>
            </a:r>
          </a:p>
        </c:rich>
      </c:tx>
    </c:title>
    <c:view3D>
      <c:rotX val="30"/>
      <c:perspective val="30"/>
    </c:view3D>
    <c:plotArea>
      <c:layout>
        <c:manualLayout>
          <c:layoutTarget val="inner"/>
          <c:xMode val="edge"/>
          <c:yMode val="edge"/>
          <c:x val="0.26402272500748447"/>
          <c:y val="0.20414624228309491"/>
          <c:w val="0.50267483969568794"/>
          <c:h val="0.42947716042536938"/>
        </c:manualLayout>
      </c:layout>
      <c:pie3DChart>
        <c:varyColors val="1"/>
        <c:ser>
          <c:idx val="0"/>
          <c:order val="0"/>
          <c:tx>
            <c:strRef>
              <c:f>Лист1!$B$1</c:f>
              <c:strCache>
                <c:ptCount val="1"/>
                <c:pt idx="0">
                  <c:v>январь-декабрь 2014 года</c:v>
                </c:pt>
              </c:strCache>
            </c:strRef>
          </c:tx>
          <c:spPr>
            <a:solidFill>
              <a:srgbClr val="7030A0"/>
            </a:solidFill>
          </c:spPr>
          <c:dPt>
            <c:idx val="0"/>
            <c:explosion val="11"/>
          </c:dPt>
          <c:dPt>
            <c:idx val="1"/>
            <c:spPr>
              <a:solidFill>
                <a:schemeClr val="accent2">
                  <a:lumMod val="60000"/>
                  <a:lumOff val="40000"/>
                </a:schemeClr>
              </a:solidFill>
            </c:spPr>
          </c:dPt>
          <c:dLbls>
            <c:dLbl>
              <c:idx val="0"/>
              <c:layout>
                <c:manualLayout>
                  <c:x val="0.13895393990577676"/>
                  <c:y val="0.21407154814309629"/>
                </c:manualLayout>
              </c:layout>
              <c:tx>
                <c:rich>
                  <a:bodyPr/>
                  <a:lstStyle/>
                  <a:p>
                    <a:r>
                      <a:rPr lang="en-US"/>
                      <a:t>5</a:t>
                    </a:r>
                    <a:r>
                      <a:rPr lang="ru-RU"/>
                      <a:t>3</a:t>
                    </a:r>
                    <a:r>
                      <a:rPr lang="en-US"/>
                      <a:t>,</a:t>
                    </a:r>
                    <a:r>
                      <a:rPr lang="ru-RU"/>
                      <a:t>6</a:t>
                    </a:r>
                    <a:endParaRPr lang="en-US"/>
                  </a:p>
                </c:rich>
              </c:tx>
              <c:dLblPos val="bestFit"/>
              <c:showVal val="1"/>
            </c:dLbl>
            <c:dLbl>
              <c:idx val="1"/>
              <c:layout>
                <c:manualLayout>
                  <c:x val="-0.18222655157796169"/>
                  <c:y val="-0.15929733192799972"/>
                </c:manualLayout>
              </c:layout>
              <c:tx>
                <c:rich>
                  <a:bodyPr/>
                  <a:lstStyle/>
                  <a:p>
                    <a:r>
                      <a:rPr lang="en-US"/>
                      <a:t>4</a:t>
                    </a:r>
                    <a:r>
                      <a:rPr lang="ru-RU"/>
                      <a:t>6,4</a:t>
                    </a:r>
                    <a:endParaRPr lang="en-US"/>
                  </a:p>
                </c:rich>
              </c:tx>
              <c:dLblPos val="bestFit"/>
              <c:showVal val="1"/>
            </c:dLbl>
            <c:txPr>
              <a:bodyPr/>
              <a:lstStyle/>
              <a:p>
                <a:pPr>
                  <a:defRPr sz="900" b="1"/>
                </a:pPr>
                <a:endParaRPr lang="ru-RU"/>
              </a:p>
            </c:txPr>
            <c:showVal val="1"/>
            <c:showLeaderLines val="1"/>
          </c:dLbls>
          <c:cat>
            <c:strRef>
              <c:f>Лист1!$A$2:$A$3</c:f>
              <c:strCache>
                <c:ptCount val="2"/>
                <c:pt idx="0">
                  <c:v>Государственные организации</c:v>
                </c:pt>
                <c:pt idx="1">
                  <c:v>Негосударственные организации</c:v>
                </c:pt>
              </c:strCache>
            </c:strRef>
          </c:cat>
          <c:val>
            <c:numRef>
              <c:f>Лист1!$B$2:$B$3</c:f>
              <c:numCache>
                <c:formatCode>0.0</c:formatCode>
                <c:ptCount val="2"/>
                <c:pt idx="0">
                  <c:v>50.2</c:v>
                </c:pt>
                <c:pt idx="1">
                  <c:v>49.8</c:v>
                </c:pt>
              </c:numCache>
            </c:numRef>
          </c:val>
        </c:ser>
      </c:pie3DChart>
      <c:spPr>
        <a:noFill/>
        <a:ln w="25395">
          <a:noFill/>
        </a:ln>
      </c:spPr>
    </c:plotArea>
    <c:legend>
      <c:legendPos val="b"/>
      <c:layout>
        <c:manualLayout>
          <c:xMode val="edge"/>
          <c:yMode val="edge"/>
          <c:x val="9.971934880689122E-2"/>
          <c:y val="0.77528680709783071"/>
          <c:w val="0.70754670372085826"/>
          <c:h val="0.20299436929358192"/>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a:t>январь-декабрь 2016 года</a:t>
            </a:r>
          </a:p>
        </c:rich>
      </c:tx>
    </c:title>
    <c:view3D>
      <c:rotX val="30"/>
      <c:perspective val="30"/>
    </c:view3D>
    <c:plotArea>
      <c:layout>
        <c:manualLayout>
          <c:layoutTarget val="inner"/>
          <c:xMode val="edge"/>
          <c:yMode val="edge"/>
          <c:x val="0.26402272500748447"/>
          <c:y val="0.20414624228309491"/>
          <c:w val="0.50267483969568794"/>
          <c:h val="0.42947716042536938"/>
        </c:manualLayout>
      </c:layout>
      <c:pie3DChart>
        <c:varyColors val="1"/>
        <c:ser>
          <c:idx val="0"/>
          <c:order val="0"/>
          <c:tx>
            <c:strRef>
              <c:f>Лист1!$B$1</c:f>
              <c:strCache>
                <c:ptCount val="1"/>
                <c:pt idx="0">
                  <c:v>январь-декабрь 2014 года</c:v>
                </c:pt>
              </c:strCache>
            </c:strRef>
          </c:tx>
          <c:spPr>
            <a:solidFill>
              <a:srgbClr val="7030A0"/>
            </a:solidFill>
          </c:spPr>
          <c:dPt>
            <c:idx val="0"/>
            <c:explosion val="11"/>
          </c:dPt>
          <c:dPt>
            <c:idx val="1"/>
            <c:spPr>
              <a:solidFill>
                <a:schemeClr val="accent2">
                  <a:lumMod val="60000"/>
                  <a:lumOff val="40000"/>
                </a:schemeClr>
              </a:solidFill>
            </c:spPr>
          </c:dPt>
          <c:dLbls>
            <c:dLbl>
              <c:idx val="0"/>
              <c:layout>
                <c:manualLayout>
                  <c:x val="0.13895393990577676"/>
                  <c:y val="0.21407154814309629"/>
                </c:manualLayout>
              </c:layout>
              <c:tx>
                <c:rich>
                  <a:bodyPr/>
                  <a:lstStyle/>
                  <a:p>
                    <a:r>
                      <a:rPr lang="en-US"/>
                      <a:t>5</a:t>
                    </a:r>
                    <a:r>
                      <a:rPr lang="ru-RU"/>
                      <a:t>4</a:t>
                    </a:r>
                    <a:r>
                      <a:rPr lang="en-US"/>
                      <a:t>,</a:t>
                    </a:r>
                    <a:r>
                      <a:rPr lang="ru-RU"/>
                      <a:t>6</a:t>
                    </a:r>
                    <a:endParaRPr lang="en-US"/>
                  </a:p>
                </c:rich>
              </c:tx>
              <c:dLblPos val="bestFit"/>
              <c:showVal val="1"/>
            </c:dLbl>
            <c:dLbl>
              <c:idx val="1"/>
              <c:layout>
                <c:manualLayout>
                  <c:x val="-0.11808009803191002"/>
                  <c:y val="-0.1487986442639552"/>
                </c:manualLayout>
              </c:layout>
              <c:tx>
                <c:rich>
                  <a:bodyPr/>
                  <a:lstStyle/>
                  <a:p>
                    <a:r>
                      <a:rPr lang="en-US"/>
                      <a:t>4</a:t>
                    </a:r>
                    <a:r>
                      <a:rPr lang="ru-RU"/>
                      <a:t>5,4</a:t>
                    </a:r>
                    <a:endParaRPr lang="en-US"/>
                  </a:p>
                </c:rich>
              </c:tx>
              <c:dLblPos val="bestFit"/>
              <c:showVal val="1"/>
            </c:dLbl>
            <c:txPr>
              <a:bodyPr/>
              <a:lstStyle/>
              <a:p>
                <a:pPr>
                  <a:defRPr sz="900" b="1"/>
                </a:pPr>
                <a:endParaRPr lang="ru-RU"/>
              </a:p>
            </c:txPr>
            <c:showVal val="1"/>
            <c:showLeaderLines val="1"/>
          </c:dLbls>
          <c:cat>
            <c:strRef>
              <c:f>Лист1!$A$2:$A$3</c:f>
              <c:strCache>
                <c:ptCount val="2"/>
                <c:pt idx="0">
                  <c:v>Государственные организации</c:v>
                </c:pt>
                <c:pt idx="1">
                  <c:v>Негосударственные организации</c:v>
                </c:pt>
              </c:strCache>
            </c:strRef>
          </c:cat>
          <c:val>
            <c:numRef>
              <c:f>Лист1!$B$2:$B$3</c:f>
              <c:numCache>
                <c:formatCode>0.0</c:formatCode>
                <c:ptCount val="2"/>
                <c:pt idx="0">
                  <c:v>50.2</c:v>
                </c:pt>
                <c:pt idx="1">
                  <c:v>49.8</c:v>
                </c:pt>
              </c:numCache>
            </c:numRef>
          </c:val>
        </c:ser>
      </c:pie3DChart>
      <c:spPr>
        <a:noFill/>
        <a:ln w="25395">
          <a:noFill/>
        </a:ln>
      </c:spPr>
    </c:plotArea>
    <c:legend>
      <c:legendPos val="b"/>
      <c:layout>
        <c:manualLayout>
          <c:xMode val="edge"/>
          <c:yMode val="edge"/>
          <c:x val="9.971934880689122E-2"/>
          <c:y val="0.77528680709783071"/>
          <c:w val="0.7742133483314585"/>
          <c:h val="0.20299436929358192"/>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title>
      <c:tx>
        <c:rich>
          <a:bodyPr/>
          <a:lstStyle/>
          <a:p>
            <a:pPr>
              <a:defRPr sz="1200"/>
            </a:pPr>
            <a:r>
              <a:rPr lang="ru-RU" sz="1200"/>
              <a:t>Динамика основных составляющих инфляции,%</a:t>
            </a:r>
          </a:p>
        </c:rich>
      </c:tx>
      <c:layout>
        <c:manualLayout>
          <c:xMode val="edge"/>
          <c:yMode val="edge"/>
          <c:x val="0.26946996442635185"/>
          <c:y val="5.081339281691204E-3"/>
        </c:manualLayout>
      </c:layout>
    </c:title>
    <c:plotArea>
      <c:layout>
        <c:manualLayout>
          <c:layoutTarget val="inner"/>
          <c:xMode val="edge"/>
          <c:yMode val="edge"/>
          <c:x val="0.21997371357324674"/>
          <c:y val="0.14151553636440647"/>
          <c:w val="0.76544241901269194"/>
          <c:h val="0.45295525343069143"/>
        </c:manualLayout>
      </c:layout>
      <c:barChart>
        <c:barDir val="col"/>
        <c:grouping val="clustered"/>
        <c:ser>
          <c:idx val="0"/>
          <c:order val="0"/>
          <c:tx>
            <c:strRef>
              <c:f>Лист1!$B$1</c:f>
              <c:strCache>
                <c:ptCount val="1"/>
                <c:pt idx="0">
                  <c:v>январь-декабрь 2015 г. </c:v>
                </c:pt>
              </c:strCache>
            </c:strRef>
          </c:tx>
          <c:spPr>
            <a:solidFill>
              <a:schemeClr val="accent6">
                <a:lumMod val="75000"/>
              </a:schemeClr>
            </a:solidFill>
          </c:spPr>
          <c:dLbls>
            <c:dLbl>
              <c:idx val="0"/>
              <c:layout>
                <c:manualLayout>
                  <c:x val="6.9906515922805144E-4"/>
                  <c:y val="1.9472725145026296E-2"/>
                </c:manualLayout>
              </c:layout>
              <c:tx>
                <c:rich>
                  <a:bodyPr/>
                  <a:lstStyle/>
                  <a:p>
                    <a:r>
                      <a:rPr lang="ru-RU" b="1"/>
                      <a:t>-1,77*</a:t>
                    </a:r>
                    <a:endParaRPr lang="en-US" b="1"/>
                  </a:p>
                </c:rich>
              </c:tx>
              <c:dLblPos val="outEnd"/>
              <c:showVal val="1"/>
            </c:dLbl>
            <c:dLbl>
              <c:idx val="1"/>
              <c:layout>
                <c:manualLayout>
                  <c:x val="2.8049443895156092E-3"/>
                  <c:y val="1.5266966629171356E-2"/>
                </c:manualLayout>
              </c:layout>
              <c:tx>
                <c:rich>
                  <a:bodyPr/>
                  <a:lstStyle/>
                  <a:p>
                    <a:r>
                      <a:rPr lang="ru-RU" b="1"/>
                      <a:t>-4,60*</a:t>
                    </a:r>
                    <a:endParaRPr lang="en-US" b="1"/>
                  </a:p>
                </c:rich>
              </c:tx>
              <c:dLblPos val="outEnd"/>
              <c:showVal val="1"/>
            </c:dLbl>
            <c:dLbl>
              <c:idx val="2"/>
              <c:layout>
                <c:manualLayout>
                  <c:x val="1.2994668039377321E-3"/>
                  <c:y val="2.5121450727749989E-2"/>
                </c:manualLayout>
              </c:layout>
              <c:tx>
                <c:rich>
                  <a:bodyPr/>
                  <a:lstStyle/>
                  <a:p>
                    <a:r>
                      <a:rPr lang="ru-RU" b="1"/>
                      <a:t>-3,12*</a:t>
                    </a:r>
                    <a:endParaRPr lang="en-US" b="1"/>
                  </a:p>
                </c:rich>
              </c:tx>
              <c:dLblPos val="outEnd"/>
              <c:showVal val="1"/>
            </c:dLbl>
            <c:dLbl>
              <c:idx val="3"/>
              <c:layout>
                <c:manualLayout>
                  <c:x val="1.7365414069004457E-3"/>
                  <c:y val="2.1991410164638511E-2"/>
                </c:manualLayout>
              </c:layout>
              <c:tx>
                <c:rich>
                  <a:bodyPr/>
                  <a:lstStyle/>
                  <a:p>
                    <a:r>
                      <a:rPr lang="ru-RU" b="1"/>
                      <a:t>+5,92*</a:t>
                    </a:r>
                    <a:endParaRPr lang="en-US" b="1"/>
                  </a:p>
                </c:rich>
              </c:tx>
              <c:dLblPos val="outEnd"/>
              <c:showVal val="1"/>
            </c:dLbl>
            <c:dLblPos val="outEnd"/>
            <c:showVal val="1"/>
          </c:dLbls>
          <c:cat>
            <c:strRef>
              <c:f>Лист1!$A$2:$A$5</c:f>
              <c:strCache>
                <c:ptCount val="4"/>
                <c:pt idx="0">
                  <c:v>Сводный индекс потребительских цен  (инфляция)</c:v>
                </c:pt>
                <c:pt idx="1">
                  <c:v>Индекс цен на продовольствен    ные товары</c:v>
                </c:pt>
                <c:pt idx="2">
                  <c:v>Индекс цен на непродовольствен       ные товары</c:v>
                </c:pt>
                <c:pt idx="3">
                  <c:v>Индекс  тарифов на услуги</c:v>
                </c:pt>
              </c:strCache>
            </c:strRef>
          </c:cat>
          <c:val>
            <c:numRef>
              <c:f>Лист1!$B$2:$B$5</c:f>
              <c:numCache>
                <c:formatCode>0.00</c:formatCode>
                <c:ptCount val="4"/>
                <c:pt idx="0">
                  <c:v>98.23</c:v>
                </c:pt>
                <c:pt idx="1">
                  <c:v>95.4</c:v>
                </c:pt>
                <c:pt idx="2">
                  <c:v>96.88</c:v>
                </c:pt>
                <c:pt idx="3">
                  <c:v>105.92</c:v>
                </c:pt>
              </c:numCache>
            </c:numRef>
          </c:val>
        </c:ser>
        <c:ser>
          <c:idx val="1"/>
          <c:order val="1"/>
          <c:tx>
            <c:strRef>
              <c:f>Лист1!$C$1</c:f>
              <c:strCache>
                <c:ptCount val="1"/>
                <c:pt idx="0">
                  <c:v>январь-декабрь 2016 г. </c:v>
                </c:pt>
              </c:strCache>
            </c:strRef>
          </c:tx>
          <c:spPr>
            <a:solidFill>
              <a:schemeClr val="accent5">
                <a:lumMod val="60000"/>
                <a:lumOff val="40000"/>
              </a:schemeClr>
            </a:solidFill>
          </c:spPr>
          <c:dLbls>
            <c:dLbl>
              <c:idx val="0"/>
              <c:layout>
                <c:manualLayout>
                  <c:x val="3.5867792366554309E-3"/>
                  <c:y val="2.7515739454136889E-2"/>
                </c:manualLayout>
              </c:layout>
              <c:tx>
                <c:rich>
                  <a:bodyPr/>
                  <a:lstStyle/>
                  <a:p>
                    <a:r>
                      <a:rPr lang="ru-RU" b="1"/>
                      <a:t>+4,44*</a:t>
                    </a:r>
                    <a:endParaRPr lang="en-US" b="1"/>
                  </a:p>
                </c:rich>
              </c:tx>
              <c:dLblPos val="outEnd"/>
              <c:showVal val="1"/>
            </c:dLbl>
            <c:dLbl>
              <c:idx val="1"/>
              <c:layout>
                <c:manualLayout>
                  <c:x val="3.3731773565667889E-3"/>
                  <c:y val="2.5444736074657442E-2"/>
                </c:manualLayout>
              </c:layout>
              <c:tx>
                <c:rich>
                  <a:bodyPr/>
                  <a:lstStyle/>
                  <a:p>
                    <a:r>
                      <a:rPr lang="ru-RU" b="1"/>
                      <a:t>+3,80*</a:t>
                    </a:r>
                    <a:endParaRPr lang="en-US" b="1"/>
                  </a:p>
                </c:rich>
              </c:tx>
              <c:dLblPos val="outEnd"/>
              <c:showVal val="1"/>
            </c:dLbl>
            <c:dLbl>
              <c:idx val="2"/>
              <c:layout>
                <c:manualLayout>
                  <c:x val="3.7334845856132823E-3"/>
                  <c:y val="2.9067525650202798E-2"/>
                </c:manualLayout>
              </c:layout>
              <c:tx>
                <c:rich>
                  <a:bodyPr/>
                  <a:lstStyle/>
                  <a:p>
                    <a:r>
                      <a:rPr lang="ru-RU" b="1"/>
                      <a:t>+6,88*</a:t>
                    </a:r>
                    <a:endParaRPr lang="en-US" b="1"/>
                  </a:p>
                </c:rich>
              </c:tx>
              <c:dLblPos val="outEnd"/>
              <c:showVal val="1"/>
            </c:dLbl>
            <c:dLbl>
              <c:idx val="3"/>
              <c:layout>
                <c:manualLayout>
                  <c:x val="4.0777741765330184E-3"/>
                  <c:y val="3.4111667859699692E-2"/>
                </c:manualLayout>
              </c:layout>
              <c:tx>
                <c:rich>
                  <a:bodyPr/>
                  <a:lstStyle/>
                  <a:p>
                    <a:r>
                      <a:rPr lang="ru-RU" b="1"/>
                      <a:t> +1,48*</a:t>
                    </a:r>
                    <a:endParaRPr lang="en-US" b="1"/>
                  </a:p>
                </c:rich>
              </c:tx>
              <c:dLblPos val="outEnd"/>
              <c:showVal val="1"/>
            </c:dLbl>
            <c:dLblPos val="outEnd"/>
            <c:showVal val="1"/>
          </c:dLbls>
          <c:cat>
            <c:strRef>
              <c:f>Лист1!$A$2:$A$5</c:f>
              <c:strCache>
                <c:ptCount val="4"/>
                <c:pt idx="0">
                  <c:v>Сводный индекс потребительских цен  (инфляция)</c:v>
                </c:pt>
                <c:pt idx="1">
                  <c:v>Индекс цен на продовольствен    ные товары</c:v>
                </c:pt>
                <c:pt idx="2">
                  <c:v>Индекс цен на непродовольствен       ные товары</c:v>
                </c:pt>
                <c:pt idx="3">
                  <c:v>Индекс  тарифов на услуги</c:v>
                </c:pt>
              </c:strCache>
            </c:strRef>
          </c:cat>
          <c:val>
            <c:numRef>
              <c:f>Лист1!$C$2:$C$5</c:f>
              <c:numCache>
                <c:formatCode>0.00</c:formatCode>
                <c:ptCount val="4"/>
                <c:pt idx="0">
                  <c:v>104.44000000000032</c:v>
                </c:pt>
                <c:pt idx="1">
                  <c:v>103.8</c:v>
                </c:pt>
                <c:pt idx="2">
                  <c:v>106.88</c:v>
                </c:pt>
                <c:pt idx="3">
                  <c:v>101.48</c:v>
                </c:pt>
              </c:numCache>
            </c:numRef>
          </c:val>
        </c:ser>
        <c:axId val="157868032"/>
        <c:axId val="157869568"/>
      </c:barChart>
      <c:catAx>
        <c:axId val="157868032"/>
        <c:scaling>
          <c:orientation val="minMax"/>
        </c:scaling>
        <c:axPos val="b"/>
        <c:tickLblPos val="nextTo"/>
        <c:crossAx val="157869568"/>
        <c:crosses val="autoZero"/>
        <c:auto val="1"/>
        <c:lblAlgn val="ctr"/>
        <c:lblOffset val="100"/>
      </c:catAx>
      <c:valAx>
        <c:axId val="157869568"/>
        <c:scaling>
          <c:orientation val="minMax"/>
        </c:scaling>
        <c:axPos val="l"/>
        <c:title>
          <c:tx>
            <c:rich>
              <a:bodyPr rot="0" vert="horz"/>
              <a:lstStyle/>
              <a:p>
                <a:pPr>
                  <a:defRPr/>
                </a:pPr>
                <a:r>
                  <a:rPr lang="ru-RU"/>
                  <a:t>* - прирост (снижение)  индекса цен,%</a:t>
                </a:r>
              </a:p>
            </c:rich>
          </c:tx>
          <c:layout>
            <c:manualLayout>
              <c:xMode val="edge"/>
              <c:yMode val="edge"/>
              <c:x val="1.5826493700390326E-2"/>
              <c:y val="0.61384520483326765"/>
            </c:manualLayout>
          </c:layout>
        </c:title>
        <c:numFmt formatCode="0.00" sourceLinked="1"/>
        <c:tickLblPos val="nextTo"/>
        <c:crossAx val="157868032"/>
        <c:crosses val="autoZero"/>
        <c:crossBetween val="between"/>
        <c:minorUnit val="4"/>
      </c:valAx>
      <c:dTable>
        <c:showHorzBorder val="1"/>
        <c:showVertBorder val="1"/>
        <c:showOutline val="1"/>
        <c:showKeys val="1"/>
        <c:txPr>
          <a:bodyPr/>
          <a:lstStyle/>
          <a:p>
            <a:pPr rtl="0">
              <a:defRPr b="1"/>
            </a:pPr>
            <a:endParaRPr lang="ru-RU"/>
          </a:p>
        </c:txPr>
      </c:dTable>
      <c:spPr>
        <a:noFill/>
        <a:ln w="25400">
          <a:noFill/>
        </a:ln>
      </c:spPr>
    </c:plotArea>
    <c:plotVisOnly val="1"/>
  </c:chart>
  <c:spPr>
    <a:noFill/>
    <a:ln>
      <a:noFill/>
    </a:ln>
  </c:spPr>
  <c:txPr>
    <a:bodyPr/>
    <a:lstStyle/>
    <a:p>
      <a:pPr>
        <a:defRPr sz="800">
          <a:latin typeface="Times New Roman" pitchFamily="18" charset="0"/>
          <a:cs typeface="Times New Roman" pitchFamily="18" charset="0"/>
        </a:defRPr>
      </a:pPr>
      <a:endParaRPr lang="ru-RU"/>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200"/>
            </a:pPr>
            <a:r>
              <a:rPr lang="ru-RU" sz="1200"/>
              <a:t>Сводный индекс потребительских цен (инфляция) в ПМР </a:t>
            </a:r>
          </a:p>
          <a:p>
            <a:pPr>
              <a:defRPr sz="1200"/>
            </a:pPr>
            <a:r>
              <a:rPr lang="ru-RU" sz="1200"/>
              <a:t>в январе-декабре, %</a:t>
            </a:r>
          </a:p>
        </c:rich>
      </c:tx>
      <c:layout>
        <c:manualLayout>
          <c:xMode val="edge"/>
          <c:yMode val="edge"/>
          <c:x val="0.21013093514921499"/>
          <c:y val="3.0392811068108002E-3"/>
        </c:manualLayout>
      </c:layout>
      <c:spPr>
        <a:ln>
          <a:noFill/>
        </a:ln>
      </c:spPr>
    </c:title>
    <c:view3D>
      <c:rotX val="10"/>
      <c:perspective val="0"/>
    </c:view3D>
    <c:sideWall>
      <c:spPr>
        <a:noFill/>
        <a:ln w="25400">
          <a:noFill/>
        </a:ln>
      </c:spPr>
    </c:sideWall>
    <c:backWall>
      <c:spPr>
        <a:noFill/>
        <a:ln w="25400">
          <a:noFill/>
        </a:ln>
      </c:spPr>
    </c:backWall>
    <c:plotArea>
      <c:layout>
        <c:manualLayout>
          <c:layoutTarget val="inner"/>
          <c:xMode val="edge"/>
          <c:yMode val="edge"/>
          <c:x val="0.10390138452424388"/>
          <c:y val="3.6938850728765404E-2"/>
          <c:w val="0.89575697732319781"/>
          <c:h val="0.70537559960177465"/>
        </c:manualLayout>
      </c:layout>
      <c:bar3DChart>
        <c:barDir val="col"/>
        <c:grouping val="standard"/>
        <c:ser>
          <c:idx val="0"/>
          <c:order val="0"/>
          <c:tx>
            <c:strRef>
              <c:f>Лист1!$B$1</c:f>
              <c:strCache>
                <c:ptCount val="1"/>
                <c:pt idx="0">
                  <c:v>Столбец3</c:v>
                </c:pt>
              </c:strCache>
            </c:strRef>
          </c:tx>
          <c:spPr>
            <a:solidFill>
              <a:srgbClr val="00B0F0"/>
            </a:solidFill>
          </c:spPr>
          <c:dPt>
            <c:idx val="9"/>
            <c:spPr>
              <a:solidFill>
                <a:schemeClr val="accent3">
                  <a:lumMod val="40000"/>
                  <a:lumOff val="60000"/>
                </a:schemeClr>
              </a:solidFill>
            </c:spPr>
          </c:dPt>
          <c:dLbls>
            <c:dLbl>
              <c:idx val="0"/>
              <c:layout>
                <c:manualLayout>
                  <c:x val="8.0730126822665445E-3"/>
                  <c:y val="2.1871452085831612E-2"/>
                </c:manualLayout>
              </c:layout>
              <c:showVal val="1"/>
            </c:dLbl>
            <c:dLbl>
              <c:idx val="1"/>
              <c:layout>
                <c:manualLayout>
                  <c:x val="1.2595555780608222E-2"/>
                  <c:y val="2.2258208290001486E-2"/>
                </c:manualLayout>
              </c:layout>
              <c:showVal val="1"/>
            </c:dLbl>
            <c:dLbl>
              <c:idx val="2"/>
              <c:layout>
                <c:manualLayout>
                  <c:x val="8.2391067676026025E-3"/>
                  <c:y val="2.1835784677858672E-2"/>
                </c:manualLayout>
              </c:layout>
              <c:showVal val="1"/>
            </c:dLbl>
            <c:dLbl>
              <c:idx val="3"/>
              <c:layout>
                <c:manualLayout>
                  <c:x val="8.2284730485859704E-3"/>
                  <c:y val="2.2497895310256092E-2"/>
                </c:manualLayout>
              </c:layout>
              <c:showVal val="1"/>
            </c:dLbl>
            <c:dLbl>
              <c:idx val="4"/>
              <c:layout>
                <c:manualLayout>
                  <c:x val="8.2836671139580268E-3"/>
                  <c:y val="1.8876838508393997E-2"/>
                </c:manualLayout>
              </c:layout>
              <c:showVal val="1"/>
            </c:dLbl>
            <c:dLbl>
              <c:idx val="5"/>
              <c:layout>
                <c:manualLayout>
                  <c:x val="8.1930273185305217E-3"/>
                  <c:y val="2.0581389590452141E-2"/>
                </c:manualLayout>
              </c:layout>
              <c:showVal val="1"/>
            </c:dLbl>
            <c:dLbl>
              <c:idx val="6"/>
              <c:layout>
                <c:manualLayout>
                  <c:x val="1.0376484289946081E-2"/>
                  <c:y val="2.036993017382261E-2"/>
                </c:manualLayout>
              </c:layout>
              <c:showVal val="1"/>
            </c:dLbl>
            <c:dLbl>
              <c:idx val="7"/>
              <c:layout>
                <c:manualLayout>
                  <c:x val="5.9815245993547934E-3"/>
                  <c:y val="2.1867470209342182E-2"/>
                </c:manualLayout>
              </c:layout>
              <c:showVal val="1"/>
            </c:dLbl>
            <c:dLbl>
              <c:idx val="8"/>
              <c:layout>
                <c:manualLayout>
                  <c:x val="1.0398764463123778E-2"/>
                  <c:y val="2.1085029465656456E-2"/>
                </c:manualLayout>
              </c:layout>
              <c:showVal val="1"/>
            </c:dLbl>
            <c:dLbl>
              <c:idx val="9"/>
              <c:layout>
                <c:manualLayout>
                  <c:x val="8.211256551130466E-3"/>
                  <c:y val="2.1875897588275583E-2"/>
                </c:manualLayout>
              </c:layout>
              <c:showVal val="1"/>
            </c:dLbl>
            <c:dLbl>
              <c:idx val="10"/>
              <c:layout>
                <c:manualLayout>
                  <c:x val="1.0008692643323122E-2"/>
                  <c:y val="2.2046253652255841E-2"/>
                </c:manualLayout>
              </c:layout>
              <c:showVal val="1"/>
            </c:dLbl>
            <c:dLbl>
              <c:idx val="11"/>
              <c:layout>
                <c:manualLayout>
                  <c:x val="1.056333641425034E-2"/>
                  <c:y val="1.6391394567625457E-2"/>
                </c:manualLayout>
              </c:layout>
              <c:showVal val="1"/>
            </c:dLbl>
            <c:txPr>
              <a:bodyPr/>
              <a:lstStyle/>
              <a:p>
                <a:pPr>
                  <a:defRPr sz="800" b="1"/>
                </a:pPr>
                <a:endParaRPr lang="ru-RU"/>
              </a:p>
            </c:txPr>
            <c:showVal val="1"/>
          </c:dLbls>
          <c:cat>
            <c:strRef>
              <c:f>Лист1!$A$2:$A$14</c:f>
              <c:strCache>
                <c:ptCount val="11"/>
                <c:pt idx="0">
                  <c:v>2006 г.</c:v>
                </c:pt>
                <c:pt idx="1">
                  <c:v>2007 г.</c:v>
                </c:pt>
                <c:pt idx="2">
                  <c:v>2008 г.</c:v>
                </c:pt>
                <c:pt idx="3">
                  <c:v>2009 г.</c:v>
                </c:pt>
                <c:pt idx="4">
                  <c:v>2010 г.</c:v>
                </c:pt>
                <c:pt idx="5">
                  <c:v>2011 г.</c:v>
                </c:pt>
                <c:pt idx="6">
                  <c:v>2012 г.</c:v>
                </c:pt>
                <c:pt idx="7">
                  <c:v>2013 г.</c:v>
                </c:pt>
                <c:pt idx="8">
                  <c:v>2014 г.</c:v>
                </c:pt>
                <c:pt idx="9">
                  <c:v>2015 г.</c:v>
                </c:pt>
                <c:pt idx="10">
                  <c:v>2016 г.</c:v>
                </c:pt>
              </c:strCache>
            </c:strRef>
          </c:cat>
          <c:val>
            <c:numRef>
              <c:f>Лист1!$B$2:$B$14</c:f>
              <c:numCache>
                <c:formatCode>#,##0.00</c:formatCode>
                <c:ptCount val="11"/>
                <c:pt idx="0">
                  <c:v>108.89</c:v>
                </c:pt>
                <c:pt idx="1">
                  <c:v>129.41999999999999</c:v>
                </c:pt>
                <c:pt idx="2">
                  <c:v>125.11</c:v>
                </c:pt>
                <c:pt idx="3">
                  <c:v>105.7</c:v>
                </c:pt>
                <c:pt idx="4">
                  <c:v>113.24000000000002</c:v>
                </c:pt>
                <c:pt idx="5">
                  <c:v>115.98</c:v>
                </c:pt>
                <c:pt idx="6">
                  <c:v>110.43</c:v>
                </c:pt>
                <c:pt idx="7">
                  <c:v>103.63</c:v>
                </c:pt>
                <c:pt idx="8">
                  <c:v>100.98</c:v>
                </c:pt>
                <c:pt idx="9">
                  <c:v>98.23</c:v>
                </c:pt>
                <c:pt idx="10">
                  <c:v>104.44000000000032</c:v>
                </c:pt>
              </c:numCache>
            </c:numRef>
          </c:val>
        </c:ser>
        <c:ser>
          <c:idx val="1"/>
          <c:order val="1"/>
          <c:tx>
            <c:strRef>
              <c:f>Лист1!$C$1</c:f>
              <c:strCache>
                <c:ptCount val="1"/>
                <c:pt idx="0">
                  <c:v>Столбец1</c:v>
                </c:pt>
              </c:strCache>
            </c:strRef>
          </c:tx>
          <c:dLbls>
            <c:showVal val="1"/>
          </c:dLbls>
          <c:cat>
            <c:strRef>
              <c:f>Лист1!$A$2:$A$14</c:f>
              <c:strCache>
                <c:ptCount val="11"/>
                <c:pt idx="0">
                  <c:v>2006 г.</c:v>
                </c:pt>
                <c:pt idx="1">
                  <c:v>2007 г.</c:v>
                </c:pt>
                <c:pt idx="2">
                  <c:v>2008 г.</c:v>
                </c:pt>
                <c:pt idx="3">
                  <c:v>2009 г.</c:v>
                </c:pt>
                <c:pt idx="4">
                  <c:v>2010 г.</c:v>
                </c:pt>
                <c:pt idx="5">
                  <c:v>2011 г.</c:v>
                </c:pt>
                <c:pt idx="6">
                  <c:v>2012 г.</c:v>
                </c:pt>
                <c:pt idx="7">
                  <c:v>2013 г.</c:v>
                </c:pt>
                <c:pt idx="8">
                  <c:v>2014 г.</c:v>
                </c:pt>
                <c:pt idx="9">
                  <c:v>2015 г.</c:v>
                </c:pt>
                <c:pt idx="10">
                  <c:v>2016 г.</c:v>
                </c:pt>
              </c:strCache>
            </c:strRef>
          </c:cat>
          <c:val>
            <c:numRef>
              <c:f>Лист1!$C$2:$C$14</c:f>
            </c:numRef>
          </c:val>
          <c:shape val="box"/>
        </c:ser>
        <c:ser>
          <c:idx val="2"/>
          <c:order val="2"/>
          <c:tx>
            <c:strRef>
              <c:f>Лист1!$D$1</c:f>
              <c:strCache>
                <c:ptCount val="1"/>
                <c:pt idx="0">
                  <c:v>Столбец2</c:v>
                </c:pt>
              </c:strCache>
            </c:strRef>
          </c:tx>
          <c:dLbls>
            <c:showVal val="1"/>
          </c:dLbls>
          <c:cat>
            <c:strRef>
              <c:f>Лист1!$A$2:$A$14</c:f>
              <c:strCache>
                <c:ptCount val="11"/>
                <c:pt idx="0">
                  <c:v>2006 г.</c:v>
                </c:pt>
                <c:pt idx="1">
                  <c:v>2007 г.</c:v>
                </c:pt>
                <c:pt idx="2">
                  <c:v>2008 г.</c:v>
                </c:pt>
                <c:pt idx="3">
                  <c:v>2009 г.</c:v>
                </c:pt>
                <c:pt idx="4">
                  <c:v>2010 г.</c:v>
                </c:pt>
                <c:pt idx="5">
                  <c:v>2011 г.</c:v>
                </c:pt>
                <c:pt idx="6">
                  <c:v>2012 г.</c:v>
                </c:pt>
                <c:pt idx="7">
                  <c:v>2013 г.</c:v>
                </c:pt>
                <c:pt idx="8">
                  <c:v>2014 г.</c:v>
                </c:pt>
                <c:pt idx="9">
                  <c:v>2015 г.</c:v>
                </c:pt>
                <c:pt idx="10">
                  <c:v>2016 г.</c:v>
                </c:pt>
              </c:strCache>
            </c:strRef>
          </c:cat>
          <c:val>
            <c:numRef>
              <c:f>Лист1!$D$2:$D$14</c:f>
            </c:numRef>
          </c:val>
          <c:shape val="box"/>
        </c:ser>
        <c:dLbls>
          <c:showVal val="1"/>
        </c:dLbls>
        <c:shape val="cylinder"/>
        <c:axId val="158017792"/>
        <c:axId val="158035968"/>
        <c:axId val="157538048"/>
      </c:bar3DChart>
      <c:catAx>
        <c:axId val="158017792"/>
        <c:scaling>
          <c:orientation val="minMax"/>
        </c:scaling>
        <c:axPos val="b"/>
        <c:numFmt formatCode="General" sourceLinked="1"/>
        <c:tickLblPos val="nextTo"/>
        <c:txPr>
          <a:bodyPr rot="-5400000" vert="horz"/>
          <a:lstStyle/>
          <a:p>
            <a:pPr>
              <a:defRPr b="1"/>
            </a:pPr>
            <a:endParaRPr lang="ru-RU"/>
          </a:p>
        </c:txPr>
        <c:crossAx val="158035968"/>
        <c:crossesAt val="0"/>
        <c:auto val="1"/>
        <c:lblAlgn val="ctr"/>
        <c:lblOffset val="100"/>
      </c:catAx>
      <c:valAx>
        <c:axId val="158035968"/>
        <c:scaling>
          <c:orientation val="minMax"/>
          <c:max val="140"/>
          <c:min val="80"/>
        </c:scaling>
        <c:axPos val="l"/>
        <c:numFmt formatCode="#,##0.00" sourceLinked="1"/>
        <c:tickLblPos val="nextTo"/>
        <c:txPr>
          <a:bodyPr/>
          <a:lstStyle/>
          <a:p>
            <a:pPr>
              <a:defRPr b="1"/>
            </a:pPr>
            <a:endParaRPr lang="ru-RU"/>
          </a:p>
        </c:txPr>
        <c:crossAx val="158017792"/>
        <c:crosses val="autoZero"/>
        <c:crossBetween val="between"/>
        <c:majorUnit val="20"/>
        <c:minorUnit val="20"/>
      </c:valAx>
      <c:serAx>
        <c:axId val="157538048"/>
        <c:scaling>
          <c:orientation val="minMax"/>
        </c:scaling>
        <c:delete val="1"/>
        <c:axPos val="b"/>
        <c:tickLblPos val="none"/>
        <c:crossAx val="158035968"/>
        <c:crosses val="autoZero"/>
      </c:serAx>
    </c:plotArea>
    <c:plotVisOnly val="1"/>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b="1"/>
            </a:pPr>
            <a:r>
              <a:rPr lang="ru-RU" b="1"/>
              <a:t>2015 год</a:t>
            </a:r>
          </a:p>
        </c:rich>
      </c:tx>
      <c:layout>
        <c:manualLayout>
          <c:xMode val="edge"/>
          <c:yMode val="edge"/>
          <c:x val="0.41432312786515346"/>
          <c:y val="0"/>
        </c:manualLayout>
      </c:layout>
      <c:spPr>
        <a:noFill/>
      </c:spPr>
    </c:title>
    <c:view3D>
      <c:rotY val="270"/>
      <c:perspective val="0"/>
    </c:view3D>
    <c:plotArea>
      <c:layout>
        <c:manualLayout>
          <c:layoutTarget val="inner"/>
          <c:xMode val="edge"/>
          <c:yMode val="edge"/>
          <c:x val="0.35796719854462777"/>
          <c:y val="0.21309152240446491"/>
          <c:w val="0.46342862314625455"/>
          <c:h val="0.29868987895501264"/>
        </c:manualLayout>
      </c:layout>
      <c:pie3DChart>
        <c:varyColors val="1"/>
        <c:ser>
          <c:idx val="0"/>
          <c:order val="0"/>
          <c:tx>
            <c:strRef>
              <c:f>Sheet1!$A$2</c:f>
              <c:strCache>
                <c:ptCount val="1"/>
                <c:pt idx="0">
                  <c:v>Восток</c:v>
                </c:pt>
              </c:strCache>
            </c:strRef>
          </c:tx>
          <c:spPr>
            <a:solidFill>
              <a:srgbClr val="9999FF"/>
            </a:solidFill>
            <a:ln w="16924">
              <a:solidFill>
                <a:srgbClr val="000000"/>
              </a:solidFill>
              <a:prstDash val="solid"/>
            </a:ln>
          </c:spPr>
          <c:explosion val="25"/>
          <c:dPt>
            <c:idx val="0"/>
            <c:spPr>
              <a:pattFill prst="pct10">
                <a:fgClr>
                  <a:srgbClr val="000000"/>
                </a:fgClr>
                <a:bgClr>
                  <a:srgbClr val="FFFFFF"/>
                </a:bgClr>
              </a:pattFill>
              <a:ln w="16924">
                <a:solidFill>
                  <a:srgbClr val="000000"/>
                </a:solidFill>
                <a:prstDash val="solid"/>
              </a:ln>
            </c:spPr>
          </c:dPt>
          <c:dPt>
            <c:idx val="1"/>
            <c:spPr>
              <a:pattFill prst="lgGrid">
                <a:fgClr>
                  <a:srgbClr val="000000"/>
                </a:fgClr>
                <a:bgClr>
                  <a:srgbClr val="FFFFFF"/>
                </a:bgClr>
              </a:pattFill>
              <a:ln w="16924">
                <a:solidFill>
                  <a:srgbClr val="000000"/>
                </a:solidFill>
                <a:prstDash val="solid"/>
              </a:ln>
            </c:spPr>
          </c:dPt>
          <c:dPt>
            <c:idx val="2"/>
            <c:spPr>
              <a:pattFill prst="dkVert">
                <a:fgClr>
                  <a:srgbClr val="000000"/>
                </a:fgClr>
                <a:bgClr>
                  <a:srgbClr val="FFFFFF"/>
                </a:bgClr>
              </a:pattFill>
              <a:ln w="16924">
                <a:solidFill>
                  <a:srgbClr val="000000"/>
                </a:solidFill>
                <a:prstDash val="solid"/>
              </a:ln>
            </c:spPr>
          </c:dPt>
          <c:dPt>
            <c:idx val="3"/>
            <c:spPr>
              <a:pattFill prst="dashVert">
                <a:fgClr>
                  <a:srgbClr val="000000"/>
                </a:fgClr>
                <a:bgClr>
                  <a:srgbClr val="FFFFFF"/>
                </a:bgClr>
              </a:pattFill>
              <a:ln w="16924">
                <a:solidFill>
                  <a:srgbClr val="000000"/>
                </a:solidFill>
                <a:prstDash val="solid"/>
              </a:ln>
            </c:spPr>
          </c:dPt>
          <c:dPt>
            <c:idx val="4"/>
            <c:spPr>
              <a:pattFill prst="lgConfetti">
                <a:fgClr>
                  <a:srgbClr val="000000"/>
                </a:fgClr>
                <a:bgClr>
                  <a:srgbClr val="FFFFFF"/>
                </a:bgClr>
              </a:pattFill>
              <a:ln w="16924">
                <a:solidFill>
                  <a:srgbClr val="000000"/>
                </a:solidFill>
                <a:prstDash val="solid"/>
              </a:ln>
            </c:spPr>
          </c:dPt>
          <c:dPt>
            <c:idx val="5"/>
            <c:spPr>
              <a:pattFill prst="zigZag">
                <a:fgClr>
                  <a:srgbClr val="000000"/>
                </a:fgClr>
                <a:bgClr>
                  <a:srgbClr val="FFFFFF"/>
                </a:bgClr>
              </a:pattFill>
              <a:ln w="16924">
                <a:solidFill>
                  <a:srgbClr val="000000"/>
                </a:solidFill>
                <a:prstDash val="solid"/>
              </a:ln>
            </c:spPr>
          </c:dPt>
          <c:dPt>
            <c:idx val="6"/>
            <c:spPr>
              <a:pattFill prst="sphere">
                <a:fgClr>
                  <a:srgbClr val="000000"/>
                </a:fgClr>
                <a:bgClr>
                  <a:srgbClr val="FFFFFF"/>
                </a:bgClr>
              </a:pattFill>
              <a:ln w="16924">
                <a:solidFill>
                  <a:srgbClr val="000000"/>
                </a:solidFill>
                <a:prstDash val="solid"/>
              </a:ln>
            </c:spPr>
          </c:dPt>
          <c:dPt>
            <c:idx val="7"/>
            <c:spPr>
              <a:pattFill prst="weave">
                <a:fgClr>
                  <a:srgbClr val="000000"/>
                </a:fgClr>
                <a:bgClr>
                  <a:srgbClr val="FFFFFF"/>
                </a:bgClr>
              </a:pattFill>
              <a:ln w="16924">
                <a:solidFill>
                  <a:srgbClr val="000000"/>
                </a:solidFill>
                <a:prstDash val="solid"/>
              </a:ln>
            </c:spPr>
          </c:dPt>
          <c:dPt>
            <c:idx val="8"/>
            <c:spPr>
              <a:pattFill prst="pct90">
                <a:fgClr>
                  <a:srgbClr val="000000"/>
                </a:fgClr>
                <a:bgClr>
                  <a:srgbClr val="FFFFFF"/>
                </a:bgClr>
              </a:pattFill>
              <a:ln w="16924">
                <a:solidFill>
                  <a:srgbClr val="000000"/>
                </a:solidFill>
                <a:prstDash val="solid"/>
              </a:ln>
            </c:spPr>
          </c:dPt>
          <c:dLbls>
            <c:dLbl>
              <c:idx val="0"/>
              <c:layout>
                <c:manualLayout>
                  <c:x val="-0.1916743186557858"/>
                  <c:y val="-4.6837168609737784E-4"/>
                </c:manualLayout>
              </c:layout>
              <c:tx>
                <c:rich>
                  <a:bodyPr/>
                  <a:lstStyle/>
                  <a:p>
                    <a:r>
                      <a:rPr lang="ru-RU" sz="900"/>
                      <a:t>Торговля и общепит; 2070; 47,8%</a:t>
                    </a:r>
                  </a:p>
                </c:rich>
              </c:tx>
              <c:dLblPos val="bestFit"/>
              <c:showVal val="1"/>
              <c:showCatName val="1"/>
              <c:showPercent val="1"/>
              <c:separator>; </c:separator>
            </c:dLbl>
            <c:dLbl>
              <c:idx val="1"/>
              <c:layout>
                <c:manualLayout>
                  <c:x val="0"/>
                  <c:y val="-0.18949259501407173"/>
                </c:manualLayout>
              </c:layout>
              <c:tx>
                <c:rich>
                  <a:bodyPr/>
                  <a:lstStyle/>
                  <a:p>
                    <a:r>
                      <a:rPr lang="ru-RU" sz="900"/>
                      <a:t>Промышленность; </a:t>
                    </a:r>
                  </a:p>
                  <a:p>
                    <a:r>
                      <a:rPr lang="ru-RU" sz="900"/>
                      <a:t>512; 11,8%</a:t>
                    </a:r>
                  </a:p>
                </c:rich>
              </c:tx>
              <c:dLblPos val="bestFit"/>
              <c:showVal val="1"/>
              <c:showCatName val="1"/>
              <c:showPercent val="1"/>
              <c:separator>; </c:separator>
            </c:dLbl>
            <c:dLbl>
              <c:idx val="2"/>
              <c:layout>
                <c:manualLayout>
                  <c:x val="0.15706480798661496"/>
                  <c:y val="0.10471545707949299"/>
                </c:manualLayout>
              </c:layout>
              <c:tx>
                <c:rich>
                  <a:bodyPr/>
                  <a:lstStyle/>
                  <a:p>
                    <a:r>
                      <a:rPr lang="ru-RU" sz="900"/>
                      <a:t>Сельское хозяйство; 326; 7,5%</a:t>
                    </a:r>
                  </a:p>
                </c:rich>
              </c:tx>
              <c:dLblPos val="bestFit"/>
              <c:showVal val="1"/>
              <c:showCatName val="1"/>
              <c:showPercent val="1"/>
              <c:separator>; </c:separator>
            </c:dLbl>
            <c:dLbl>
              <c:idx val="3"/>
              <c:layout>
                <c:manualLayout>
                  <c:x val="0.40551196961407615"/>
                  <c:y val="0.30293149402836272"/>
                </c:manualLayout>
              </c:layout>
              <c:tx>
                <c:rich>
                  <a:bodyPr/>
                  <a:lstStyle/>
                  <a:p>
                    <a:r>
                      <a:rPr lang="ru-RU" sz="900"/>
                      <a:t>Строительство; </a:t>
                    </a:r>
                  </a:p>
                  <a:p>
                    <a:r>
                      <a:rPr lang="ru-RU" sz="900"/>
                      <a:t>326; 7,5%</a:t>
                    </a:r>
                  </a:p>
                </c:rich>
              </c:tx>
              <c:dLblPos val="bestFit"/>
              <c:showVal val="1"/>
              <c:showCatName val="1"/>
              <c:showPercent val="1"/>
              <c:separator>; </c:separator>
            </c:dLbl>
            <c:dLbl>
              <c:idx val="4"/>
              <c:layout>
                <c:manualLayout>
                  <c:x val="0.18511533490338053"/>
                  <c:y val="0.31404748825001538"/>
                </c:manualLayout>
              </c:layout>
              <c:tx>
                <c:rich>
                  <a:bodyPr/>
                  <a:lstStyle/>
                  <a:p>
                    <a:r>
                      <a:rPr lang="ru-RU" sz="900"/>
                      <a:t>Операции с недвижим. имущест.; 261; 6,0%</a:t>
                    </a:r>
                  </a:p>
                </c:rich>
              </c:tx>
              <c:dLblPos val="bestFit"/>
              <c:showVal val="1"/>
              <c:showCatName val="1"/>
              <c:showPercent val="1"/>
              <c:separator>; </c:separator>
            </c:dLbl>
            <c:dLbl>
              <c:idx val="5"/>
              <c:layout>
                <c:manualLayout>
                  <c:x val="3.3368064641466633E-2"/>
                  <c:y val="0.33456713259679749"/>
                </c:manualLayout>
              </c:layout>
              <c:tx>
                <c:rich>
                  <a:bodyPr/>
                  <a:lstStyle/>
                  <a:p>
                    <a:r>
                      <a:rPr lang="ru-RU" sz="900"/>
                      <a:t>Непроизв. виды бытового обслуж.; 101; 2,3%</a:t>
                    </a:r>
                  </a:p>
                </c:rich>
              </c:tx>
              <c:dLblPos val="bestFit"/>
              <c:showVal val="1"/>
              <c:showCatName val="1"/>
              <c:showPercent val="1"/>
              <c:separator>; </c:separator>
            </c:dLbl>
            <c:dLbl>
              <c:idx val="6"/>
              <c:layout>
                <c:manualLayout>
                  <c:x val="-0.11077035310163302"/>
                  <c:y val="0.16563714419418543"/>
                </c:manualLayout>
              </c:layout>
              <c:tx>
                <c:rich>
                  <a:bodyPr/>
                  <a:lstStyle/>
                  <a:p>
                    <a:r>
                      <a:rPr lang="ru-RU" sz="900"/>
                      <a:t>Общая коммер. деятельность137; 3,2%</a:t>
                    </a:r>
                  </a:p>
                </c:rich>
              </c:tx>
              <c:dLblPos val="bestFit"/>
              <c:showVal val="1"/>
              <c:showCatName val="1"/>
              <c:showPercent val="1"/>
              <c:separator>; </c:separator>
            </c:dLbl>
            <c:dLbl>
              <c:idx val="7"/>
              <c:layout>
                <c:manualLayout>
                  <c:x val="-0.12273917421953791"/>
                  <c:y val="-1.4180959938147301E-2"/>
                </c:manualLayout>
              </c:layout>
              <c:tx>
                <c:rich>
                  <a:bodyPr/>
                  <a:lstStyle/>
                  <a:p>
                    <a:r>
                      <a:rPr lang="ru-RU" sz="900"/>
                      <a:t>ЖКХ; 83; 1,9%</a:t>
                    </a:r>
                  </a:p>
                </c:rich>
              </c:tx>
              <c:dLblPos val="bestFit"/>
              <c:showVal val="1"/>
              <c:showCatName val="1"/>
              <c:showPercent val="1"/>
              <c:separator>; </c:separator>
            </c:dLbl>
            <c:dLbl>
              <c:idx val="8"/>
              <c:layout>
                <c:manualLayout>
                  <c:x val="-7.9251135904084502E-2"/>
                  <c:y val="-0.10968076664835502"/>
                </c:manualLayout>
              </c:layout>
              <c:tx>
                <c:rich>
                  <a:bodyPr/>
                  <a:lstStyle/>
                  <a:p>
                    <a:r>
                      <a:rPr lang="ru-RU" sz="900"/>
                      <a:t>Прочие; </a:t>
                    </a:r>
                  </a:p>
                  <a:p>
                    <a:r>
                      <a:rPr lang="ru-RU" sz="900"/>
                      <a:t>517; 11,9%</a:t>
                    </a:r>
                  </a:p>
                </c:rich>
              </c:tx>
              <c:dLblPos val="bestFit"/>
              <c:showVal val="1"/>
              <c:showCatName val="1"/>
              <c:showPercent val="1"/>
              <c:separator>; </c:separator>
            </c:dLbl>
            <c:numFmt formatCode="0.0%" sourceLinked="0"/>
            <c:spPr>
              <a:solidFill>
                <a:srgbClr val="FFFFFF"/>
              </a:solidFill>
              <a:ln w="33915">
                <a:noFill/>
              </a:ln>
            </c:spPr>
            <c:txPr>
              <a:bodyPr/>
              <a:lstStyle/>
              <a:p>
                <a:pPr>
                  <a:defRPr sz="900" b="0" i="0" u="none" strike="noStrike" baseline="0">
                    <a:solidFill>
                      <a:srgbClr val="000000"/>
                    </a:solidFill>
                    <a:latin typeface="Times New Roman"/>
                    <a:ea typeface="Times New Roman"/>
                    <a:cs typeface="Times New Roman"/>
                  </a:defRPr>
                </a:pPr>
                <a:endParaRPr lang="ru-RU"/>
              </a:p>
            </c:txPr>
            <c:showVal val="1"/>
            <c:showCatName val="1"/>
            <c:showPercent val="1"/>
            <c:separator>; </c:separator>
            <c:showLeaderLines val="1"/>
          </c:dLbls>
          <c:cat>
            <c:strRef>
              <c:f>Sheet1!$B$1:$J$1</c:f>
              <c:strCache>
                <c:ptCount val="9"/>
                <c:pt idx="0">
                  <c:v>Торговля и общепит</c:v>
                </c:pt>
                <c:pt idx="1">
                  <c:v>Промышленность</c:v>
                </c:pt>
                <c:pt idx="2">
                  <c:v>Сельское хозяйство</c:v>
                </c:pt>
                <c:pt idx="3">
                  <c:v>Строительство</c:v>
                </c:pt>
                <c:pt idx="4">
                  <c:v>Операции с недвижим. имущест.</c:v>
                </c:pt>
                <c:pt idx="5">
                  <c:v>Непроизвод. виды бытового обслуж.</c:v>
                </c:pt>
                <c:pt idx="6">
                  <c:v>Общая коммер. деятельность</c:v>
                </c:pt>
                <c:pt idx="7">
                  <c:v>ЖКХ</c:v>
                </c:pt>
                <c:pt idx="8">
                  <c:v>Прочие</c:v>
                </c:pt>
              </c:strCache>
            </c:strRef>
          </c:cat>
          <c:val>
            <c:numRef>
              <c:f>Sheet1!$B$2:$J$2</c:f>
              <c:numCache>
                <c:formatCode>General</c:formatCode>
                <c:ptCount val="9"/>
                <c:pt idx="0">
                  <c:v>2070</c:v>
                </c:pt>
                <c:pt idx="1">
                  <c:v>512</c:v>
                </c:pt>
                <c:pt idx="2">
                  <c:v>326</c:v>
                </c:pt>
                <c:pt idx="3">
                  <c:v>326</c:v>
                </c:pt>
                <c:pt idx="4">
                  <c:v>261</c:v>
                </c:pt>
                <c:pt idx="5">
                  <c:v>101</c:v>
                </c:pt>
                <c:pt idx="6">
                  <c:v>137</c:v>
                </c:pt>
                <c:pt idx="7">
                  <c:v>83</c:v>
                </c:pt>
                <c:pt idx="8">
                  <c:v>517</c:v>
                </c:pt>
              </c:numCache>
            </c:numRef>
          </c:val>
        </c:ser>
        <c:dLbls>
          <c:showVal val="1"/>
          <c:showCatName val="1"/>
          <c:showPercent val="1"/>
          <c:separator>; </c:separator>
        </c:dLbls>
      </c:pie3DChart>
      <c:spPr>
        <a:solidFill>
          <a:srgbClr val="FFFFFF"/>
        </a:solidFill>
        <a:ln w="33849">
          <a:noFill/>
        </a:ln>
      </c:spPr>
    </c:plotArea>
    <c:plotVisOnly val="1"/>
    <c:dispBlanksAs val="zero"/>
  </c:chart>
  <c:spPr>
    <a:noFill/>
    <a:ln>
      <a:noFill/>
    </a:ln>
  </c:spPr>
  <c:txPr>
    <a:bodyPr/>
    <a:lstStyle/>
    <a:p>
      <a:pPr>
        <a:defRPr sz="935" b="0" i="0" u="none" strike="noStrike" baseline="0">
          <a:solidFill>
            <a:srgbClr val="000000"/>
          </a:solidFill>
          <a:latin typeface="Times New Roman"/>
          <a:ea typeface="Times New Roman"/>
          <a:cs typeface="Times New Roman"/>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b="1"/>
            </a:pPr>
            <a:r>
              <a:rPr lang="ru-RU" b="1"/>
              <a:t> 2016 год</a:t>
            </a:r>
          </a:p>
        </c:rich>
      </c:tx>
      <c:layout>
        <c:manualLayout>
          <c:xMode val="edge"/>
          <c:yMode val="edge"/>
          <c:x val="0.41432312786515396"/>
          <c:y val="0"/>
        </c:manualLayout>
      </c:layout>
      <c:spPr>
        <a:noFill/>
      </c:spPr>
    </c:title>
    <c:view3D>
      <c:rotY val="270"/>
      <c:perspective val="0"/>
    </c:view3D>
    <c:plotArea>
      <c:layout>
        <c:manualLayout>
          <c:layoutTarget val="inner"/>
          <c:xMode val="edge"/>
          <c:yMode val="edge"/>
          <c:x val="0.32294352094877032"/>
          <c:y val="0.21373081132386126"/>
          <c:w val="0.46342862314625527"/>
          <c:h val="0.29868987895501325"/>
        </c:manualLayout>
      </c:layout>
      <c:pie3DChart>
        <c:varyColors val="1"/>
        <c:ser>
          <c:idx val="0"/>
          <c:order val="0"/>
          <c:tx>
            <c:strRef>
              <c:f>Sheet1!$A$2</c:f>
              <c:strCache>
                <c:ptCount val="1"/>
                <c:pt idx="0">
                  <c:v>Восток</c:v>
                </c:pt>
              </c:strCache>
            </c:strRef>
          </c:tx>
          <c:spPr>
            <a:solidFill>
              <a:srgbClr val="9999FF"/>
            </a:solidFill>
            <a:ln w="16924">
              <a:solidFill>
                <a:srgbClr val="000000"/>
              </a:solidFill>
              <a:prstDash val="solid"/>
            </a:ln>
          </c:spPr>
          <c:explosion val="25"/>
          <c:dPt>
            <c:idx val="0"/>
            <c:spPr>
              <a:pattFill prst="pct10">
                <a:fgClr>
                  <a:srgbClr val="000000"/>
                </a:fgClr>
                <a:bgClr>
                  <a:srgbClr val="FFFFFF"/>
                </a:bgClr>
              </a:pattFill>
              <a:ln w="16924">
                <a:solidFill>
                  <a:srgbClr val="000000"/>
                </a:solidFill>
                <a:prstDash val="solid"/>
              </a:ln>
            </c:spPr>
          </c:dPt>
          <c:dPt>
            <c:idx val="1"/>
            <c:spPr>
              <a:pattFill prst="lgGrid">
                <a:fgClr>
                  <a:srgbClr val="000000"/>
                </a:fgClr>
                <a:bgClr>
                  <a:srgbClr val="FFFFFF"/>
                </a:bgClr>
              </a:pattFill>
              <a:ln w="16924">
                <a:solidFill>
                  <a:srgbClr val="000000"/>
                </a:solidFill>
                <a:prstDash val="solid"/>
              </a:ln>
            </c:spPr>
          </c:dPt>
          <c:dPt>
            <c:idx val="2"/>
            <c:spPr>
              <a:pattFill prst="dkVert">
                <a:fgClr>
                  <a:srgbClr val="000000"/>
                </a:fgClr>
                <a:bgClr>
                  <a:srgbClr val="FFFFFF"/>
                </a:bgClr>
              </a:pattFill>
              <a:ln w="16924">
                <a:solidFill>
                  <a:srgbClr val="000000"/>
                </a:solidFill>
                <a:prstDash val="solid"/>
              </a:ln>
            </c:spPr>
          </c:dPt>
          <c:dPt>
            <c:idx val="3"/>
            <c:spPr>
              <a:pattFill prst="dashVert">
                <a:fgClr>
                  <a:srgbClr val="000000"/>
                </a:fgClr>
                <a:bgClr>
                  <a:srgbClr val="FFFFFF"/>
                </a:bgClr>
              </a:pattFill>
              <a:ln w="16924">
                <a:solidFill>
                  <a:srgbClr val="000000"/>
                </a:solidFill>
                <a:prstDash val="solid"/>
              </a:ln>
            </c:spPr>
          </c:dPt>
          <c:dPt>
            <c:idx val="4"/>
            <c:spPr>
              <a:pattFill prst="lgConfetti">
                <a:fgClr>
                  <a:srgbClr val="000000"/>
                </a:fgClr>
                <a:bgClr>
                  <a:srgbClr val="FFFFFF"/>
                </a:bgClr>
              </a:pattFill>
              <a:ln w="16924">
                <a:solidFill>
                  <a:srgbClr val="000000"/>
                </a:solidFill>
                <a:prstDash val="solid"/>
              </a:ln>
            </c:spPr>
          </c:dPt>
          <c:dPt>
            <c:idx val="5"/>
            <c:spPr>
              <a:pattFill prst="zigZag">
                <a:fgClr>
                  <a:srgbClr val="000000"/>
                </a:fgClr>
                <a:bgClr>
                  <a:srgbClr val="FFFFFF"/>
                </a:bgClr>
              </a:pattFill>
              <a:ln w="16924">
                <a:solidFill>
                  <a:srgbClr val="000000"/>
                </a:solidFill>
                <a:prstDash val="solid"/>
              </a:ln>
            </c:spPr>
          </c:dPt>
          <c:dPt>
            <c:idx val="6"/>
            <c:spPr>
              <a:pattFill prst="sphere">
                <a:fgClr>
                  <a:srgbClr val="000000"/>
                </a:fgClr>
                <a:bgClr>
                  <a:srgbClr val="FFFFFF"/>
                </a:bgClr>
              </a:pattFill>
              <a:ln w="16924">
                <a:solidFill>
                  <a:srgbClr val="000000"/>
                </a:solidFill>
                <a:prstDash val="solid"/>
              </a:ln>
            </c:spPr>
          </c:dPt>
          <c:dPt>
            <c:idx val="7"/>
            <c:spPr>
              <a:pattFill prst="weave">
                <a:fgClr>
                  <a:srgbClr val="000000"/>
                </a:fgClr>
                <a:bgClr>
                  <a:srgbClr val="FFFFFF"/>
                </a:bgClr>
              </a:pattFill>
              <a:ln w="16924">
                <a:solidFill>
                  <a:srgbClr val="000000"/>
                </a:solidFill>
                <a:prstDash val="solid"/>
              </a:ln>
            </c:spPr>
          </c:dPt>
          <c:dPt>
            <c:idx val="8"/>
            <c:spPr>
              <a:pattFill prst="pct90">
                <a:fgClr>
                  <a:srgbClr val="000000"/>
                </a:fgClr>
                <a:bgClr>
                  <a:srgbClr val="FFFFFF"/>
                </a:bgClr>
              </a:pattFill>
              <a:ln w="16924">
                <a:solidFill>
                  <a:srgbClr val="000000"/>
                </a:solidFill>
                <a:prstDash val="solid"/>
              </a:ln>
            </c:spPr>
          </c:dPt>
          <c:dLbls>
            <c:dLbl>
              <c:idx val="0"/>
              <c:layout>
                <c:manualLayout>
                  <c:x val="-0.24001268723584779"/>
                  <c:y val="-4.68371686097378E-4"/>
                </c:manualLayout>
              </c:layout>
              <c:tx>
                <c:rich>
                  <a:bodyPr/>
                  <a:lstStyle/>
                  <a:p>
                    <a:r>
                      <a:rPr lang="ru-RU" sz="900"/>
                      <a:t>Торговля и общепит; 1938; 49,1%</a:t>
                    </a:r>
                  </a:p>
                </c:rich>
              </c:tx>
              <c:dLblPos val="bestFit"/>
              <c:showVal val="1"/>
              <c:showCatName val="1"/>
              <c:showPercent val="1"/>
              <c:separator>; </c:separator>
            </c:dLbl>
            <c:dLbl>
              <c:idx val="1"/>
              <c:layout>
                <c:manualLayout>
                  <c:x val="2.5196276694921346E-2"/>
                  <c:y val="-0.14316955767982875"/>
                </c:manualLayout>
              </c:layout>
              <c:tx>
                <c:rich>
                  <a:bodyPr/>
                  <a:lstStyle/>
                  <a:p>
                    <a:r>
                      <a:rPr lang="ru-RU" sz="900"/>
                      <a:t>Промышленность; </a:t>
                    </a:r>
                  </a:p>
                  <a:p>
                    <a:r>
                      <a:rPr lang="ru-RU" sz="900"/>
                      <a:t>447; 11,3%</a:t>
                    </a:r>
                  </a:p>
                </c:rich>
              </c:tx>
              <c:dLblPos val="bestFit"/>
              <c:showVal val="1"/>
              <c:showCatName val="1"/>
              <c:showPercent val="1"/>
              <c:separator>; </c:separator>
            </c:dLbl>
            <c:dLbl>
              <c:idx val="2"/>
              <c:layout>
                <c:manualLayout>
                  <c:x val="0.15706480798661496"/>
                  <c:y val="0.10471545707949299"/>
                </c:manualLayout>
              </c:layout>
              <c:tx>
                <c:rich>
                  <a:bodyPr/>
                  <a:lstStyle/>
                  <a:p>
                    <a:r>
                      <a:rPr lang="ru-RU" sz="900"/>
                      <a:t>Сельское хозяйство; 345; 8,7%</a:t>
                    </a:r>
                  </a:p>
                </c:rich>
              </c:tx>
              <c:dLblPos val="bestFit"/>
              <c:showVal val="1"/>
              <c:showCatName val="1"/>
              <c:showPercent val="1"/>
              <c:separator>; </c:separator>
            </c:dLbl>
            <c:dLbl>
              <c:idx val="3"/>
              <c:layout>
                <c:manualLayout>
                  <c:x val="0.40551196961407687"/>
                  <c:y val="0.30293149402836272"/>
                </c:manualLayout>
              </c:layout>
              <c:tx>
                <c:rich>
                  <a:bodyPr/>
                  <a:lstStyle/>
                  <a:p>
                    <a:r>
                      <a:rPr lang="ru-RU" sz="900"/>
                      <a:t>Строительство; </a:t>
                    </a:r>
                  </a:p>
                  <a:p>
                    <a:r>
                      <a:rPr lang="ru-RU" sz="900"/>
                      <a:t>265; 6,7%</a:t>
                    </a:r>
                  </a:p>
                </c:rich>
              </c:tx>
              <c:dLblPos val="bestFit"/>
              <c:showVal val="1"/>
              <c:showCatName val="1"/>
              <c:showPercent val="1"/>
              <c:separator>; </c:separator>
            </c:dLbl>
            <c:dLbl>
              <c:idx val="4"/>
              <c:layout>
                <c:manualLayout>
                  <c:x val="0.18511533490338075"/>
                  <c:y val="0.31404748825001538"/>
                </c:manualLayout>
              </c:layout>
              <c:tx>
                <c:rich>
                  <a:bodyPr/>
                  <a:lstStyle/>
                  <a:p>
                    <a:r>
                      <a:rPr lang="ru-RU" sz="900"/>
                      <a:t>Операции с недвижим. имущест.; 212; 5,4%</a:t>
                    </a:r>
                  </a:p>
                </c:rich>
              </c:tx>
              <c:dLblPos val="bestFit"/>
              <c:showVal val="1"/>
              <c:showCatName val="1"/>
              <c:showPercent val="1"/>
              <c:separator>; </c:separator>
            </c:dLbl>
            <c:dLbl>
              <c:idx val="5"/>
              <c:layout>
                <c:manualLayout>
                  <c:x val="3.3368064641466633E-2"/>
                  <c:y val="0.33456713259679749"/>
                </c:manualLayout>
              </c:layout>
              <c:tx>
                <c:rich>
                  <a:bodyPr/>
                  <a:lstStyle/>
                  <a:p>
                    <a:r>
                      <a:rPr lang="ru-RU" sz="900"/>
                      <a:t>Непроизв. виды бытового обслуж.; 98; 2,5%</a:t>
                    </a:r>
                  </a:p>
                </c:rich>
              </c:tx>
              <c:dLblPos val="bestFit"/>
              <c:showVal val="1"/>
              <c:showCatName val="1"/>
              <c:showPercent val="1"/>
              <c:separator>; </c:separator>
            </c:dLbl>
            <c:dLbl>
              <c:idx val="6"/>
              <c:layout>
                <c:manualLayout>
                  <c:x val="-0.12146560556935729"/>
                  <c:y val="0.17055718588682062"/>
                </c:manualLayout>
              </c:layout>
              <c:tx>
                <c:rich>
                  <a:bodyPr/>
                  <a:lstStyle/>
                  <a:p>
                    <a:r>
                      <a:rPr lang="ru-RU" sz="900"/>
                      <a:t>Общая коммер. деятельность115; 2,9%</a:t>
                    </a:r>
                  </a:p>
                </c:rich>
              </c:tx>
              <c:dLblPos val="bestFit"/>
              <c:showVal val="1"/>
              <c:showCatName val="1"/>
              <c:showPercent val="1"/>
              <c:separator>; </c:separator>
            </c:dLbl>
            <c:dLbl>
              <c:idx val="7"/>
              <c:layout>
                <c:manualLayout>
                  <c:x val="-0.12273910205668814"/>
                  <c:y val="5.4992203465342171E-3"/>
                </c:manualLayout>
              </c:layout>
              <c:tx>
                <c:rich>
                  <a:bodyPr/>
                  <a:lstStyle/>
                  <a:p>
                    <a:r>
                      <a:rPr lang="ru-RU" sz="900"/>
                      <a:t>ЖКХ; 84; 2,1%</a:t>
                    </a:r>
                  </a:p>
                </c:rich>
              </c:tx>
              <c:dLblPos val="bestFit"/>
              <c:showVal val="1"/>
              <c:showCatName val="1"/>
              <c:showPercent val="1"/>
              <c:separator>; </c:separator>
            </c:dLbl>
            <c:dLbl>
              <c:idx val="8"/>
              <c:layout>
                <c:manualLayout>
                  <c:x val="-7.9251135904084502E-2"/>
                  <c:y val="-0.10968076664835502"/>
                </c:manualLayout>
              </c:layout>
              <c:tx>
                <c:rich>
                  <a:bodyPr/>
                  <a:lstStyle/>
                  <a:p>
                    <a:r>
                      <a:rPr lang="ru-RU" sz="900"/>
                      <a:t>Прочие;</a:t>
                    </a:r>
                  </a:p>
                  <a:p>
                    <a:r>
                      <a:rPr lang="ru-RU" sz="900"/>
                      <a:t> 445; 11,3%</a:t>
                    </a:r>
                  </a:p>
                </c:rich>
              </c:tx>
              <c:dLblPos val="bestFit"/>
              <c:showVal val="1"/>
              <c:showCatName val="1"/>
              <c:showPercent val="1"/>
              <c:separator>; </c:separator>
            </c:dLbl>
            <c:numFmt formatCode="0.0%" sourceLinked="0"/>
            <c:spPr>
              <a:solidFill>
                <a:srgbClr val="FFFFFF"/>
              </a:solidFill>
              <a:ln w="33915">
                <a:noFill/>
              </a:ln>
            </c:spPr>
            <c:txPr>
              <a:bodyPr/>
              <a:lstStyle/>
              <a:p>
                <a:pPr>
                  <a:defRPr sz="900" b="0" i="0" u="none" strike="noStrike" baseline="0">
                    <a:solidFill>
                      <a:srgbClr val="000000"/>
                    </a:solidFill>
                    <a:latin typeface="Times New Roman"/>
                    <a:ea typeface="Times New Roman"/>
                    <a:cs typeface="Times New Roman"/>
                  </a:defRPr>
                </a:pPr>
                <a:endParaRPr lang="ru-RU"/>
              </a:p>
            </c:txPr>
            <c:showVal val="1"/>
            <c:showCatName val="1"/>
            <c:showPercent val="1"/>
            <c:separator>; </c:separator>
            <c:showLeaderLines val="1"/>
          </c:dLbls>
          <c:cat>
            <c:strRef>
              <c:f>Sheet1!$B$1:$J$1</c:f>
              <c:strCache>
                <c:ptCount val="9"/>
                <c:pt idx="0">
                  <c:v>Торговля и общепит</c:v>
                </c:pt>
                <c:pt idx="1">
                  <c:v>Промышленность</c:v>
                </c:pt>
                <c:pt idx="2">
                  <c:v>Сельское хозяйство</c:v>
                </c:pt>
                <c:pt idx="3">
                  <c:v>Строительство</c:v>
                </c:pt>
                <c:pt idx="4">
                  <c:v>Операции с недвижим. имущест.</c:v>
                </c:pt>
                <c:pt idx="5">
                  <c:v>Непроизвод. виды бытового обслуж.</c:v>
                </c:pt>
                <c:pt idx="6">
                  <c:v>Общая коммер. деятельность</c:v>
                </c:pt>
                <c:pt idx="7">
                  <c:v>ЖКХ</c:v>
                </c:pt>
                <c:pt idx="8">
                  <c:v>Прочие</c:v>
                </c:pt>
              </c:strCache>
            </c:strRef>
          </c:cat>
          <c:val>
            <c:numRef>
              <c:f>Sheet1!$B$2:$J$2</c:f>
              <c:numCache>
                <c:formatCode>General</c:formatCode>
                <c:ptCount val="9"/>
                <c:pt idx="0">
                  <c:v>1938</c:v>
                </c:pt>
                <c:pt idx="1">
                  <c:v>447</c:v>
                </c:pt>
                <c:pt idx="2">
                  <c:v>345</c:v>
                </c:pt>
                <c:pt idx="3">
                  <c:v>265</c:v>
                </c:pt>
                <c:pt idx="4">
                  <c:v>212</c:v>
                </c:pt>
                <c:pt idx="5">
                  <c:v>98</c:v>
                </c:pt>
                <c:pt idx="6">
                  <c:v>115</c:v>
                </c:pt>
                <c:pt idx="7">
                  <c:v>84</c:v>
                </c:pt>
                <c:pt idx="8">
                  <c:v>445</c:v>
                </c:pt>
              </c:numCache>
            </c:numRef>
          </c:val>
        </c:ser>
        <c:dLbls>
          <c:showVal val="1"/>
          <c:showCatName val="1"/>
          <c:showPercent val="1"/>
          <c:separator>; </c:separator>
        </c:dLbls>
      </c:pie3DChart>
      <c:spPr>
        <a:solidFill>
          <a:srgbClr val="FFFFFF"/>
        </a:solidFill>
        <a:ln w="33849">
          <a:noFill/>
        </a:ln>
      </c:spPr>
    </c:plotArea>
    <c:plotVisOnly val="1"/>
    <c:dispBlanksAs val="zero"/>
  </c:chart>
  <c:spPr>
    <a:noFill/>
    <a:ln>
      <a:noFill/>
    </a:ln>
  </c:spPr>
  <c:txPr>
    <a:bodyPr/>
    <a:lstStyle/>
    <a:p>
      <a:pPr>
        <a:defRPr sz="935" b="0" i="0" u="none" strike="noStrike" baseline="0">
          <a:solidFill>
            <a:srgbClr val="000000"/>
          </a:solidFill>
          <a:latin typeface="Times New Roman"/>
          <a:ea typeface="Times New Roman"/>
          <a:cs typeface="Times New Roman"/>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Динамика оплаты труда в разрезе отраслей экономики, руб. ПМР</a:t>
            </a:r>
          </a:p>
        </c:rich>
      </c:tx>
      <c:layout>
        <c:manualLayout>
          <c:xMode val="edge"/>
          <c:yMode val="edge"/>
          <c:x val="0.17390464947862391"/>
          <c:y val="2.1721703391727196E-3"/>
        </c:manualLayout>
      </c:layout>
      <c:spPr>
        <a:noFill/>
      </c:spPr>
    </c:title>
    <c:plotArea>
      <c:layout>
        <c:manualLayout>
          <c:layoutTarget val="inner"/>
          <c:xMode val="edge"/>
          <c:yMode val="edge"/>
          <c:x val="6.7541720075688219E-2"/>
          <c:y val="6.3207909517231889E-2"/>
          <c:w val="0.93245827992431152"/>
          <c:h val="0.43208053423701903"/>
        </c:manualLayout>
      </c:layout>
      <c:lineChart>
        <c:grouping val="standard"/>
        <c:ser>
          <c:idx val="0"/>
          <c:order val="0"/>
          <c:tx>
            <c:strRef>
              <c:f>Sheet1!$A$2</c:f>
              <c:strCache>
                <c:ptCount val="1"/>
                <c:pt idx="0">
                  <c:v>2015 год</c:v>
                </c:pt>
              </c:strCache>
            </c:strRef>
          </c:tx>
          <c:spPr>
            <a:ln w="25400">
              <a:prstDash val="dash"/>
            </a:ln>
          </c:spPr>
          <c:marker>
            <c:symbol val="none"/>
          </c:marker>
          <c:dLbls>
            <c:dLbl>
              <c:idx val="0"/>
              <c:layout>
                <c:manualLayout>
                  <c:x val="-3.5623593562432596E-2"/>
                  <c:y val="-3.0867152912418611E-2"/>
                </c:manualLayout>
              </c:layout>
              <c:showVal val="1"/>
            </c:dLbl>
            <c:dLbl>
              <c:idx val="1"/>
              <c:layout>
                <c:manualLayout>
                  <c:x val="-2.8116462186412745E-2"/>
                  <c:y val="2.6166264392830128E-2"/>
                </c:manualLayout>
              </c:layout>
              <c:showVal val="1"/>
            </c:dLbl>
            <c:dLbl>
              <c:idx val="2"/>
              <c:layout>
                <c:manualLayout>
                  <c:x val="-3.8218315733789095E-2"/>
                  <c:y val="2.9772440505238348E-2"/>
                </c:manualLayout>
              </c:layout>
              <c:showVal val="1"/>
            </c:dLbl>
            <c:dLbl>
              <c:idx val="3"/>
              <c:layout>
                <c:manualLayout>
                  <c:x val="-9.2095790351787526E-2"/>
                  <c:y val="-4.1442998017207694E-3"/>
                </c:manualLayout>
              </c:layout>
              <c:showVal val="1"/>
            </c:dLbl>
            <c:dLbl>
              <c:idx val="4"/>
              <c:layout>
                <c:manualLayout>
                  <c:x val="-1.2490182913182367E-2"/>
                  <c:y val="-1.4382498670078301E-2"/>
                </c:manualLayout>
              </c:layout>
              <c:showVal val="1"/>
            </c:dLbl>
            <c:dLbl>
              <c:idx val="5"/>
              <c:layout>
                <c:manualLayout>
                  <c:x val="-2.025514252578926E-2"/>
                  <c:y val="-2.0506073675464052E-2"/>
                </c:manualLayout>
              </c:layout>
              <c:showVal val="1"/>
            </c:dLbl>
            <c:dLbl>
              <c:idx val="6"/>
              <c:layout>
                <c:manualLayout>
                  <c:x val="-8.3264359396936841E-2"/>
                  <c:y val="-1.1192225343691341E-2"/>
                </c:manualLayout>
              </c:layout>
              <c:showVal val="1"/>
            </c:dLbl>
            <c:dLbl>
              <c:idx val="7"/>
              <c:layout>
                <c:manualLayout>
                  <c:x val="-9.2176524446072147E-2"/>
                  <c:y val="9.5053130921449267E-3"/>
                </c:manualLayout>
              </c:layout>
              <c:showVal val="1"/>
            </c:dLbl>
            <c:dLbl>
              <c:idx val="8"/>
              <c:layout>
                <c:manualLayout>
                  <c:x val="-2.4001953244216591E-2"/>
                  <c:y val="-3.4482121895567076E-2"/>
                </c:manualLayout>
              </c:layout>
              <c:showVal val="1"/>
            </c:dLbl>
            <c:dLbl>
              <c:idx val="9"/>
              <c:layout>
                <c:manualLayout>
                  <c:x val="-4.396003987873652E-2"/>
                  <c:y val="3.1301960370531581E-2"/>
                </c:manualLayout>
              </c:layout>
              <c:showVal val="1"/>
            </c:dLbl>
            <c:dLbl>
              <c:idx val="10"/>
              <c:layout>
                <c:manualLayout>
                  <c:x val="-8.563755112006427E-2"/>
                  <c:y val="2.4721156086645211E-3"/>
                </c:manualLayout>
              </c:layout>
              <c:showVal val="1"/>
            </c:dLbl>
            <c:dLbl>
              <c:idx val="11"/>
              <c:layout>
                <c:manualLayout>
                  <c:x val="-6.1384117682964048E-2"/>
                  <c:y val="1.7849307781250962E-2"/>
                </c:manualLayout>
              </c:layout>
              <c:showVal val="1"/>
            </c:dLbl>
            <c:dLbl>
              <c:idx val="12"/>
              <c:layout>
                <c:manualLayout>
                  <c:x val="-2.1287594864595413E-2"/>
                  <c:y val="-1.7030032050013848E-2"/>
                </c:manualLayout>
              </c:layout>
              <c:showVal val="1"/>
            </c:dLbl>
            <c:dLbl>
              <c:idx val="13"/>
              <c:layout>
                <c:manualLayout>
                  <c:x val="-5.2657836375104294E-3"/>
                  <c:y val="-4.8464105303419975E-3"/>
                </c:manualLayout>
              </c:layout>
              <c:showVal val="1"/>
            </c:dLbl>
            <c:dLbl>
              <c:idx val="14"/>
              <c:layout>
                <c:manualLayout>
                  <c:x val="-6.8181570326964897E-2"/>
                  <c:y val="-1.4249286678361178E-2"/>
                </c:manualLayout>
              </c:layout>
              <c:showVal val="1"/>
            </c:dLbl>
            <c:dLbl>
              <c:idx val="15"/>
              <c:layout>
                <c:manualLayout>
                  <c:x val="-6.5044660115160025E-2"/>
                  <c:y val="1.8093749587834183E-2"/>
                </c:manualLayout>
              </c:layout>
              <c:showVal val="1"/>
            </c:dLbl>
            <c:dLbl>
              <c:idx val="16"/>
              <c:layout>
                <c:manualLayout>
                  <c:x val="-3.6638792243992781E-2"/>
                  <c:y val="-2.0679073407281548E-2"/>
                </c:manualLayout>
              </c:layout>
              <c:showVal val="1"/>
            </c:dLbl>
            <c:dLbl>
              <c:idx val="17"/>
              <c:layout>
                <c:manualLayout>
                  <c:x val="-7.5388227634337016E-2"/>
                  <c:y val="-3.1392746760926416E-3"/>
                </c:manualLayout>
              </c:layout>
              <c:showVal val="1"/>
            </c:dLbl>
            <c:dLbl>
              <c:idx val="18"/>
              <c:layout>
                <c:manualLayout>
                  <c:x val="-2.6857107977782091E-4"/>
                  <c:y val="-6.8951494128560876E-3"/>
                </c:manualLayout>
              </c:layout>
              <c:showVal val="1"/>
            </c:dLbl>
            <c:dLbl>
              <c:idx val="19"/>
              <c:layout>
                <c:manualLayout>
                  <c:x val="-2.9930518439337254E-2"/>
                  <c:y val="1.5657818232210161E-2"/>
                </c:manualLayout>
              </c:layout>
              <c:dLblPos val="r"/>
              <c:showVal val="1"/>
            </c:dLbl>
            <c:txPr>
              <a:bodyPr/>
              <a:lstStyle/>
              <a:p>
                <a:pPr>
                  <a:defRPr sz="1000"/>
                </a:pPr>
                <a:endParaRPr lang="ru-RU"/>
              </a:p>
            </c:txPr>
            <c:dLblPos val="t"/>
            <c:showVal val="1"/>
          </c:dLbls>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Sheet1!$B$2:$T$2</c:f>
              <c:numCache>
                <c:formatCode>0.0</c:formatCode>
                <c:ptCount val="19"/>
                <c:pt idx="0">
                  <c:v>2961.7</c:v>
                </c:pt>
                <c:pt idx="1">
                  <c:v>2627.5</c:v>
                </c:pt>
                <c:pt idx="2">
                  <c:v>2966.2</c:v>
                </c:pt>
                <c:pt idx="3">
                  <c:v>3502.2</c:v>
                </c:pt>
                <c:pt idx="4">
                  <c:v>3196.5</c:v>
                </c:pt>
                <c:pt idx="5">
                  <c:v>2548.6</c:v>
                </c:pt>
                <c:pt idx="6">
                  <c:v>1634.6</c:v>
                </c:pt>
                <c:pt idx="7">
                  <c:v>3767.7</c:v>
                </c:pt>
                <c:pt idx="8">
                  <c:v>2931.8</c:v>
                </c:pt>
                <c:pt idx="9">
                  <c:v>3030.8</c:v>
                </c:pt>
                <c:pt idx="10">
                  <c:v>3697.9</c:v>
                </c:pt>
                <c:pt idx="11">
                  <c:v>2987.7</c:v>
                </c:pt>
                <c:pt idx="12">
                  <c:v>2714.4</c:v>
                </c:pt>
                <c:pt idx="13">
                  <c:v>2348.5</c:v>
                </c:pt>
                <c:pt idx="14">
                  <c:v>3546</c:v>
                </c:pt>
                <c:pt idx="15">
                  <c:v>3226.5</c:v>
                </c:pt>
                <c:pt idx="16">
                  <c:v>2872.2</c:v>
                </c:pt>
                <c:pt idx="17">
                  <c:v>3621.3</c:v>
                </c:pt>
                <c:pt idx="18">
                  <c:v>3683.7</c:v>
                </c:pt>
              </c:numCache>
            </c:numRef>
          </c:val>
        </c:ser>
        <c:ser>
          <c:idx val="1"/>
          <c:order val="1"/>
          <c:tx>
            <c:strRef>
              <c:f>Sheet1!$A$3</c:f>
              <c:strCache>
                <c:ptCount val="1"/>
                <c:pt idx="0">
                  <c:v>2016 год</c:v>
                </c:pt>
              </c:strCache>
            </c:strRef>
          </c:tx>
          <c:spPr>
            <a:ln w="31750"/>
          </c:spPr>
          <c:marker>
            <c:symbol val="none"/>
          </c:marker>
          <c:dLbls>
            <c:dLbl>
              <c:idx val="0"/>
              <c:layout>
                <c:manualLayout>
                  <c:x val="-3.6226983255000102E-2"/>
                  <c:y val="3.8175127606536671E-2"/>
                </c:manualLayout>
              </c:layout>
              <c:showVal val="1"/>
            </c:dLbl>
            <c:dLbl>
              <c:idx val="1"/>
              <c:layout>
                <c:manualLayout>
                  <c:x val="-4.6572015707338897E-2"/>
                  <c:y val="-2.9942802375833681E-2"/>
                </c:manualLayout>
              </c:layout>
              <c:showVal val="1"/>
            </c:dLbl>
            <c:dLbl>
              <c:idx val="2"/>
              <c:layout>
                <c:manualLayout>
                  <c:x val="-6.8695436326273174E-2"/>
                  <c:y val="-1.0506161604171341E-2"/>
                </c:manualLayout>
              </c:layout>
              <c:showVal val="1"/>
            </c:dLbl>
            <c:dLbl>
              <c:idx val="3"/>
              <c:layout>
                <c:manualLayout>
                  <c:x val="-8.6571852936987548E-2"/>
                  <c:y val="-2.0487388825140493E-3"/>
                </c:manualLayout>
              </c:layout>
              <c:showVal val="1"/>
            </c:dLbl>
            <c:dLbl>
              <c:idx val="4"/>
              <c:layout>
                <c:manualLayout>
                  <c:x val="-6.2330790046593774E-2"/>
                  <c:y val="2.4638722923453881E-2"/>
                </c:manualLayout>
              </c:layout>
              <c:showVal val="1"/>
            </c:dLbl>
            <c:dLbl>
              <c:idx val="5"/>
              <c:layout>
                <c:manualLayout>
                  <c:x val="-6.7771877352540533E-2"/>
                  <c:y val="1.6394966960788245E-2"/>
                </c:manualLayout>
              </c:layout>
              <c:showVal val="1"/>
            </c:dLbl>
            <c:dLbl>
              <c:idx val="6"/>
              <c:layout>
                <c:manualLayout>
                  <c:x val="-5.6971250686687356E-3"/>
                  <c:y val="-8.4470910985373227E-3"/>
                </c:manualLayout>
              </c:layout>
              <c:showVal val="1"/>
            </c:dLbl>
            <c:dLbl>
              <c:idx val="7"/>
              <c:layout>
                <c:manualLayout>
                  <c:x val="-1.0144011068383901E-2"/>
                  <c:y val="2.9194529075825342E-3"/>
                </c:manualLayout>
              </c:layout>
              <c:spPr>
                <a:noFill/>
              </c:spPr>
              <c:txPr>
                <a:bodyPr/>
                <a:lstStyle/>
                <a:p>
                  <a:pPr>
                    <a:defRPr sz="1000" b="1"/>
                  </a:pPr>
                  <a:endParaRPr lang="ru-RU"/>
                </a:p>
              </c:txPr>
              <c:showVal val="1"/>
            </c:dLbl>
            <c:dLbl>
              <c:idx val="8"/>
              <c:layout>
                <c:manualLayout>
                  <c:x val="-5.8325500010173149E-2"/>
                  <c:y val="1.6655235934704141E-2"/>
                </c:manualLayout>
              </c:layout>
              <c:showVal val="1"/>
            </c:dLbl>
            <c:dLbl>
              <c:idx val="9"/>
              <c:layout>
                <c:manualLayout>
                  <c:x val="-2.0935848135262211E-2"/>
                  <c:y val="1.2142734670728973E-2"/>
                </c:manualLayout>
              </c:layout>
              <c:showVal val="1"/>
            </c:dLbl>
            <c:dLbl>
              <c:idx val="10"/>
              <c:layout>
                <c:manualLayout>
                  <c:x val="-6.3996419052270038E-3"/>
                  <c:y val="8.0498731628395482E-4"/>
                </c:manualLayout>
              </c:layout>
              <c:showVal val="1"/>
            </c:dLbl>
            <c:dLbl>
              <c:idx val="11"/>
              <c:layout>
                <c:manualLayout>
                  <c:x val="-2.1499684632444199E-2"/>
                  <c:y val="-2.3889350514602812E-2"/>
                </c:manualLayout>
              </c:layout>
              <c:showVal val="1"/>
            </c:dLbl>
            <c:dLbl>
              <c:idx val="12"/>
              <c:layout>
                <c:manualLayout>
                  <c:x val="-7.1702618568027829E-2"/>
                  <c:y val="1.8031540027345881E-2"/>
                </c:manualLayout>
              </c:layout>
              <c:showVal val="1"/>
            </c:dLbl>
            <c:dLbl>
              <c:idx val="13"/>
              <c:layout>
                <c:manualLayout>
                  <c:x val="-2.0197847362102991E-2"/>
                  <c:y val="1.3854926425654078E-2"/>
                </c:manualLayout>
              </c:layout>
              <c:showVal val="1"/>
            </c:dLbl>
            <c:dLbl>
              <c:idx val="14"/>
              <c:layout>
                <c:manualLayout>
                  <c:x val="-6.6499013204744772E-2"/>
                  <c:y val="-1.1213108411699793E-2"/>
                </c:manualLayout>
              </c:layout>
              <c:showVal val="1"/>
            </c:dLbl>
            <c:dLbl>
              <c:idx val="15"/>
              <c:layout>
                <c:manualLayout>
                  <c:x val="-3.2217135648741652E-2"/>
                  <c:y val="-1.6136676382788821E-2"/>
                </c:manualLayout>
              </c:layout>
              <c:showVal val="1"/>
            </c:dLbl>
            <c:dLbl>
              <c:idx val="16"/>
              <c:layout>
                <c:manualLayout>
                  <c:x val="-5.5296994852388495E-2"/>
                  <c:y val="1.310687294741433E-2"/>
                </c:manualLayout>
              </c:layout>
              <c:showVal val="1"/>
            </c:dLbl>
            <c:dLbl>
              <c:idx val="17"/>
              <c:layout>
                <c:manualLayout>
                  <c:x val="-2.5567478483794252E-2"/>
                  <c:y val="1.5831343946328319E-2"/>
                </c:manualLayout>
              </c:layout>
              <c:showVal val="1"/>
            </c:dLbl>
            <c:dLbl>
              <c:idx val="18"/>
              <c:layout>
                <c:manualLayout>
                  <c:x val="-6.4502634845063876E-3"/>
                  <c:y val="-1.7351851119112749E-2"/>
                </c:manualLayout>
              </c:layout>
              <c:showVal val="1"/>
            </c:dLbl>
            <c:dLbl>
              <c:idx val="19"/>
              <c:layout>
                <c:manualLayout>
                  <c:x val="0"/>
                  <c:y val="-2.5052509171536237E-2"/>
                </c:manualLayout>
              </c:layout>
              <c:dLblPos val="r"/>
              <c:showVal val="1"/>
            </c:dLbl>
            <c:txPr>
              <a:bodyPr/>
              <a:lstStyle/>
              <a:p>
                <a:pPr>
                  <a:defRPr sz="1000" b="1"/>
                </a:pPr>
                <a:endParaRPr lang="ru-RU"/>
              </a:p>
            </c:txPr>
            <c:dLblPos val="t"/>
            <c:showVal val="1"/>
          </c:dLbls>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Sheet1!$B$3:$T$3</c:f>
              <c:numCache>
                <c:formatCode>0.0</c:formatCode>
                <c:ptCount val="19"/>
                <c:pt idx="0">
                  <c:v>2887.4</c:v>
                </c:pt>
                <c:pt idx="1">
                  <c:v>2710.4</c:v>
                </c:pt>
                <c:pt idx="2">
                  <c:v>3075.4</c:v>
                </c:pt>
                <c:pt idx="3">
                  <c:v>3732.7</c:v>
                </c:pt>
                <c:pt idx="4">
                  <c:v>3080.1</c:v>
                </c:pt>
                <c:pt idx="5">
                  <c:v>2463.5</c:v>
                </c:pt>
                <c:pt idx="6">
                  <c:v>1875.9</c:v>
                </c:pt>
                <c:pt idx="7">
                  <c:v>4319.4000000000005</c:v>
                </c:pt>
                <c:pt idx="8">
                  <c:v>2915.3</c:v>
                </c:pt>
                <c:pt idx="9">
                  <c:v>3038.9</c:v>
                </c:pt>
                <c:pt idx="10">
                  <c:v>3749.6</c:v>
                </c:pt>
                <c:pt idx="11">
                  <c:v>3003</c:v>
                </c:pt>
                <c:pt idx="12">
                  <c:v>2691.3</c:v>
                </c:pt>
                <c:pt idx="13">
                  <c:v>2126.6</c:v>
                </c:pt>
                <c:pt idx="14">
                  <c:v>3304.8</c:v>
                </c:pt>
                <c:pt idx="15">
                  <c:v>3241.3</c:v>
                </c:pt>
                <c:pt idx="16">
                  <c:v>2767</c:v>
                </c:pt>
                <c:pt idx="17">
                  <c:v>2979.8</c:v>
                </c:pt>
                <c:pt idx="18">
                  <c:v>3953.6</c:v>
                </c:pt>
              </c:numCache>
            </c:numRef>
          </c:val>
        </c:ser>
        <c:ser>
          <c:idx val="2"/>
          <c:order val="2"/>
          <c:tx>
            <c:strRef>
              <c:f>Sheet1!$A$4</c:f>
              <c:strCache>
                <c:ptCount val="1"/>
                <c:pt idx="0">
                  <c:v>средняя заработная плата в целом по республике за 2016 год</c:v>
                </c:pt>
              </c:strCache>
            </c:strRef>
          </c:tx>
          <c:spPr>
            <a:ln w="34925">
              <a:prstDash val="solid"/>
            </a:ln>
          </c:spPr>
          <c:marker>
            <c:symbol val="none"/>
          </c:marker>
          <c:trendline>
            <c:trendlineType val="linear"/>
          </c:trendline>
          <c:trendline>
            <c:trendlineType val="linear"/>
          </c:trendline>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Sheet1!$B$4:$T$4</c:f>
              <c:numCache>
                <c:formatCode>General</c:formatCode>
                <c:ptCount val="19"/>
                <c:pt idx="0">
                  <c:v>3844</c:v>
                </c:pt>
                <c:pt idx="1">
                  <c:v>3844</c:v>
                </c:pt>
                <c:pt idx="2">
                  <c:v>3844</c:v>
                </c:pt>
                <c:pt idx="3">
                  <c:v>3844</c:v>
                </c:pt>
                <c:pt idx="4">
                  <c:v>3844</c:v>
                </c:pt>
                <c:pt idx="5">
                  <c:v>3844</c:v>
                </c:pt>
                <c:pt idx="6">
                  <c:v>3844</c:v>
                </c:pt>
                <c:pt idx="7">
                  <c:v>3844</c:v>
                </c:pt>
                <c:pt idx="8">
                  <c:v>3844</c:v>
                </c:pt>
                <c:pt idx="9">
                  <c:v>3844</c:v>
                </c:pt>
                <c:pt idx="10">
                  <c:v>3844</c:v>
                </c:pt>
                <c:pt idx="11">
                  <c:v>3844</c:v>
                </c:pt>
                <c:pt idx="12">
                  <c:v>3844</c:v>
                </c:pt>
                <c:pt idx="13">
                  <c:v>3844</c:v>
                </c:pt>
                <c:pt idx="14">
                  <c:v>3844</c:v>
                </c:pt>
                <c:pt idx="15">
                  <c:v>3844</c:v>
                </c:pt>
                <c:pt idx="16">
                  <c:v>3844</c:v>
                </c:pt>
                <c:pt idx="17">
                  <c:v>3844</c:v>
                </c:pt>
                <c:pt idx="18">
                  <c:v>3844</c:v>
                </c:pt>
              </c:numCache>
            </c:numRef>
          </c:val>
        </c:ser>
        <c:marker val="1"/>
        <c:axId val="158720000"/>
        <c:axId val="158721536"/>
      </c:lineChart>
      <c:catAx>
        <c:axId val="158720000"/>
        <c:scaling>
          <c:orientation val="minMax"/>
        </c:scaling>
        <c:axPos val="b"/>
        <c:numFmt formatCode="General" sourceLinked="1"/>
        <c:tickLblPos val="nextTo"/>
        <c:txPr>
          <a:bodyPr rot="-5400000" vert="horz"/>
          <a:lstStyle/>
          <a:p>
            <a:pPr>
              <a:defRPr sz="1000"/>
            </a:pPr>
            <a:endParaRPr lang="ru-RU"/>
          </a:p>
        </c:txPr>
        <c:crossAx val="158721536"/>
        <c:crosses val="autoZero"/>
        <c:auto val="1"/>
        <c:lblAlgn val="ctr"/>
        <c:lblOffset val="200"/>
        <c:tickLblSkip val="1"/>
        <c:tickMarkSkip val="1"/>
      </c:catAx>
      <c:valAx>
        <c:axId val="158721536"/>
        <c:scaling>
          <c:orientation val="minMax"/>
          <c:max val="4500"/>
          <c:min val="1500"/>
        </c:scaling>
        <c:axPos val="l"/>
        <c:numFmt formatCode="General" sourceLinked="0"/>
        <c:tickLblPos val="nextTo"/>
        <c:txPr>
          <a:bodyPr rot="0" vert="horz"/>
          <a:lstStyle/>
          <a:p>
            <a:pPr>
              <a:defRPr sz="1000"/>
            </a:pPr>
            <a:endParaRPr lang="ru-RU"/>
          </a:p>
        </c:txPr>
        <c:crossAx val="158720000"/>
        <c:crosses val="autoZero"/>
        <c:crossBetween val="between"/>
        <c:majorUnit val="500"/>
      </c:valAx>
    </c:plotArea>
    <c:legend>
      <c:legendPos val="r"/>
      <c:legendEntry>
        <c:idx val="3"/>
        <c:delete val="1"/>
      </c:legendEntry>
      <c:legendEntry>
        <c:idx val="4"/>
        <c:delete val="1"/>
      </c:legendEntry>
      <c:layout>
        <c:manualLayout>
          <c:xMode val="edge"/>
          <c:yMode val="edge"/>
          <c:x val="0"/>
          <c:y val="0.94346283929698649"/>
          <c:w val="0.97309161936153876"/>
          <c:h val="4.2578690321937784E-2"/>
        </c:manualLayout>
      </c:layout>
      <c:txPr>
        <a:bodyPr/>
        <a:lstStyle/>
        <a:p>
          <a:pPr>
            <a:defRPr sz="1000"/>
          </a:pPr>
          <a:endParaRPr lang="ru-RU"/>
        </a:p>
      </c:txPr>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12688713910761154"/>
          <c:y val="3.7111628652052288E-2"/>
          <c:w val="0.87311278798483527"/>
          <c:h val="0.52356255468066248"/>
        </c:manualLayout>
      </c:layout>
      <c:bar3DChart>
        <c:barDir val="col"/>
        <c:grouping val="clustered"/>
        <c:ser>
          <c:idx val="0"/>
          <c:order val="0"/>
          <c:tx>
            <c:strRef>
              <c:f>Лист1!$B$1</c:f>
              <c:strCache>
                <c:ptCount val="1"/>
                <c:pt idx="0">
                  <c:v>2015 год</c:v>
                </c:pt>
              </c:strCache>
            </c:strRef>
          </c:tx>
          <c:spPr>
            <a:solidFill>
              <a:schemeClr val="accent5">
                <a:lumMod val="20000"/>
                <a:lumOff val="80000"/>
              </a:schemeClr>
            </a:solidFill>
          </c:spPr>
          <c:dLbls>
            <c:dLbl>
              <c:idx val="1"/>
              <c:layout>
                <c:manualLayout>
                  <c:x val="-2.2408963585434497E-3"/>
                  <c:y val="8.7145969498910701E-3"/>
                </c:manualLayout>
              </c:layout>
              <c:showVal val="1"/>
            </c:dLbl>
            <c:dLbl>
              <c:idx val="3"/>
              <c:layout>
                <c:manualLayout>
                  <c:x val="0"/>
                  <c:y val="3.1900914346491001E-3"/>
                </c:manualLayout>
              </c:layout>
              <c:showVal val="1"/>
            </c:dLbl>
            <c:dLbl>
              <c:idx val="4"/>
              <c:layout>
                <c:manualLayout>
                  <c:x val="0"/>
                  <c:y val="2.9046369203849652E-3"/>
                </c:manualLayout>
              </c:layout>
              <c:showVal val="1"/>
            </c:dLbl>
            <c:dLbl>
              <c:idx val="6"/>
              <c:layout>
                <c:manualLayout>
                  <c:x val="-4.4817927170867876E-3"/>
                  <c:y val="3.303265143702561E-17"/>
                </c:manualLayout>
              </c:layout>
              <c:showVal val="1"/>
            </c:dLbl>
            <c:dLbl>
              <c:idx val="7"/>
              <c:layout>
                <c:manualLayout>
                  <c:x val="-4.4817927170869081E-3"/>
                  <c:y val="7.1583208961624898E-3"/>
                </c:manualLayout>
              </c:layout>
              <c:showVal val="1"/>
            </c:dLbl>
            <c:txPr>
              <a:bodyPr/>
              <a:lstStyle/>
              <a:p>
                <a:pPr>
                  <a:defRPr>
                    <a:latin typeface="Times New Roman" pitchFamily="18" charset="0"/>
                    <a:cs typeface="Times New Roman" pitchFamily="18" charset="0"/>
                  </a:defRPr>
                </a:pPr>
                <a:endParaRPr lang="ru-RU"/>
              </a:p>
            </c:txPr>
            <c:showVal val="1"/>
          </c:dLbls>
          <c:cat>
            <c:strRef>
              <c:f>Лист1!$A$2:$A$11</c:f>
              <c:strCache>
                <c:ptCount val="10"/>
                <c:pt idx="0">
                  <c:v>Промышленность</c:v>
                </c:pt>
                <c:pt idx="1">
                  <c:v>Сельское хозяйство</c:v>
                </c:pt>
                <c:pt idx="2">
                  <c:v>Транспорт</c:v>
                </c:pt>
                <c:pt idx="3">
                  <c:v>Связь</c:v>
                </c:pt>
                <c:pt idx="4">
                  <c:v>Строительство</c:v>
                </c:pt>
                <c:pt idx="5">
                  <c:v>Торговля и общепит</c:v>
                </c:pt>
                <c:pt idx="6">
                  <c:v>Операции с недвижимым имуществом</c:v>
                </c:pt>
                <c:pt idx="7">
                  <c:v>Здравоохранение и социальное обеспечение</c:v>
                </c:pt>
                <c:pt idx="8">
                  <c:v>Культура и искусство</c:v>
                </c:pt>
                <c:pt idx="9">
                  <c:v>Отдых и туризм</c:v>
                </c:pt>
              </c:strCache>
            </c:strRef>
          </c:cat>
          <c:val>
            <c:numRef>
              <c:f>Лист1!$B$2:$B$11</c:f>
              <c:numCache>
                <c:formatCode>#,##0.0</c:formatCode>
                <c:ptCount val="10"/>
                <c:pt idx="0">
                  <c:v>20.9</c:v>
                </c:pt>
                <c:pt idx="1">
                  <c:v>49.6</c:v>
                </c:pt>
                <c:pt idx="2">
                  <c:v>1.6</c:v>
                </c:pt>
                <c:pt idx="3">
                  <c:v>1.2</c:v>
                </c:pt>
                <c:pt idx="4">
                  <c:v>32.44</c:v>
                </c:pt>
                <c:pt idx="5">
                  <c:v>21.4</c:v>
                </c:pt>
                <c:pt idx="6">
                  <c:v>42.1</c:v>
                </c:pt>
                <c:pt idx="7">
                  <c:v>0.60000000000000064</c:v>
                </c:pt>
                <c:pt idx="8">
                  <c:v>2.4</c:v>
                </c:pt>
                <c:pt idx="9">
                  <c:v>3.4</c:v>
                </c:pt>
              </c:numCache>
            </c:numRef>
          </c:val>
        </c:ser>
        <c:ser>
          <c:idx val="1"/>
          <c:order val="1"/>
          <c:tx>
            <c:strRef>
              <c:f>Лист1!$C$1</c:f>
              <c:strCache>
                <c:ptCount val="1"/>
                <c:pt idx="0">
                  <c:v>2016 год</c:v>
                </c:pt>
              </c:strCache>
            </c:strRef>
          </c:tx>
          <c:spPr>
            <a:solidFill>
              <a:srgbClr val="00B0F0"/>
            </a:solidFill>
          </c:spPr>
          <c:dLbls>
            <c:dLbl>
              <c:idx val="0"/>
              <c:layout>
                <c:manualLayout>
                  <c:x val="1.5712682379349044E-2"/>
                  <c:y val="-3.9320927581828102E-7"/>
                </c:manualLayout>
              </c:layout>
              <c:showVal val="1"/>
            </c:dLbl>
            <c:dLbl>
              <c:idx val="1"/>
              <c:layout>
                <c:manualLayout>
                  <c:x val="1.3468013468013481E-2"/>
                  <c:y val="0"/>
                </c:manualLayout>
              </c:layout>
              <c:showVal val="1"/>
            </c:dLbl>
            <c:dLbl>
              <c:idx val="2"/>
              <c:layout>
                <c:manualLayout>
                  <c:x val="1.3467963563378109E-2"/>
                  <c:y val="2.9048656499636887E-3"/>
                </c:manualLayout>
              </c:layout>
              <c:showVal val="1"/>
            </c:dLbl>
            <c:dLbl>
              <c:idx val="3"/>
              <c:layout>
                <c:manualLayout>
                  <c:x val="1.8588686515195706E-2"/>
                  <c:y val="4.1019591652167123E-3"/>
                </c:manualLayout>
              </c:layout>
              <c:showVal val="1"/>
            </c:dLbl>
            <c:dLbl>
              <c:idx val="4"/>
              <c:layout>
                <c:manualLayout>
                  <c:x val="1.3888888888889499E-2"/>
                  <c:y val="0"/>
                </c:manualLayout>
              </c:layout>
              <c:showVal val="1"/>
            </c:dLbl>
            <c:dLbl>
              <c:idx val="5"/>
              <c:layout>
                <c:manualLayout>
                  <c:x val="1.5712682379349044E-2"/>
                  <c:y val="0"/>
                </c:manualLayout>
              </c:layout>
              <c:showVal val="1"/>
            </c:dLbl>
            <c:dLbl>
              <c:idx val="6"/>
              <c:layout>
                <c:manualLayout>
                  <c:x val="1.1574074074074075E-2"/>
                  <c:y val="3.968253968253981E-3"/>
                </c:manualLayout>
              </c:layout>
              <c:showVal val="1"/>
            </c:dLbl>
            <c:dLbl>
              <c:idx val="7"/>
              <c:layout>
                <c:manualLayout>
                  <c:x val="1.3888888888889499E-2"/>
                  <c:y val="0"/>
                </c:manualLayout>
              </c:layout>
              <c:showVal val="1"/>
            </c:dLbl>
            <c:dLbl>
              <c:idx val="8"/>
              <c:layout>
                <c:manualLayout>
                  <c:x val="1.5686274509803921E-2"/>
                  <c:y val="-2.9048656499636887E-3"/>
                </c:manualLayout>
              </c:layout>
              <c:showVal val="1"/>
            </c:dLbl>
            <c:dLbl>
              <c:idx val="9"/>
              <c:layout>
                <c:manualLayout>
                  <c:x val="1.3445378151260587E-2"/>
                  <c:y val="0"/>
                </c:manualLayout>
              </c:layout>
              <c:showVal val="1"/>
            </c:dLbl>
            <c:txPr>
              <a:bodyPr/>
              <a:lstStyle/>
              <a:p>
                <a:pPr>
                  <a:defRPr>
                    <a:latin typeface="Times New Roman" pitchFamily="18" charset="0"/>
                    <a:cs typeface="Times New Roman" pitchFamily="18" charset="0"/>
                  </a:defRPr>
                </a:pPr>
                <a:endParaRPr lang="ru-RU"/>
              </a:p>
            </c:txPr>
            <c:showVal val="1"/>
          </c:dLbls>
          <c:cat>
            <c:strRef>
              <c:f>Лист1!$A$2:$A$11</c:f>
              <c:strCache>
                <c:ptCount val="10"/>
                <c:pt idx="0">
                  <c:v>Промышленность</c:v>
                </c:pt>
                <c:pt idx="1">
                  <c:v>Сельское хозяйство</c:v>
                </c:pt>
                <c:pt idx="2">
                  <c:v>Транспорт</c:v>
                </c:pt>
                <c:pt idx="3">
                  <c:v>Связь</c:v>
                </c:pt>
                <c:pt idx="4">
                  <c:v>Строительство</c:v>
                </c:pt>
                <c:pt idx="5">
                  <c:v>Торговля и общепит</c:v>
                </c:pt>
                <c:pt idx="6">
                  <c:v>Операции с недвижимым имуществом</c:v>
                </c:pt>
                <c:pt idx="7">
                  <c:v>Здравоохранение и социальное обеспечение</c:v>
                </c:pt>
                <c:pt idx="8">
                  <c:v>Культура и искусство</c:v>
                </c:pt>
                <c:pt idx="9">
                  <c:v>Отдых и туризм</c:v>
                </c:pt>
              </c:strCache>
            </c:strRef>
          </c:cat>
          <c:val>
            <c:numRef>
              <c:f>Лист1!$C$2:$C$11</c:f>
              <c:numCache>
                <c:formatCode>#,##0.0</c:formatCode>
                <c:ptCount val="10"/>
                <c:pt idx="0">
                  <c:v>7.9</c:v>
                </c:pt>
                <c:pt idx="1">
                  <c:v>70.400000000000006</c:v>
                </c:pt>
                <c:pt idx="2">
                  <c:v>0.60000000000000064</c:v>
                </c:pt>
                <c:pt idx="3">
                  <c:v>0.2</c:v>
                </c:pt>
                <c:pt idx="4">
                  <c:v>10.3</c:v>
                </c:pt>
                <c:pt idx="5">
                  <c:v>18.399999999999999</c:v>
                </c:pt>
                <c:pt idx="6">
                  <c:v>134.1</c:v>
                </c:pt>
                <c:pt idx="7">
                  <c:v>1.1000000000000001</c:v>
                </c:pt>
                <c:pt idx="8">
                  <c:v>1.9000000000000001</c:v>
                </c:pt>
                <c:pt idx="9">
                  <c:v>0.70000000000000062</c:v>
                </c:pt>
              </c:numCache>
            </c:numRef>
          </c:val>
        </c:ser>
        <c:shape val="cylinder"/>
        <c:axId val="158740480"/>
        <c:axId val="158742016"/>
        <c:axId val="0"/>
      </c:bar3DChart>
      <c:catAx>
        <c:axId val="158740480"/>
        <c:scaling>
          <c:orientation val="minMax"/>
        </c:scaling>
        <c:axPos val="b"/>
        <c:numFmt formatCode="General" sourceLinked="1"/>
        <c:tickLblPos val="low"/>
        <c:txPr>
          <a:bodyPr rot="-5400000" vert="horz"/>
          <a:lstStyle/>
          <a:p>
            <a:pPr>
              <a:defRPr sz="900" b="1">
                <a:latin typeface="Times New Roman" pitchFamily="18" charset="0"/>
                <a:cs typeface="Times New Roman" pitchFamily="18" charset="0"/>
              </a:defRPr>
            </a:pPr>
            <a:endParaRPr lang="ru-RU"/>
          </a:p>
        </c:txPr>
        <c:crossAx val="158742016"/>
        <c:crosses val="autoZero"/>
        <c:auto val="1"/>
        <c:lblAlgn val="ctr"/>
        <c:lblOffset val="100"/>
      </c:catAx>
      <c:valAx>
        <c:axId val="158742016"/>
        <c:scaling>
          <c:orientation val="minMax"/>
          <c:max val="140"/>
          <c:min val="0"/>
        </c:scaling>
        <c:axPos val="l"/>
        <c:numFmt formatCode="#,##0.0" sourceLinked="1"/>
        <c:tickLblPos val="nextTo"/>
        <c:txPr>
          <a:bodyPr/>
          <a:lstStyle/>
          <a:p>
            <a:pPr>
              <a:defRPr b="1">
                <a:latin typeface="Times New Roman" pitchFamily="18" charset="0"/>
                <a:cs typeface="Times New Roman" pitchFamily="18" charset="0"/>
              </a:defRPr>
            </a:pPr>
            <a:endParaRPr lang="ru-RU"/>
          </a:p>
        </c:txPr>
        <c:crossAx val="158740480"/>
        <c:crosses val="autoZero"/>
        <c:crossBetween val="between"/>
        <c:majorUnit val="20"/>
      </c:valAx>
      <c:spPr>
        <a:noFill/>
        <a:ln w="25400">
          <a:noFill/>
        </a:ln>
      </c:spPr>
    </c:plotArea>
    <c:legend>
      <c:legendPos val="l"/>
      <c:layout>
        <c:manualLayout>
          <c:xMode val="edge"/>
          <c:yMode val="edge"/>
          <c:x val="2.3598820058996987E-2"/>
          <c:y val="0.71029073997329273"/>
          <c:w val="0.13456685170990795"/>
          <c:h val="0.28970926002670716"/>
        </c:manualLayout>
      </c:layout>
      <c:txPr>
        <a:bodyPr/>
        <a:lstStyle/>
        <a:p>
          <a:pPr>
            <a:defRPr sz="900">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100" b="1" i="0" baseline="0"/>
              <a:t>2016 год</a:t>
            </a:r>
            <a:endParaRPr lang="ru-RU" sz="1100"/>
          </a:p>
        </c:rich>
      </c:tx>
      <c:layout>
        <c:manualLayout>
          <c:xMode val="edge"/>
          <c:yMode val="edge"/>
          <c:x val="0.31622693715010042"/>
          <c:y val="4.0508820118415431E-2"/>
        </c:manualLayout>
      </c:layout>
      <c:spPr>
        <a:noFill/>
        <a:ln w="25095">
          <a:noFill/>
        </a:ln>
      </c:spPr>
    </c:title>
    <c:view3D>
      <c:rotX val="30"/>
      <c:perspective val="30"/>
    </c:view3D>
    <c:plotArea>
      <c:layout>
        <c:manualLayout>
          <c:layoutTarget val="inner"/>
          <c:xMode val="edge"/>
          <c:yMode val="edge"/>
          <c:x val="7.5798217530501316E-4"/>
          <c:y val="0.18245772557118894"/>
          <c:w val="0.75441579417957605"/>
          <c:h val="0.81754227442881311"/>
        </c:manualLayout>
      </c:layout>
      <c:pie3DChart>
        <c:varyColors val="1"/>
        <c:ser>
          <c:idx val="0"/>
          <c:order val="0"/>
          <c:tx>
            <c:strRef>
              <c:f>Лист1!$B$1</c:f>
              <c:strCache>
                <c:ptCount val="1"/>
                <c:pt idx="0">
                  <c:v>2016 год</c:v>
                </c:pt>
              </c:strCache>
            </c:strRef>
          </c:tx>
          <c:spPr>
            <a:solidFill>
              <a:srgbClr val="F79646">
                <a:lumMod val="75000"/>
              </a:srgbClr>
            </a:solidFill>
          </c:spPr>
          <c:explosion val="10"/>
          <c:dPt>
            <c:idx val="0"/>
            <c:spPr>
              <a:solidFill>
                <a:srgbClr val="1F497D">
                  <a:lumMod val="60000"/>
                  <a:lumOff val="40000"/>
                </a:srgbClr>
              </a:solidFill>
            </c:spPr>
          </c:dPt>
          <c:dPt>
            <c:idx val="1"/>
            <c:spPr>
              <a:solidFill>
                <a:srgbClr val="92D050"/>
              </a:solidFill>
            </c:spPr>
          </c:dPt>
          <c:dLbls>
            <c:dLbl>
              <c:idx val="0"/>
              <c:layout>
                <c:manualLayout>
                  <c:x val="7.376481785930665E-3"/>
                  <c:y val="-5.843122068757799E-3"/>
                </c:manualLayout>
              </c:layout>
              <c:tx>
                <c:rich>
                  <a:bodyPr/>
                  <a:lstStyle/>
                  <a:p>
                    <a:r>
                      <a:rPr lang="en-US"/>
                      <a:t>12,9; </a:t>
                    </a:r>
                    <a:endParaRPr lang="ru-RU"/>
                  </a:p>
                  <a:p>
                    <a:r>
                      <a:rPr lang="en-US"/>
                      <a:t>28%</a:t>
                    </a:r>
                  </a:p>
                </c:rich>
              </c:tx>
              <c:dLblPos val="ctr"/>
              <c:showVal val="1"/>
              <c:showPercent val="1"/>
              <c:separator>; </c:separator>
            </c:dLbl>
            <c:dLbl>
              <c:idx val="1"/>
              <c:layout>
                <c:manualLayout>
                  <c:x val="1.8365183690881744E-2"/>
                  <c:y val="6.7085953878406823E-2"/>
                </c:manualLayout>
              </c:layout>
              <c:tx>
                <c:rich>
                  <a:bodyPr/>
                  <a:lstStyle/>
                  <a:p>
                    <a:r>
                      <a:rPr lang="en-US"/>
                      <a:t>32,5;</a:t>
                    </a:r>
                    <a:endParaRPr lang="ru-RU"/>
                  </a:p>
                  <a:p>
                    <a:r>
                      <a:rPr lang="en-US"/>
                      <a:t> 72%</a:t>
                    </a:r>
                  </a:p>
                </c:rich>
              </c:tx>
              <c:dLblPos val="ctr"/>
              <c:showVal val="1"/>
              <c:showPercent val="1"/>
              <c:separator>; </c:separator>
            </c:dLbl>
            <c:numFmt formatCode="#,##0.0" sourceLinked="0"/>
            <c:txPr>
              <a:bodyPr rot="0" vert="horz" anchor="ctr" anchorCtr="1"/>
              <a:lstStyle/>
              <a:p>
                <a:pPr>
                  <a:defRPr sz="1000" b="1"/>
                </a:pPr>
                <a:endParaRPr lang="ru-RU"/>
              </a:p>
            </c:txPr>
            <c:dLblPos val="ctr"/>
            <c:showVal val="1"/>
            <c:showPercent val="1"/>
            <c:separator>; </c:separator>
          </c:dLbls>
          <c:cat>
            <c:strRef>
              <c:f>Лист1!$A$2:$A$3</c:f>
              <c:strCache>
                <c:ptCount val="2"/>
                <c:pt idx="0">
                  <c:v>От стационарных источников</c:v>
                </c:pt>
                <c:pt idx="1">
                  <c:v>От передвижных источников</c:v>
                </c:pt>
              </c:strCache>
            </c:strRef>
          </c:cat>
          <c:val>
            <c:numRef>
              <c:f>Лист1!$B$2:$B$3</c:f>
              <c:numCache>
                <c:formatCode>#,##0.0</c:formatCode>
                <c:ptCount val="2"/>
                <c:pt idx="0">
                  <c:v>12.9</c:v>
                </c:pt>
                <c:pt idx="1">
                  <c:v>32.5</c:v>
                </c:pt>
              </c:numCache>
            </c:numRef>
          </c:val>
        </c:ser>
        <c:dLbls>
          <c:showVal val="1"/>
        </c:dLbls>
      </c:pie3DChart>
      <c:spPr>
        <a:noFill/>
        <a:ln w="25398">
          <a:noFill/>
        </a:ln>
      </c:spPr>
    </c:plotArea>
    <c:legend>
      <c:legendPos val="r"/>
      <c:layout>
        <c:manualLayout>
          <c:xMode val="edge"/>
          <c:yMode val="edge"/>
          <c:x val="0.71498579206524804"/>
          <c:y val="4.0844517076874795E-2"/>
          <c:w val="0.27965814190581756"/>
          <c:h val="0.95743541491275852"/>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915">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Динамика инвестиций в основной капитал</a:t>
            </a:r>
          </a:p>
          <a:p>
            <a:pPr>
              <a:defRPr sz="915">
                <a:solidFill>
                  <a:sysClr val="windowText" lastClr="000000"/>
                </a:solidFill>
                <a:latin typeface="Times New Roman" pitchFamily="18" charset="0"/>
                <a:cs typeface="Times New Roman" pitchFamily="18" charset="0"/>
              </a:defRPr>
            </a:pPr>
            <a:r>
              <a:rPr lang="ru-RU" sz="1048">
                <a:solidFill>
                  <a:sysClr val="windowText" lastClr="000000"/>
                </a:solidFill>
                <a:latin typeface="Times New Roman" pitchFamily="18" charset="0"/>
                <a:cs typeface="Times New Roman" pitchFamily="18" charset="0"/>
              </a:rPr>
              <a:t> </a:t>
            </a:r>
            <a:r>
              <a:rPr lang="ru-RU" sz="873" b="0">
                <a:solidFill>
                  <a:sysClr val="windowText" lastClr="000000"/>
                </a:solidFill>
                <a:latin typeface="Times New Roman" pitchFamily="18" charset="0"/>
                <a:cs typeface="Times New Roman" pitchFamily="18" charset="0"/>
              </a:rPr>
              <a:t>(в части новых и приобретенных по импорту основных средств) по организациям всех форм собственности (кроме субъектов предпринимательства)</a:t>
            </a:r>
            <a:endParaRPr lang="ru-RU" sz="1000">
              <a:solidFill>
                <a:sysClr val="windowText" lastClr="000000"/>
              </a:solidFill>
              <a:latin typeface="Times New Roman" pitchFamily="18" charset="0"/>
              <a:cs typeface="Times New Roman" pitchFamily="18" charset="0"/>
            </a:endParaRPr>
          </a:p>
        </c:rich>
      </c:tx>
      <c:layout>
        <c:manualLayout>
          <c:xMode val="edge"/>
          <c:yMode val="edge"/>
          <c:x val="0.18287619585011194"/>
          <c:y val="3.1745709205704152E-2"/>
        </c:manualLayout>
      </c:layout>
    </c:title>
    <c:plotArea>
      <c:layout>
        <c:manualLayout>
          <c:layoutTarget val="inner"/>
          <c:xMode val="edge"/>
          <c:yMode val="edge"/>
          <c:x val="0.24888309936147252"/>
          <c:y val="0.32392319381130086"/>
          <c:w val="0.72945264820620759"/>
          <c:h val="0.36480277285913543"/>
        </c:manualLayout>
      </c:layout>
      <c:barChart>
        <c:barDir val="col"/>
        <c:grouping val="clustered"/>
        <c:ser>
          <c:idx val="0"/>
          <c:order val="0"/>
          <c:tx>
            <c:strRef>
              <c:f>Лист1!$B$1</c:f>
              <c:strCache>
                <c:ptCount val="1"/>
                <c:pt idx="0">
                  <c:v>Инвестиции в основной капитал, млн. руб.</c:v>
                </c:pt>
              </c:strCache>
            </c:strRef>
          </c:tx>
          <c:dLbls>
            <c:dLbl>
              <c:idx val="0"/>
              <c:layout>
                <c:manualLayout>
                  <c:x val="0"/>
                  <c:y val="1.1958052754717901E-2"/>
                </c:manualLayout>
              </c:layout>
              <c:tx>
                <c:rich>
                  <a:bodyPr/>
                  <a:lstStyle/>
                  <a:p>
                    <a:r>
                      <a:rPr lang="ru-RU" sz="786" b="1">
                        <a:latin typeface="Times New Roman" pitchFamily="18" charset="0"/>
                        <a:cs typeface="Times New Roman" pitchFamily="18" charset="0"/>
                      </a:rPr>
                      <a:t>-14,7*</a:t>
                    </a:r>
                    <a:endParaRPr lang="en-US" sz="900" b="1">
                      <a:latin typeface="Times New Roman" pitchFamily="18" charset="0"/>
                      <a:cs typeface="Times New Roman" pitchFamily="18" charset="0"/>
                    </a:endParaRPr>
                  </a:p>
                </c:rich>
              </c:tx>
              <c:dLblPos val="outEnd"/>
            </c:dLbl>
            <c:dLbl>
              <c:idx val="1"/>
              <c:layout>
                <c:manualLayout>
                  <c:x val="-6.5924930115444135E-3"/>
                  <c:y val="8.2821465498633569E-3"/>
                </c:manualLayout>
              </c:layout>
              <c:tx>
                <c:rich>
                  <a:bodyPr/>
                  <a:lstStyle/>
                  <a:p>
                    <a:r>
                      <a:rPr lang="ru-RU" sz="786" b="1">
                        <a:latin typeface="Times New Roman" pitchFamily="18" charset="0"/>
                        <a:cs typeface="Times New Roman" pitchFamily="18" charset="0"/>
                      </a:rPr>
                      <a:t>-19,8*</a:t>
                    </a:r>
                    <a:endParaRPr lang="en-US" sz="900" b="1">
                      <a:latin typeface="Times New Roman" pitchFamily="18" charset="0"/>
                      <a:cs typeface="Times New Roman" pitchFamily="18" charset="0"/>
                    </a:endParaRPr>
                  </a:p>
                </c:rich>
              </c:tx>
              <c:dLblPos val="outEnd"/>
            </c:dLbl>
            <c:txPr>
              <a:bodyPr/>
              <a:lstStyle/>
              <a:p>
                <a:pPr>
                  <a:defRPr sz="786" b="1">
                    <a:latin typeface="Times New Roman" pitchFamily="18" charset="0"/>
                    <a:cs typeface="Times New Roman" pitchFamily="18" charset="0"/>
                  </a:defRPr>
                </a:pPr>
                <a:endParaRPr lang="ru-RU"/>
              </a:p>
            </c:txPr>
            <c:dLblPos val="outEnd"/>
            <c:showVal val="1"/>
          </c:dLbls>
          <c:cat>
            <c:strRef>
              <c:f>Лист1!$A$2:$A$3</c:f>
              <c:strCache>
                <c:ptCount val="2"/>
                <c:pt idx="0">
                  <c:v>январь-декабрь 2015 года</c:v>
                </c:pt>
                <c:pt idx="1">
                  <c:v>январь-декабрь 2016 года</c:v>
                </c:pt>
              </c:strCache>
            </c:strRef>
          </c:cat>
          <c:val>
            <c:numRef>
              <c:f>Лист1!$B$2:$B$3</c:f>
              <c:numCache>
                <c:formatCode>#,##0.0</c:formatCode>
                <c:ptCount val="2"/>
                <c:pt idx="0">
                  <c:v>1352.4</c:v>
                </c:pt>
                <c:pt idx="1">
                  <c:v>1085.4000000000001</c:v>
                </c:pt>
              </c:numCache>
            </c:numRef>
          </c:val>
        </c:ser>
        <c:dLbls>
          <c:showVal val="1"/>
        </c:dLbls>
        <c:axId val="139492736"/>
        <c:axId val="139220096"/>
      </c:barChart>
      <c:catAx>
        <c:axId val="139492736"/>
        <c:scaling>
          <c:orientation val="minMax"/>
        </c:scaling>
        <c:axPos val="b"/>
        <c:numFmt formatCode="General" sourceLinked="1"/>
        <c:tickLblPos val="nextTo"/>
        <c:crossAx val="139220096"/>
        <c:crosses val="autoZero"/>
        <c:auto val="1"/>
        <c:lblAlgn val="ctr"/>
        <c:lblOffset val="100"/>
      </c:catAx>
      <c:valAx>
        <c:axId val="139220096"/>
        <c:scaling>
          <c:orientation val="minMax"/>
          <c:min val="200"/>
        </c:scaling>
        <c:axPos val="l"/>
        <c:title>
          <c:tx>
            <c:rich>
              <a:bodyPr rot="0" vert="horz"/>
              <a:lstStyle/>
              <a:p>
                <a:pPr algn="ctr">
                  <a:defRPr sz="900" b="0" i="0" u="none" strike="noStrike" baseline="0">
                    <a:solidFill>
                      <a:srgbClr val="000000"/>
                    </a:solidFill>
                    <a:latin typeface="Calibri"/>
                    <a:ea typeface="Calibri"/>
                    <a:cs typeface="Calibri"/>
                  </a:defRPr>
                </a:pPr>
                <a:r>
                  <a:rPr lang="ru-RU" sz="900" b="1" i="0" strike="noStrike">
                    <a:solidFill>
                      <a:srgbClr val="000000"/>
                    </a:solidFill>
                    <a:latin typeface="Times New Roman"/>
                    <a:cs typeface="Times New Roman"/>
                  </a:rPr>
                  <a:t>*- темп прироста (спада),%</a:t>
                </a:r>
              </a:p>
              <a:p>
                <a:pPr algn="ctr">
                  <a:defRPr sz="900" b="0" i="0" u="none" strike="noStrike" baseline="0">
                    <a:solidFill>
                      <a:srgbClr val="000000"/>
                    </a:solidFill>
                    <a:latin typeface="Calibri"/>
                    <a:ea typeface="Calibri"/>
                    <a:cs typeface="Calibri"/>
                  </a:defRPr>
                </a:pPr>
                <a:r>
                  <a:rPr lang="ru-RU" sz="900" b="1" i="0" strike="noStrike">
                    <a:solidFill>
                      <a:srgbClr val="000000"/>
                    </a:solidFill>
                    <a:latin typeface="Times New Roman"/>
                    <a:cs typeface="Times New Roman"/>
                  </a:rPr>
                  <a:t> (в сопоставимых ценах) </a:t>
                </a:r>
              </a:p>
            </c:rich>
          </c:tx>
          <c:layout>
            <c:manualLayout>
              <c:xMode val="edge"/>
              <c:yMode val="edge"/>
              <c:x val="2.5743005528564435E-2"/>
              <c:y val="0.32172501514233798"/>
            </c:manualLayout>
          </c:layout>
        </c:title>
        <c:numFmt formatCode="#,##0" sourceLinked="0"/>
        <c:tickLblPos val="nextTo"/>
        <c:txPr>
          <a:bodyPr/>
          <a:lstStyle/>
          <a:p>
            <a:pPr>
              <a:defRPr sz="1000" b="1">
                <a:latin typeface="Times New Roman" pitchFamily="18" charset="0"/>
                <a:cs typeface="Times New Roman" pitchFamily="18" charset="0"/>
              </a:defRPr>
            </a:pPr>
            <a:endParaRPr lang="ru-RU"/>
          </a:p>
        </c:txPr>
        <c:crossAx val="139492736"/>
        <c:crosses val="autoZero"/>
        <c:crossBetween val="between"/>
        <c:majorUnit val="400"/>
        <c:minorUnit val="50"/>
      </c:valAx>
      <c:dTable>
        <c:showHorzBorder val="1"/>
        <c:showVertBorder val="1"/>
        <c:showOutline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100" b="1" i="0" baseline="0"/>
              <a:t>2015 год</a:t>
            </a:r>
            <a:endParaRPr lang="ru-RU" sz="1100"/>
          </a:p>
        </c:rich>
      </c:tx>
      <c:layout>
        <c:manualLayout>
          <c:xMode val="edge"/>
          <c:yMode val="edge"/>
          <c:x val="0.3183712973378377"/>
          <c:y val="1.6561920585614873E-2"/>
        </c:manualLayout>
      </c:layout>
      <c:spPr>
        <a:noFill/>
        <a:ln w="25101">
          <a:noFill/>
        </a:ln>
      </c:spPr>
    </c:title>
    <c:view3D>
      <c:rotX val="30"/>
      <c:perspective val="30"/>
    </c:view3D>
    <c:plotArea>
      <c:layout>
        <c:manualLayout>
          <c:layoutTarget val="inner"/>
          <c:xMode val="edge"/>
          <c:yMode val="edge"/>
          <c:x val="3.4481627296587936E-2"/>
          <c:y val="0.17137380853709094"/>
          <c:w val="0.8516970744510638"/>
          <c:h val="0.82862619146290928"/>
        </c:manualLayout>
      </c:layout>
      <c:pie3DChart>
        <c:varyColors val="1"/>
        <c:ser>
          <c:idx val="0"/>
          <c:order val="0"/>
          <c:tx>
            <c:strRef>
              <c:f>Лист1!$B$1</c:f>
              <c:strCache>
                <c:ptCount val="1"/>
                <c:pt idx="0">
                  <c:v>2015 год</c:v>
                </c:pt>
              </c:strCache>
            </c:strRef>
          </c:tx>
          <c:spPr>
            <a:solidFill>
              <a:srgbClr val="4BACC6">
                <a:lumMod val="75000"/>
              </a:srgbClr>
            </a:solidFill>
          </c:spPr>
          <c:explosion val="2"/>
          <c:dPt>
            <c:idx val="0"/>
            <c:explosion val="9"/>
            <c:spPr>
              <a:solidFill>
                <a:srgbClr val="1F497D">
                  <a:lumMod val="60000"/>
                  <a:lumOff val="40000"/>
                </a:srgbClr>
              </a:solidFill>
            </c:spPr>
          </c:dPt>
          <c:dPt>
            <c:idx val="1"/>
            <c:explosion val="6"/>
            <c:spPr>
              <a:solidFill>
                <a:srgbClr val="92D050"/>
              </a:solidFill>
            </c:spPr>
          </c:dPt>
          <c:dLbls>
            <c:dLbl>
              <c:idx val="0"/>
              <c:layout>
                <c:manualLayout>
                  <c:x val="1.1065006915629319E-2"/>
                  <c:y val="-2.3809523809523812E-2"/>
                </c:manualLayout>
              </c:layout>
              <c:spPr/>
              <c:txPr>
                <a:bodyPr/>
                <a:lstStyle/>
                <a:p>
                  <a:pPr algn="just">
                    <a:defRPr sz="1000" b="1"/>
                  </a:pPr>
                  <a:endParaRPr lang="ru-RU"/>
                </a:p>
              </c:txPr>
              <c:dLblPos val="ctr"/>
              <c:showVal val="1"/>
              <c:showPercent val="1"/>
              <c:separator>; </c:separator>
            </c:dLbl>
            <c:dLbl>
              <c:idx val="1"/>
              <c:spPr/>
              <c:txPr>
                <a:bodyPr/>
                <a:lstStyle/>
                <a:p>
                  <a:pPr algn="just">
                    <a:defRPr sz="1000" b="1"/>
                  </a:pPr>
                  <a:endParaRPr lang="ru-RU"/>
                </a:p>
              </c:txPr>
            </c:dLbl>
            <c:txPr>
              <a:bodyPr/>
              <a:lstStyle/>
              <a:p>
                <a:pPr algn="just">
                  <a:defRPr sz="1000"/>
                </a:pPr>
                <a:endParaRPr lang="ru-RU"/>
              </a:p>
            </c:txPr>
            <c:dLblPos val="ctr"/>
            <c:showVal val="1"/>
            <c:showPercent val="1"/>
            <c:separator>; </c:separator>
          </c:dLbls>
          <c:cat>
            <c:strRef>
              <c:f>Лист1!$A$2:$A$3</c:f>
              <c:strCache>
                <c:ptCount val="2"/>
                <c:pt idx="0">
                  <c:v>От стационарных источников</c:v>
                </c:pt>
                <c:pt idx="1">
                  <c:v>От передвижных источников</c:v>
                </c:pt>
              </c:strCache>
            </c:strRef>
          </c:cat>
          <c:val>
            <c:numRef>
              <c:f>Лист1!$B$2:$B$3</c:f>
              <c:numCache>
                <c:formatCode>#,##0.0</c:formatCode>
                <c:ptCount val="2"/>
                <c:pt idx="0">
                  <c:v>14.1</c:v>
                </c:pt>
                <c:pt idx="1">
                  <c:v>36.200000000000003</c:v>
                </c:pt>
              </c:numCache>
            </c:numRef>
          </c:val>
        </c:ser>
        <c:dLbls>
          <c:showVal val="1"/>
        </c:dLbls>
      </c:pie3DChart>
      <c:spPr>
        <a:noFill/>
        <a:ln w="25401">
          <a:noFill/>
        </a:ln>
      </c:spPr>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200"/>
            </a:pPr>
            <a:r>
              <a:rPr lang="ru-RU" sz="1200"/>
              <a:t>Величина среднемесячной заработной платы</a:t>
            </a:r>
          </a:p>
        </c:rich>
      </c:tx>
      <c:overlay val="1"/>
      <c:spPr>
        <a:noFill/>
      </c:spPr>
    </c:title>
    <c:plotArea>
      <c:layout>
        <c:manualLayout>
          <c:layoutTarget val="inner"/>
          <c:xMode val="edge"/>
          <c:yMode val="edge"/>
          <c:x val="0.36019231392372247"/>
          <c:y val="0.13126079447322991"/>
          <c:w val="0.61359612758685544"/>
          <c:h val="0.43989773299063384"/>
        </c:manualLayout>
      </c:layout>
      <c:barChart>
        <c:barDir val="col"/>
        <c:grouping val="clustered"/>
        <c:ser>
          <c:idx val="0"/>
          <c:order val="0"/>
          <c:tx>
            <c:strRef>
              <c:f>Лист1!$B$2</c:f>
              <c:strCache>
                <c:ptCount val="1"/>
                <c:pt idx="0">
                  <c:v>Среднемесячная номинальная заработная плата в целом по республике</c:v>
                </c:pt>
              </c:strCache>
            </c:strRef>
          </c:tx>
          <c:spPr>
            <a:solidFill>
              <a:srgbClr val="F79646">
                <a:lumMod val="40000"/>
                <a:lumOff val="60000"/>
              </a:srgbClr>
            </a:solidFill>
          </c:spPr>
          <c:dLbls>
            <c:dLbl>
              <c:idx val="0"/>
              <c:layout>
                <c:manualLayout>
                  <c:x val="-6.1728395061728504E-3"/>
                  <c:y val="1.7590149516271067E-2"/>
                </c:manualLayout>
              </c:layout>
              <c:tx>
                <c:rich>
                  <a:bodyPr/>
                  <a:lstStyle/>
                  <a:p>
                    <a:r>
                      <a:rPr lang="ru-RU" b="1"/>
                      <a:t>-5,1*</a:t>
                    </a:r>
                    <a:endParaRPr lang="en-US" b="1"/>
                  </a:p>
                </c:rich>
              </c:tx>
              <c:showVal val="1"/>
            </c:dLbl>
            <c:dLbl>
              <c:idx val="1"/>
              <c:layout>
                <c:manualLayout>
                  <c:x val="-1.8518518518518923E-2"/>
                  <c:y val="1.4072119613016985E-2"/>
                </c:manualLayout>
              </c:layout>
              <c:tx>
                <c:rich>
                  <a:bodyPr/>
                  <a:lstStyle/>
                  <a:p>
                    <a:r>
                      <a:rPr lang="ru-RU" b="1"/>
                      <a:t>-4,1**</a:t>
                    </a:r>
                    <a:endParaRPr lang="en-US" b="1"/>
                  </a:p>
                </c:rich>
              </c:tx>
              <c:showVal val="1"/>
            </c:dLbl>
            <c:dLbl>
              <c:idx val="2"/>
              <c:layout>
                <c:manualLayout>
                  <c:x val="-1.2345679012345985E-2"/>
                  <c:y val="0"/>
                </c:manualLayout>
              </c:layout>
              <c:tx>
                <c:rich>
                  <a:bodyPr/>
                  <a:lstStyle/>
                  <a:p>
                    <a:r>
                      <a:rPr lang="ru-RU" b="1"/>
                      <a:t>-1,6*</a:t>
                    </a:r>
                    <a:endParaRPr lang="en-US" b="1"/>
                  </a:p>
                </c:rich>
              </c:tx>
              <c:showVal val="1"/>
            </c:dLbl>
            <c:dLbl>
              <c:idx val="3"/>
              <c:layout>
                <c:manualLayout>
                  <c:x val="-6.1728395061728504E-3"/>
                  <c:y val="1.7590149516271067E-2"/>
                </c:manualLayout>
              </c:layout>
              <c:tx>
                <c:rich>
                  <a:bodyPr/>
                  <a:lstStyle/>
                  <a:p>
                    <a:r>
                      <a:rPr lang="ru-RU" b="1"/>
                      <a:t>-2,0**</a:t>
                    </a:r>
                    <a:endParaRPr lang="en-US" b="1"/>
                  </a:p>
                </c:rich>
              </c:tx>
              <c:showVal val="1"/>
            </c:dLbl>
            <c:spPr>
              <a:solidFill>
                <a:sysClr val="window" lastClr="FFFFFF"/>
              </a:solidFill>
            </c:spPr>
            <c:txPr>
              <a:bodyPr/>
              <a:lstStyle/>
              <a:p>
                <a:pPr>
                  <a:defRPr b="1"/>
                </a:pPr>
                <a:endParaRPr lang="ru-RU"/>
              </a:p>
            </c:txPr>
            <c:showVal val="1"/>
          </c:dLbls>
          <c:cat>
            <c:strRef>
              <c:f>Лист1!$A$3:$A$6</c:f>
              <c:strCache>
                <c:ptCount val="4"/>
                <c:pt idx="0">
                  <c:v>руб. ПМР 2015 год</c:v>
                </c:pt>
                <c:pt idx="1">
                  <c:v>дол. США</c:v>
                </c:pt>
                <c:pt idx="2">
                  <c:v>руб. ПМР 2016 год</c:v>
                </c:pt>
                <c:pt idx="3">
                  <c:v>дол. США</c:v>
                </c:pt>
              </c:strCache>
            </c:strRef>
          </c:cat>
          <c:val>
            <c:numRef>
              <c:f>Лист1!$B$3:$B$6</c:f>
              <c:numCache>
                <c:formatCode>General</c:formatCode>
                <c:ptCount val="4"/>
                <c:pt idx="0">
                  <c:v>3865</c:v>
                </c:pt>
                <c:pt idx="1">
                  <c:v>348</c:v>
                </c:pt>
                <c:pt idx="2">
                  <c:v>3844</c:v>
                </c:pt>
                <c:pt idx="3">
                  <c:v>341</c:v>
                </c:pt>
              </c:numCache>
            </c:numRef>
          </c:val>
        </c:ser>
        <c:ser>
          <c:idx val="1"/>
          <c:order val="1"/>
          <c:tx>
            <c:strRef>
              <c:f>Лист1!$C$2</c:f>
              <c:strCache>
                <c:ptCount val="1"/>
                <c:pt idx="0">
                  <c:v>Среднемесячная номинальная заработная плата во внебюджетном секторе экономики</c:v>
                </c:pt>
              </c:strCache>
            </c:strRef>
          </c:tx>
          <c:spPr>
            <a:solidFill>
              <a:srgbClr val="EEECE1">
                <a:lumMod val="50000"/>
              </a:srgbClr>
            </a:solidFill>
          </c:spPr>
          <c:dLbls>
            <c:dLbl>
              <c:idx val="0"/>
              <c:layout>
                <c:manualLayout>
                  <c:x val="2.0576131687242852E-3"/>
                  <c:y val="1.4072119613016985E-2"/>
                </c:manualLayout>
              </c:layout>
              <c:tx>
                <c:rich>
                  <a:bodyPr/>
                  <a:lstStyle/>
                  <a:p>
                    <a:r>
                      <a:rPr lang="ru-RU" b="1"/>
                      <a:t>-5,7*</a:t>
                    </a:r>
                    <a:endParaRPr lang="en-US" b="1"/>
                  </a:p>
                </c:rich>
              </c:tx>
              <c:showVal val="1"/>
            </c:dLbl>
            <c:dLbl>
              <c:idx val="1"/>
              <c:layout>
                <c:manualLayout>
                  <c:x val="-6.1728395061728504E-3"/>
                  <c:y val="-2.1108179419526304E-2"/>
                </c:manualLayout>
              </c:layout>
              <c:tx>
                <c:rich>
                  <a:bodyPr/>
                  <a:lstStyle/>
                  <a:p>
                    <a:r>
                      <a:rPr lang="ru-RU" b="1"/>
                      <a:t>-4,7**</a:t>
                    </a:r>
                    <a:endParaRPr lang="en-US" b="1"/>
                  </a:p>
                </c:rich>
              </c:tx>
              <c:showVal val="1"/>
            </c:dLbl>
            <c:dLbl>
              <c:idx val="2"/>
              <c:tx>
                <c:rich>
                  <a:bodyPr/>
                  <a:lstStyle/>
                  <a:p>
                    <a:r>
                      <a:rPr lang="ru-RU" b="1"/>
                      <a:t>-2,0*</a:t>
                    </a:r>
                    <a:endParaRPr lang="en-US" b="1"/>
                  </a:p>
                </c:rich>
              </c:tx>
              <c:showVal val="1"/>
            </c:dLbl>
            <c:dLbl>
              <c:idx val="3"/>
              <c:layout>
                <c:manualLayout>
                  <c:x val="4.1152263374485704E-3"/>
                  <c:y val="-1.0554089709763148E-2"/>
                </c:manualLayout>
              </c:layout>
              <c:tx>
                <c:rich>
                  <a:bodyPr/>
                  <a:lstStyle/>
                  <a:p>
                    <a:r>
                      <a:rPr lang="ru-RU" b="1"/>
                      <a:t>-2,5**</a:t>
                    </a:r>
                    <a:endParaRPr lang="en-US" b="1"/>
                  </a:p>
                </c:rich>
              </c:tx>
              <c:showVal val="1"/>
            </c:dLbl>
            <c:spPr>
              <a:solidFill>
                <a:sysClr val="window" lastClr="FFFFFF"/>
              </a:solidFill>
            </c:spPr>
            <c:txPr>
              <a:bodyPr/>
              <a:lstStyle/>
              <a:p>
                <a:pPr>
                  <a:defRPr b="1"/>
                </a:pPr>
                <a:endParaRPr lang="ru-RU"/>
              </a:p>
            </c:txPr>
            <c:showVal val="1"/>
          </c:dLbls>
          <c:cat>
            <c:strRef>
              <c:f>Лист1!$A$3:$A$6</c:f>
              <c:strCache>
                <c:ptCount val="4"/>
                <c:pt idx="0">
                  <c:v>руб. ПМР 2015 год</c:v>
                </c:pt>
                <c:pt idx="1">
                  <c:v>дол. США</c:v>
                </c:pt>
                <c:pt idx="2">
                  <c:v>руб. ПМР 2016 год</c:v>
                </c:pt>
                <c:pt idx="3">
                  <c:v>дол. США</c:v>
                </c:pt>
              </c:strCache>
            </c:strRef>
          </c:cat>
          <c:val>
            <c:numRef>
              <c:f>Лист1!$C$3:$C$6</c:f>
              <c:numCache>
                <c:formatCode>General</c:formatCode>
                <c:ptCount val="4"/>
                <c:pt idx="0">
                  <c:v>4901</c:v>
                </c:pt>
                <c:pt idx="1">
                  <c:v>442</c:v>
                </c:pt>
                <c:pt idx="2">
                  <c:v>4857</c:v>
                </c:pt>
                <c:pt idx="3">
                  <c:v>431</c:v>
                </c:pt>
              </c:numCache>
            </c:numRef>
          </c:val>
        </c:ser>
        <c:ser>
          <c:idx val="2"/>
          <c:order val="2"/>
          <c:tx>
            <c:strRef>
              <c:f>Лист1!$D$2</c:f>
              <c:strCache>
                <c:ptCount val="1"/>
                <c:pt idx="0">
                  <c:v>Среднемесячная номинальная заработная плата в бюджетном секторе экономики</c:v>
                </c:pt>
              </c:strCache>
            </c:strRef>
          </c:tx>
          <c:spPr>
            <a:solidFill>
              <a:srgbClr val="F79646">
                <a:lumMod val="50000"/>
              </a:srgbClr>
            </a:solidFill>
          </c:spPr>
          <c:dLbls>
            <c:dLbl>
              <c:idx val="0"/>
              <c:layout>
                <c:manualLayout>
                  <c:x val="1.4403292181069918E-2"/>
                  <c:y val="1.05540553828466E-2"/>
                </c:manualLayout>
              </c:layout>
              <c:tx>
                <c:rich>
                  <a:bodyPr/>
                  <a:lstStyle/>
                  <a:p>
                    <a:r>
                      <a:rPr lang="ru-RU" b="1"/>
                      <a:t>-1,5*</a:t>
                    </a:r>
                    <a:endParaRPr lang="en-US" b="1"/>
                  </a:p>
                </c:rich>
              </c:tx>
              <c:showVal val="1"/>
            </c:dLbl>
            <c:dLbl>
              <c:idx val="1"/>
              <c:layout>
                <c:manualLayout>
                  <c:x val="1.0288065843621401E-2"/>
                  <c:y val="0"/>
                </c:manualLayout>
              </c:layout>
              <c:tx>
                <c:rich>
                  <a:bodyPr/>
                  <a:lstStyle/>
                  <a:p>
                    <a:r>
                      <a:rPr lang="ru-RU" b="1"/>
                      <a:t>-0,8**</a:t>
                    </a:r>
                    <a:endParaRPr lang="en-US" b="1"/>
                  </a:p>
                </c:rich>
              </c:tx>
              <c:showVal val="1"/>
            </c:dLbl>
            <c:dLbl>
              <c:idx val="2"/>
              <c:layout>
                <c:manualLayout>
                  <c:x val="1.2345679012345985E-2"/>
                  <c:y val="-7.0360598065084502E-3"/>
                </c:manualLayout>
              </c:layout>
              <c:tx>
                <c:rich>
                  <a:bodyPr/>
                  <a:lstStyle/>
                  <a:p>
                    <a:r>
                      <a:rPr lang="ru-RU" b="1"/>
                      <a:t>+1,0*</a:t>
                    </a:r>
                    <a:endParaRPr lang="en-US" b="1"/>
                  </a:p>
                </c:rich>
              </c:tx>
              <c:showVal val="1"/>
            </c:dLbl>
            <c:dLbl>
              <c:idx val="3"/>
              <c:layout>
                <c:manualLayout>
                  <c:x val="2.4691358024692002E-2"/>
                  <c:y val="1.0554089709763148E-2"/>
                </c:manualLayout>
              </c:layout>
              <c:tx>
                <c:rich>
                  <a:bodyPr/>
                  <a:lstStyle/>
                  <a:p>
                    <a:r>
                      <a:rPr lang="ru-RU" b="1"/>
                      <a:t>+0,8**</a:t>
                    </a:r>
                    <a:endParaRPr lang="en-US" b="1"/>
                  </a:p>
                </c:rich>
              </c:tx>
              <c:showVal val="1"/>
            </c:dLbl>
            <c:spPr>
              <a:solidFill>
                <a:sysClr val="window" lastClr="FFFFFF"/>
              </a:solidFill>
            </c:spPr>
            <c:txPr>
              <a:bodyPr/>
              <a:lstStyle/>
              <a:p>
                <a:pPr>
                  <a:defRPr b="1"/>
                </a:pPr>
                <a:endParaRPr lang="ru-RU"/>
              </a:p>
            </c:txPr>
            <c:showVal val="1"/>
          </c:dLbls>
          <c:cat>
            <c:strRef>
              <c:f>Лист1!$A$3:$A$6</c:f>
              <c:strCache>
                <c:ptCount val="4"/>
                <c:pt idx="0">
                  <c:v>руб. ПМР 2015 год</c:v>
                </c:pt>
                <c:pt idx="1">
                  <c:v>дол. США</c:v>
                </c:pt>
                <c:pt idx="2">
                  <c:v>руб. ПМР 2016 год</c:v>
                </c:pt>
                <c:pt idx="3">
                  <c:v>дол. США</c:v>
                </c:pt>
              </c:strCache>
            </c:strRef>
          </c:cat>
          <c:val>
            <c:numRef>
              <c:f>Лист1!$D$3:$D$6</c:f>
              <c:numCache>
                <c:formatCode>General</c:formatCode>
                <c:ptCount val="4"/>
                <c:pt idx="0">
                  <c:v>2658</c:v>
                </c:pt>
                <c:pt idx="1">
                  <c:v>239</c:v>
                </c:pt>
                <c:pt idx="2">
                  <c:v>2709</c:v>
                </c:pt>
                <c:pt idx="3">
                  <c:v>241</c:v>
                </c:pt>
              </c:numCache>
            </c:numRef>
          </c:val>
        </c:ser>
        <c:axId val="159213056"/>
        <c:axId val="159214976"/>
      </c:barChart>
      <c:catAx>
        <c:axId val="159213056"/>
        <c:scaling>
          <c:orientation val="minMax"/>
        </c:scaling>
        <c:axPos val="b"/>
        <c:title>
          <c:tx>
            <c:rich>
              <a:bodyPr/>
              <a:lstStyle/>
              <a:p>
                <a:pPr>
                  <a:defRPr b="0"/>
                </a:pPr>
                <a:r>
                  <a:rPr lang="ru-RU" b="0" i="1"/>
                  <a:t>темпы пересчитаны с учетом уточненных данных ГСС</a:t>
                </a:r>
              </a:p>
            </c:rich>
          </c:tx>
          <c:layout>
            <c:manualLayout>
              <c:xMode val="edge"/>
              <c:yMode val="edge"/>
              <c:x val="4.7246547452596474E-2"/>
              <c:y val="0.92150531761564491"/>
            </c:manualLayout>
          </c:layout>
        </c:title>
        <c:numFmt formatCode="General" sourceLinked="1"/>
        <c:tickLblPos val="nextTo"/>
        <c:crossAx val="159214976"/>
        <c:crosses val="autoZero"/>
        <c:auto val="1"/>
        <c:lblAlgn val="ctr"/>
        <c:lblOffset val="100"/>
      </c:catAx>
      <c:valAx>
        <c:axId val="159214976"/>
        <c:scaling>
          <c:orientation val="minMax"/>
        </c:scaling>
        <c:axPos val="l"/>
        <c:title>
          <c:tx>
            <c:rich>
              <a:bodyPr rot="0" vert="horz"/>
              <a:lstStyle/>
              <a:p>
                <a:pPr>
                  <a:defRPr sz="800"/>
                </a:pPr>
                <a:r>
                  <a:rPr lang="ru-RU" sz="800"/>
                  <a:t>* - Прирост/спад реальной заработной платы</a:t>
                </a:r>
              </a:p>
              <a:p>
                <a:pPr>
                  <a:defRPr sz="800"/>
                </a:pPr>
                <a:r>
                  <a:rPr lang="ru-RU" sz="800"/>
                  <a:t>** - прирост/спад заработной платы в долларовом эквиваленте, %</a:t>
                </a:r>
              </a:p>
              <a:p>
                <a:pPr>
                  <a:defRPr sz="800"/>
                </a:pPr>
                <a:endParaRPr lang="ru-RU" sz="800"/>
              </a:p>
            </c:rich>
          </c:tx>
          <c:layout>
            <c:manualLayout>
              <c:xMode val="edge"/>
              <c:yMode val="edge"/>
              <c:x val="1.8479979722160901E-2"/>
              <c:y val="0.18548207485625032"/>
            </c:manualLayout>
          </c:layout>
        </c:title>
        <c:numFmt formatCode="General" sourceLinked="1"/>
        <c:tickLblPos val="nextTo"/>
        <c:txPr>
          <a:bodyPr/>
          <a:lstStyle/>
          <a:p>
            <a:pPr>
              <a:defRPr b="1"/>
            </a:pPr>
            <a:endParaRPr lang="ru-RU"/>
          </a:p>
        </c:txPr>
        <c:crossAx val="159213056"/>
        <c:crosses val="autoZero"/>
        <c:crossBetween val="between"/>
      </c:valAx>
      <c:dTable>
        <c:showHorzBorder val="1"/>
        <c:showVertBorder val="1"/>
        <c:showOutline val="1"/>
        <c:showKeys val="1"/>
        <c:txPr>
          <a:bodyPr/>
          <a:lstStyle/>
          <a:p>
            <a:pPr rtl="0">
              <a:defRPr sz="900" b="1"/>
            </a:pPr>
            <a:endParaRPr lang="ru-RU"/>
          </a:p>
        </c:txPr>
      </c:dTable>
    </c:plotArea>
    <c:plotVisOnly val="1"/>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b="1"/>
              <a:t>Динамика оплаты труда в разрезе отраслей экономики, руб. ПМР</a:t>
            </a:r>
            <a:endParaRPr lang="ru-RU" b="1">
              <a:solidFill>
                <a:srgbClr val="FF0000"/>
              </a:solidFill>
            </a:endParaRPr>
          </a:p>
        </c:rich>
      </c:tx>
      <c:layout>
        <c:manualLayout>
          <c:xMode val="edge"/>
          <c:yMode val="edge"/>
          <c:x val="0.17176795208291903"/>
          <c:y val="1.7827634559378708E-2"/>
        </c:manualLayout>
      </c:layout>
      <c:spPr>
        <a:noFill/>
        <a:ln w="25176">
          <a:noFill/>
        </a:ln>
      </c:spPr>
    </c:title>
    <c:plotArea>
      <c:layout>
        <c:manualLayout>
          <c:layoutTarget val="inner"/>
          <c:xMode val="edge"/>
          <c:yMode val="edge"/>
          <c:x val="8.3313816542163008E-2"/>
          <c:y val="0.12599560938787671"/>
          <c:w val="0.91585760517799353"/>
          <c:h val="0.32675283514090325"/>
        </c:manualLayout>
      </c:layout>
      <c:lineChart>
        <c:grouping val="standard"/>
        <c:ser>
          <c:idx val="0"/>
          <c:order val="0"/>
          <c:tx>
            <c:strRef>
              <c:f>Sheet1!$A$2</c:f>
              <c:strCache>
                <c:ptCount val="1"/>
                <c:pt idx="0">
                  <c:v>2015 год</c:v>
                </c:pt>
              </c:strCache>
            </c:strRef>
          </c:tx>
          <c:spPr>
            <a:ln w="24130">
              <a:solidFill>
                <a:srgbClr val="000080"/>
              </a:solidFill>
              <a:prstDash val="solid"/>
            </a:ln>
          </c:spPr>
          <c:marker>
            <c:symbol val="diamond"/>
            <c:size val="2"/>
            <c:spPr>
              <a:solidFill>
                <a:srgbClr val="000080"/>
              </a:solidFill>
              <a:ln>
                <a:solidFill>
                  <a:srgbClr val="000080"/>
                </a:solidFill>
                <a:prstDash val="solid"/>
              </a:ln>
            </c:spPr>
          </c:marker>
          <c:dLbls>
            <c:dLbl>
              <c:idx val="0"/>
              <c:layout>
                <c:manualLayout>
                  <c:x val="7.0557241274824814E-3"/>
                  <c:y val="7.3809699021267806E-4"/>
                </c:manualLayout>
              </c:layout>
              <c:dLblPos val="t"/>
              <c:showVal val="1"/>
            </c:dLbl>
            <c:dLbl>
              <c:idx val="1"/>
              <c:layout>
                <c:manualLayout>
                  <c:x val="-2.5431008724124099E-2"/>
                  <c:y val="4.4684009990755336E-2"/>
                </c:manualLayout>
              </c:layout>
              <c:dLblPos val="t"/>
              <c:showVal val="1"/>
            </c:dLbl>
            <c:dLbl>
              <c:idx val="2"/>
              <c:layout>
                <c:manualLayout>
                  <c:x val="-2.1355374405030297E-3"/>
                  <c:y val="4.4886828842470534E-2"/>
                </c:manualLayout>
              </c:layout>
              <c:dLblPos val="t"/>
              <c:showVal val="1"/>
            </c:dLbl>
            <c:dLbl>
              <c:idx val="3"/>
              <c:layout>
                <c:manualLayout>
                  <c:x val="-2.5659611896455232E-2"/>
                  <c:y val="7.0387610829162842E-3"/>
                </c:manualLayout>
              </c:layout>
              <c:dLblPos val="t"/>
              <c:showVal val="1"/>
            </c:dLbl>
            <c:dLbl>
              <c:idx val="4"/>
              <c:layout>
                <c:manualLayout>
                  <c:x val="-2.9946510561113436E-2"/>
                  <c:y val="3.5614638015696115E-2"/>
                </c:manualLayout>
              </c:layout>
              <c:dLblPos val="t"/>
              <c:showVal val="1"/>
            </c:dLbl>
            <c:dLbl>
              <c:idx val="5"/>
              <c:layout>
                <c:manualLayout>
                  <c:x val="2.0328006834527769E-2"/>
                  <c:y val="1.2704255760518049E-2"/>
                </c:manualLayout>
              </c:layout>
              <c:dLblPos val="t"/>
              <c:showVal val="1"/>
            </c:dLbl>
            <c:dLbl>
              <c:idx val="6"/>
              <c:layout>
                <c:manualLayout>
                  <c:x val="5.9792045225119574E-3"/>
                  <c:y val="4.1535723527516812E-2"/>
                </c:manualLayout>
              </c:layout>
              <c:dLblPos val="t"/>
              <c:showVal val="1"/>
            </c:dLbl>
            <c:dLbl>
              <c:idx val="7"/>
              <c:layout>
                <c:manualLayout>
                  <c:x val="-2.8235353531102601E-2"/>
                  <c:y val="2.5503225648195852E-2"/>
                </c:manualLayout>
              </c:layout>
              <c:dLblPos val="t"/>
              <c:showVal val="1"/>
            </c:dLbl>
            <c:dLbl>
              <c:idx val="8"/>
              <c:layout>
                <c:manualLayout>
                  <c:x val="2.1299822824125156E-3"/>
                  <c:y val="6.8927579355904014E-3"/>
                </c:manualLayout>
              </c:layout>
              <c:dLblPos val="t"/>
              <c:showVal val="1"/>
            </c:dLbl>
            <c:dLbl>
              <c:idx val="9"/>
              <c:layout>
                <c:manualLayout>
                  <c:x val="4.2734316147414134E-3"/>
                  <c:y val="1.3979305870647819E-2"/>
                </c:manualLayout>
              </c:layout>
              <c:dLblPos val="t"/>
              <c:showVal val="1"/>
            </c:dLbl>
            <c:dLbl>
              <c:idx val="10"/>
              <c:layout>
                <c:manualLayout>
                  <c:x val="6.1828909547717564E-3"/>
                  <c:y val="7.7322209787364024E-3"/>
                </c:manualLayout>
              </c:layout>
              <c:dLblPos val="t"/>
              <c:showVal val="1"/>
            </c:dLbl>
            <c:dLbl>
              <c:idx val="11"/>
              <c:layout>
                <c:manualLayout>
                  <c:x val="8.5515766969535226E-3"/>
                  <c:y val="-8.3464566929134267E-3"/>
                </c:manualLayout>
              </c:layout>
              <c:dLblPos val="t"/>
              <c:showVal val="1"/>
            </c:dLbl>
            <c:dLbl>
              <c:idx val="12"/>
              <c:layout>
                <c:manualLayout>
                  <c:x val="-2.2868229125020602E-2"/>
                  <c:y val="4.6093654181077831E-2"/>
                </c:manualLayout>
              </c:layout>
              <c:dLblPos val="t"/>
              <c:showVal val="1"/>
            </c:dLbl>
            <c:dLbl>
              <c:idx val="13"/>
              <c:layout>
                <c:manualLayout>
                  <c:x val="-6.4150292277067814E-3"/>
                  <c:y val="6.1662864571835063E-2"/>
                </c:manualLayout>
              </c:layout>
              <c:dLblPos val="t"/>
              <c:showVal val="1"/>
            </c:dLbl>
            <c:dLbl>
              <c:idx val="14"/>
              <c:layout>
                <c:manualLayout>
                  <c:x val="2.3567337353808882E-6"/>
                  <c:y val="5.5389365949951974E-2"/>
                </c:manualLayout>
              </c:layout>
              <c:dLblPos val="t"/>
              <c:showVal val="1"/>
            </c:dLbl>
            <c:dLbl>
              <c:idx val="15"/>
              <c:layout>
                <c:manualLayout>
                  <c:x val="-1.8179675696604263E-2"/>
                  <c:y val="2.1726396349988727E-2"/>
                </c:manualLayout>
              </c:layout>
              <c:dLblPos val="t"/>
              <c:showVal val="1"/>
            </c:dLbl>
            <c:dLbl>
              <c:idx val="16"/>
              <c:layout>
                <c:manualLayout>
                  <c:x val="-2.8232996797367196E-2"/>
                  <c:y val="2.8404101356489318E-2"/>
                </c:manualLayout>
              </c:layout>
              <c:dLblPos val="t"/>
              <c:showVal val="1"/>
            </c:dLbl>
            <c:dLbl>
              <c:idx val="17"/>
              <c:layout>
                <c:manualLayout>
                  <c:x val="-2.4767251501365644E-2"/>
                  <c:y val="3.8320210667346692E-2"/>
                </c:manualLayout>
              </c:layout>
              <c:dLblPos val="t"/>
              <c:showVal val="1"/>
            </c:dLbl>
            <c:dLbl>
              <c:idx val="18"/>
              <c:layout>
                <c:manualLayout>
                  <c:x val="-1.7094017094017103E-2"/>
                  <c:y val="4.7144169871847781E-2"/>
                </c:manualLayout>
              </c:layout>
              <c:dLblPos val="t"/>
              <c:showVal val="1"/>
            </c:dLbl>
            <c:dLblPos val="t"/>
            <c:showVal val="1"/>
          </c:dLbls>
          <c:cat>
            <c:strRef>
              <c:f>Sheet1!$B$1:$S$1</c:f>
              <c:strCache>
                <c:ptCount val="18"/>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ЖКХ</c:v>
                </c:pt>
                <c:pt idx="12">
                  <c:v>Здравоохранение</c:v>
                </c:pt>
                <c:pt idx="13">
                  <c:v>Образование</c:v>
                </c:pt>
                <c:pt idx="14">
                  <c:v>Культура и искусство</c:v>
                </c:pt>
                <c:pt idx="15">
                  <c:v>Физкультура отдых и туризм</c:v>
                </c:pt>
                <c:pt idx="16">
                  <c:v>Банки и кредитование</c:v>
                </c:pt>
                <c:pt idx="17">
                  <c:v>Страхование</c:v>
                </c:pt>
              </c:strCache>
            </c:strRef>
          </c:cat>
          <c:val>
            <c:numRef>
              <c:f>Sheet1!$B$2:$S$2</c:f>
              <c:numCache>
                <c:formatCode>0</c:formatCode>
                <c:ptCount val="18"/>
                <c:pt idx="0" formatCode="General">
                  <c:v>4979</c:v>
                </c:pt>
                <c:pt idx="1">
                  <c:v>3127</c:v>
                </c:pt>
                <c:pt idx="2" formatCode="General">
                  <c:v>1972</c:v>
                </c:pt>
                <c:pt idx="3" formatCode="General">
                  <c:v>4108</c:v>
                </c:pt>
                <c:pt idx="4" formatCode="General">
                  <c:v>6933</c:v>
                </c:pt>
                <c:pt idx="5" formatCode="General">
                  <c:v>4669</c:v>
                </c:pt>
                <c:pt idx="6" formatCode="General">
                  <c:v>1962</c:v>
                </c:pt>
                <c:pt idx="7">
                  <c:v>3979</c:v>
                </c:pt>
                <c:pt idx="8">
                  <c:v>4507</c:v>
                </c:pt>
                <c:pt idx="9">
                  <c:v>4523</c:v>
                </c:pt>
                <c:pt idx="10">
                  <c:v>4642</c:v>
                </c:pt>
                <c:pt idx="11">
                  <c:v>4189</c:v>
                </c:pt>
                <c:pt idx="12">
                  <c:v>2627</c:v>
                </c:pt>
                <c:pt idx="13">
                  <c:v>2649</c:v>
                </c:pt>
                <c:pt idx="14">
                  <c:v>2390</c:v>
                </c:pt>
                <c:pt idx="15">
                  <c:v>3253</c:v>
                </c:pt>
                <c:pt idx="16">
                  <c:v>7907</c:v>
                </c:pt>
                <c:pt idx="17">
                  <c:v>6183</c:v>
                </c:pt>
              </c:numCache>
            </c:numRef>
          </c:val>
        </c:ser>
        <c:ser>
          <c:idx val="1"/>
          <c:order val="1"/>
          <c:tx>
            <c:strRef>
              <c:f>Sheet1!$A$3</c:f>
              <c:strCache>
                <c:ptCount val="1"/>
                <c:pt idx="0">
                  <c:v>2016 год</c:v>
                </c:pt>
              </c:strCache>
            </c:strRef>
          </c:tx>
          <c:spPr>
            <a:ln w="24130">
              <a:solidFill>
                <a:srgbClr val="FF9900"/>
              </a:solidFill>
              <a:prstDash val="solid"/>
            </a:ln>
          </c:spPr>
          <c:marker>
            <c:symbol val="circle"/>
            <c:size val="2"/>
            <c:spPr>
              <a:solidFill>
                <a:srgbClr val="FF9900"/>
              </a:solidFill>
              <a:ln>
                <a:solidFill>
                  <a:srgbClr val="FF9900"/>
                </a:solidFill>
                <a:prstDash val="solid"/>
              </a:ln>
            </c:spPr>
          </c:marker>
          <c:dLbls>
            <c:dLbl>
              <c:idx val="0"/>
              <c:layout>
                <c:manualLayout>
                  <c:x val="3.652516444530484E-2"/>
                  <c:y val="4.0699585449015127E-2"/>
                </c:manualLayout>
              </c:layout>
              <c:dLblPos val="t"/>
              <c:showVal val="1"/>
            </c:dLbl>
            <c:dLbl>
              <c:idx val="1"/>
              <c:layout>
                <c:manualLayout>
                  <c:x val="1.6882630451524935E-2"/>
                  <c:y val="2.4968724703804547E-2"/>
                </c:manualLayout>
              </c:layout>
              <c:dLblPos val="t"/>
              <c:showVal val="1"/>
            </c:dLbl>
            <c:dLbl>
              <c:idx val="2"/>
              <c:layout>
                <c:manualLayout>
                  <c:x val="-4.2734316147414134E-3"/>
                  <c:y val="1.4764638065101679E-2"/>
                </c:manualLayout>
              </c:layout>
              <c:dLblPos val="t"/>
              <c:showVal val="1"/>
            </c:dLbl>
            <c:dLbl>
              <c:idx val="3"/>
              <c:layout>
                <c:manualLayout>
                  <c:x val="3.2502051620885715E-2"/>
                  <c:y val="2.0624320909192199E-2"/>
                </c:manualLayout>
              </c:layout>
              <c:dLblPos val="t"/>
              <c:showVal val="1"/>
            </c:dLbl>
            <c:dLbl>
              <c:idx val="4"/>
              <c:layout>
                <c:manualLayout>
                  <c:x val="2.5662641982686425E-2"/>
                  <c:y val="1.6611987056589762E-2"/>
                </c:manualLayout>
              </c:layout>
              <c:dLblPos val="t"/>
              <c:showVal val="1"/>
            </c:dLbl>
            <c:dLbl>
              <c:idx val="5"/>
              <c:layout>
                <c:manualLayout>
                  <c:x val="-2.3522780806245373E-2"/>
                  <c:y val="2.5157232704402552E-2"/>
                </c:manualLayout>
              </c:layout>
              <c:dLblPos val="t"/>
              <c:showVal val="1"/>
            </c:dLbl>
            <c:dLbl>
              <c:idx val="6"/>
              <c:layout>
                <c:manualLayout>
                  <c:x val="-3.2051282051282055E-2"/>
                  <c:y val="1.8642103699302522E-2"/>
                </c:manualLayout>
              </c:layout>
              <c:dLblPos val="t"/>
              <c:showVal val="1"/>
            </c:dLbl>
            <c:dLbl>
              <c:idx val="7"/>
              <c:layout>
                <c:manualLayout>
                  <c:x val="-8.986057394883477E-3"/>
                  <c:y val="-9.3028675153924763E-3"/>
                </c:manualLayout>
              </c:layout>
              <c:dLblPos val="t"/>
              <c:showVal val="1"/>
            </c:dLbl>
            <c:dLbl>
              <c:idx val="8"/>
              <c:layout>
                <c:manualLayout>
                  <c:x val="8.5503983300858205E-3"/>
                  <c:y val="4.3855078862805701E-2"/>
                </c:manualLayout>
              </c:layout>
              <c:dLblPos val="t"/>
              <c:showVal val="1"/>
            </c:dLbl>
            <c:dLbl>
              <c:idx val="9"/>
              <c:layout>
                <c:manualLayout>
                  <c:x val="0"/>
                  <c:y val="5.3109713487071976E-2"/>
                </c:manualLayout>
              </c:layout>
              <c:dLblPos val="t"/>
              <c:showVal val="1"/>
            </c:dLbl>
            <c:dLbl>
              <c:idx val="10"/>
              <c:layout>
                <c:manualLayout>
                  <c:x val="-2.3361964842582767E-3"/>
                  <c:y val="4.4007066288071502E-2"/>
                </c:manualLayout>
              </c:layout>
              <c:dLblPos val="t"/>
              <c:showVal val="1"/>
            </c:dLbl>
            <c:dLbl>
              <c:idx val="11"/>
              <c:layout>
                <c:manualLayout>
                  <c:x val="2.1597949641650242E-2"/>
                  <c:y val="1.8458557166335581E-2"/>
                </c:manualLayout>
              </c:layout>
              <c:dLblPos val="t"/>
              <c:showVal val="1"/>
            </c:dLbl>
            <c:dLbl>
              <c:idx val="12"/>
              <c:layout>
                <c:manualLayout>
                  <c:x val="3.8239688237794436E-3"/>
                  <c:y val="5.5939245073439786E-3"/>
                </c:manualLayout>
              </c:layout>
              <c:dLblPos val="t"/>
              <c:showVal val="1"/>
            </c:dLbl>
            <c:dLbl>
              <c:idx val="13"/>
              <c:layout>
                <c:manualLayout>
                  <c:x val="5.5551580905407407E-6"/>
                  <c:y val="1.1240709397306823E-2"/>
                </c:manualLayout>
              </c:layout>
              <c:dLblPos val="t"/>
              <c:showVal val="1"/>
            </c:dLbl>
            <c:dLbl>
              <c:idx val="14"/>
              <c:layout>
                <c:manualLayout>
                  <c:x val="1.1783668676904653E-6"/>
                  <c:y val="8.3589554542856728E-3"/>
                </c:manualLayout>
              </c:layout>
              <c:dLblPos val="t"/>
              <c:showVal val="1"/>
            </c:dLbl>
            <c:dLbl>
              <c:idx val="15"/>
              <c:layout>
                <c:manualLayout>
                  <c:x val="1.0683747374977381E-2"/>
                  <c:y val="6.2775529227070914E-2"/>
                </c:manualLayout>
              </c:layout>
              <c:dLblPos val="t"/>
              <c:showVal val="1"/>
            </c:dLbl>
            <c:dLbl>
              <c:idx val="16"/>
              <c:layout>
                <c:manualLayout>
                  <c:x val="-3.5689365659865149E-2"/>
                  <c:y val="3.1800938912547441E-2"/>
                </c:manualLayout>
              </c:layout>
              <c:dLblPos val="t"/>
              <c:showVal val="1"/>
            </c:dLbl>
            <c:dLbl>
              <c:idx val="17"/>
              <c:layout>
                <c:manualLayout>
                  <c:x val="7.0281166751537125E-3"/>
                  <c:y val="8.3750312156053459E-3"/>
                </c:manualLayout>
              </c:layout>
              <c:dLblPos val="t"/>
              <c:showVal val="1"/>
            </c:dLbl>
            <c:dLbl>
              <c:idx val="18"/>
              <c:layout>
                <c:manualLayout>
                  <c:x val="5.7439935392691434E-3"/>
                  <c:y val="4.8113482670014723E-4"/>
                </c:manualLayout>
              </c:layout>
              <c:dLblPos val="t"/>
              <c:showVal val="1"/>
            </c:dLbl>
            <c:dLblPos val="t"/>
            <c:showVal val="1"/>
          </c:dLbls>
          <c:cat>
            <c:strRef>
              <c:f>Sheet1!$B$1:$S$1</c:f>
              <c:strCache>
                <c:ptCount val="18"/>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ЖКХ</c:v>
                </c:pt>
                <c:pt idx="12">
                  <c:v>Здравоохранение</c:v>
                </c:pt>
                <c:pt idx="13">
                  <c:v>Образование</c:v>
                </c:pt>
                <c:pt idx="14">
                  <c:v>Культура и искусство</c:v>
                </c:pt>
                <c:pt idx="15">
                  <c:v>Физкультура отдых и туризм</c:v>
                </c:pt>
                <c:pt idx="16">
                  <c:v>Банки и кредитование</c:v>
                </c:pt>
                <c:pt idx="17">
                  <c:v>Страхование</c:v>
                </c:pt>
              </c:strCache>
            </c:strRef>
          </c:cat>
          <c:val>
            <c:numRef>
              <c:f>Sheet1!$B$3:$S$3</c:f>
              <c:numCache>
                <c:formatCode>0</c:formatCode>
                <c:ptCount val="18"/>
                <c:pt idx="0" formatCode="General">
                  <c:v>4963</c:v>
                </c:pt>
                <c:pt idx="1">
                  <c:v>3294</c:v>
                </c:pt>
                <c:pt idx="2" formatCode="General">
                  <c:v>2539</c:v>
                </c:pt>
                <c:pt idx="3" formatCode="General">
                  <c:v>3916</c:v>
                </c:pt>
                <c:pt idx="4" formatCode="General">
                  <c:v>7168</c:v>
                </c:pt>
                <c:pt idx="5" formatCode="General">
                  <c:v>4553</c:v>
                </c:pt>
                <c:pt idx="6" formatCode="General">
                  <c:v>1964</c:v>
                </c:pt>
                <c:pt idx="7">
                  <c:v>3883</c:v>
                </c:pt>
                <c:pt idx="8">
                  <c:v>4374</c:v>
                </c:pt>
                <c:pt idx="9">
                  <c:v>3400</c:v>
                </c:pt>
                <c:pt idx="10">
                  <c:v>4321</c:v>
                </c:pt>
                <c:pt idx="11">
                  <c:v>4131</c:v>
                </c:pt>
                <c:pt idx="12">
                  <c:v>2692</c:v>
                </c:pt>
                <c:pt idx="13">
                  <c:v>2682</c:v>
                </c:pt>
                <c:pt idx="14">
                  <c:v>2425</c:v>
                </c:pt>
                <c:pt idx="15">
                  <c:v>3414</c:v>
                </c:pt>
                <c:pt idx="16">
                  <c:v>7331</c:v>
                </c:pt>
                <c:pt idx="17">
                  <c:v>6931</c:v>
                </c:pt>
              </c:numCache>
            </c:numRef>
          </c:val>
        </c:ser>
        <c:ser>
          <c:idx val="2"/>
          <c:order val="2"/>
          <c:tx>
            <c:strRef>
              <c:f>Sheet1!$A$4</c:f>
              <c:strCache>
                <c:ptCount val="1"/>
                <c:pt idx="0">
                  <c:v>средняя заработная плата в целом по республике за 2016 год</c:v>
                </c:pt>
              </c:strCache>
            </c:strRef>
          </c:tx>
          <c:spPr>
            <a:ln w="24130">
              <a:solidFill>
                <a:srgbClr val="008080"/>
              </a:solidFill>
              <a:prstDash val="solid"/>
            </a:ln>
          </c:spPr>
          <c:marker>
            <c:symbol val="triangle"/>
            <c:size val="2"/>
            <c:spPr>
              <a:solidFill>
                <a:srgbClr val="008080"/>
              </a:solidFill>
              <a:ln>
                <a:solidFill>
                  <a:srgbClr val="008080"/>
                </a:solidFill>
                <a:prstDash val="solid"/>
              </a:ln>
            </c:spPr>
          </c:marker>
          <c:cat>
            <c:strRef>
              <c:f>Sheet1!$B$1:$S$1</c:f>
              <c:strCache>
                <c:ptCount val="18"/>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ЖКХ</c:v>
                </c:pt>
                <c:pt idx="12">
                  <c:v>Здравоохранение</c:v>
                </c:pt>
                <c:pt idx="13">
                  <c:v>Образование</c:v>
                </c:pt>
                <c:pt idx="14">
                  <c:v>Культура и искусство</c:v>
                </c:pt>
                <c:pt idx="15">
                  <c:v>Физкультура отдых и туризм</c:v>
                </c:pt>
                <c:pt idx="16">
                  <c:v>Банки и кредитование</c:v>
                </c:pt>
                <c:pt idx="17">
                  <c:v>Страхование</c:v>
                </c:pt>
              </c:strCache>
            </c:strRef>
          </c:cat>
          <c:val>
            <c:numRef>
              <c:f>Sheet1!$B$4:$S$4</c:f>
              <c:numCache>
                <c:formatCode>General</c:formatCode>
                <c:ptCount val="18"/>
                <c:pt idx="0">
                  <c:v>3844</c:v>
                </c:pt>
                <c:pt idx="1">
                  <c:v>3844</c:v>
                </c:pt>
                <c:pt idx="2">
                  <c:v>3844</c:v>
                </c:pt>
                <c:pt idx="3">
                  <c:v>3844</c:v>
                </c:pt>
                <c:pt idx="4">
                  <c:v>3844</c:v>
                </c:pt>
                <c:pt idx="5">
                  <c:v>3844</c:v>
                </c:pt>
                <c:pt idx="6">
                  <c:v>3844</c:v>
                </c:pt>
                <c:pt idx="7">
                  <c:v>3844</c:v>
                </c:pt>
                <c:pt idx="8">
                  <c:v>3844</c:v>
                </c:pt>
                <c:pt idx="9">
                  <c:v>3844</c:v>
                </c:pt>
                <c:pt idx="10">
                  <c:v>3844</c:v>
                </c:pt>
                <c:pt idx="11">
                  <c:v>3844</c:v>
                </c:pt>
                <c:pt idx="12">
                  <c:v>3844</c:v>
                </c:pt>
                <c:pt idx="13">
                  <c:v>3844</c:v>
                </c:pt>
                <c:pt idx="14">
                  <c:v>3844</c:v>
                </c:pt>
                <c:pt idx="15">
                  <c:v>3844</c:v>
                </c:pt>
                <c:pt idx="16">
                  <c:v>3844</c:v>
                </c:pt>
                <c:pt idx="17">
                  <c:v>3844</c:v>
                </c:pt>
              </c:numCache>
            </c:numRef>
          </c:val>
        </c:ser>
        <c:marker val="1"/>
        <c:axId val="158898816"/>
        <c:axId val="159331072"/>
      </c:lineChart>
      <c:catAx>
        <c:axId val="158898816"/>
        <c:scaling>
          <c:orientation val="minMax"/>
        </c:scaling>
        <c:axPos val="b"/>
        <c:numFmt formatCode="General" sourceLinked="1"/>
        <c:tickLblPos val="nextTo"/>
        <c:spPr>
          <a:ln w="3016">
            <a:solidFill>
              <a:srgbClr val="000000"/>
            </a:solidFill>
            <a:prstDash val="solid"/>
          </a:ln>
        </c:spPr>
        <c:txPr>
          <a:bodyPr rot="-5400000" vert="horz"/>
          <a:lstStyle/>
          <a:p>
            <a:pPr>
              <a:defRPr/>
            </a:pPr>
            <a:endParaRPr lang="ru-RU"/>
          </a:p>
        </c:txPr>
        <c:crossAx val="159331072"/>
        <c:crosses val="autoZero"/>
        <c:auto val="1"/>
        <c:lblAlgn val="ctr"/>
        <c:lblOffset val="200"/>
        <c:tickLblSkip val="1"/>
        <c:tickMarkSkip val="1"/>
      </c:catAx>
      <c:valAx>
        <c:axId val="159331072"/>
        <c:scaling>
          <c:orientation val="minMax"/>
          <c:max val="8000"/>
          <c:min val="1000"/>
        </c:scaling>
        <c:axPos val="l"/>
        <c:numFmt formatCode="General" sourceLinked="0"/>
        <c:tickLblPos val="nextTo"/>
        <c:spPr>
          <a:ln w="3016">
            <a:solidFill>
              <a:srgbClr val="000000"/>
            </a:solidFill>
            <a:prstDash val="solid"/>
          </a:ln>
        </c:spPr>
        <c:txPr>
          <a:bodyPr rot="0" vert="horz"/>
          <a:lstStyle/>
          <a:p>
            <a:pPr>
              <a:defRPr/>
            </a:pPr>
            <a:endParaRPr lang="ru-RU"/>
          </a:p>
        </c:txPr>
        <c:crossAx val="158898816"/>
        <c:crosses val="autoZero"/>
        <c:crossBetween val="between"/>
        <c:majorUnit val="1000"/>
      </c:valAx>
    </c:plotArea>
    <c:legend>
      <c:legendPos val="r"/>
      <c:layout>
        <c:manualLayout>
          <c:xMode val="edge"/>
          <c:yMode val="edge"/>
          <c:x val="0"/>
          <c:y val="0.93162745189395701"/>
          <c:w val="1"/>
          <c:h val="6.7453822945029121E-2"/>
        </c:manualLayout>
      </c:layout>
      <c:spPr>
        <a:solidFill>
          <a:srgbClr val="FFFFFF"/>
        </a:solidFill>
        <a:ln w="3016">
          <a:noFill/>
          <a:prstDash val="solid"/>
        </a:ln>
      </c:spPr>
    </c:legend>
    <c:plotVisOnly val="1"/>
    <c:dispBlanksAs val="gap"/>
  </c:chart>
  <c:spPr>
    <a:noFill/>
    <a:ln>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ru-RU" sz="1200"/>
              <a:t>Динамика оплаты труда в организациях внебюджетного сектора, </a:t>
            </a:r>
          </a:p>
          <a:p>
            <a:pPr>
              <a:defRPr sz="1200" b="1" i="0" u="none" strike="noStrike" baseline="0">
                <a:solidFill>
                  <a:srgbClr val="000000"/>
                </a:solidFill>
                <a:latin typeface="Times New Roman"/>
                <a:ea typeface="Times New Roman"/>
                <a:cs typeface="Times New Roman"/>
              </a:defRPr>
            </a:pPr>
            <a:r>
              <a:rPr lang="ru-RU" sz="1200"/>
              <a:t>руб. ПМР</a:t>
            </a:r>
            <a:endParaRPr lang="ru-RU" sz="1200">
              <a:solidFill>
                <a:srgbClr val="FF0000"/>
              </a:solidFill>
            </a:endParaRPr>
          </a:p>
        </c:rich>
      </c:tx>
      <c:layout>
        <c:manualLayout>
          <c:xMode val="edge"/>
          <c:yMode val="edge"/>
          <c:x val="0.14929198966408291"/>
          <c:y val="5.6943020626576803E-4"/>
        </c:manualLayout>
      </c:layout>
      <c:spPr>
        <a:noFill/>
        <a:ln w="23940">
          <a:noFill/>
        </a:ln>
      </c:spPr>
    </c:title>
    <c:plotArea>
      <c:layout>
        <c:manualLayout>
          <c:layoutTarget val="inner"/>
          <c:xMode val="edge"/>
          <c:yMode val="edge"/>
          <c:x val="8.2768860623191345E-2"/>
          <c:y val="0.11535492994882489"/>
          <c:w val="0.90935205192374158"/>
          <c:h val="0.32711017933903963"/>
        </c:manualLayout>
      </c:layout>
      <c:lineChart>
        <c:grouping val="standard"/>
        <c:ser>
          <c:idx val="0"/>
          <c:order val="0"/>
          <c:tx>
            <c:strRef>
              <c:f>Sheet1!$A$2</c:f>
              <c:strCache>
                <c:ptCount val="1"/>
                <c:pt idx="0">
                  <c:v>2015 год</c:v>
                </c:pt>
              </c:strCache>
            </c:strRef>
          </c:tx>
          <c:spPr>
            <a:ln w="22946">
              <a:solidFill>
                <a:srgbClr val="000080"/>
              </a:solidFill>
              <a:prstDash val="solid"/>
            </a:ln>
          </c:spPr>
          <c:marker>
            <c:symbol val="diamond"/>
            <c:size val="2"/>
            <c:spPr>
              <a:solidFill>
                <a:srgbClr val="000080"/>
              </a:solidFill>
              <a:ln>
                <a:solidFill>
                  <a:srgbClr val="000080"/>
                </a:solidFill>
                <a:prstDash val="solid"/>
              </a:ln>
            </c:spPr>
          </c:marker>
          <c:dLbls>
            <c:dLbl>
              <c:idx val="0"/>
              <c:layout>
                <c:manualLayout>
                  <c:x val="-3.1804966686856777E-2"/>
                  <c:y val="-3.7947722288138641E-2"/>
                </c:manualLayout>
              </c:layout>
              <c:dLblPos val="r"/>
              <c:showVal val="1"/>
            </c:dLbl>
            <c:dLbl>
              <c:idx val="1"/>
              <c:layout>
                <c:manualLayout>
                  <c:x val="-2.3504441752473248E-2"/>
                  <c:y val="-1.9967401335107361E-2"/>
                </c:manualLayout>
              </c:layout>
              <c:dLblPos val="b"/>
              <c:showVal val="1"/>
            </c:dLbl>
            <c:dLbl>
              <c:idx val="2"/>
              <c:layout>
                <c:manualLayout>
                  <c:x val="2.5641025641026043E-2"/>
                  <c:y val="-3.7794077110224797E-2"/>
                </c:manualLayout>
              </c:layout>
              <c:dLblPos val="b"/>
              <c:showVal val="1"/>
            </c:dLbl>
            <c:dLbl>
              <c:idx val="3"/>
              <c:layout>
                <c:manualLayout>
                  <c:x val="-5.8099973080288039E-2"/>
                  <c:y val="-6.5305396147518192E-4"/>
                </c:manualLayout>
              </c:layout>
              <c:dLblPos val="r"/>
              <c:showVal val="1"/>
            </c:dLbl>
            <c:dLbl>
              <c:idx val="4"/>
              <c:layout>
                <c:manualLayout>
                  <c:x val="-4.3932969917222656E-3"/>
                  <c:y val="5.6719279953020901E-3"/>
                </c:manualLayout>
              </c:layout>
              <c:dLblPos val="r"/>
              <c:showVal val="1"/>
            </c:dLbl>
            <c:dLbl>
              <c:idx val="5"/>
              <c:layout>
                <c:manualLayout>
                  <c:x val="-2.5641025641025862E-2"/>
                  <c:y val="-2.9538465226093342E-2"/>
                </c:manualLayout>
              </c:layout>
              <c:dLblPos val="b"/>
              <c:showVal val="1"/>
            </c:dLbl>
            <c:dLbl>
              <c:idx val="6"/>
              <c:layout>
                <c:manualLayout>
                  <c:x val="-3.2051282051282055E-2"/>
                  <c:y val="-1.8427593811047603E-2"/>
                </c:manualLayout>
              </c:layout>
              <c:dLblPos val="r"/>
              <c:showVal val="1"/>
            </c:dLbl>
            <c:dLbl>
              <c:idx val="7"/>
              <c:layout>
                <c:manualLayout>
                  <c:x val="0"/>
                  <c:y val="-1.4124570045182897E-2"/>
                </c:manualLayout>
              </c:layout>
              <c:dLblPos val="b"/>
              <c:showVal val="1"/>
            </c:dLbl>
            <c:dLbl>
              <c:idx val="8"/>
              <c:layout>
                <c:manualLayout>
                  <c:x val="-3.9478935325392019E-2"/>
                  <c:y val="1.9200613621927421E-2"/>
                </c:manualLayout>
              </c:layout>
              <c:dLblPos val="r"/>
              <c:showVal val="1"/>
            </c:dLbl>
            <c:dLbl>
              <c:idx val="9"/>
              <c:layout>
                <c:manualLayout>
                  <c:x val="-1.5220909886264221E-2"/>
                  <c:y val="-1.5064418317573321E-2"/>
                </c:manualLayout>
              </c:layout>
              <c:dLblPos val="r"/>
              <c:showVal val="1"/>
            </c:dLbl>
            <c:dLbl>
              <c:idx val="10"/>
              <c:layout>
                <c:manualLayout>
                  <c:x val="2.1365838885524448E-3"/>
                  <c:y val="-6.5629501791728093E-2"/>
                </c:manualLayout>
              </c:layout>
              <c:dLblPos val="b"/>
              <c:showVal val="1"/>
            </c:dLbl>
            <c:dLbl>
              <c:idx val="11"/>
              <c:layout>
                <c:manualLayout>
                  <c:x val="-2.3504273504273882E-2"/>
                  <c:y val="-3.282781433142775E-2"/>
                </c:manualLayout>
              </c:layout>
              <c:dLblPos val="b"/>
              <c:showVal val="1"/>
            </c:dLbl>
            <c:dLbl>
              <c:idx val="12"/>
              <c:layout>
                <c:manualLayout>
                  <c:x val="-1.682481997442722E-7"/>
                  <c:y val="-4.8022598870056499E-2"/>
                </c:manualLayout>
              </c:layout>
              <c:dLblPos val="b"/>
              <c:showVal val="1"/>
            </c:dLbl>
            <c:dLbl>
              <c:idx val="13"/>
              <c:layout>
                <c:manualLayout>
                  <c:x val="-5.0396729254998107E-2"/>
                  <c:y val="8.0465969151117568E-3"/>
                </c:manualLayout>
              </c:layout>
              <c:dLblPos val="r"/>
              <c:showVal val="1"/>
            </c:dLbl>
            <c:dLbl>
              <c:idx val="14"/>
              <c:layout>
                <c:manualLayout>
                  <c:x val="-1.1259842519685041E-2"/>
                  <c:y val="8.6362492359688767E-3"/>
                </c:manualLayout>
              </c:layout>
              <c:dLblPos val="r"/>
              <c:showVal val="1"/>
            </c:dLbl>
            <c:dLbl>
              <c:idx val="15"/>
              <c:layout>
                <c:manualLayout>
                  <c:x val="-2.3504273504273889E-2"/>
                  <c:y val="-3.7600402689390446E-2"/>
                </c:manualLayout>
              </c:layout>
              <c:dLblPos val="b"/>
              <c:showVal val="1"/>
            </c:dLbl>
            <c:dLbl>
              <c:idx val="16"/>
              <c:layout>
                <c:manualLayout>
                  <c:x val="-3.2731004778248876E-2"/>
                  <c:y val="1.4115221898632541E-2"/>
                </c:manualLayout>
              </c:layout>
              <c:dLblPos val="r"/>
              <c:showVal val="1"/>
            </c:dLbl>
            <c:dLbl>
              <c:idx val="17"/>
              <c:layout>
                <c:manualLayout>
                  <c:x val="-5.4680833165085117E-2"/>
                  <c:y val="-9.0422171804795479E-3"/>
                </c:manualLayout>
              </c:layout>
              <c:dLblPos val="r"/>
              <c:showVal val="1"/>
            </c:dLbl>
            <c:dLbl>
              <c:idx val="18"/>
              <c:layout>
                <c:manualLayout>
                  <c:x val="-5.5555555555555455E-2"/>
                  <c:y val="-7.7683615819211793E-3"/>
                </c:manualLayout>
              </c:layout>
              <c:dLblPos val="r"/>
              <c:showVal val="1"/>
            </c:dLbl>
            <c:txPr>
              <a:bodyPr/>
              <a:lstStyle/>
              <a:p>
                <a:pPr>
                  <a:defRPr sz="800">
                    <a:solidFill>
                      <a:schemeClr val="accent1">
                        <a:lumMod val="75000"/>
                      </a:schemeClr>
                    </a:solidFill>
                    <a:latin typeface="Times New Roman" pitchFamily="18" charset="0"/>
                    <a:cs typeface="Times New Roman" pitchFamily="18" charset="0"/>
                  </a:defRPr>
                </a:pPr>
                <a:endParaRPr lang="ru-RU"/>
              </a:p>
            </c:txPr>
            <c:dLblPos val="b"/>
            <c:showVal val="1"/>
          </c:dLbls>
          <c:cat>
            <c:strRef>
              <c:f>Sheet1!$B$1:$R$1</c:f>
              <c:strCache>
                <c:ptCount val="17"/>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Заготовки</c:v>
                </c:pt>
                <c:pt idx="8">
                  <c:v>Операции с недвиж. Имуществом</c:v>
                </c:pt>
                <c:pt idx="9">
                  <c:v>ЖКХ</c:v>
                </c:pt>
                <c:pt idx="10">
                  <c:v>Бытовое обслуживание</c:v>
                </c:pt>
                <c:pt idx="11">
                  <c:v>Здравоохранение</c:v>
                </c:pt>
                <c:pt idx="12">
                  <c:v>Образование</c:v>
                </c:pt>
                <c:pt idx="13">
                  <c:v>Культура и искусство</c:v>
                </c:pt>
                <c:pt idx="14">
                  <c:v>Физкультура отдых и туризм</c:v>
                </c:pt>
                <c:pt idx="15">
                  <c:v>Банки и кредитование</c:v>
                </c:pt>
                <c:pt idx="16">
                  <c:v>Страхование</c:v>
                </c:pt>
              </c:strCache>
            </c:strRef>
          </c:cat>
          <c:val>
            <c:numRef>
              <c:f>Sheet1!$B$2:$R$2</c:f>
              <c:numCache>
                <c:formatCode>0</c:formatCode>
                <c:ptCount val="17"/>
                <c:pt idx="0" formatCode="General">
                  <c:v>4979</c:v>
                </c:pt>
                <c:pt idx="1">
                  <c:v>3266</c:v>
                </c:pt>
                <c:pt idx="2" formatCode="General">
                  <c:v>1972</c:v>
                </c:pt>
                <c:pt idx="3" formatCode="General">
                  <c:v>4108</c:v>
                </c:pt>
                <c:pt idx="4" formatCode="General">
                  <c:v>6933</c:v>
                </c:pt>
                <c:pt idx="5" formatCode="General">
                  <c:v>4669</c:v>
                </c:pt>
                <c:pt idx="6">
                  <c:v>4072</c:v>
                </c:pt>
                <c:pt idx="7">
                  <c:v>4523</c:v>
                </c:pt>
                <c:pt idx="8">
                  <c:v>4642</c:v>
                </c:pt>
                <c:pt idx="9">
                  <c:v>4219</c:v>
                </c:pt>
                <c:pt idx="10">
                  <c:v>2451</c:v>
                </c:pt>
                <c:pt idx="11">
                  <c:v>4491</c:v>
                </c:pt>
                <c:pt idx="12">
                  <c:v>5099</c:v>
                </c:pt>
                <c:pt idx="13">
                  <c:v>2571</c:v>
                </c:pt>
                <c:pt idx="14">
                  <c:v>5514</c:v>
                </c:pt>
                <c:pt idx="15">
                  <c:v>7907</c:v>
                </c:pt>
                <c:pt idx="16">
                  <c:v>6183</c:v>
                </c:pt>
              </c:numCache>
            </c:numRef>
          </c:val>
        </c:ser>
        <c:ser>
          <c:idx val="1"/>
          <c:order val="1"/>
          <c:tx>
            <c:strRef>
              <c:f>Sheet1!$A$3</c:f>
              <c:strCache>
                <c:ptCount val="1"/>
                <c:pt idx="0">
                  <c:v>2016 год</c:v>
                </c:pt>
              </c:strCache>
            </c:strRef>
          </c:tx>
          <c:spPr>
            <a:ln w="22946">
              <a:solidFill>
                <a:srgbClr val="FF9900"/>
              </a:solidFill>
              <a:prstDash val="solid"/>
            </a:ln>
          </c:spPr>
          <c:marker>
            <c:symbol val="circle"/>
            <c:size val="2"/>
            <c:spPr>
              <a:solidFill>
                <a:srgbClr val="FF9900"/>
              </a:solidFill>
              <a:ln>
                <a:solidFill>
                  <a:srgbClr val="FF9900"/>
                </a:solidFill>
                <a:prstDash val="solid"/>
              </a:ln>
            </c:spPr>
          </c:marker>
          <c:dLbls>
            <c:dLbl>
              <c:idx val="0"/>
              <c:layout>
                <c:manualLayout>
                  <c:x val="-1.4804495591897181E-2"/>
                  <c:y val="-1.252579728903762E-2"/>
                </c:manualLayout>
              </c:layout>
              <c:dLblPos val="r"/>
              <c:showVal val="1"/>
            </c:dLbl>
            <c:dLbl>
              <c:idx val="1"/>
              <c:layout>
                <c:manualLayout>
                  <c:x val="-2.4222356820782037E-2"/>
                  <c:y val="-2.6083246443510049E-2"/>
                </c:manualLayout>
              </c:layout>
              <c:dLblPos val="r"/>
              <c:showVal val="1"/>
            </c:dLbl>
            <c:dLbl>
              <c:idx val="2"/>
              <c:layout>
                <c:manualLayout>
                  <c:x val="2.136752136752137E-3"/>
                  <c:y val="1.1492707247210802E-2"/>
                </c:manualLayout>
              </c:layout>
              <c:dLblPos val="t"/>
              <c:showVal val="1"/>
            </c:dLbl>
            <c:dLbl>
              <c:idx val="3"/>
              <c:layout>
                <c:manualLayout>
                  <c:x val="-1.8835049464970725E-2"/>
                  <c:y val="1.5429956848614267E-2"/>
                </c:manualLayout>
              </c:layout>
              <c:dLblPos val="r"/>
              <c:showVal val="1"/>
            </c:dLbl>
            <c:dLbl>
              <c:idx val="4"/>
              <c:layout>
                <c:manualLayout>
                  <c:x val="-5.6513392556699703E-2"/>
                  <c:y val="2.1275422763935492E-3"/>
                </c:manualLayout>
              </c:layout>
              <c:dLblPos val="r"/>
              <c:showVal val="1"/>
            </c:dLbl>
            <c:dLbl>
              <c:idx val="5"/>
              <c:layout>
                <c:manualLayout>
                  <c:x val="-4.7780974493572922E-2"/>
                  <c:y val="2.3933652129100411E-2"/>
                </c:manualLayout>
              </c:layout>
              <c:dLblPos val="r"/>
              <c:showVal val="1"/>
            </c:dLbl>
            <c:dLbl>
              <c:idx val="6"/>
              <c:layout>
                <c:manualLayout>
                  <c:x val="-3.8901844000269296E-2"/>
                  <c:y val="2.0288713910761192E-2"/>
                </c:manualLayout>
              </c:layout>
              <c:dLblPos val="r"/>
              <c:showVal val="1"/>
            </c:dLbl>
            <c:dLbl>
              <c:idx val="7"/>
              <c:layout>
                <c:manualLayout>
                  <c:x val="2.136752136752137E-3"/>
                  <c:y val="4.1960234422751964E-2"/>
                </c:manualLayout>
              </c:layout>
              <c:dLblPos val="t"/>
              <c:showVal val="1"/>
            </c:dLbl>
            <c:dLbl>
              <c:idx val="8"/>
              <c:layout>
                <c:manualLayout>
                  <c:x val="4.2735042735042739E-3"/>
                  <c:y val="5.9760543630676434E-2"/>
                </c:manualLayout>
              </c:layout>
              <c:dLblPos val="t"/>
              <c:showVal val="1"/>
            </c:dLbl>
            <c:dLbl>
              <c:idx val="9"/>
              <c:layout>
                <c:manualLayout>
                  <c:x val="-3.8876270273908081E-2"/>
                  <c:y val="2.3472956291422473E-2"/>
                </c:manualLayout>
              </c:layout>
              <c:dLblPos val="r"/>
              <c:showVal val="1"/>
            </c:dLbl>
            <c:dLbl>
              <c:idx val="10"/>
              <c:layout>
                <c:manualLayout>
                  <c:x val="-4.2736725217042979E-3"/>
                  <c:y val="4.1962720761599716E-2"/>
                </c:manualLayout>
              </c:layout>
              <c:dLblPos val="t"/>
              <c:showVal val="1"/>
            </c:dLbl>
            <c:dLbl>
              <c:idx val="11"/>
              <c:layout>
                <c:manualLayout>
                  <c:x val="2.1367521367521368E-2"/>
                  <c:y val="4.1302268723258907E-2"/>
                </c:manualLayout>
              </c:layout>
              <c:dLblPos val="t"/>
              <c:showVal val="1"/>
            </c:dLbl>
            <c:dLbl>
              <c:idx val="12"/>
              <c:layout>
                <c:manualLayout>
                  <c:x val="-2.1224510397738743E-3"/>
                  <c:y val="-5.8471458191013794E-3"/>
                </c:manualLayout>
              </c:layout>
              <c:dLblPos val="r"/>
              <c:showVal val="1"/>
            </c:dLbl>
            <c:dLbl>
              <c:idx val="13"/>
              <c:layout>
                <c:manualLayout>
                  <c:x val="2.9914529914529909E-2"/>
                  <c:y val="2.3040065197329811E-2"/>
                </c:manualLayout>
              </c:layout>
              <c:dLblPos val="t"/>
              <c:showVal val="1"/>
            </c:dLbl>
            <c:dLbl>
              <c:idx val="14"/>
              <c:layout>
                <c:manualLayout>
                  <c:x val="-1.4957264957264856E-2"/>
                  <c:y val="1.6046213401407015E-2"/>
                </c:manualLayout>
              </c:layout>
              <c:dLblPos val="t"/>
              <c:showVal val="1"/>
            </c:dLbl>
            <c:dLbl>
              <c:idx val="15"/>
              <c:layout>
                <c:manualLayout>
                  <c:x val="-2.5592065414900059E-2"/>
                  <c:y val="1.8030606343698619E-2"/>
                </c:manualLayout>
              </c:layout>
              <c:dLblPos val="r"/>
              <c:showVal val="1"/>
            </c:dLbl>
            <c:dLbl>
              <c:idx val="16"/>
              <c:layout>
                <c:manualLayout>
                  <c:x val="0"/>
                  <c:y val="5.4305540574551472E-3"/>
                </c:manualLayout>
              </c:layout>
              <c:dLblPos val="t"/>
              <c:showVal val="1"/>
            </c:dLbl>
            <c:dLbl>
              <c:idx val="17"/>
              <c:layout>
                <c:manualLayout>
                  <c:x val="-5.0789925297799313E-2"/>
                  <c:y val="3.1765203078430292E-3"/>
                </c:manualLayout>
              </c:layout>
              <c:dLblPos val="r"/>
              <c:showVal val="1"/>
            </c:dLbl>
            <c:dLbl>
              <c:idx val="18"/>
              <c:layout>
                <c:manualLayout>
                  <c:x val="-3.4188034188034191E-2"/>
                  <c:y val="-3.4193691890208593E-2"/>
                </c:manualLayout>
              </c:layout>
              <c:dLblPos val="r"/>
              <c:showVal val="1"/>
            </c:dLbl>
            <c:txPr>
              <a:bodyPr/>
              <a:lstStyle/>
              <a:p>
                <a:pPr>
                  <a:defRPr sz="800">
                    <a:solidFill>
                      <a:schemeClr val="tx1">
                        <a:lumMod val="95000"/>
                        <a:lumOff val="5000"/>
                      </a:schemeClr>
                    </a:solidFill>
                    <a:latin typeface="Times New Roman" pitchFamily="18" charset="0"/>
                    <a:cs typeface="Times New Roman" pitchFamily="18" charset="0"/>
                  </a:defRPr>
                </a:pPr>
                <a:endParaRPr lang="ru-RU"/>
              </a:p>
            </c:txPr>
            <c:dLblPos val="t"/>
            <c:showVal val="1"/>
          </c:dLbls>
          <c:cat>
            <c:strRef>
              <c:f>Sheet1!$B$1:$R$1</c:f>
              <c:strCache>
                <c:ptCount val="17"/>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Заготовки</c:v>
                </c:pt>
                <c:pt idx="8">
                  <c:v>Операции с недвиж. Имуществом</c:v>
                </c:pt>
                <c:pt idx="9">
                  <c:v>ЖКХ</c:v>
                </c:pt>
                <c:pt idx="10">
                  <c:v>Бытовое обслуживание</c:v>
                </c:pt>
                <c:pt idx="11">
                  <c:v>Здравоохранение</c:v>
                </c:pt>
                <c:pt idx="12">
                  <c:v>Образование</c:v>
                </c:pt>
                <c:pt idx="13">
                  <c:v>Культура и искусство</c:v>
                </c:pt>
                <c:pt idx="14">
                  <c:v>Физкультура отдых и туризм</c:v>
                </c:pt>
                <c:pt idx="15">
                  <c:v>Банки и кредитование</c:v>
                </c:pt>
                <c:pt idx="16">
                  <c:v>Страхование</c:v>
                </c:pt>
              </c:strCache>
            </c:strRef>
          </c:cat>
          <c:val>
            <c:numRef>
              <c:f>Sheet1!$B$3:$R$3</c:f>
              <c:numCache>
                <c:formatCode>0</c:formatCode>
                <c:ptCount val="17"/>
                <c:pt idx="0" formatCode="General">
                  <c:v>4963</c:v>
                </c:pt>
                <c:pt idx="1">
                  <c:v>3467</c:v>
                </c:pt>
                <c:pt idx="2" formatCode="General">
                  <c:v>2539</c:v>
                </c:pt>
                <c:pt idx="3" formatCode="General">
                  <c:v>3916</c:v>
                </c:pt>
                <c:pt idx="4" formatCode="General">
                  <c:v>7168</c:v>
                </c:pt>
                <c:pt idx="5" formatCode="General">
                  <c:v>4553</c:v>
                </c:pt>
                <c:pt idx="6">
                  <c:v>3978</c:v>
                </c:pt>
                <c:pt idx="7">
                  <c:v>3400</c:v>
                </c:pt>
                <c:pt idx="8">
                  <c:v>4321</c:v>
                </c:pt>
                <c:pt idx="9">
                  <c:v>4158</c:v>
                </c:pt>
                <c:pt idx="10">
                  <c:v>2426</c:v>
                </c:pt>
                <c:pt idx="11">
                  <c:v>4399</c:v>
                </c:pt>
                <c:pt idx="12">
                  <c:v>5011</c:v>
                </c:pt>
                <c:pt idx="13">
                  <c:v>2667</c:v>
                </c:pt>
                <c:pt idx="14">
                  <c:v>6247</c:v>
                </c:pt>
                <c:pt idx="15">
                  <c:v>7331</c:v>
                </c:pt>
                <c:pt idx="16">
                  <c:v>6931</c:v>
                </c:pt>
              </c:numCache>
            </c:numRef>
          </c:val>
        </c:ser>
        <c:ser>
          <c:idx val="2"/>
          <c:order val="2"/>
          <c:tx>
            <c:strRef>
              <c:f>Sheet1!$A$4</c:f>
              <c:strCache>
                <c:ptCount val="1"/>
                <c:pt idx="0">
                  <c:v>средняя зарплата во внебюджетном секторе республики  республике за 2016 год</c:v>
                </c:pt>
              </c:strCache>
            </c:strRef>
          </c:tx>
          <c:spPr>
            <a:ln w="22946">
              <a:solidFill>
                <a:srgbClr val="008080"/>
              </a:solidFill>
              <a:prstDash val="solid"/>
            </a:ln>
          </c:spPr>
          <c:marker>
            <c:symbol val="triangle"/>
            <c:size val="2"/>
            <c:spPr>
              <a:solidFill>
                <a:srgbClr val="008080"/>
              </a:solidFill>
              <a:ln>
                <a:solidFill>
                  <a:srgbClr val="008080"/>
                </a:solidFill>
                <a:prstDash val="solid"/>
              </a:ln>
            </c:spPr>
          </c:marker>
          <c:dLbls>
            <c:delete val="1"/>
          </c:dLbls>
          <c:cat>
            <c:strRef>
              <c:f>Sheet1!$B$1:$R$1</c:f>
              <c:strCache>
                <c:ptCount val="17"/>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Заготовки</c:v>
                </c:pt>
                <c:pt idx="8">
                  <c:v>Операции с недвиж. Имуществом</c:v>
                </c:pt>
                <c:pt idx="9">
                  <c:v>ЖКХ</c:v>
                </c:pt>
                <c:pt idx="10">
                  <c:v>Бытовое обслуживание</c:v>
                </c:pt>
                <c:pt idx="11">
                  <c:v>Здравоохранение</c:v>
                </c:pt>
                <c:pt idx="12">
                  <c:v>Образование</c:v>
                </c:pt>
                <c:pt idx="13">
                  <c:v>Культура и искусство</c:v>
                </c:pt>
                <c:pt idx="14">
                  <c:v>Физкультура отдых и туризм</c:v>
                </c:pt>
                <c:pt idx="15">
                  <c:v>Банки и кредитование</c:v>
                </c:pt>
                <c:pt idx="16">
                  <c:v>Страхование</c:v>
                </c:pt>
              </c:strCache>
            </c:strRef>
          </c:cat>
          <c:val>
            <c:numRef>
              <c:f>Sheet1!$B$4:$R$4</c:f>
              <c:numCache>
                <c:formatCode>General</c:formatCode>
                <c:ptCount val="17"/>
                <c:pt idx="0">
                  <c:v>4857</c:v>
                </c:pt>
                <c:pt idx="1">
                  <c:v>4857</c:v>
                </c:pt>
                <c:pt idx="2">
                  <c:v>4857</c:v>
                </c:pt>
                <c:pt idx="3">
                  <c:v>4857</c:v>
                </c:pt>
                <c:pt idx="4">
                  <c:v>4857</c:v>
                </c:pt>
                <c:pt idx="5">
                  <c:v>4857</c:v>
                </c:pt>
                <c:pt idx="6">
                  <c:v>4857</c:v>
                </c:pt>
                <c:pt idx="7">
                  <c:v>4857</c:v>
                </c:pt>
                <c:pt idx="8">
                  <c:v>4857</c:v>
                </c:pt>
                <c:pt idx="9">
                  <c:v>4857</c:v>
                </c:pt>
                <c:pt idx="10">
                  <c:v>4857</c:v>
                </c:pt>
                <c:pt idx="11">
                  <c:v>4857</c:v>
                </c:pt>
                <c:pt idx="12">
                  <c:v>4857</c:v>
                </c:pt>
                <c:pt idx="13">
                  <c:v>4857</c:v>
                </c:pt>
                <c:pt idx="14">
                  <c:v>4857</c:v>
                </c:pt>
                <c:pt idx="15">
                  <c:v>4857</c:v>
                </c:pt>
                <c:pt idx="16">
                  <c:v>4857</c:v>
                </c:pt>
              </c:numCache>
            </c:numRef>
          </c:val>
        </c:ser>
        <c:dLbls>
          <c:showVal val="1"/>
        </c:dLbls>
        <c:marker val="1"/>
        <c:axId val="159710208"/>
        <c:axId val="159425280"/>
      </c:lineChart>
      <c:catAx>
        <c:axId val="159710208"/>
        <c:scaling>
          <c:orientation val="minMax"/>
        </c:scaling>
        <c:axPos val="b"/>
        <c:numFmt formatCode="General" sourceLinked="1"/>
        <c:tickLblPos val="nextTo"/>
        <c:spPr>
          <a:ln w="2868">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159425280"/>
        <c:crosses val="autoZero"/>
        <c:auto val="1"/>
        <c:lblAlgn val="ctr"/>
        <c:lblOffset val="200"/>
        <c:tickLblSkip val="1"/>
        <c:tickMarkSkip val="1"/>
      </c:catAx>
      <c:valAx>
        <c:axId val="159425280"/>
        <c:scaling>
          <c:orientation val="minMax"/>
          <c:max val="8500"/>
          <c:min val="1500"/>
        </c:scaling>
        <c:axPos val="l"/>
        <c:numFmt formatCode="General" sourceLinked="0"/>
        <c:tickLblPos val="nextTo"/>
        <c:spPr>
          <a:ln w="2868">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9710208"/>
        <c:crosses val="autoZero"/>
        <c:crossBetween val="between"/>
        <c:majorUnit val="1000"/>
        <c:minorUnit val="500"/>
      </c:valAx>
      <c:spPr>
        <a:solidFill>
          <a:srgbClr val="FFFFFF"/>
        </a:solidFill>
        <a:ln w="2868">
          <a:noFill/>
          <a:prstDash val="solid"/>
        </a:ln>
      </c:spPr>
    </c:plotArea>
    <c:legend>
      <c:legendPos val="r"/>
      <c:layout>
        <c:manualLayout>
          <c:xMode val="edge"/>
          <c:yMode val="edge"/>
          <c:x val="2.7059431524547806E-2"/>
          <c:y val="0.8691059231631163"/>
          <c:w val="0.93906689548421829"/>
          <c:h val="0.12893403517930518"/>
        </c:manualLayout>
      </c:layout>
      <c:spPr>
        <a:solidFill>
          <a:srgbClr val="FFFFFF"/>
        </a:solidFill>
        <a:ln w="2868">
          <a:no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93" b="1" i="0" u="none" strike="noStrike" baseline="0">
          <a:solidFill>
            <a:srgbClr val="000000"/>
          </a:solidFill>
          <a:latin typeface="Arial Cyr"/>
          <a:ea typeface="Arial Cyr"/>
          <a:cs typeface="Arial Cyr"/>
        </a:defRPr>
      </a:pPr>
      <a:endParaRPr lang="ru-RU"/>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style val="39"/>
  <c:clrMapOvr bg1="lt1" tx1="dk1" bg2="lt2" tx2="dk2" accent1="accent1" accent2="accent2" accent3="accent3" accent4="accent4" accent5="accent5" accent6="accent6" hlink="hlink" folHlink="folHlink"/>
  <c:chart>
    <c:title>
      <c:tx>
        <c:rich>
          <a:bodyPr/>
          <a:lstStyle/>
          <a:p>
            <a:pPr>
              <a:defRPr sz="1200"/>
            </a:pPr>
            <a:r>
              <a:rPr lang="ru-RU" sz="1200"/>
              <a:t>Динамика среднемесячной номинальной заработной платы в разрезе подотраслей промышленности, %</a:t>
            </a:r>
            <a:endParaRPr lang="ru-RU" sz="1200">
              <a:solidFill>
                <a:srgbClr val="FF0000"/>
              </a:solidFill>
            </a:endParaRPr>
          </a:p>
        </c:rich>
      </c:tx>
      <c:layout>
        <c:manualLayout>
          <c:xMode val="edge"/>
          <c:yMode val="edge"/>
          <c:x val="0.16765366114377317"/>
          <c:y val="0"/>
        </c:manualLayout>
      </c:layout>
      <c:spPr>
        <a:noFill/>
      </c:spPr>
    </c:title>
    <c:view3D>
      <c:rotX val="10"/>
      <c:rotY val="0"/>
      <c:perspective val="30"/>
    </c:view3D>
    <c:plotArea>
      <c:layout>
        <c:manualLayout>
          <c:layoutTarget val="inner"/>
          <c:xMode val="edge"/>
          <c:yMode val="edge"/>
          <c:x val="8.9863450612977194E-2"/>
          <c:y val="0.12788020575831918"/>
          <c:w val="0.89139381014873265"/>
          <c:h val="0.36235170603674538"/>
        </c:manualLayout>
      </c:layout>
      <c:bar3DChart>
        <c:barDir val="col"/>
        <c:grouping val="clustered"/>
        <c:ser>
          <c:idx val="0"/>
          <c:order val="0"/>
          <c:tx>
            <c:strRef>
              <c:f>Лист1!$B$1</c:f>
              <c:strCache>
                <c:ptCount val="1"/>
                <c:pt idx="0">
                  <c:v>2015 год</c:v>
                </c:pt>
              </c:strCache>
            </c:strRef>
          </c:tx>
          <c:spPr>
            <a:solidFill>
              <a:srgbClr val="7030A0"/>
            </a:solidFill>
          </c:spPr>
          <c:dLbls>
            <c:delete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 Обработка</c:v>
                </c:pt>
                <c:pt idx="4">
                  <c:v>Электротехническая промышленность</c:v>
                </c:pt>
                <c:pt idx="5">
                  <c:v>Деревообрабатываающая</c:v>
                </c:pt>
                <c:pt idx="6">
                  <c:v>Промышленность строительных материалов</c:v>
                </c:pt>
                <c:pt idx="7">
                  <c:v>Легкая промышленность</c:v>
                </c:pt>
                <c:pt idx="8">
                  <c:v>Пищевая промышленность</c:v>
                </c:pt>
                <c:pt idx="9">
                  <c:v>Мукомольно-крупянная</c:v>
                </c:pt>
                <c:pt idx="10">
                  <c:v>Полиграфическая промышленность</c:v>
                </c:pt>
              </c:strCache>
            </c:strRef>
          </c:cat>
          <c:val>
            <c:numRef>
              <c:f>Лист1!$B$2:$B$12</c:f>
              <c:numCache>
                <c:formatCode>#,##0</c:formatCode>
                <c:ptCount val="11"/>
                <c:pt idx="0">
                  <c:v>5980</c:v>
                </c:pt>
                <c:pt idx="1">
                  <c:v>6160</c:v>
                </c:pt>
                <c:pt idx="2">
                  <c:v>4087</c:v>
                </c:pt>
                <c:pt idx="3">
                  <c:v>5021</c:v>
                </c:pt>
                <c:pt idx="4">
                  <c:v>4295</c:v>
                </c:pt>
                <c:pt idx="5">
                  <c:v>2797</c:v>
                </c:pt>
                <c:pt idx="6">
                  <c:v>4248</c:v>
                </c:pt>
                <c:pt idx="7">
                  <c:v>3929</c:v>
                </c:pt>
                <c:pt idx="8">
                  <c:v>4483</c:v>
                </c:pt>
                <c:pt idx="9">
                  <c:v>4345</c:v>
                </c:pt>
                <c:pt idx="10">
                  <c:v>4799</c:v>
                </c:pt>
              </c:numCache>
            </c:numRef>
          </c:val>
        </c:ser>
        <c:ser>
          <c:idx val="1"/>
          <c:order val="1"/>
          <c:tx>
            <c:strRef>
              <c:f>Лист1!$C$1</c:f>
              <c:strCache>
                <c:ptCount val="1"/>
                <c:pt idx="0">
                  <c:v>2016 год</c:v>
                </c:pt>
              </c:strCache>
            </c:strRef>
          </c:tx>
          <c:spPr>
            <a:solidFill>
              <a:srgbClr val="8064A2">
                <a:lumMod val="40000"/>
                <a:lumOff val="60000"/>
              </a:srgbClr>
            </a:solidFill>
          </c:spPr>
          <c:dLbls>
            <c:dLbl>
              <c:idx val="0"/>
              <c:layout>
                <c:manualLayout>
                  <c:x val="-3.0005086573480651E-3"/>
                  <c:y val="7.0127846922360508E-3"/>
                </c:manualLayout>
              </c:layout>
              <c:tx>
                <c:rich>
                  <a:bodyPr/>
                  <a:lstStyle/>
                  <a:p>
                    <a:r>
                      <a:rPr lang="ru-RU" sz="800" b="1"/>
                      <a:t>101,1*</a:t>
                    </a:r>
                    <a:endParaRPr lang="en-US" sz="800" b="1"/>
                  </a:p>
                </c:rich>
              </c:tx>
              <c:showVal val="1"/>
            </c:dLbl>
            <c:dLbl>
              <c:idx val="1"/>
              <c:layout>
                <c:manualLayout>
                  <c:x val="1.5105088608110387E-4"/>
                  <c:y val="-1.5305586801649793E-2"/>
                </c:manualLayout>
              </c:layout>
              <c:tx>
                <c:rich>
                  <a:bodyPr/>
                  <a:lstStyle/>
                  <a:p>
                    <a:r>
                      <a:rPr lang="ru-RU" sz="800" b="1"/>
                      <a:t>90,8*</a:t>
                    </a:r>
                    <a:endParaRPr lang="en-US" sz="800" b="1"/>
                  </a:p>
                </c:rich>
              </c:tx>
              <c:showVal val="1"/>
            </c:dLbl>
            <c:dLbl>
              <c:idx val="2"/>
              <c:layout>
                <c:manualLayout>
                  <c:x val="4.9498463854814022E-4"/>
                  <c:y val="-3.3633053932774692E-3"/>
                </c:manualLayout>
              </c:layout>
              <c:tx>
                <c:rich>
                  <a:bodyPr/>
                  <a:lstStyle/>
                  <a:p>
                    <a:r>
                      <a:rPr lang="ru-RU" sz="800" b="1"/>
                      <a:t>102,6*</a:t>
                    </a:r>
                    <a:endParaRPr lang="en-US" sz="800" b="1"/>
                  </a:p>
                </c:rich>
              </c:tx>
              <c:showVal val="1"/>
            </c:dLbl>
            <c:dLbl>
              <c:idx val="3"/>
              <c:layout>
                <c:manualLayout>
                  <c:x val="-1.8550936946835261E-3"/>
                  <c:y val="-1.2537465074930151E-3"/>
                </c:manualLayout>
              </c:layout>
              <c:tx>
                <c:rich>
                  <a:bodyPr/>
                  <a:lstStyle/>
                  <a:p>
                    <a:r>
                      <a:rPr lang="ru-RU" sz="800" b="1"/>
                      <a:t>103,9*</a:t>
                    </a:r>
                    <a:endParaRPr lang="en-US" sz="800" b="1"/>
                  </a:p>
                </c:rich>
              </c:tx>
              <c:showVal val="1"/>
            </c:dLbl>
            <c:dLbl>
              <c:idx val="4"/>
              <c:layout>
                <c:manualLayout>
                  <c:x val="-1.4877210116177341E-4"/>
                  <c:y val="-3.9888239776480006E-3"/>
                </c:manualLayout>
              </c:layout>
              <c:tx>
                <c:rich>
                  <a:bodyPr/>
                  <a:lstStyle/>
                  <a:p>
                    <a:r>
                      <a:rPr lang="ru-RU" sz="800" b="1"/>
                      <a:t>99,7*</a:t>
                    </a:r>
                    <a:endParaRPr lang="en-US" sz="800" b="1"/>
                  </a:p>
                </c:rich>
              </c:tx>
              <c:showVal val="1"/>
            </c:dLbl>
            <c:dLbl>
              <c:idx val="5"/>
              <c:layout>
                <c:manualLayout>
                  <c:x val="-3.8929784939673241E-3"/>
                  <c:y val="3.8946744560196452E-5"/>
                </c:manualLayout>
              </c:layout>
              <c:tx>
                <c:rich>
                  <a:bodyPr/>
                  <a:lstStyle/>
                  <a:p>
                    <a:r>
                      <a:rPr lang="ru-RU" sz="800" b="1"/>
                      <a:t>104,3*</a:t>
                    </a:r>
                    <a:endParaRPr lang="en-US" sz="800" b="1"/>
                  </a:p>
                </c:rich>
              </c:tx>
              <c:showVal val="1"/>
            </c:dLbl>
            <c:dLbl>
              <c:idx val="6"/>
              <c:layout>
                <c:manualLayout>
                  <c:x val="-1.5723615943355961E-3"/>
                  <c:y val="-1.6863040634772661E-2"/>
                </c:manualLayout>
              </c:layout>
              <c:tx>
                <c:rich>
                  <a:bodyPr/>
                  <a:lstStyle/>
                  <a:p>
                    <a:r>
                      <a:rPr lang="ru-RU" sz="800" b="1"/>
                      <a:t>99,8*</a:t>
                    </a:r>
                    <a:endParaRPr lang="en-US" sz="800" b="1"/>
                  </a:p>
                </c:rich>
              </c:tx>
              <c:showVal val="1"/>
            </c:dLbl>
            <c:dLbl>
              <c:idx val="7"/>
              <c:layout>
                <c:manualLayout>
                  <c:x val="-3.8347067081731692E-3"/>
                  <c:y val="-8.5881344039915684E-3"/>
                </c:manualLayout>
              </c:layout>
              <c:tx>
                <c:rich>
                  <a:bodyPr/>
                  <a:lstStyle/>
                  <a:p>
                    <a:r>
                      <a:rPr lang="ru-RU" sz="800" b="1"/>
                      <a:t>101,5*</a:t>
                    </a:r>
                    <a:endParaRPr lang="en-US" sz="800" b="1"/>
                  </a:p>
                </c:rich>
              </c:tx>
              <c:showVal val="1"/>
            </c:dLbl>
            <c:dLbl>
              <c:idx val="8"/>
              <c:layout>
                <c:manualLayout>
                  <c:x val="-8.1810006307351107E-3"/>
                  <c:y val="-5.6034579835937534E-3"/>
                </c:manualLayout>
              </c:layout>
              <c:tx>
                <c:rich>
                  <a:bodyPr/>
                  <a:lstStyle/>
                  <a:p>
                    <a:r>
                      <a:rPr lang="ru-RU" sz="800" b="1"/>
                      <a:t>102,8*</a:t>
                    </a:r>
                    <a:endParaRPr lang="en-US" sz="800" b="1"/>
                  </a:p>
                </c:rich>
              </c:tx>
              <c:showVal val="1"/>
            </c:dLbl>
            <c:dLbl>
              <c:idx val="9"/>
              <c:layout>
                <c:manualLayout>
                  <c:x val="-1.0513988077071754E-2"/>
                  <c:y val="-8.2895605791215247E-3"/>
                </c:manualLayout>
              </c:layout>
              <c:tx>
                <c:rich>
                  <a:bodyPr/>
                  <a:lstStyle/>
                  <a:p>
                    <a:r>
                      <a:rPr lang="ru-RU" sz="800" b="1"/>
                      <a:t>94,4*</a:t>
                    </a:r>
                    <a:endParaRPr lang="en-US" sz="800" b="1"/>
                  </a:p>
                </c:rich>
              </c:tx>
              <c:showVal val="1"/>
            </c:dLbl>
            <c:dLbl>
              <c:idx val="10"/>
              <c:layout>
                <c:manualLayout>
                  <c:x val="-1.1978758469144845E-2"/>
                  <c:y val="-2.5806451612903236E-2"/>
                </c:manualLayout>
              </c:layout>
              <c:tx>
                <c:rich>
                  <a:bodyPr/>
                  <a:lstStyle/>
                  <a:p>
                    <a:r>
                      <a:rPr lang="ru-RU" sz="800" b="1"/>
                      <a:t>88,2*</a:t>
                    </a:r>
                    <a:endParaRPr lang="en-US" sz="800" b="1"/>
                  </a:p>
                </c:rich>
              </c:tx>
              <c:showVal val="1"/>
            </c:dLbl>
            <c:txPr>
              <a:bodyPr/>
              <a:lstStyle/>
              <a:p>
                <a:pPr>
                  <a:defRPr b="1"/>
                </a:pPr>
                <a:endParaRPr lang="ru-RU"/>
              </a:p>
            </c:txPr>
            <c:showVal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 Обработка</c:v>
                </c:pt>
                <c:pt idx="4">
                  <c:v>Электротехническая промышленность</c:v>
                </c:pt>
                <c:pt idx="5">
                  <c:v>Деревообрабатываающая</c:v>
                </c:pt>
                <c:pt idx="6">
                  <c:v>Промышленность строительных материалов</c:v>
                </c:pt>
                <c:pt idx="7">
                  <c:v>Легкая промышленность</c:v>
                </c:pt>
                <c:pt idx="8">
                  <c:v>Пищевая промышленность</c:v>
                </c:pt>
                <c:pt idx="9">
                  <c:v>Мукомольно-крупянная</c:v>
                </c:pt>
                <c:pt idx="10">
                  <c:v>Полиграфическая промышленность</c:v>
                </c:pt>
              </c:strCache>
            </c:strRef>
          </c:cat>
          <c:val>
            <c:numRef>
              <c:f>Лист1!$C$2:$C$12</c:f>
              <c:numCache>
                <c:formatCode>#,##0</c:formatCode>
                <c:ptCount val="11"/>
                <c:pt idx="0">
                  <c:v>6046</c:v>
                </c:pt>
                <c:pt idx="1">
                  <c:v>5592</c:v>
                </c:pt>
                <c:pt idx="2">
                  <c:v>4194</c:v>
                </c:pt>
                <c:pt idx="3">
                  <c:v>5215</c:v>
                </c:pt>
                <c:pt idx="4">
                  <c:v>4281</c:v>
                </c:pt>
                <c:pt idx="5">
                  <c:v>2917</c:v>
                </c:pt>
                <c:pt idx="6">
                  <c:v>4239</c:v>
                </c:pt>
                <c:pt idx="7">
                  <c:v>3986</c:v>
                </c:pt>
                <c:pt idx="8">
                  <c:v>4607</c:v>
                </c:pt>
                <c:pt idx="9">
                  <c:v>4101</c:v>
                </c:pt>
                <c:pt idx="10">
                  <c:v>4234</c:v>
                </c:pt>
              </c:numCache>
            </c:numRef>
          </c:val>
        </c:ser>
        <c:dLbls>
          <c:showVal val="1"/>
        </c:dLbls>
        <c:shape val="cylinder"/>
        <c:axId val="159610368"/>
        <c:axId val="159611904"/>
        <c:axId val="0"/>
      </c:bar3DChart>
      <c:catAx>
        <c:axId val="159610368"/>
        <c:scaling>
          <c:orientation val="minMax"/>
        </c:scaling>
        <c:axPos val="b"/>
        <c:tickLblPos val="nextTo"/>
        <c:txPr>
          <a:bodyPr rot="-5400000" vert="horz"/>
          <a:lstStyle/>
          <a:p>
            <a:pPr>
              <a:defRPr sz="900" b="0"/>
            </a:pPr>
            <a:endParaRPr lang="ru-RU"/>
          </a:p>
        </c:txPr>
        <c:crossAx val="159611904"/>
        <c:crosses val="autoZero"/>
        <c:auto val="1"/>
        <c:lblAlgn val="ctr"/>
        <c:lblOffset val="100"/>
      </c:catAx>
      <c:valAx>
        <c:axId val="159611904"/>
        <c:scaling>
          <c:orientation val="minMax"/>
        </c:scaling>
        <c:axPos val="l"/>
        <c:title>
          <c:tx>
            <c:rich>
              <a:bodyPr rot="0" vert="horz"/>
              <a:lstStyle/>
              <a:p>
                <a:pPr>
                  <a:defRPr sz="800"/>
                </a:pPr>
                <a:r>
                  <a:rPr lang="ru-RU" sz="800"/>
                  <a:t>* - темп роста</a:t>
                </a:r>
                <a:r>
                  <a:rPr lang="ru-RU" sz="800" baseline="0"/>
                  <a:t> </a:t>
                </a:r>
                <a:r>
                  <a:rPr lang="ru-RU" sz="800"/>
                  <a:t>2016г. к  2015г., %</a:t>
                </a:r>
              </a:p>
            </c:rich>
          </c:tx>
          <c:layout>
            <c:manualLayout>
              <c:xMode val="edge"/>
              <c:yMode val="edge"/>
              <c:x val="2.0275713097597692E-3"/>
              <c:y val="0.88207371714895466"/>
            </c:manualLayout>
          </c:layout>
        </c:title>
        <c:numFmt formatCode="#,##0" sourceLinked="1"/>
        <c:tickLblPos val="nextTo"/>
        <c:crossAx val="159610368"/>
        <c:crosses val="autoZero"/>
        <c:crossBetween val="between"/>
        <c:majorUnit val="5000"/>
      </c:valAx>
      <c:dTable>
        <c:showHorzBorder val="1"/>
        <c:showVertBorder val="1"/>
        <c:showOutline val="1"/>
        <c:showKeys val="1"/>
      </c:dTable>
      <c:spPr>
        <a:noFill/>
      </c:spPr>
    </c:plotArea>
    <c:legend>
      <c:legendPos val="b"/>
      <c:layout>
        <c:manualLayout>
          <c:xMode val="edge"/>
          <c:yMode val="edge"/>
          <c:x val="0.29223382509848644"/>
          <c:y val="0.90789753553533081"/>
          <c:w val="0.5997642206946584"/>
          <c:h val="9.0280192248696225E-2"/>
        </c:manualLayout>
      </c:layout>
    </c:legend>
    <c:plotVisOnly val="1"/>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pPr>
            <a:r>
              <a:rPr lang="ru-RU" sz="1200"/>
              <a:t>Динамика оплаты труда в организациях бюджетного сектора,</a:t>
            </a:r>
          </a:p>
          <a:p>
            <a:pPr>
              <a:defRPr sz="1200"/>
            </a:pPr>
            <a:r>
              <a:rPr lang="ru-RU" sz="1200"/>
              <a:t> руб. ПМР</a:t>
            </a:r>
          </a:p>
        </c:rich>
      </c:tx>
      <c:layout>
        <c:manualLayout>
          <c:xMode val="edge"/>
          <c:yMode val="edge"/>
          <c:x val="0.17442713861394291"/>
          <c:y val="1.4262930737476431E-2"/>
        </c:manualLayout>
      </c:layout>
      <c:spPr>
        <a:noFill/>
      </c:spPr>
    </c:title>
    <c:plotArea>
      <c:layout>
        <c:manualLayout>
          <c:layoutTarget val="inner"/>
          <c:xMode val="edge"/>
          <c:yMode val="edge"/>
          <c:x val="7.4790419161677113E-2"/>
          <c:y val="0.11795567790354362"/>
          <c:w val="0.92520958083832339"/>
          <c:h val="0.4076382337649323"/>
        </c:manualLayout>
      </c:layout>
      <c:barChart>
        <c:barDir val="col"/>
        <c:grouping val="clustered"/>
        <c:ser>
          <c:idx val="0"/>
          <c:order val="0"/>
          <c:tx>
            <c:strRef>
              <c:f>Лист1!$B$1</c:f>
              <c:strCache>
                <c:ptCount val="1"/>
                <c:pt idx="0">
                  <c:v>2015 год</c:v>
                </c:pt>
              </c:strCache>
            </c:strRef>
          </c:tx>
          <c:spPr>
            <a:solidFill>
              <a:schemeClr val="accent6">
                <a:lumMod val="60000"/>
                <a:lumOff val="40000"/>
              </a:schemeClr>
            </a:solidFill>
          </c:spPr>
          <c:dLbls>
            <c:dLbl>
              <c:idx val="0"/>
              <c:layout>
                <c:manualLayout>
                  <c:x val="-1.8781334967859817E-4"/>
                  <c:y val="7.6940821850394114E-3"/>
                </c:manualLayout>
              </c:layout>
              <c:showVal val="1"/>
            </c:dLbl>
            <c:dLbl>
              <c:idx val="1"/>
              <c:layout>
                <c:manualLayout>
                  <c:x val="-9.8862118283118781E-3"/>
                  <c:y val="1.0465110318241469E-2"/>
                </c:manualLayout>
              </c:layout>
              <c:showVal val="1"/>
            </c:dLbl>
            <c:dLbl>
              <c:idx val="2"/>
              <c:layout>
                <c:manualLayout>
                  <c:x val="-1.148160372169048E-2"/>
                  <c:y val="1.0350537237533009E-2"/>
                </c:manualLayout>
              </c:layout>
              <c:showVal val="1"/>
            </c:dLbl>
            <c:dLbl>
              <c:idx val="3"/>
              <c:layout>
                <c:manualLayout>
                  <c:x val="-5.98818111807887E-3"/>
                  <c:y val="6.8438832841208183E-3"/>
                </c:manualLayout>
              </c:layout>
              <c:showVal val="1"/>
            </c:dLbl>
            <c:dLbl>
              <c:idx val="4"/>
              <c:layout>
                <c:manualLayout>
                  <c:x val="-9.2041114621150989E-3"/>
                  <c:y val="1.776728592519685E-2"/>
                </c:manualLayout>
              </c:layout>
              <c:showVal val="1"/>
            </c:dLbl>
            <c:dLbl>
              <c:idx val="5"/>
              <c:layout>
                <c:manualLayout>
                  <c:x val="-1.0763876321980391E-2"/>
                  <c:y val="1.4870006920776634E-2"/>
                </c:manualLayout>
              </c:layout>
              <c:showVal val="1"/>
            </c:dLbl>
            <c:dLbl>
              <c:idx val="6"/>
              <c:layout>
                <c:manualLayout>
                  <c:x val="-6.4573215773178084E-3"/>
                  <c:y val="7.0527805118110239E-3"/>
                </c:manualLayout>
              </c:layout>
              <c:showVal val="1"/>
            </c:dLbl>
            <c:dLbl>
              <c:idx val="7"/>
              <c:layout>
                <c:manualLayout>
                  <c:x val="-3.5241586250142035E-3"/>
                  <c:y val="4.6774003995770714E-4"/>
                </c:manualLayout>
              </c:layout>
              <c:showVal val="1"/>
            </c:dLbl>
            <c:dLbl>
              <c:idx val="8"/>
              <c:layout>
                <c:manualLayout>
                  <c:x val="-3.5918713753595212E-3"/>
                  <c:y val="1.9766547736220687E-2"/>
                </c:manualLayout>
              </c:layout>
              <c:showVal val="1"/>
            </c:dLbl>
            <c:dLbl>
              <c:idx val="9"/>
              <c:layout>
                <c:manualLayout>
                  <c:x val="1.2288683048771764E-3"/>
                  <c:y val="4.9620663088755694E-3"/>
                </c:manualLayout>
              </c:layout>
              <c:showVal val="1"/>
            </c:dLbl>
            <c:dLbl>
              <c:idx val="10"/>
              <c:layout>
                <c:manualLayout>
                  <c:x val="4.7370348081155806E-4"/>
                  <c:y val="4.5737193298598924E-3"/>
                </c:manualLayout>
              </c:layout>
              <c:showVal val="1"/>
            </c:dLbl>
            <c:dLbl>
              <c:idx val="11"/>
              <c:layout>
                <c:manualLayout>
                  <c:x val="-5.9880239520958972E-3"/>
                  <c:y val="1.7733452263779526E-2"/>
                </c:manualLayout>
              </c:layout>
              <c:showVal val="1"/>
            </c:dLbl>
            <c:dLbl>
              <c:idx val="12"/>
              <c:layout>
                <c:manualLayout>
                  <c:x val="1.2999069931865143E-3"/>
                  <c:y val="1.5322860761807841E-2"/>
                </c:manualLayout>
              </c:layout>
              <c:showVal val="1"/>
            </c:dLbl>
            <c:dLbl>
              <c:idx val="13"/>
              <c:layout>
                <c:manualLayout>
                  <c:x val="1.0449320794148381E-2"/>
                  <c:y val="6.790381606099713E-2"/>
                </c:manualLayout>
              </c:layout>
              <c:showVal val="1"/>
            </c:dLbl>
            <c:txPr>
              <a:bodyPr rot="-5400000" vert="horz"/>
              <a:lstStyle/>
              <a:p>
                <a:pPr>
                  <a:defRPr sz="800" b="0" i="0"/>
                </a:pPr>
                <a:endParaRPr lang="ru-RU"/>
              </a:p>
            </c:txPr>
            <c:showVal val="1"/>
          </c:dLbls>
          <c:cat>
            <c:strRef>
              <c:f>Лист1!$A$2:$A$14</c:f>
              <c:strCache>
                <c:ptCount val="13"/>
                <c:pt idx="0">
                  <c:v>Сельское хозяйство</c:v>
                </c:pt>
                <c:pt idx="1">
                  <c:v>Торговля и общепит</c:v>
                </c:pt>
                <c:pt idx="2">
                  <c:v>Геология и метрология</c:v>
                </c:pt>
                <c:pt idx="3">
                  <c:v>Жилищно-ком. Хозяйство</c:v>
                </c:pt>
                <c:pt idx="4">
                  <c:v>Социальное обеспечение</c:v>
                </c:pt>
                <c:pt idx="5">
                  <c:v>Здравоохранение</c:v>
                </c:pt>
                <c:pt idx="6">
                  <c:v>Образование</c:v>
                </c:pt>
                <c:pt idx="7">
                  <c:v>Высшие учебные заведения</c:v>
                </c:pt>
                <c:pt idx="8">
                  <c:v>Средние специальные учебные заведения</c:v>
                </c:pt>
                <c:pt idx="9">
                  <c:v>ГУНО (школы и ДОУ)</c:v>
                </c:pt>
                <c:pt idx="10">
                  <c:v>Культура и искусство</c:v>
                </c:pt>
                <c:pt idx="11">
                  <c:v>Физкультура, отдых, туризм</c:v>
                </c:pt>
                <c:pt idx="12">
                  <c:v>Наука и научное обслуживание</c:v>
                </c:pt>
              </c:strCache>
            </c:strRef>
          </c:cat>
          <c:val>
            <c:numRef>
              <c:f>Лист1!$B$2:$B$14</c:f>
              <c:numCache>
                <c:formatCode>#,##0</c:formatCode>
                <c:ptCount val="13"/>
                <c:pt idx="0">
                  <c:v>2262</c:v>
                </c:pt>
                <c:pt idx="1">
                  <c:v>1801</c:v>
                </c:pt>
                <c:pt idx="2">
                  <c:v>1962</c:v>
                </c:pt>
                <c:pt idx="3">
                  <c:v>2331</c:v>
                </c:pt>
                <c:pt idx="4">
                  <c:v>2087</c:v>
                </c:pt>
                <c:pt idx="5">
                  <c:v>2576</c:v>
                </c:pt>
                <c:pt idx="6">
                  <c:v>2618</c:v>
                </c:pt>
                <c:pt idx="7">
                  <c:v>3655</c:v>
                </c:pt>
                <c:pt idx="8">
                  <c:v>3101</c:v>
                </c:pt>
                <c:pt idx="9">
                  <c:v>2429</c:v>
                </c:pt>
                <c:pt idx="10">
                  <c:v>2378</c:v>
                </c:pt>
                <c:pt idx="11">
                  <c:v>2378</c:v>
                </c:pt>
                <c:pt idx="12">
                  <c:v>2955</c:v>
                </c:pt>
              </c:numCache>
            </c:numRef>
          </c:val>
        </c:ser>
        <c:ser>
          <c:idx val="1"/>
          <c:order val="1"/>
          <c:tx>
            <c:strRef>
              <c:f>Лист1!$C$1</c:f>
              <c:strCache>
                <c:ptCount val="1"/>
                <c:pt idx="0">
                  <c:v>2016 год</c:v>
                </c:pt>
              </c:strCache>
            </c:strRef>
          </c:tx>
          <c:dLbls>
            <c:dLbl>
              <c:idx val="0"/>
              <c:layout>
                <c:manualLayout>
                  <c:x val="9.08066342054651E-3"/>
                  <c:y val="6.1610582259307139E-3"/>
                </c:manualLayout>
              </c:layout>
              <c:showVal val="1"/>
            </c:dLbl>
            <c:dLbl>
              <c:idx val="1"/>
              <c:layout>
                <c:manualLayout>
                  <c:x val="-2.3828261445940314E-3"/>
                  <c:y val="6.7340463039135432E-3"/>
                </c:manualLayout>
              </c:layout>
              <c:showVal val="1"/>
            </c:dLbl>
            <c:dLbl>
              <c:idx val="2"/>
              <c:layout>
                <c:manualLayout>
                  <c:x val="-2.3094307225493276E-3"/>
                  <c:y val="-1.2577532286075881E-3"/>
                </c:manualLayout>
              </c:layout>
              <c:showVal val="1"/>
            </c:dLbl>
            <c:dLbl>
              <c:idx val="3"/>
              <c:layout>
                <c:manualLayout>
                  <c:x val="3.3192911281600232E-3"/>
                  <c:y val="1.3283190347475304E-2"/>
                </c:manualLayout>
              </c:layout>
              <c:showVal val="1"/>
            </c:dLbl>
            <c:dLbl>
              <c:idx val="4"/>
              <c:layout>
                <c:manualLayout>
                  <c:x val="1.2781913751962201E-3"/>
                  <c:y val="6.3812172732140406E-3"/>
                </c:manualLayout>
              </c:layout>
              <c:showVal val="1"/>
            </c:dLbl>
            <c:dLbl>
              <c:idx val="5"/>
              <c:layout>
                <c:manualLayout>
                  <c:x val="2.2741917739325368E-4"/>
                  <c:y val="1.4118633120078519E-2"/>
                </c:manualLayout>
              </c:layout>
              <c:showVal val="1"/>
            </c:dLbl>
            <c:dLbl>
              <c:idx val="6"/>
              <c:layout>
                <c:manualLayout>
                  <c:x val="-1.0413396347904399E-3"/>
                  <c:y val="7.7290711795353984E-3"/>
                </c:manualLayout>
              </c:layout>
              <c:showVal val="1"/>
            </c:dLbl>
            <c:dLbl>
              <c:idx val="7"/>
              <c:layout>
                <c:manualLayout>
                  <c:x val="6.9739117992399825E-3"/>
                  <c:y val="6.3067862785808684E-3"/>
                </c:manualLayout>
              </c:layout>
              <c:showVal val="1"/>
            </c:dLbl>
            <c:dLbl>
              <c:idx val="8"/>
              <c:layout>
                <c:manualLayout>
                  <c:x val="-3.1193054369005595E-4"/>
                  <c:y val="1.09429231793787E-2"/>
                </c:manualLayout>
              </c:layout>
              <c:showVal val="1"/>
            </c:dLbl>
            <c:dLbl>
              <c:idx val="9"/>
              <c:layout>
                <c:manualLayout>
                  <c:x val="2.2523640985283168E-3"/>
                  <c:y val="4.683929434193896E-3"/>
                </c:manualLayout>
              </c:layout>
              <c:showVal val="1"/>
            </c:dLbl>
            <c:dLbl>
              <c:idx val="10"/>
              <c:layout>
                <c:manualLayout>
                  <c:x val="2.8674716034627202E-3"/>
                  <c:y val="1.4410885206513765E-3"/>
                </c:manualLayout>
              </c:layout>
              <c:showVal val="1"/>
            </c:dLbl>
            <c:dLbl>
              <c:idx val="11"/>
              <c:layout>
                <c:manualLayout>
                  <c:x val="5.6852834603584824E-3"/>
                  <c:y val="1.0901398519214961E-2"/>
                </c:manualLayout>
              </c:layout>
              <c:showVal val="1"/>
            </c:dLbl>
            <c:dLbl>
              <c:idx val="12"/>
              <c:layout>
                <c:manualLayout>
                  <c:x val="1.8831985926932901E-3"/>
                  <c:y val="1.9587103850824688E-4"/>
                </c:manualLayout>
              </c:layout>
              <c:showVal val="1"/>
            </c:dLbl>
            <c:dLbl>
              <c:idx val="13"/>
              <c:layout>
                <c:manualLayout>
                  <c:x val="1.2539184952978056E-2"/>
                  <c:y val="9.5011876484560574E-3"/>
                </c:manualLayout>
              </c:layout>
              <c:showVal val="1"/>
            </c:dLbl>
            <c:txPr>
              <a:bodyPr rot="-5400000" vert="horz"/>
              <a:lstStyle/>
              <a:p>
                <a:pPr>
                  <a:defRPr sz="800" b="1" i="0">
                    <a:solidFill>
                      <a:schemeClr val="tx1"/>
                    </a:solidFill>
                  </a:defRPr>
                </a:pPr>
                <a:endParaRPr lang="ru-RU"/>
              </a:p>
            </c:txPr>
            <c:showVal val="1"/>
          </c:dLbls>
          <c:cat>
            <c:strRef>
              <c:f>Лист1!$A$2:$A$14</c:f>
              <c:strCache>
                <c:ptCount val="13"/>
                <c:pt idx="0">
                  <c:v>Сельское хозяйство</c:v>
                </c:pt>
                <c:pt idx="1">
                  <c:v>Торговля и общепит</c:v>
                </c:pt>
                <c:pt idx="2">
                  <c:v>Геология и метрология</c:v>
                </c:pt>
                <c:pt idx="3">
                  <c:v>Жилищно-ком. Хозяйство</c:v>
                </c:pt>
                <c:pt idx="4">
                  <c:v>Социальное обеспечение</c:v>
                </c:pt>
                <c:pt idx="5">
                  <c:v>Здравоохранение</c:v>
                </c:pt>
                <c:pt idx="6">
                  <c:v>Образование</c:v>
                </c:pt>
                <c:pt idx="7">
                  <c:v>Высшие учебные заведения</c:v>
                </c:pt>
                <c:pt idx="8">
                  <c:v>Средние специальные учебные заведения</c:v>
                </c:pt>
                <c:pt idx="9">
                  <c:v>ГУНО (школы и ДОУ)</c:v>
                </c:pt>
                <c:pt idx="10">
                  <c:v>Культура и искусство</c:v>
                </c:pt>
                <c:pt idx="11">
                  <c:v>Физкультура, отдых, туризм</c:v>
                </c:pt>
                <c:pt idx="12">
                  <c:v>Наука и научное обслуживание</c:v>
                </c:pt>
              </c:strCache>
            </c:strRef>
          </c:cat>
          <c:val>
            <c:numRef>
              <c:f>Лист1!$C$2:$C$14</c:f>
              <c:numCache>
                <c:formatCode>#,##0</c:formatCode>
                <c:ptCount val="13"/>
                <c:pt idx="0">
                  <c:v>2314</c:v>
                </c:pt>
                <c:pt idx="1">
                  <c:v>1771</c:v>
                </c:pt>
                <c:pt idx="2">
                  <c:v>1964</c:v>
                </c:pt>
                <c:pt idx="3">
                  <c:v>2285</c:v>
                </c:pt>
                <c:pt idx="4">
                  <c:v>2147</c:v>
                </c:pt>
                <c:pt idx="5">
                  <c:v>2640</c:v>
                </c:pt>
                <c:pt idx="6">
                  <c:v>2653</c:v>
                </c:pt>
                <c:pt idx="7">
                  <c:v>3612</c:v>
                </c:pt>
                <c:pt idx="8">
                  <c:v>3124</c:v>
                </c:pt>
                <c:pt idx="9">
                  <c:v>2479</c:v>
                </c:pt>
                <c:pt idx="10">
                  <c:v>2408</c:v>
                </c:pt>
                <c:pt idx="11">
                  <c:v>2357</c:v>
                </c:pt>
                <c:pt idx="12">
                  <c:v>3109</c:v>
                </c:pt>
              </c:numCache>
            </c:numRef>
          </c:val>
        </c:ser>
        <c:ser>
          <c:idx val="2"/>
          <c:order val="2"/>
          <c:tx>
            <c:strRef>
              <c:f>Лист1!$D$1</c:f>
              <c:strCache>
                <c:ptCount val="1"/>
                <c:pt idx="0">
                  <c:v>Средняя по республике</c:v>
                </c:pt>
              </c:strCache>
            </c:strRef>
          </c:tx>
          <c:spPr>
            <a:noFill/>
          </c:spPr>
          <c:dLbls>
            <c:delete val="1"/>
          </c:dLbls>
          <c:trendline>
            <c:spPr>
              <a:ln w="31750" cmpd="sng">
                <a:solidFill>
                  <a:srgbClr val="00B0F0">
                    <a:alpha val="91000"/>
                  </a:srgbClr>
                </a:solidFill>
              </a:ln>
              <a:effectLst>
                <a:outerShdw blurRad="50800" dist="38100" dir="6120000" sx="106000" sy="106000" algn="ctr" rotWithShape="0">
                  <a:schemeClr val="tx1">
                    <a:lumMod val="75000"/>
                    <a:lumOff val="25000"/>
                    <a:alpha val="92000"/>
                  </a:schemeClr>
                </a:outerShdw>
              </a:effectLst>
            </c:spPr>
            <c:trendlineType val="linear"/>
            <c:dispEq val="1"/>
            <c:trendlineLbl>
              <c:layout>
                <c:manualLayout>
                  <c:x val="-9.1155094122055691E-4"/>
                  <c:y val="-3.3317492516624012E-2"/>
                </c:manualLayout>
              </c:layout>
              <c:tx>
                <c:rich>
                  <a:bodyPr/>
                  <a:lstStyle/>
                  <a:p>
                    <a:pPr>
                      <a:defRPr sz="900" b="0" i="0"/>
                    </a:pPr>
                    <a:r>
                      <a:rPr lang="ru-RU"/>
                      <a:t>3844</a:t>
                    </a:r>
                    <a:endParaRPr lang="en-US"/>
                  </a:p>
                </c:rich>
              </c:tx>
              <c:numFmt formatCode="General" sourceLinked="0"/>
            </c:trendlineLbl>
          </c:trendline>
          <c:cat>
            <c:strRef>
              <c:f>Лист1!$A$2:$A$14</c:f>
              <c:strCache>
                <c:ptCount val="13"/>
                <c:pt idx="0">
                  <c:v>Сельское хозяйство</c:v>
                </c:pt>
                <c:pt idx="1">
                  <c:v>Торговля и общепит</c:v>
                </c:pt>
                <c:pt idx="2">
                  <c:v>Геология и метрология</c:v>
                </c:pt>
                <c:pt idx="3">
                  <c:v>Жилищно-ком. Хозяйство</c:v>
                </c:pt>
                <c:pt idx="4">
                  <c:v>Социальное обеспечение</c:v>
                </c:pt>
                <c:pt idx="5">
                  <c:v>Здравоохранение</c:v>
                </c:pt>
                <c:pt idx="6">
                  <c:v>Образование</c:v>
                </c:pt>
                <c:pt idx="7">
                  <c:v>Высшие учебные заведения</c:v>
                </c:pt>
                <c:pt idx="8">
                  <c:v>Средние специальные учебные заведения</c:v>
                </c:pt>
                <c:pt idx="9">
                  <c:v>ГУНО (школы и ДОУ)</c:v>
                </c:pt>
                <c:pt idx="10">
                  <c:v>Культура и искусство</c:v>
                </c:pt>
                <c:pt idx="11">
                  <c:v>Физкультура, отдых, туризм</c:v>
                </c:pt>
                <c:pt idx="12">
                  <c:v>Наука и научное обслуживание</c:v>
                </c:pt>
              </c:strCache>
            </c:strRef>
          </c:cat>
          <c:val>
            <c:numRef>
              <c:f>Лист1!$D$2:$D$14</c:f>
              <c:numCache>
                <c:formatCode>#,##0</c:formatCode>
                <c:ptCount val="13"/>
                <c:pt idx="0">
                  <c:v>3844</c:v>
                </c:pt>
                <c:pt idx="1">
                  <c:v>3844</c:v>
                </c:pt>
                <c:pt idx="2">
                  <c:v>3844</c:v>
                </c:pt>
                <c:pt idx="3">
                  <c:v>3844</c:v>
                </c:pt>
                <c:pt idx="4">
                  <c:v>3844</c:v>
                </c:pt>
                <c:pt idx="5">
                  <c:v>3844</c:v>
                </c:pt>
                <c:pt idx="6">
                  <c:v>3844</c:v>
                </c:pt>
                <c:pt idx="7">
                  <c:v>3844</c:v>
                </c:pt>
                <c:pt idx="8">
                  <c:v>3844</c:v>
                </c:pt>
                <c:pt idx="9">
                  <c:v>3844</c:v>
                </c:pt>
                <c:pt idx="10">
                  <c:v>3844</c:v>
                </c:pt>
                <c:pt idx="11">
                  <c:v>3844</c:v>
                </c:pt>
                <c:pt idx="12">
                  <c:v>3844</c:v>
                </c:pt>
              </c:numCache>
            </c:numRef>
          </c:val>
        </c:ser>
        <c:dLbls>
          <c:showVal val="1"/>
        </c:dLbls>
        <c:axId val="159850496"/>
        <c:axId val="159852032"/>
      </c:barChart>
      <c:catAx>
        <c:axId val="159850496"/>
        <c:scaling>
          <c:orientation val="minMax"/>
        </c:scaling>
        <c:axPos val="b"/>
        <c:numFmt formatCode="General" sourceLinked="1"/>
        <c:tickLblPos val="nextTo"/>
        <c:txPr>
          <a:bodyPr rot="-5400000" vert="horz"/>
          <a:lstStyle/>
          <a:p>
            <a:pPr>
              <a:defRPr b="0" i="0"/>
            </a:pPr>
            <a:endParaRPr lang="ru-RU"/>
          </a:p>
        </c:txPr>
        <c:crossAx val="159852032"/>
        <c:crosses val="autoZero"/>
        <c:auto val="1"/>
        <c:lblAlgn val="ctr"/>
        <c:lblOffset val="100"/>
      </c:catAx>
      <c:valAx>
        <c:axId val="159852032"/>
        <c:scaling>
          <c:orientation val="minMax"/>
        </c:scaling>
        <c:axPos val="l"/>
        <c:numFmt formatCode="#,##0" sourceLinked="1"/>
        <c:tickLblPos val="nextTo"/>
        <c:txPr>
          <a:bodyPr/>
          <a:lstStyle/>
          <a:p>
            <a:pPr>
              <a:defRPr b="0"/>
            </a:pPr>
            <a:endParaRPr lang="ru-RU"/>
          </a:p>
        </c:txPr>
        <c:crossAx val="159850496"/>
        <c:crosses val="autoZero"/>
        <c:crossBetween val="between"/>
      </c:valAx>
    </c:plotArea>
    <c:legend>
      <c:legendPos val="b"/>
      <c:legendEntry>
        <c:idx val="2"/>
        <c:delete val="1"/>
      </c:legendEntry>
      <c:layout>
        <c:manualLayout>
          <c:xMode val="edge"/>
          <c:yMode val="edge"/>
          <c:x val="5.2089781880714024E-2"/>
          <c:y val="0.95578284649735945"/>
          <c:w val="0.89526456440405533"/>
          <c:h val="4.4217153502640404E-2"/>
        </c:manualLayout>
      </c:layout>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среднегодовой назначенной месячной пенсии и величины прожиточного минимума пенсионера</a:t>
            </a:r>
            <a:endParaRPr lang="ru-RU" sz="1200" b="0">
              <a:solidFill>
                <a:srgbClr val="FF0000"/>
              </a:solidFill>
              <a:latin typeface="Times New Roman" pitchFamily="18" charset="0"/>
              <a:cs typeface="Times New Roman" pitchFamily="18" charset="0"/>
            </a:endParaRPr>
          </a:p>
        </c:rich>
      </c:tx>
      <c:layout>
        <c:manualLayout>
          <c:xMode val="edge"/>
          <c:yMode val="edge"/>
          <c:x val="0.16721241305511053"/>
          <c:y val="0"/>
        </c:manualLayout>
      </c:layout>
      <c:spPr>
        <a:solidFill>
          <a:sysClr val="window" lastClr="FFFFFF"/>
        </a:solidFill>
      </c:spPr>
    </c:title>
    <c:plotArea>
      <c:layout/>
      <c:barChart>
        <c:barDir val="col"/>
        <c:grouping val="clustered"/>
        <c:ser>
          <c:idx val="0"/>
          <c:order val="0"/>
          <c:tx>
            <c:strRef>
              <c:f>Лист1!$B$1</c:f>
              <c:strCache>
                <c:ptCount val="1"/>
                <c:pt idx="0">
                  <c:v>Среднегодовой размер назначенных пенсий, руб. ПМР</c:v>
                </c:pt>
              </c:strCache>
            </c:strRef>
          </c:tx>
          <c:dLbls>
            <c:dLbl>
              <c:idx val="0"/>
              <c:layout>
                <c:manualLayout>
                  <c:x val="2.3148148148148147E-3"/>
                  <c:y val="-1.1904761904761921E-2"/>
                </c:manualLayout>
              </c:layout>
              <c:tx>
                <c:rich>
                  <a:bodyPr/>
                  <a:lstStyle/>
                  <a:p>
                    <a:r>
                      <a:rPr lang="ru-RU" b="1">
                        <a:latin typeface="Times New Roman" pitchFamily="18" charset="0"/>
                        <a:cs typeface="Times New Roman" pitchFamily="18" charset="0"/>
                      </a:rPr>
                      <a:t>-1,3%</a:t>
                    </a:r>
                    <a:r>
                      <a:rPr lang="ru-RU" b="1" baseline="0">
                        <a:latin typeface="Times New Roman" pitchFamily="18" charset="0"/>
                        <a:cs typeface="Times New Roman" pitchFamily="18" charset="0"/>
                      </a:rPr>
                      <a:t>*</a:t>
                    </a:r>
                    <a:endParaRPr lang="en-US" b="1">
                      <a:latin typeface="Times New Roman" pitchFamily="18" charset="0"/>
                      <a:cs typeface="Times New Roman" pitchFamily="18" charset="0"/>
                    </a:endParaRPr>
                  </a:p>
                </c:rich>
              </c:tx>
              <c:showVal val="1"/>
            </c:dLbl>
            <c:dLbl>
              <c:idx val="1"/>
              <c:tx>
                <c:rich>
                  <a:bodyPr/>
                  <a:lstStyle/>
                  <a:p>
                    <a:r>
                      <a:rPr lang="ru-RU" b="1">
                        <a:latin typeface="Times New Roman" pitchFamily="18" charset="0"/>
                        <a:cs typeface="Times New Roman" pitchFamily="18" charset="0"/>
                      </a:rPr>
                      <a:t>+0,7%*</a:t>
                    </a:r>
                    <a:endParaRPr lang="en-US" b="1">
                      <a:latin typeface="Times New Roman" pitchFamily="18" charset="0"/>
                      <a:cs typeface="Times New Roman" pitchFamily="18" charset="0"/>
                    </a:endParaRPr>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Лист1!$B$2:$B$3</c:f>
              <c:numCache>
                <c:formatCode>#,##0.00</c:formatCode>
                <c:ptCount val="2"/>
                <c:pt idx="0">
                  <c:v>1341.28</c:v>
                </c:pt>
                <c:pt idx="1">
                  <c:v>1355.1499999999999</c:v>
                </c:pt>
              </c:numCache>
            </c:numRef>
          </c:val>
        </c:ser>
        <c:ser>
          <c:idx val="1"/>
          <c:order val="1"/>
          <c:tx>
            <c:strRef>
              <c:f>Лист1!$C$1</c:f>
              <c:strCache>
                <c:ptCount val="1"/>
                <c:pt idx="0">
                  <c:v>Прожиточный минимум пенсионера, руб. ПМР</c:v>
                </c:pt>
              </c:strCache>
            </c:strRef>
          </c:tx>
          <c:dLbls>
            <c:dLbl>
              <c:idx val="0"/>
              <c:layout>
                <c:manualLayout>
                  <c:x val="6.9444444444446349E-3"/>
                  <c:y val="0"/>
                </c:manualLayout>
              </c:layout>
              <c:tx>
                <c:rich>
                  <a:bodyPr/>
                  <a:lstStyle/>
                  <a:p>
                    <a:r>
                      <a:rPr lang="ru-RU"/>
                      <a:t>-2,2%*</a:t>
                    </a:r>
                    <a:endParaRPr lang="en-US"/>
                  </a:p>
                </c:rich>
              </c:tx>
              <c:showVal val="1"/>
            </c:dLbl>
            <c:dLbl>
              <c:idx val="1"/>
              <c:tx>
                <c:rich>
                  <a:bodyPr/>
                  <a:lstStyle/>
                  <a:p>
                    <a:r>
                      <a:rPr lang="ru-RU"/>
                      <a:t>-2,9%*</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Лист1!$C$2:$C$3</c:f>
              <c:numCache>
                <c:formatCode>#,##0.00</c:formatCode>
                <c:ptCount val="2"/>
                <c:pt idx="0">
                  <c:v>1089.54</c:v>
                </c:pt>
                <c:pt idx="1">
                  <c:v>1081.01</c:v>
                </c:pt>
              </c:numCache>
            </c:numRef>
          </c:val>
        </c:ser>
        <c:axId val="159886336"/>
        <c:axId val="160076544"/>
      </c:barChart>
      <c:catAx>
        <c:axId val="159886336"/>
        <c:scaling>
          <c:orientation val="minMax"/>
        </c:scaling>
        <c:axPos val="b"/>
        <c:numFmt formatCode="#,##0.00" sourceLinked="1"/>
        <c:tickLblPos val="nextTo"/>
        <c:crossAx val="160076544"/>
        <c:crosses val="autoZero"/>
        <c:auto val="1"/>
        <c:lblAlgn val="ctr"/>
        <c:lblOffset val="100"/>
      </c:catAx>
      <c:valAx>
        <c:axId val="160076544"/>
        <c:scaling>
          <c:orientation val="minMax"/>
          <c:max val="1500"/>
          <c:min val="0"/>
        </c:scaling>
        <c:axPos val="l"/>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 -</a:t>
                </a:r>
                <a:r>
                  <a:rPr lang="ru-RU" baseline="0">
                    <a:latin typeface="Times New Roman" pitchFamily="18" charset="0"/>
                    <a:cs typeface="Times New Roman" pitchFamily="18" charset="0"/>
                  </a:rPr>
                  <a:t> темп прироста</a:t>
                </a:r>
                <a:endParaRPr lang="ru-RU">
                  <a:latin typeface="Times New Roman" pitchFamily="18" charset="0"/>
                  <a:cs typeface="Times New Roman" pitchFamily="18" charset="0"/>
                </a:endParaRPr>
              </a:p>
            </c:rich>
          </c:tx>
          <c:layout>
            <c:manualLayout>
              <c:xMode val="edge"/>
              <c:yMode val="edge"/>
              <c:x val="3.9351851851851853E-2"/>
              <c:y val="0.50191326830414851"/>
            </c:manualLayout>
          </c:layout>
        </c:title>
        <c:numFmt formatCode="#,##0.00" sourceLinked="1"/>
        <c:tickLblPos val="nextTo"/>
        <c:txPr>
          <a:bodyPr/>
          <a:lstStyle/>
          <a:p>
            <a:pPr>
              <a:defRPr b="1">
                <a:latin typeface="Times New Roman" pitchFamily="18" charset="0"/>
                <a:cs typeface="Times New Roman" pitchFamily="18" charset="0"/>
              </a:defRPr>
            </a:pPr>
            <a:endParaRPr lang="ru-RU"/>
          </a:p>
        </c:txPr>
        <c:crossAx val="159886336"/>
        <c:crosses val="autoZero"/>
        <c:crossBetween val="between"/>
        <c:majorUnit val="300"/>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chart>
  <c:spPr>
    <a:ln>
      <a:noFill/>
    </a:ln>
  </c:sp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style val="31"/>
  <c:chart>
    <c:title>
      <c:tx>
        <c:rich>
          <a:bodyPr/>
          <a:lstStyle/>
          <a:p>
            <a:pPr>
              <a:defRPr sz="1200"/>
            </a:pPr>
            <a:r>
              <a:rPr lang="ru-RU" sz="1200"/>
              <a:t>Структура прожиточного минимума, руб.</a:t>
            </a:r>
          </a:p>
        </c:rich>
      </c:tx>
      <c:layout>
        <c:manualLayout>
          <c:xMode val="edge"/>
          <c:yMode val="edge"/>
          <c:x val="0.25523731408573513"/>
          <c:y val="0"/>
        </c:manualLayout>
      </c:layout>
      <c:overlay val="1"/>
      <c:spPr>
        <a:solidFill>
          <a:schemeClr val="bg1"/>
        </a:solidFill>
      </c:spPr>
    </c:title>
    <c:plotArea>
      <c:layout>
        <c:manualLayout>
          <c:layoutTarget val="inner"/>
          <c:xMode val="edge"/>
          <c:yMode val="edge"/>
          <c:x val="9.8694043452903432E-2"/>
          <c:y val="0.16549831271091267"/>
          <c:w val="0.57758019830854479"/>
          <c:h val="0.6904472655203816"/>
        </c:manualLayout>
      </c:layout>
      <c:barChart>
        <c:barDir val="col"/>
        <c:grouping val="percentStacked"/>
        <c:ser>
          <c:idx val="0"/>
          <c:order val="0"/>
          <c:tx>
            <c:strRef>
              <c:f>Лист1!$B$1</c:f>
              <c:strCache>
                <c:ptCount val="1"/>
                <c:pt idx="0">
                  <c:v>питание</c:v>
                </c:pt>
              </c:strCache>
            </c:strRef>
          </c:tx>
          <c:spPr>
            <a:solidFill>
              <a:schemeClr val="accent5">
                <a:lumMod val="75000"/>
              </a:schemeClr>
            </a:solidFill>
          </c:spPr>
          <c:dLbls>
            <c:dLbl>
              <c:idx val="0"/>
              <c:tx>
                <c:rich>
                  <a:bodyPr/>
                  <a:lstStyle/>
                  <a:p>
                    <a:r>
                      <a:rPr lang="ru-RU" b="1"/>
                      <a:t>580,1;</a:t>
                    </a:r>
                  </a:p>
                  <a:p>
                    <a:r>
                      <a:rPr lang="en-US" b="1"/>
                      <a:t>4</a:t>
                    </a:r>
                    <a:r>
                      <a:rPr lang="ru-RU" b="1"/>
                      <a:t>4</a:t>
                    </a:r>
                    <a:r>
                      <a:rPr lang="en-US" b="1"/>
                      <a:t>,8</a:t>
                    </a:r>
                    <a:r>
                      <a:rPr lang="ru-RU" b="1"/>
                      <a:t>%</a:t>
                    </a:r>
                    <a:endParaRPr lang="en-US" b="1"/>
                  </a:p>
                </c:rich>
              </c:tx>
              <c:showVal val="1"/>
            </c:dLbl>
            <c:dLbl>
              <c:idx val="1"/>
              <c:tx>
                <c:rich>
                  <a:bodyPr/>
                  <a:lstStyle/>
                  <a:p>
                    <a:r>
                      <a:rPr lang="ru-RU" b="1"/>
                      <a:t>562,5;</a:t>
                    </a:r>
                  </a:p>
                  <a:p>
                    <a:r>
                      <a:rPr lang="en-US" b="1"/>
                      <a:t>4</a:t>
                    </a:r>
                    <a:r>
                      <a:rPr lang="ru-RU" b="1"/>
                      <a:t>3,8%</a:t>
                    </a:r>
                    <a:endParaRPr lang="en-US" b="1"/>
                  </a:p>
                </c:rich>
              </c:tx>
              <c:showVal val="1"/>
            </c:dLbl>
            <c:txPr>
              <a:bodyPr/>
              <a:lstStyle/>
              <a:p>
                <a:pPr>
                  <a:defRPr sz="1000" b="1"/>
                </a:pPr>
                <a:endParaRPr lang="ru-RU"/>
              </a:p>
            </c:txPr>
            <c:showVal val="1"/>
          </c:dLbls>
          <c:cat>
            <c:strRef>
              <c:f>Лист1!$A$2:$A$3</c:f>
              <c:strCache>
                <c:ptCount val="2"/>
                <c:pt idx="0">
                  <c:v>2015 год</c:v>
                </c:pt>
                <c:pt idx="1">
                  <c:v>2016 год</c:v>
                </c:pt>
              </c:strCache>
            </c:strRef>
          </c:cat>
          <c:val>
            <c:numRef>
              <c:f>Лист1!$B$2:$B$3</c:f>
              <c:numCache>
                <c:formatCode>0.0</c:formatCode>
                <c:ptCount val="2"/>
                <c:pt idx="0" formatCode="General">
                  <c:v>44.8</c:v>
                </c:pt>
                <c:pt idx="1">
                  <c:v>43.8</c:v>
                </c:pt>
              </c:numCache>
            </c:numRef>
          </c:val>
        </c:ser>
        <c:ser>
          <c:idx val="1"/>
          <c:order val="1"/>
          <c:tx>
            <c:strRef>
              <c:f>Лист1!$C$1</c:f>
              <c:strCache>
                <c:ptCount val="1"/>
                <c:pt idx="0">
                  <c:v>непродовольственные товары</c:v>
                </c:pt>
              </c:strCache>
            </c:strRef>
          </c:tx>
          <c:spPr>
            <a:solidFill>
              <a:schemeClr val="accent5">
                <a:lumMod val="60000"/>
                <a:lumOff val="40000"/>
              </a:schemeClr>
            </a:solidFill>
          </c:spPr>
          <c:dLbls>
            <c:dLbl>
              <c:idx val="0"/>
              <c:tx>
                <c:rich>
                  <a:bodyPr/>
                  <a:lstStyle/>
                  <a:p>
                    <a:r>
                      <a:rPr lang="ru-RU" b="1"/>
                      <a:t>265,8;</a:t>
                    </a:r>
                  </a:p>
                  <a:p>
                    <a:r>
                      <a:rPr lang="en-US" b="1"/>
                      <a:t>20,</a:t>
                    </a:r>
                    <a:r>
                      <a:rPr lang="ru-RU" b="1"/>
                      <a:t>5%</a:t>
                    </a:r>
                    <a:endParaRPr lang="en-US" b="1"/>
                  </a:p>
                </c:rich>
              </c:tx>
              <c:showVal val="1"/>
            </c:dLbl>
            <c:dLbl>
              <c:idx val="1"/>
              <c:tx>
                <c:rich>
                  <a:bodyPr/>
                  <a:lstStyle/>
                  <a:p>
                    <a:r>
                      <a:rPr lang="ru-RU" b="1"/>
                      <a:t>275,1;</a:t>
                    </a:r>
                  </a:p>
                  <a:p>
                    <a:r>
                      <a:rPr lang="en-US" b="1"/>
                      <a:t>21,</a:t>
                    </a:r>
                    <a:r>
                      <a:rPr lang="ru-RU" b="1"/>
                      <a:t>4%</a:t>
                    </a:r>
                    <a:endParaRPr lang="en-US" b="1"/>
                  </a:p>
                </c:rich>
              </c:tx>
              <c:showVal val="1"/>
            </c:dLbl>
            <c:txPr>
              <a:bodyPr/>
              <a:lstStyle/>
              <a:p>
                <a:pPr>
                  <a:defRPr sz="1000" b="1"/>
                </a:pPr>
                <a:endParaRPr lang="ru-RU"/>
              </a:p>
            </c:txPr>
            <c:showVal val="1"/>
          </c:dLbls>
          <c:cat>
            <c:strRef>
              <c:f>Лист1!$A$2:$A$3</c:f>
              <c:strCache>
                <c:ptCount val="2"/>
                <c:pt idx="0">
                  <c:v>2015 год</c:v>
                </c:pt>
                <c:pt idx="1">
                  <c:v>2016 год</c:v>
                </c:pt>
              </c:strCache>
            </c:strRef>
          </c:cat>
          <c:val>
            <c:numRef>
              <c:f>Лист1!$C$2:$C$3</c:f>
              <c:numCache>
                <c:formatCode>0.0</c:formatCode>
                <c:ptCount val="2"/>
                <c:pt idx="0" formatCode="General">
                  <c:v>20.5</c:v>
                </c:pt>
                <c:pt idx="1">
                  <c:v>21.4</c:v>
                </c:pt>
              </c:numCache>
            </c:numRef>
          </c:val>
        </c:ser>
        <c:ser>
          <c:idx val="2"/>
          <c:order val="2"/>
          <c:tx>
            <c:strRef>
              <c:f>Лист1!$D$1</c:f>
              <c:strCache>
                <c:ptCount val="1"/>
                <c:pt idx="0">
                  <c:v>услуги</c:v>
                </c:pt>
              </c:strCache>
            </c:strRef>
          </c:tx>
          <c:spPr>
            <a:solidFill>
              <a:schemeClr val="accent5">
                <a:lumMod val="40000"/>
                <a:lumOff val="60000"/>
              </a:schemeClr>
            </a:solidFill>
          </c:spPr>
          <c:dLbls>
            <c:dLbl>
              <c:idx val="0"/>
              <c:layout>
                <c:manualLayout>
                  <c:x val="2.3148148148148147E-3"/>
                  <c:y val="2.1030494216614092E-2"/>
                </c:manualLayout>
              </c:layout>
              <c:tx>
                <c:rich>
                  <a:bodyPr/>
                  <a:lstStyle/>
                  <a:p>
                    <a:r>
                      <a:rPr lang="ru-RU" b="1"/>
                      <a:t>425,2;</a:t>
                    </a:r>
                  </a:p>
                  <a:p>
                    <a:r>
                      <a:rPr lang="en-US" b="1"/>
                      <a:t>32,</a:t>
                    </a:r>
                    <a:r>
                      <a:rPr lang="ru-RU" b="1"/>
                      <a:t>8%</a:t>
                    </a:r>
                    <a:endParaRPr lang="en-US" b="1"/>
                  </a:p>
                </c:rich>
              </c:tx>
              <c:showVal val="1"/>
            </c:dLbl>
            <c:dLbl>
              <c:idx val="1"/>
              <c:layout>
                <c:manualLayout>
                  <c:x val="0"/>
                  <c:y val="2.0278833967046894E-2"/>
                </c:manualLayout>
              </c:layout>
              <c:tx>
                <c:rich>
                  <a:bodyPr/>
                  <a:lstStyle/>
                  <a:p>
                    <a:r>
                      <a:rPr lang="ru-RU" b="1"/>
                      <a:t>424,4;</a:t>
                    </a:r>
                  </a:p>
                  <a:p>
                    <a:r>
                      <a:rPr lang="en-US" b="1"/>
                      <a:t>33,</a:t>
                    </a:r>
                    <a:r>
                      <a:rPr lang="ru-RU" b="1"/>
                      <a:t>0%</a:t>
                    </a:r>
                    <a:endParaRPr lang="en-US" b="1"/>
                  </a:p>
                </c:rich>
              </c:tx>
              <c:showVal val="1"/>
            </c:dLbl>
            <c:txPr>
              <a:bodyPr/>
              <a:lstStyle/>
              <a:p>
                <a:pPr>
                  <a:defRPr sz="1000" b="1"/>
                </a:pPr>
                <a:endParaRPr lang="ru-RU"/>
              </a:p>
            </c:txPr>
            <c:showVal val="1"/>
          </c:dLbls>
          <c:cat>
            <c:strRef>
              <c:f>Лист1!$A$2:$A$3</c:f>
              <c:strCache>
                <c:ptCount val="2"/>
                <c:pt idx="0">
                  <c:v>2015 год</c:v>
                </c:pt>
                <c:pt idx="1">
                  <c:v>2016 год</c:v>
                </c:pt>
              </c:strCache>
            </c:strRef>
          </c:cat>
          <c:val>
            <c:numRef>
              <c:f>Лист1!$D$2:$D$3</c:f>
              <c:numCache>
                <c:formatCode>0.0</c:formatCode>
                <c:ptCount val="2"/>
                <c:pt idx="0" formatCode="General">
                  <c:v>32.800000000000004</c:v>
                </c:pt>
                <c:pt idx="1">
                  <c:v>33</c:v>
                </c:pt>
              </c:numCache>
            </c:numRef>
          </c:val>
        </c:ser>
        <c:ser>
          <c:idx val="3"/>
          <c:order val="3"/>
          <c:tx>
            <c:strRef>
              <c:f>Лист1!$E$1</c:f>
              <c:strCache>
                <c:ptCount val="1"/>
                <c:pt idx="0">
                  <c:v>обязательные платежи и сборы</c:v>
                </c:pt>
              </c:strCache>
            </c:strRef>
          </c:tx>
          <c:spPr>
            <a:solidFill>
              <a:schemeClr val="accent6">
                <a:lumMod val="20000"/>
                <a:lumOff val="80000"/>
              </a:schemeClr>
            </a:solidFill>
          </c:spPr>
          <c:dLbls>
            <c:dLbl>
              <c:idx val="0"/>
              <c:layout>
                <c:manualLayout>
                  <c:x val="2.3146325459317612E-3"/>
                  <c:y val="-2.5236593059936911E-2"/>
                </c:manualLayout>
              </c:layout>
              <c:tx>
                <c:rich>
                  <a:bodyPr/>
                  <a:lstStyle/>
                  <a:p>
                    <a:r>
                      <a:rPr lang="ru-RU" b="1"/>
                      <a:t>24,1;</a:t>
                    </a:r>
                  </a:p>
                  <a:p>
                    <a:r>
                      <a:rPr lang="en-US" b="1"/>
                      <a:t>1,9</a:t>
                    </a:r>
                    <a:r>
                      <a:rPr lang="ru-RU" b="1"/>
                      <a:t>%</a:t>
                    </a:r>
                    <a:endParaRPr lang="en-US" b="1"/>
                  </a:p>
                </c:rich>
              </c:tx>
              <c:showVal val="1"/>
            </c:dLbl>
            <c:dLbl>
              <c:idx val="1"/>
              <c:layout>
                <c:manualLayout>
                  <c:x val="-2.3148148148148147E-3"/>
                  <c:y val="-2.5236593059936911E-2"/>
                </c:manualLayout>
              </c:layout>
              <c:tx>
                <c:rich>
                  <a:bodyPr/>
                  <a:lstStyle/>
                  <a:p>
                    <a:r>
                      <a:rPr lang="ru-RU" b="1"/>
                      <a:t>23,5;</a:t>
                    </a:r>
                  </a:p>
                  <a:p>
                    <a:r>
                      <a:rPr lang="en-US" b="1"/>
                      <a:t>1,8</a:t>
                    </a:r>
                    <a:r>
                      <a:rPr lang="ru-RU" b="1"/>
                      <a:t>%</a:t>
                    </a:r>
                    <a:endParaRPr lang="en-US" b="1"/>
                  </a:p>
                </c:rich>
              </c:tx>
              <c:showVal val="1"/>
            </c:dLbl>
            <c:txPr>
              <a:bodyPr/>
              <a:lstStyle/>
              <a:p>
                <a:pPr>
                  <a:defRPr sz="1000" b="1"/>
                </a:pPr>
                <a:endParaRPr lang="ru-RU"/>
              </a:p>
            </c:txPr>
            <c:showVal val="1"/>
          </c:dLbls>
          <c:cat>
            <c:strRef>
              <c:f>Лист1!$A$2:$A$3</c:f>
              <c:strCache>
                <c:ptCount val="2"/>
                <c:pt idx="0">
                  <c:v>2015 год</c:v>
                </c:pt>
                <c:pt idx="1">
                  <c:v>2016 год</c:v>
                </c:pt>
              </c:strCache>
            </c:strRef>
          </c:cat>
          <c:val>
            <c:numRef>
              <c:f>Лист1!$E$2:$E$3</c:f>
              <c:numCache>
                <c:formatCode>0.0</c:formatCode>
                <c:ptCount val="2"/>
                <c:pt idx="0" formatCode="General">
                  <c:v>1.9000000000000001</c:v>
                </c:pt>
                <c:pt idx="1">
                  <c:v>1.8</c:v>
                </c:pt>
              </c:numCache>
            </c:numRef>
          </c:val>
        </c:ser>
        <c:overlap val="100"/>
        <c:axId val="159971200"/>
        <c:axId val="159972736"/>
      </c:barChart>
      <c:catAx>
        <c:axId val="159971200"/>
        <c:scaling>
          <c:orientation val="minMax"/>
        </c:scaling>
        <c:axPos val="b"/>
        <c:tickLblPos val="nextTo"/>
        <c:txPr>
          <a:bodyPr/>
          <a:lstStyle/>
          <a:p>
            <a:pPr>
              <a:defRPr sz="1000" b="1"/>
            </a:pPr>
            <a:endParaRPr lang="ru-RU"/>
          </a:p>
        </c:txPr>
        <c:crossAx val="159972736"/>
        <c:crosses val="autoZero"/>
        <c:auto val="1"/>
        <c:lblAlgn val="ctr"/>
        <c:lblOffset val="100"/>
      </c:catAx>
      <c:valAx>
        <c:axId val="159972736"/>
        <c:scaling>
          <c:orientation val="minMax"/>
        </c:scaling>
        <c:axPos val="l"/>
        <c:numFmt formatCode="0%" sourceLinked="1"/>
        <c:tickLblPos val="nextTo"/>
        <c:txPr>
          <a:bodyPr/>
          <a:lstStyle/>
          <a:p>
            <a:pPr>
              <a:defRPr sz="1000" b="1"/>
            </a:pPr>
            <a:endParaRPr lang="ru-RU"/>
          </a:p>
        </c:txPr>
        <c:crossAx val="159971200"/>
        <c:crosses val="autoZero"/>
        <c:crossBetween val="between"/>
      </c:valAx>
    </c:plotArea>
    <c:legend>
      <c:legendPos val="r"/>
      <c:layout>
        <c:manualLayout>
          <c:xMode val="edge"/>
          <c:yMode val="edge"/>
          <c:x val="0.69016313065033541"/>
          <c:y val="0.26058867641545225"/>
          <c:w val="0.29594798046077581"/>
          <c:h val="0.47882264716910927"/>
        </c:manualLayout>
      </c:layout>
      <c:txPr>
        <a:bodyPr/>
        <a:lstStyle/>
        <a:p>
          <a:pPr>
            <a:defRPr sz="1000" i="1"/>
          </a:pPr>
          <a:endParaRPr lang="ru-RU"/>
        </a:p>
      </c:txPr>
    </c:legend>
    <c:plotVisOnly val="1"/>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050"/>
            </a:pPr>
            <a:r>
              <a:rPr lang="ru-RU" sz="1050">
                <a:latin typeface="Times New Roman" pitchFamily="18" charset="0"/>
                <a:cs typeface="Times New Roman" pitchFamily="18" charset="0"/>
              </a:rPr>
              <a:t>Динамика численности граждан зарегистрированных в службе занятости (чел.) </a:t>
            </a:r>
          </a:p>
        </c:rich>
      </c:tx>
      <c:layout>
        <c:manualLayout>
          <c:xMode val="edge"/>
          <c:yMode val="edge"/>
          <c:x val="0.16013649926729837"/>
          <c:y val="2.1645243062566471E-2"/>
        </c:manualLayout>
      </c:layout>
      <c:spPr>
        <a:noFill/>
        <a:ln w="24908">
          <a:noFill/>
        </a:ln>
      </c:spPr>
    </c:title>
    <c:plotArea>
      <c:layout>
        <c:manualLayout>
          <c:layoutTarget val="inner"/>
          <c:xMode val="edge"/>
          <c:yMode val="edge"/>
          <c:x val="7.2514256091239584E-2"/>
          <c:y val="0.18375678748658444"/>
          <c:w val="0.91881281558313466"/>
          <c:h val="0.48304716971107381"/>
        </c:manualLayout>
      </c:layout>
      <c:barChart>
        <c:barDir val="col"/>
        <c:grouping val="clustered"/>
        <c:ser>
          <c:idx val="0"/>
          <c:order val="0"/>
          <c:tx>
            <c:strRef>
              <c:f>Лист1!$B$1</c:f>
              <c:strCache>
                <c:ptCount val="1"/>
                <c:pt idx="0">
                  <c:v>2015 год</c:v>
                </c:pt>
              </c:strCache>
            </c:strRef>
          </c:tx>
          <c:spPr>
            <a:solidFill>
              <a:srgbClr val="C0504D">
                <a:alpha val="70000"/>
              </a:srgbClr>
            </a:solidFill>
          </c:spPr>
          <c:dLbls>
            <c:dLbl>
              <c:idx val="0"/>
              <c:layout>
                <c:manualLayout>
                  <c:x val="-6.2208398133748923E-3"/>
                  <c:y val="1.5564000445890461E-2"/>
                </c:manualLayout>
              </c:layout>
              <c:dLblPos val="outEnd"/>
              <c:showVal val="1"/>
            </c:dLbl>
            <c:dLbl>
              <c:idx val="1"/>
              <c:layout>
                <c:manualLayout>
                  <c:x val="-1.036822963226062E-2"/>
                  <c:y val="1.5358496854559834E-2"/>
                </c:manualLayout>
              </c:layout>
              <c:dLblPos val="outEnd"/>
              <c:showVal val="1"/>
            </c:dLbl>
            <c:dLbl>
              <c:idx val="2"/>
              <c:layout>
                <c:manualLayout>
                  <c:x val="-6.9444444444447754E-3"/>
                  <c:y val="0"/>
                </c:manualLayout>
              </c:layout>
              <c:dLblPos val="outEnd"/>
              <c:showVal val="1"/>
            </c:dLbl>
            <c:dLbl>
              <c:idx val="3"/>
              <c:layout>
                <c:manualLayout>
                  <c:x val="0"/>
                  <c:y val="1.5564405800626445E-2"/>
                </c:manualLayout>
              </c:layout>
              <c:dLblPos val="outEnd"/>
              <c:showVal val="1"/>
            </c:dLbl>
            <c:dLbl>
              <c:idx val="4"/>
              <c:layout>
                <c:manualLayout>
                  <c:x val="-6.461999404040528E-3"/>
                  <c:y val="1.5358496854559834E-2"/>
                </c:manualLayout>
              </c:layout>
              <c:dLblPos val="outEnd"/>
              <c:showVal val="1"/>
            </c:dLbl>
            <c:dLbl>
              <c:idx val="5"/>
              <c:layout>
                <c:manualLayout>
                  <c:x val="-2.0736132711249994E-3"/>
                  <c:y val="1.0455720062019429E-2"/>
                </c:manualLayout>
              </c:layout>
              <c:dLblPos val="outEnd"/>
              <c:showVal val="1"/>
            </c:dLbl>
            <c:dLbl>
              <c:idx val="6"/>
              <c:layout>
                <c:manualLayout>
                  <c:x val="7.6031608284292606E-17"/>
                  <c:y val="1.5564405800626421E-2"/>
                </c:manualLayout>
              </c:layout>
              <c:dLblPos val="outEnd"/>
              <c:showVal val="1"/>
            </c:dLbl>
            <c:dLbl>
              <c:idx val="7"/>
              <c:layout>
                <c:manualLayout>
                  <c:x val="-2.0737765477605451E-3"/>
                  <c:y val="1.5604535919496794E-2"/>
                </c:manualLayout>
              </c:layout>
              <c:dLblPos val="outEnd"/>
              <c:showVal val="1"/>
            </c:dLbl>
            <c:dLbl>
              <c:idx val="8"/>
              <c:layout>
                <c:manualLayout>
                  <c:x val="-4.1472265422497941E-3"/>
                  <c:y val="1.0273299170936938E-2"/>
                </c:manualLayout>
              </c:layout>
              <c:dLblPos val="outEnd"/>
              <c:showVal val="1"/>
            </c:dLbl>
            <c:dLbl>
              <c:idx val="9"/>
              <c:layout>
                <c:manualLayout>
                  <c:x val="-4.1472265422498704E-3"/>
                  <c:y val="5.3085256234862536E-3"/>
                </c:manualLayout>
              </c:layout>
              <c:dLblPos val="outEnd"/>
              <c:showVal val="1"/>
            </c:dLbl>
            <c:dLbl>
              <c:idx val="10"/>
              <c:layout>
                <c:manualLayout>
                  <c:x val="-3.0384149104224216E-3"/>
                  <c:y val="4.9595151957357534E-3"/>
                </c:manualLayout>
              </c:layout>
              <c:dLblPos val="outEnd"/>
              <c:showVal val="1"/>
            </c:dLbl>
            <c:dLbl>
              <c:idx val="11"/>
              <c:layout>
                <c:manualLayout>
                  <c:x val="-9.6480163929742267E-4"/>
                  <c:y val="-5.3364951002747877E-3"/>
                </c:manualLayout>
              </c:layout>
              <c:dLblPos val="outEnd"/>
              <c:showVal val="1"/>
            </c:dLbl>
            <c:spPr>
              <a:noFill/>
              <a:ln w="24908">
                <a:noFill/>
              </a:ln>
            </c:spPr>
            <c:txPr>
              <a:bodyPr/>
              <a:lstStyle/>
              <a:p>
                <a:pPr>
                  <a:defRPr sz="785" b="1">
                    <a:latin typeface="Times New Roman" pitchFamily="18" charset="0"/>
                    <a:cs typeface="Times New Roman" pitchFamily="18" charset="0"/>
                  </a:defRPr>
                </a:pPr>
                <a:endParaRPr lang="ru-RU"/>
              </a:p>
            </c:txPr>
            <c:dLblPos val="outEnd"/>
            <c:showVal val="1"/>
          </c:dLbls>
          <c:cat>
            <c:strRef>
              <c:f>Лист1!$A$2:$A$13</c:f>
              <c:strCache>
                <c:ptCount val="12"/>
                <c:pt idx="0">
                  <c:v>январь</c:v>
                </c:pt>
                <c:pt idx="1">
                  <c:v>февраль</c:v>
                </c:pt>
                <c:pt idx="2">
                  <c:v>март</c:v>
                </c:pt>
                <c:pt idx="3">
                  <c:v>апрель</c:v>
                </c:pt>
                <c:pt idx="4">
                  <c:v>май  </c:v>
                </c:pt>
                <c:pt idx="5">
                  <c:v>июнь </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1083</c:v>
                </c:pt>
                <c:pt idx="1">
                  <c:v>1070</c:v>
                </c:pt>
                <c:pt idx="2">
                  <c:v>733</c:v>
                </c:pt>
                <c:pt idx="3">
                  <c:v>437</c:v>
                </c:pt>
                <c:pt idx="4">
                  <c:v>388</c:v>
                </c:pt>
                <c:pt idx="5">
                  <c:v>465</c:v>
                </c:pt>
                <c:pt idx="6">
                  <c:v>639</c:v>
                </c:pt>
                <c:pt idx="7">
                  <c:v>514</c:v>
                </c:pt>
                <c:pt idx="8">
                  <c:v>588</c:v>
                </c:pt>
                <c:pt idx="9">
                  <c:v>662</c:v>
                </c:pt>
                <c:pt idx="10">
                  <c:v>799</c:v>
                </c:pt>
                <c:pt idx="11">
                  <c:v>829</c:v>
                </c:pt>
              </c:numCache>
            </c:numRef>
          </c:val>
        </c:ser>
        <c:ser>
          <c:idx val="1"/>
          <c:order val="1"/>
          <c:tx>
            <c:strRef>
              <c:f>Лист1!$C$1</c:f>
              <c:strCache>
                <c:ptCount val="1"/>
                <c:pt idx="0">
                  <c:v>2016 год</c:v>
                </c:pt>
              </c:strCache>
            </c:strRef>
          </c:tx>
          <c:spPr>
            <a:solidFill>
              <a:srgbClr val="4BACC6">
                <a:lumMod val="75000"/>
                <a:alpha val="68000"/>
              </a:srgbClr>
            </a:solidFill>
          </c:spPr>
          <c:dLbls>
            <c:dLbl>
              <c:idx val="0"/>
              <c:layout>
                <c:manualLayout>
                  <c:x val="3.2795745010878955E-3"/>
                  <c:y val="-1.7094017094017241E-2"/>
                </c:manualLayout>
              </c:layout>
              <c:dLblPos val="outEnd"/>
              <c:showVal val="1"/>
            </c:dLbl>
            <c:dLbl>
              <c:idx val="1"/>
              <c:layout>
                <c:manualLayout>
                  <c:x val="6.9444818620067496E-3"/>
                  <c:y val="-5.6984543598716806E-3"/>
                </c:manualLayout>
              </c:layout>
              <c:dLblPos val="outEnd"/>
              <c:showVal val="1"/>
            </c:dLbl>
            <c:dLbl>
              <c:idx val="2"/>
              <c:layout>
                <c:manualLayout>
                  <c:x val="6.9444444444447754E-3"/>
                  <c:y val="0"/>
                </c:manualLayout>
              </c:layout>
              <c:dLblPos val="outEnd"/>
              <c:showVal val="1"/>
            </c:dLbl>
            <c:dLbl>
              <c:idx val="3"/>
              <c:layout>
                <c:manualLayout>
                  <c:x val="6.9444444444447754E-3"/>
                  <c:y val="1.5564202334630461E-2"/>
                </c:manualLayout>
              </c:layout>
              <c:dLblPos val="outEnd"/>
              <c:showVal val="1"/>
            </c:dLbl>
            <c:dLbl>
              <c:idx val="4"/>
              <c:layout>
                <c:manualLayout>
                  <c:x val="6.9444444444447754E-3"/>
                  <c:y val="1.0376134889753573E-2"/>
                </c:manualLayout>
              </c:layout>
              <c:dLblPos val="outEnd"/>
              <c:showVal val="1"/>
            </c:dLbl>
            <c:dLbl>
              <c:idx val="5"/>
              <c:layout>
                <c:manualLayout>
                  <c:x val="1.4472840972638917E-3"/>
                  <c:y val="-3.0871141107362949E-4"/>
                </c:manualLayout>
              </c:layout>
              <c:dLblPos val="outEnd"/>
              <c:showVal val="1"/>
            </c:dLbl>
            <c:dLbl>
              <c:idx val="6"/>
              <c:layout>
                <c:manualLayout>
                  <c:x val="6.9444818620068415E-3"/>
                  <c:y val="1.5255593050868661E-2"/>
                </c:manualLayout>
              </c:layout>
              <c:dLblPos val="outEnd"/>
              <c:showVal val="1"/>
            </c:dLbl>
            <c:dLbl>
              <c:idx val="7"/>
              <c:layout>
                <c:manualLayout>
                  <c:x val="5.3531877722127804E-3"/>
                  <c:y val="1.5564000445890461E-2"/>
                </c:manualLayout>
              </c:layout>
              <c:dLblPos val="outEnd"/>
              <c:showVal val="1"/>
            </c:dLbl>
            <c:dLbl>
              <c:idx val="8"/>
              <c:layout>
                <c:manualLayout>
                  <c:x val="6.9444818620067496E-3"/>
                  <c:y val="1.539861571357634E-2"/>
                </c:manualLayout>
              </c:layout>
              <c:dLblPos val="outEnd"/>
              <c:showVal val="1"/>
            </c:dLbl>
            <c:dLbl>
              <c:idx val="9"/>
              <c:layout>
                <c:manualLayout>
                  <c:x val="6.9444818620067496E-3"/>
                  <c:y val="1.5564405800626483E-2"/>
                </c:manualLayout>
              </c:layout>
              <c:dLblPos val="outEnd"/>
              <c:showVal val="1"/>
            </c:dLbl>
            <c:dLbl>
              <c:idx val="10"/>
              <c:layout>
                <c:manualLayout>
                  <c:x val="7.6681239106387404E-3"/>
                  <c:y val="4.7361647361648454E-3"/>
                </c:manualLayout>
              </c:layout>
              <c:dLblPos val="outEnd"/>
              <c:showVal val="1"/>
            </c:dLbl>
            <c:dLbl>
              <c:idx val="11"/>
              <c:layout>
                <c:manualLayout>
                  <c:x val="6.9444818620067496E-3"/>
                  <c:y val="-5.2736651161849899E-3"/>
                </c:manualLayout>
              </c:layout>
              <c:dLblPos val="outEnd"/>
              <c:showVal val="1"/>
            </c:dLbl>
            <c:spPr>
              <a:noFill/>
              <a:ln w="24908">
                <a:noFill/>
              </a:ln>
            </c:spPr>
            <c:txPr>
              <a:bodyPr/>
              <a:lstStyle/>
              <a:p>
                <a:pPr>
                  <a:defRPr sz="785" b="1">
                    <a:latin typeface="Times New Roman" pitchFamily="18" charset="0"/>
                    <a:cs typeface="Times New Roman" pitchFamily="18" charset="0"/>
                  </a:defRPr>
                </a:pPr>
                <a:endParaRPr lang="ru-RU"/>
              </a:p>
            </c:txPr>
            <c:dLblPos val="outEnd"/>
            <c:showVal val="1"/>
          </c:dLbls>
          <c:cat>
            <c:strRef>
              <c:f>Лист1!$A$2:$A$13</c:f>
              <c:strCache>
                <c:ptCount val="12"/>
                <c:pt idx="0">
                  <c:v>январь</c:v>
                </c:pt>
                <c:pt idx="1">
                  <c:v>февраль</c:v>
                </c:pt>
                <c:pt idx="2">
                  <c:v>март</c:v>
                </c:pt>
                <c:pt idx="3">
                  <c:v>апрель</c:v>
                </c:pt>
                <c:pt idx="4">
                  <c:v>май  </c:v>
                </c:pt>
                <c:pt idx="5">
                  <c:v>июнь </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791</c:v>
                </c:pt>
                <c:pt idx="1">
                  <c:v>900</c:v>
                </c:pt>
                <c:pt idx="2">
                  <c:v>911</c:v>
                </c:pt>
                <c:pt idx="3">
                  <c:v>578</c:v>
                </c:pt>
                <c:pt idx="4">
                  <c:v>561</c:v>
                </c:pt>
                <c:pt idx="5">
                  <c:v>618</c:v>
                </c:pt>
                <c:pt idx="6">
                  <c:v>562</c:v>
                </c:pt>
                <c:pt idx="7">
                  <c:v>562</c:v>
                </c:pt>
                <c:pt idx="8">
                  <c:v>637</c:v>
                </c:pt>
                <c:pt idx="9">
                  <c:v>650</c:v>
                </c:pt>
                <c:pt idx="10">
                  <c:v>812</c:v>
                </c:pt>
                <c:pt idx="11">
                  <c:v>679</c:v>
                </c:pt>
              </c:numCache>
            </c:numRef>
          </c:val>
        </c:ser>
        <c:dLbls>
          <c:showVal val="1"/>
        </c:dLbls>
        <c:axId val="160387840"/>
        <c:axId val="160389376"/>
      </c:barChart>
      <c:catAx>
        <c:axId val="160387840"/>
        <c:scaling>
          <c:orientation val="minMax"/>
        </c:scaling>
        <c:axPos val="b"/>
        <c:numFmt formatCode="General" sourceLinked="1"/>
        <c:tickLblPos val="nextTo"/>
        <c:txPr>
          <a:bodyPr rot="-5400000" vert="horz"/>
          <a:lstStyle/>
          <a:p>
            <a:pPr>
              <a:defRPr b="0" i="0">
                <a:latin typeface="Times New Roman" pitchFamily="18" charset="0"/>
                <a:cs typeface="Times New Roman" pitchFamily="18" charset="0"/>
              </a:defRPr>
            </a:pPr>
            <a:endParaRPr lang="ru-RU"/>
          </a:p>
        </c:txPr>
        <c:crossAx val="160389376"/>
        <c:crosses val="autoZero"/>
        <c:auto val="1"/>
        <c:lblAlgn val="ctr"/>
        <c:lblOffset val="100"/>
      </c:catAx>
      <c:valAx>
        <c:axId val="160389376"/>
        <c:scaling>
          <c:orientation val="minMax"/>
        </c:scaling>
        <c:axPos val="l"/>
        <c:numFmt formatCode="General" sourceLinked="1"/>
        <c:tickLblPos val="nextTo"/>
        <c:txPr>
          <a:bodyPr/>
          <a:lstStyle/>
          <a:p>
            <a:pPr>
              <a:defRPr b="1">
                <a:latin typeface="Times New Roman" pitchFamily="18" charset="0"/>
                <a:cs typeface="Times New Roman" pitchFamily="18" charset="0"/>
              </a:defRPr>
            </a:pPr>
            <a:endParaRPr lang="ru-RU"/>
          </a:p>
        </c:txPr>
        <c:crossAx val="160387840"/>
        <c:crosses val="autoZero"/>
        <c:crossBetween val="between"/>
      </c:valAx>
    </c:plotArea>
    <c:legend>
      <c:legendPos val="r"/>
      <c:layout>
        <c:manualLayout>
          <c:xMode val="edge"/>
          <c:yMode val="edge"/>
          <c:x val="0.15415975802402621"/>
          <c:y val="0.92513365241109713"/>
          <c:w val="0.64974336994811965"/>
          <c:h val="7.4866347588904383E-2"/>
        </c:manualLayout>
      </c:layout>
      <c:txPr>
        <a:bodyPr/>
        <a:lstStyle/>
        <a:p>
          <a:pPr>
            <a:defRPr b="1">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200"/>
            </a:pPr>
            <a:r>
              <a:rPr lang="ru-RU" sz="1200"/>
              <a:t>Уровень регистрируемой безработицы, %</a:t>
            </a:r>
          </a:p>
        </c:rich>
      </c:tx>
      <c:layout>
        <c:manualLayout>
          <c:xMode val="edge"/>
          <c:yMode val="edge"/>
          <c:x val="0.22968197879858093"/>
          <c:y val="2.0689655172414709E-2"/>
        </c:manualLayout>
      </c:layout>
      <c:spPr>
        <a:noFill/>
        <a:ln w="25399">
          <a:noFill/>
        </a:ln>
      </c:spPr>
    </c:title>
    <c:view3D>
      <c:rotX val="0"/>
      <c:rotY val="40"/>
      <c:depthPercent val="100"/>
      <c:rAngAx val="1"/>
    </c:view3D>
    <c:plotArea>
      <c:layout>
        <c:manualLayout>
          <c:layoutTarget val="inner"/>
          <c:xMode val="edge"/>
          <c:yMode val="edge"/>
          <c:x val="0.363853981704855"/>
          <c:y val="0.10603355323827797"/>
          <c:w val="0.46416788103664436"/>
          <c:h val="0.81766226856778035"/>
        </c:manualLayout>
      </c:layout>
      <c:bar3DChart>
        <c:barDir val="bar"/>
        <c:grouping val="clustered"/>
        <c:ser>
          <c:idx val="0"/>
          <c:order val="0"/>
          <c:tx>
            <c:strRef>
              <c:f>Лист1!$B$1</c:f>
              <c:strCache>
                <c:ptCount val="1"/>
                <c:pt idx="0">
                  <c:v>на 1.01.2017г.</c:v>
                </c:pt>
              </c:strCache>
            </c:strRef>
          </c:tx>
          <c:spPr>
            <a:solidFill>
              <a:srgbClr val="8064A2">
                <a:lumMod val="60000"/>
                <a:lumOff val="40000"/>
              </a:srgbClr>
            </a:solidFill>
          </c:spPr>
          <c:dLbls>
            <c:dLbl>
              <c:idx val="0"/>
              <c:layout>
                <c:manualLayout>
                  <c:x val="6.9324090121317969E-3"/>
                  <c:y val="7.9129574678536412E-3"/>
                </c:manualLayout>
              </c:layout>
              <c:tx>
                <c:rich>
                  <a:bodyPr/>
                  <a:lstStyle/>
                  <a:p>
                    <a:r>
                      <a:rPr lang="ru-RU"/>
                      <a:t>3,15</a:t>
                    </a:r>
                    <a:endParaRPr lang="en-US"/>
                  </a:p>
                </c:rich>
              </c:tx>
              <c:showVal val="1"/>
            </c:dLbl>
            <c:dLbl>
              <c:idx val="1"/>
              <c:layout>
                <c:manualLayout>
                  <c:x val="0"/>
                  <c:y val="7.9129574678536412E-3"/>
                </c:manualLayout>
              </c:layout>
              <c:tx>
                <c:rich>
                  <a:bodyPr/>
                  <a:lstStyle/>
                  <a:p>
                    <a:r>
                      <a:rPr lang="ru-RU"/>
                      <a:t>3,40</a:t>
                    </a:r>
                    <a:endParaRPr lang="en-US"/>
                  </a:p>
                </c:rich>
              </c:tx>
              <c:showVal val="1"/>
            </c:dLbl>
            <c:dLbl>
              <c:idx val="2"/>
              <c:layout>
                <c:manualLayout>
                  <c:x val="2.3108030040439047E-3"/>
                  <c:y val="1.1869436201780581E-2"/>
                </c:manualLayout>
              </c:layout>
              <c:showVal val="1"/>
            </c:dLbl>
            <c:dLbl>
              <c:idx val="3"/>
              <c:layout>
                <c:manualLayout>
                  <c:x val="6.9322270591393054E-3"/>
                  <c:y val="7.9129574678536412E-3"/>
                </c:manualLayout>
              </c:layout>
              <c:showVal val="1"/>
            </c:dLbl>
            <c:dLbl>
              <c:idx val="4"/>
              <c:layout>
                <c:manualLayout>
                  <c:x val="-2.3148148148148147E-3"/>
                  <c:y val="1.1904761904761921E-2"/>
                </c:manualLayout>
              </c:layout>
              <c:showVal val="1"/>
            </c:dLbl>
            <c:dLbl>
              <c:idx val="5"/>
              <c:layout>
                <c:manualLayout>
                  <c:x val="2.3108030040439047E-3"/>
                  <c:y val="7.9129574678536412E-3"/>
                </c:manualLayout>
              </c:layout>
              <c:showVal val="1"/>
            </c:dLbl>
            <c:dLbl>
              <c:idx val="6"/>
              <c:layout>
                <c:manualLayout>
                  <c:x val="2.3108030040439047E-3"/>
                  <c:y val="7.9129574678536412E-3"/>
                </c:manualLayout>
              </c:layout>
              <c:showVal val="1"/>
            </c:dLbl>
            <c:dLbl>
              <c:idx val="7"/>
              <c:layout>
                <c:manualLayout>
                  <c:x val="-4.2364232345580726E-17"/>
                  <c:y val="7.9129574678536412E-3"/>
                </c:manualLayout>
              </c:layout>
              <c:showVal val="1"/>
            </c:dLbl>
            <c:spPr>
              <a:noFill/>
              <a:ln w="25399">
                <a:noFill/>
              </a:ln>
            </c:spPr>
            <c:txPr>
              <a:bodyPr/>
              <a:lstStyle/>
              <a:p>
                <a:pPr>
                  <a:defRPr sz="900" b="1"/>
                </a:pPr>
                <a:endParaRPr lang="ru-RU"/>
              </a:p>
            </c:txPr>
            <c:showVal val="1"/>
          </c:dLbls>
          <c:cat>
            <c:strRef>
              <c:f>Лист1!$A$2:$A$9</c:f>
              <c:strCache>
                <c:ptCount val="8"/>
                <c:pt idx="0">
                  <c:v>Всего по республике</c:v>
                </c:pt>
                <c:pt idx="1">
                  <c:v>Каменка</c:v>
                </c:pt>
                <c:pt idx="2">
                  <c:v>Григориополь</c:v>
                </c:pt>
                <c:pt idx="3">
                  <c:v>Слободзея</c:v>
                </c:pt>
                <c:pt idx="4">
                  <c:v>Дубоссары</c:v>
                </c:pt>
                <c:pt idx="5">
                  <c:v>Рыбница</c:v>
                </c:pt>
                <c:pt idx="6">
                  <c:v>Бендеры</c:v>
                </c:pt>
                <c:pt idx="7">
                  <c:v>Тирасполь</c:v>
                </c:pt>
              </c:strCache>
            </c:strRef>
          </c:cat>
          <c:val>
            <c:numRef>
              <c:f>Лист1!$B$2:$B$9</c:f>
              <c:numCache>
                <c:formatCode>0.00</c:formatCode>
                <c:ptCount val="8"/>
                <c:pt idx="0">
                  <c:v>3.15</c:v>
                </c:pt>
                <c:pt idx="1">
                  <c:v>3.4</c:v>
                </c:pt>
                <c:pt idx="2" formatCode="General">
                  <c:v>5.41</c:v>
                </c:pt>
                <c:pt idx="3">
                  <c:v>8.51</c:v>
                </c:pt>
                <c:pt idx="4" formatCode="General">
                  <c:v>0.6700000000000037</c:v>
                </c:pt>
                <c:pt idx="5" formatCode="General">
                  <c:v>5.53</c:v>
                </c:pt>
                <c:pt idx="6">
                  <c:v>2.08</c:v>
                </c:pt>
                <c:pt idx="7" formatCode="General">
                  <c:v>1.42</c:v>
                </c:pt>
              </c:numCache>
            </c:numRef>
          </c:val>
        </c:ser>
        <c:ser>
          <c:idx val="1"/>
          <c:order val="1"/>
          <c:tx>
            <c:strRef>
              <c:f>Лист1!$C$1</c:f>
              <c:strCache>
                <c:ptCount val="1"/>
                <c:pt idx="0">
                  <c:v>на 1 01.2016г.</c:v>
                </c:pt>
              </c:strCache>
            </c:strRef>
          </c:tx>
          <c:spPr>
            <a:solidFill>
              <a:srgbClr val="F79646">
                <a:lumMod val="60000"/>
                <a:lumOff val="40000"/>
              </a:srgbClr>
            </a:solidFill>
          </c:spPr>
          <c:dLbls>
            <c:dLbl>
              <c:idx val="0"/>
              <c:layout>
                <c:manualLayout>
                  <c:x val="6.9324090121318281E-3"/>
                  <c:y val="-8.1282272950302572E-3"/>
                </c:manualLayout>
              </c:layout>
              <c:tx>
                <c:rich>
                  <a:bodyPr/>
                  <a:lstStyle/>
                  <a:p>
                    <a:r>
                      <a:rPr lang="ru-RU"/>
                      <a:t>2,57</a:t>
                    </a:r>
                    <a:endParaRPr lang="en-US"/>
                  </a:p>
                </c:rich>
              </c:tx>
              <c:showVal val="1"/>
            </c:dLbl>
            <c:dLbl>
              <c:idx val="1"/>
              <c:layout>
                <c:manualLayout>
                  <c:x val="2.3108030040439047E-3"/>
                  <c:y val="-1.2084592145015121E-2"/>
                </c:manualLayout>
              </c:layout>
              <c:showVal val="1"/>
            </c:dLbl>
            <c:dLbl>
              <c:idx val="2"/>
              <c:layout>
                <c:manualLayout>
                  <c:x val="2.3108030040439047E-3"/>
                  <c:y val="-8.0562629967990268E-3"/>
                </c:manualLayout>
              </c:layout>
              <c:showVal val="1"/>
            </c:dLbl>
            <c:dLbl>
              <c:idx val="3"/>
              <c:layout>
                <c:manualLayout>
                  <c:x val="6.9324090121318281E-3"/>
                  <c:y val="-1.2084706028957063E-2"/>
                </c:manualLayout>
              </c:layout>
              <c:showVal val="1"/>
            </c:dLbl>
            <c:dLbl>
              <c:idx val="4"/>
              <c:layout>
                <c:manualLayout>
                  <c:x val="0"/>
                  <c:y val="-8.0563947633434246E-3"/>
                </c:manualLayout>
              </c:layout>
              <c:showVal val="1"/>
            </c:dLbl>
            <c:dLbl>
              <c:idx val="5"/>
              <c:layout>
                <c:manualLayout>
                  <c:x val="4.6216060080878103E-3"/>
                  <c:y val="-1.1869436201780565E-2"/>
                </c:manualLayout>
              </c:layout>
              <c:showVal val="1"/>
            </c:dLbl>
            <c:dLbl>
              <c:idx val="6"/>
              <c:layout>
                <c:manualLayout>
                  <c:x val="2.3108030040439047E-3"/>
                  <c:y val="-8.0563947633434246E-3"/>
                </c:manualLayout>
              </c:layout>
              <c:showVal val="1"/>
            </c:dLbl>
            <c:dLbl>
              <c:idx val="7"/>
              <c:layout>
                <c:manualLayout>
                  <c:x val="-1.2008897501330541E-5"/>
                  <c:y val="-7.7566588164394894E-3"/>
                </c:manualLayout>
              </c:layout>
              <c:showVal val="1"/>
            </c:dLbl>
            <c:spPr>
              <a:noFill/>
              <a:ln w="25399">
                <a:noFill/>
              </a:ln>
            </c:spPr>
            <c:txPr>
              <a:bodyPr/>
              <a:lstStyle/>
              <a:p>
                <a:pPr>
                  <a:defRPr sz="900" b="1"/>
                </a:pPr>
                <a:endParaRPr lang="ru-RU"/>
              </a:p>
            </c:txPr>
            <c:showVal val="1"/>
          </c:dLbls>
          <c:cat>
            <c:strRef>
              <c:f>Лист1!$A$2:$A$9</c:f>
              <c:strCache>
                <c:ptCount val="8"/>
                <c:pt idx="0">
                  <c:v>Всего по республике</c:v>
                </c:pt>
                <c:pt idx="1">
                  <c:v>Каменка</c:v>
                </c:pt>
                <c:pt idx="2">
                  <c:v>Григориополь</c:v>
                </c:pt>
                <c:pt idx="3">
                  <c:v>Слободзея</c:v>
                </c:pt>
                <c:pt idx="4">
                  <c:v>Дубоссары</c:v>
                </c:pt>
                <c:pt idx="5">
                  <c:v>Рыбница</c:v>
                </c:pt>
                <c:pt idx="6">
                  <c:v>Бендеры</c:v>
                </c:pt>
                <c:pt idx="7">
                  <c:v>Тирасполь</c:v>
                </c:pt>
              </c:strCache>
            </c:strRef>
          </c:cat>
          <c:val>
            <c:numRef>
              <c:f>Лист1!$C$2:$C$9</c:f>
              <c:numCache>
                <c:formatCode>0.00</c:formatCode>
                <c:ptCount val="8"/>
                <c:pt idx="0">
                  <c:v>2.57</c:v>
                </c:pt>
                <c:pt idx="1">
                  <c:v>3.8</c:v>
                </c:pt>
                <c:pt idx="2" formatCode="General">
                  <c:v>3.68</c:v>
                </c:pt>
                <c:pt idx="3">
                  <c:v>6.1199999999999966</c:v>
                </c:pt>
                <c:pt idx="4">
                  <c:v>0.97000000000000064</c:v>
                </c:pt>
                <c:pt idx="5" formatCode="General">
                  <c:v>4.6399999999999997</c:v>
                </c:pt>
                <c:pt idx="6" formatCode="General">
                  <c:v>1.54</c:v>
                </c:pt>
                <c:pt idx="7" formatCode="General">
                  <c:v>1.36</c:v>
                </c:pt>
              </c:numCache>
            </c:numRef>
          </c:val>
        </c:ser>
        <c:shape val="cylinder"/>
        <c:axId val="160419840"/>
        <c:axId val="160421376"/>
        <c:axId val="0"/>
      </c:bar3DChart>
      <c:catAx>
        <c:axId val="160419840"/>
        <c:scaling>
          <c:orientation val="minMax"/>
        </c:scaling>
        <c:axPos val="l"/>
        <c:numFmt formatCode="General" sourceLinked="1"/>
        <c:tickLblPos val="nextTo"/>
        <c:txPr>
          <a:bodyPr/>
          <a:lstStyle/>
          <a:p>
            <a:pPr>
              <a:defRPr b="1"/>
            </a:pPr>
            <a:endParaRPr lang="ru-RU"/>
          </a:p>
        </c:txPr>
        <c:crossAx val="160421376"/>
        <c:crosses val="autoZero"/>
        <c:auto val="1"/>
        <c:lblAlgn val="ctr"/>
        <c:lblOffset val="100"/>
      </c:catAx>
      <c:valAx>
        <c:axId val="160421376"/>
        <c:scaling>
          <c:orientation val="minMax"/>
        </c:scaling>
        <c:delete val="1"/>
        <c:axPos val="b"/>
        <c:numFmt formatCode="0.00" sourceLinked="1"/>
        <c:tickLblPos val="nextTo"/>
        <c:crossAx val="160419840"/>
        <c:crosses val="autoZero"/>
        <c:crossBetween val="between"/>
      </c:valAx>
      <c:spPr>
        <a:noFill/>
        <a:ln w="25399">
          <a:noFill/>
        </a:ln>
      </c:spPr>
    </c:plotArea>
    <c:legend>
      <c:legendPos val="r"/>
      <c:layout>
        <c:manualLayout>
          <c:xMode val="edge"/>
          <c:yMode val="edge"/>
          <c:x val="0.28064411359325331"/>
          <c:y val="0.9203259244493176"/>
          <c:w val="0.41900244271892356"/>
          <c:h val="6.5153659590019619E-2"/>
        </c:manualLayout>
      </c:layout>
      <c:txPr>
        <a:bodyPr/>
        <a:lstStyle/>
        <a:p>
          <a:pPr>
            <a:defRPr sz="105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title>
      <c:tx>
        <c:rich>
          <a:bodyPr/>
          <a:lstStyle/>
          <a:p>
            <a:pPr>
              <a:defRPr/>
            </a:pPr>
            <a:r>
              <a:rPr lang="ru-RU" sz="1100"/>
              <a:t>Отраслевая структура инвестиций в основной капитал, млн. руб.</a:t>
            </a:r>
          </a:p>
        </c:rich>
      </c:tx>
      <c:layout>
        <c:manualLayout>
          <c:xMode val="edge"/>
          <c:yMode val="edge"/>
          <c:x val="0.23032410608730591"/>
          <c:y val="3.017960254968129E-2"/>
        </c:manualLayout>
      </c:layout>
      <c:spPr>
        <a:noFill/>
        <a:ln w="24876">
          <a:noFill/>
        </a:ln>
      </c:spPr>
    </c:title>
    <c:plotArea>
      <c:layout>
        <c:manualLayout>
          <c:layoutTarget val="inner"/>
          <c:xMode val="edge"/>
          <c:yMode val="edge"/>
          <c:x val="0.12114105929066558"/>
          <c:y val="9.9067231980617843E-2"/>
          <c:w val="0.87885897407303992"/>
          <c:h val="0.45001633537068125"/>
        </c:manualLayout>
      </c:layout>
      <c:barChart>
        <c:barDir val="col"/>
        <c:grouping val="clustered"/>
        <c:ser>
          <c:idx val="0"/>
          <c:order val="0"/>
          <c:tx>
            <c:strRef>
              <c:f>Лист1!$B$1</c:f>
              <c:strCache>
                <c:ptCount val="1"/>
                <c:pt idx="0">
                  <c:v>январь-декабрь 2015 года</c:v>
                </c:pt>
              </c:strCache>
            </c:strRef>
          </c:tx>
          <c:spPr>
            <a:solidFill>
              <a:schemeClr val="accent6">
                <a:lumMod val="75000"/>
              </a:schemeClr>
            </a:solidFill>
          </c:spPr>
          <c:dLbls>
            <c:dLbl>
              <c:idx val="0"/>
              <c:layout>
                <c:manualLayout>
                  <c:x val="-4.2735042735042739E-3"/>
                  <c:y val="0"/>
                </c:manualLayout>
              </c:layout>
              <c:tx>
                <c:rich>
                  <a:bodyPr/>
                  <a:lstStyle/>
                  <a:p>
                    <a:r>
                      <a:rPr lang="ru-RU" b="1"/>
                      <a:t>36,5*</a:t>
                    </a:r>
                    <a:endParaRPr lang="en-US" b="1"/>
                  </a:p>
                </c:rich>
              </c:tx>
              <c:dLblPos val="outEnd"/>
              <c:showVal val="1"/>
            </c:dLbl>
            <c:dLbl>
              <c:idx val="1"/>
              <c:layout>
                <c:manualLayout>
                  <c:x val="-6.4102564102564534E-3"/>
                  <c:y val="2.5236593059936911E-2"/>
                </c:manualLayout>
              </c:layout>
              <c:tx>
                <c:rich>
                  <a:bodyPr/>
                  <a:lstStyle/>
                  <a:p>
                    <a:r>
                      <a:rPr lang="ru-RU" b="1"/>
                      <a:t>10,1*</a:t>
                    </a:r>
                    <a:endParaRPr lang="en-US" b="1"/>
                  </a:p>
                </c:rich>
              </c:tx>
              <c:dLblPos val="outEnd"/>
              <c:showVal val="1"/>
            </c:dLbl>
            <c:dLbl>
              <c:idx val="2"/>
              <c:layout>
                <c:manualLayout>
                  <c:x val="0"/>
                  <c:y val="9.7799313547345043E-3"/>
                </c:manualLayout>
              </c:layout>
              <c:tx>
                <c:rich>
                  <a:bodyPr/>
                  <a:lstStyle/>
                  <a:p>
                    <a:r>
                      <a:rPr lang="ru-RU" b="1"/>
                      <a:t>4,5*</a:t>
                    </a:r>
                    <a:endParaRPr lang="en-US" b="1"/>
                  </a:p>
                </c:rich>
              </c:tx>
              <c:dLblPos val="outEnd"/>
              <c:showVal val="1"/>
            </c:dLbl>
            <c:dLbl>
              <c:idx val="3"/>
              <c:layout>
                <c:manualLayout>
                  <c:x val="-1.0683760683761001E-2"/>
                  <c:y val="2.5236593059936911E-2"/>
                </c:manualLayout>
              </c:layout>
              <c:tx>
                <c:rich>
                  <a:bodyPr/>
                  <a:lstStyle/>
                  <a:p>
                    <a:r>
                      <a:rPr lang="ru-RU" b="1"/>
                      <a:t>4,9*</a:t>
                    </a:r>
                    <a:endParaRPr lang="en-US" b="1"/>
                  </a:p>
                </c:rich>
              </c:tx>
              <c:dLblPos val="outEnd"/>
              <c:showVal val="1"/>
            </c:dLbl>
            <c:dLbl>
              <c:idx val="4"/>
              <c:layout>
                <c:manualLayout>
                  <c:x val="-1.0683760683761001E-2"/>
                  <c:y val="4.2060988433229134E-3"/>
                </c:manualLayout>
              </c:layout>
              <c:tx>
                <c:rich>
                  <a:bodyPr/>
                  <a:lstStyle/>
                  <a:p>
                    <a:r>
                      <a:rPr lang="ru-RU" b="1"/>
                      <a:t>0,7*</a:t>
                    </a:r>
                    <a:endParaRPr lang="en-US" b="1"/>
                  </a:p>
                </c:rich>
              </c:tx>
              <c:dLblPos val="outEnd"/>
              <c:showVal val="1"/>
            </c:dLbl>
            <c:dLbl>
              <c:idx val="5"/>
              <c:layout>
                <c:manualLayout>
                  <c:x val="-6.4102564102564534E-3"/>
                  <c:y val="1.2618296529968416E-2"/>
                </c:manualLayout>
              </c:layout>
              <c:tx>
                <c:rich>
                  <a:bodyPr/>
                  <a:lstStyle/>
                  <a:p>
                    <a:r>
                      <a:rPr lang="ru-RU" b="1"/>
                      <a:t>9,1*</a:t>
                    </a:r>
                    <a:endParaRPr lang="en-US" b="1"/>
                  </a:p>
                </c:rich>
              </c:tx>
              <c:dLblPos val="outEnd"/>
              <c:showVal val="1"/>
            </c:dLbl>
            <c:dLbl>
              <c:idx val="6"/>
              <c:layout>
                <c:manualLayout>
                  <c:x val="-6.4104246584561564E-3"/>
                  <c:y val="0"/>
                </c:manualLayout>
              </c:layout>
              <c:tx>
                <c:rich>
                  <a:bodyPr/>
                  <a:lstStyle/>
                  <a:p>
                    <a:r>
                      <a:rPr lang="ru-RU" b="1"/>
                      <a:t>2,3*</a:t>
                    </a:r>
                    <a:endParaRPr lang="en-US" b="1"/>
                  </a:p>
                </c:rich>
              </c:tx>
              <c:dLblPos val="outEnd"/>
              <c:showVal val="1"/>
            </c:dLbl>
            <c:dLbl>
              <c:idx val="7"/>
              <c:layout>
                <c:manualLayout>
                  <c:x val="-6.4102564102564534E-3"/>
                  <c:y val="1.6824395373291275E-2"/>
                </c:manualLayout>
              </c:layout>
              <c:tx>
                <c:rich>
                  <a:bodyPr/>
                  <a:lstStyle/>
                  <a:p>
                    <a:r>
                      <a:rPr lang="ru-RU" b="1"/>
                      <a:t>1,8*</a:t>
                    </a:r>
                    <a:endParaRPr lang="en-US" b="1"/>
                  </a:p>
                </c:rich>
              </c:tx>
              <c:dLblPos val="outEnd"/>
              <c:showVal val="1"/>
            </c:dLbl>
            <c:dLbl>
              <c:idx val="8"/>
              <c:layout>
                <c:manualLayout>
                  <c:x val="0"/>
                  <c:y val="2.1030494216614092E-2"/>
                </c:manualLayout>
              </c:layout>
              <c:tx>
                <c:rich>
                  <a:bodyPr/>
                  <a:lstStyle/>
                  <a:p>
                    <a:r>
                      <a:rPr lang="ru-RU" b="1"/>
                      <a:t>4,1*</a:t>
                    </a:r>
                    <a:endParaRPr lang="en-US" b="1"/>
                  </a:p>
                </c:rich>
              </c:tx>
              <c:dLblPos val="outEnd"/>
              <c:showVal val="1"/>
            </c:dLbl>
            <c:dLbl>
              <c:idx val="9"/>
              <c:layout>
                <c:manualLayout>
                  <c:x val="-8.5470085470085496E-3"/>
                  <c:y val="1.9607843137254981E-2"/>
                </c:manualLayout>
              </c:layout>
              <c:tx>
                <c:rich>
                  <a:bodyPr/>
                  <a:lstStyle/>
                  <a:p>
                    <a:r>
                      <a:rPr lang="ru-RU" b="1"/>
                      <a:t>7,2*</a:t>
                    </a:r>
                    <a:endParaRPr lang="en-US" b="1"/>
                  </a:p>
                </c:rich>
              </c:tx>
              <c:dLblPos val="outEnd"/>
              <c:showVal val="1"/>
            </c:dLbl>
            <c:dLbl>
              <c:idx val="10"/>
              <c:layout>
                <c:manualLayout>
                  <c:x val="0"/>
                  <c:y val="2.3529411764705879E-2"/>
                </c:manualLayout>
              </c:layout>
              <c:tx>
                <c:rich>
                  <a:bodyPr/>
                  <a:lstStyle/>
                  <a:p>
                    <a:r>
                      <a:rPr lang="ru-RU" b="1"/>
                      <a:t>18,8*</a:t>
                    </a:r>
                    <a:endParaRPr lang="en-US" b="1"/>
                  </a:p>
                </c:rich>
              </c:tx>
              <c:dLblPos val="outEnd"/>
              <c:showVal val="1"/>
            </c:dLbl>
            <c:txPr>
              <a:bodyPr rot="-5400000" vert="horz"/>
              <a:lstStyle/>
              <a:p>
                <a:pPr>
                  <a:defRPr b="1"/>
                </a:pPr>
                <a:endParaRPr lang="ru-RU"/>
              </a:p>
            </c:txPr>
            <c:dLblPos val="outEnd"/>
            <c:showVal val="1"/>
          </c:dLbls>
          <c:cat>
            <c:strRef>
              <c:f>Лист1!$A$2:$A$12</c:f>
              <c:strCache>
                <c:ptCount val="11"/>
                <c:pt idx="0">
                  <c:v>Промышленность</c:v>
                </c:pt>
                <c:pt idx="1">
                  <c:v>Сельское хозяйство</c:v>
                </c:pt>
                <c:pt idx="2">
                  <c:v>Транспорт</c:v>
                </c:pt>
                <c:pt idx="3">
                  <c:v>Связь</c:v>
                </c:pt>
                <c:pt idx="4">
                  <c:v>Строительство</c:v>
                </c:pt>
                <c:pt idx="5">
                  <c:v>Торговля и общественное питание</c:v>
                </c:pt>
                <c:pt idx="6">
                  <c:v>Жилищное строительство</c:v>
                </c:pt>
                <c:pt idx="7">
                  <c:v>Коммунальное хозяйство</c:v>
                </c:pt>
                <c:pt idx="8">
                  <c:v>Здравоохранение и соц.обеспечение</c:v>
                </c:pt>
                <c:pt idx="9">
                  <c:v>Образование</c:v>
                </c:pt>
                <c:pt idx="10">
                  <c:v>Прочие</c:v>
                </c:pt>
              </c:strCache>
            </c:strRef>
          </c:cat>
          <c:val>
            <c:numRef>
              <c:f>Лист1!$B$2:$B$12</c:f>
              <c:numCache>
                <c:formatCode>#,##0.0</c:formatCode>
                <c:ptCount val="11"/>
                <c:pt idx="0">
                  <c:v>493.6</c:v>
                </c:pt>
                <c:pt idx="1">
                  <c:v>137.1</c:v>
                </c:pt>
                <c:pt idx="2">
                  <c:v>60.4</c:v>
                </c:pt>
                <c:pt idx="3">
                  <c:v>66.5</c:v>
                </c:pt>
                <c:pt idx="4">
                  <c:v>9.2000000000000011</c:v>
                </c:pt>
                <c:pt idx="5">
                  <c:v>122.9</c:v>
                </c:pt>
                <c:pt idx="6">
                  <c:v>30.8</c:v>
                </c:pt>
                <c:pt idx="7">
                  <c:v>23.8</c:v>
                </c:pt>
                <c:pt idx="8">
                  <c:v>55.8</c:v>
                </c:pt>
                <c:pt idx="9">
                  <c:v>98</c:v>
                </c:pt>
                <c:pt idx="10">
                  <c:v>254.2</c:v>
                </c:pt>
              </c:numCache>
            </c:numRef>
          </c:val>
        </c:ser>
        <c:ser>
          <c:idx val="1"/>
          <c:order val="1"/>
          <c:tx>
            <c:strRef>
              <c:f>Лист1!$C$1</c:f>
              <c:strCache>
                <c:ptCount val="1"/>
                <c:pt idx="0">
                  <c:v>январь-декабрь 2016 года</c:v>
                </c:pt>
              </c:strCache>
            </c:strRef>
          </c:tx>
          <c:spPr>
            <a:solidFill>
              <a:srgbClr val="0070C0"/>
            </a:solidFill>
          </c:spPr>
          <c:dLbls>
            <c:dLbl>
              <c:idx val="0"/>
              <c:layout>
                <c:manualLayout>
                  <c:x val="0"/>
                  <c:y val="1.3986013986014E-2"/>
                </c:manualLayout>
              </c:layout>
              <c:tx>
                <c:rich>
                  <a:bodyPr/>
                  <a:lstStyle/>
                  <a:p>
                    <a:r>
                      <a:rPr lang="ru-RU" sz="784" b="1"/>
                      <a:t>40,4*</a:t>
                    </a:r>
                    <a:endParaRPr lang="en-US" sz="800" b="1"/>
                  </a:p>
                </c:rich>
              </c:tx>
              <c:dLblPos val="outEnd"/>
            </c:dLbl>
            <c:dLbl>
              <c:idx val="1"/>
              <c:layout>
                <c:manualLayout>
                  <c:x val="0"/>
                  <c:y val="1.6824330525117961E-2"/>
                </c:manualLayout>
              </c:layout>
              <c:tx>
                <c:rich>
                  <a:bodyPr/>
                  <a:lstStyle/>
                  <a:p>
                    <a:r>
                      <a:rPr lang="ru-RU" sz="784" b="1"/>
                      <a:t>5,9*</a:t>
                    </a:r>
                    <a:endParaRPr lang="en-US" sz="800" b="1"/>
                  </a:p>
                </c:rich>
              </c:tx>
              <c:dLblPos val="outEnd"/>
            </c:dLbl>
            <c:dLbl>
              <c:idx val="2"/>
              <c:layout>
                <c:manualLayout>
                  <c:x val="2.1365838885524916E-3"/>
                  <c:y val="2.2398179248572951E-2"/>
                </c:manualLayout>
              </c:layout>
              <c:tx>
                <c:rich>
                  <a:bodyPr/>
                  <a:lstStyle/>
                  <a:p>
                    <a:r>
                      <a:rPr lang="ru-RU" sz="784" b="1"/>
                      <a:t>5,2*</a:t>
                    </a:r>
                    <a:endParaRPr lang="en-US" sz="800" b="1"/>
                  </a:p>
                </c:rich>
              </c:tx>
              <c:dLblPos val="outEnd"/>
            </c:dLbl>
            <c:dLbl>
              <c:idx val="3"/>
              <c:layout>
                <c:manualLayout>
                  <c:x val="6.4102564102564534E-3"/>
                  <c:y val="1.2618296529968416E-2"/>
                </c:manualLayout>
              </c:layout>
              <c:tx>
                <c:rich>
                  <a:bodyPr/>
                  <a:lstStyle/>
                  <a:p>
                    <a:r>
                      <a:rPr lang="ru-RU" sz="784" b="1"/>
                      <a:t>11,3*</a:t>
                    </a:r>
                    <a:endParaRPr lang="en-US" sz="800" b="1"/>
                  </a:p>
                </c:rich>
              </c:tx>
              <c:dLblPos val="outEnd"/>
            </c:dLbl>
            <c:dLbl>
              <c:idx val="4"/>
              <c:layout>
                <c:manualLayout>
                  <c:x val="6.4102564102564534E-3"/>
                  <c:y val="8.4121976866457747E-3"/>
                </c:manualLayout>
              </c:layout>
              <c:tx>
                <c:rich>
                  <a:bodyPr/>
                  <a:lstStyle/>
                  <a:p>
                    <a:r>
                      <a:rPr lang="ru-RU" sz="784" b="1"/>
                      <a:t>0,9*</a:t>
                    </a:r>
                    <a:endParaRPr lang="en-US" sz="800" b="1"/>
                  </a:p>
                </c:rich>
              </c:tx>
              <c:dLblPos val="outEnd"/>
            </c:dLbl>
            <c:dLbl>
              <c:idx val="5"/>
              <c:layout>
                <c:manualLayout>
                  <c:x val="4.2735042735042739E-3"/>
                  <c:y val="1.6824395373291275E-2"/>
                </c:manualLayout>
              </c:layout>
              <c:tx>
                <c:rich>
                  <a:bodyPr/>
                  <a:lstStyle/>
                  <a:p>
                    <a:r>
                      <a:rPr lang="ru-RU" sz="784" b="1"/>
                      <a:t>10,0*</a:t>
                    </a:r>
                    <a:endParaRPr lang="en-US" sz="800" b="1"/>
                  </a:p>
                </c:rich>
              </c:tx>
              <c:dLblPos val="outEnd"/>
            </c:dLbl>
            <c:dLbl>
              <c:idx val="6"/>
              <c:layout>
                <c:manualLayout>
                  <c:x val="2.136752136752137E-3"/>
                  <c:y val="1.2618247893838438E-2"/>
                </c:manualLayout>
              </c:layout>
              <c:tx>
                <c:rich>
                  <a:bodyPr/>
                  <a:lstStyle/>
                  <a:p>
                    <a:r>
                      <a:rPr lang="ru-RU" sz="784" b="1"/>
                      <a:t>0,6*</a:t>
                    </a:r>
                    <a:endParaRPr lang="en-US" sz="800" b="1"/>
                  </a:p>
                </c:rich>
              </c:tx>
              <c:dLblPos val="outEnd"/>
            </c:dLbl>
            <c:dLbl>
              <c:idx val="7"/>
              <c:layout>
                <c:manualLayout>
                  <c:x val="-4.2735042735042739E-3"/>
                  <c:y val="1.3074169924563625E-2"/>
                </c:manualLayout>
              </c:layout>
              <c:tx>
                <c:rich>
                  <a:bodyPr/>
                  <a:lstStyle/>
                  <a:p>
                    <a:r>
                      <a:rPr lang="ru-RU" sz="784" b="1"/>
                      <a:t>2,2*</a:t>
                    </a:r>
                    <a:endParaRPr lang="en-US" sz="800" b="1"/>
                  </a:p>
                </c:rich>
              </c:tx>
              <c:dLblPos val="outEnd"/>
            </c:dLbl>
            <c:dLbl>
              <c:idx val="8"/>
              <c:layout>
                <c:manualLayout>
                  <c:x val="0"/>
                  <c:y val="-9.3243764109905789E-3"/>
                </c:manualLayout>
              </c:layout>
              <c:tx>
                <c:rich>
                  <a:bodyPr/>
                  <a:lstStyle/>
                  <a:p>
                    <a:r>
                      <a:rPr lang="ru-RU" sz="784" b="1"/>
                      <a:t>4,1*</a:t>
                    </a:r>
                    <a:endParaRPr lang="en-US" sz="800" b="1"/>
                  </a:p>
                </c:rich>
              </c:tx>
              <c:dLblPos val="outEnd"/>
            </c:dLbl>
            <c:dLbl>
              <c:idx val="9"/>
              <c:layout>
                <c:manualLayout>
                  <c:x val="2.136752136752137E-3"/>
                  <c:y val="1.1764705882353442E-2"/>
                </c:manualLayout>
              </c:layout>
              <c:tx>
                <c:rich>
                  <a:bodyPr/>
                  <a:lstStyle/>
                  <a:p>
                    <a:r>
                      <a:rPr lang="ru-RU" sz="784" b="1"/>
                      <a:t>9,8*</a:t>
                    </a:r>
                    <a:endParaRPr lang="en-US" sz="800" b="1"/>
                  </a:p>
                </c:rich>
              </c:tx>
              <c:dLblPos val="outEnd"/>
            </c:dLbl>
            <c:dLbl>
              <c:idx val="10"/>
              <c:layout>
                <c:manualLayout>
                  <c:x val="2.136752136752137E-3"/>
                  <c:y val="1.1764770662409061E-2"/>
                </c:manualLayout>
              </c:layout>
              <c:tx>
                <c:rich>
                  <a:bodyPr/>
                  <a:lstStyle/>
                  <a:p>
                    <a:r>
                      <a:rPr lang="ru-RU" sz="784" b="1"/>
                      <a:t>9,6*</a:t>
                    </a:r>
                    <a:endParaRPr lang="en-US" sz="800" b="1"/>
                  </a:p>
                </c:rich>
              </c:tx>
              <c:dLblPos val="outEnd"/>
            </c:dLbl>
            <c:spPr>
              <a:noFill/>
              <a:ln w="24876">
                <a:noFill/>
              </a:ln>
            </c:spPr>
            <c:txPr>
              <a:bodyPr rot="-5400000" vert="horz"/>
              <a:lstStyle/>
              <a:p>
                <a:pPr>
                  <a:defRPr/>
                </a:pPr>
                <a:endParaRPr lang="ru-RU"/>
              </a:p>
            </c:txPr>
            <c:dLblPos val="outEnd"/>
            <c:showVal val="1"/>
          </c:dLbls>
          <c:cat>
            <c:strRef>
              <c:f>Лист1!$A$2:$A$12</c:f>
              <c:strCache>
                <c:ptCount val="11"/>
                <c:pt idx="0">
                  <c:v>Промышленность</c:v>
                </c:pt>
                <c:pt idx="1">
                  <c:v>Сельское хозяйство</c:v>
                </c:pt>
                <c:pt idx="2">
                  <c:v>Транспорт</c:v>
                </c:pt>
                <c:pt idx="3">
                  <c:v>Связь</c:v>
                </c:pt>
                <c:pt idx="4">
                  <c:v>Строительство</c:v>
                </c:pt>
                <c:pt idx="5">
                  <c:v>Торговля и общественное питание</c:v>
                </c:pt>
                <c:pt idx="6">
                  <c:v>Жилищное строительство</c:v>
                </c:pt>
                <c:pt idx="7">
                  <c:v>Коммунальное хозяйство</c:v>
                </c:pt>
                <c:pt idx="8">
                  <c:v>Здравоохранение и соц.обеспечение</c:v>
                </c:pt>
                <c:pt idx="9">
                  <c:v>Образование</c:v>
                </c:pt>
                <c:pt idx="10">
                  <c:v>Прочие</c:v>
                </c:pt>
              </c:strCache>
            </c:strRef>
          </c:cat>
          <c:val>
            <c:numRef>
              <c:f>Лист1!$C$2:$C$12</c:f>
              <c:numCache>
                <c:formatCode>#,##0.0</c:formatCode>
                <c:ptCount val="11"/>
                <c:pt idx="0">
                  <c:v>437.1</c:v>
                </c:pt>
                <c:pt idx="1">
                  <c:v>62.3</c:v>
                </c:pt>
                <c:pt idx="2">
                  <c:v>55.6</c:v>
                </c:pt>
                <c:pt idx="3">
                  <c:v>115.9</c:v>
                </c:pt>
                <c:pt idx="4">
                  <c:v>3.9</c:v>
                </c:pt>
                <c:pt idx="5">
                  <c:v>104.2</c:v>
                </c:pt>
                <c:pt idx="6">
                  <c:v>5.7</c:v>
                </c:pt>
                <c:pt idx="7">
                  <c:v>22.9</c:v>
                </c:pt>
                <c:pt idx="8">
                  <c:v>97.3</c:v>
                </c:pt>
                <c:pt idx="9">
                  <c:v>103.7</c:v>
                </c:pt>
                <c:pt idx="10">
                  <c:v>97.1</c:v>
                </c:pt>
              </c:numCache>
            </c:numRef>
          </c:val>
        </c:ser>
        <c:dLbls>
          <c:showVal val="1"/>
        </c:dLbls>
        <c:axId val="118489472"/>
        <c:axId val="118491008"/>
      </c:barChart>
      <c:catAx>
        <c:axId val="118489472"/>
        <c:scaling>
          <c:orientation val="minMax"/>
        </c:scaling>
        <c:axPos val="b"/>
        <c:numFmt formatCode="@" sourceLinked="0"/>
        <c:tickLblPos val="low"/>
        <c:txPr>
          <a:bodyPr rot="5400000" vert="horz" anchor="ctr" anchorCtr="0"/>
          <a:lstStyle/>
          <a:p>
            <a:pPr>
              <a:defRPr b="1"/>
            </a:pPr>
            <a:endParaRPr lang="ru-RU"/>
          </a:p>
        </c:txPr>
        <c:crossAx val="118491008"/>
        <c:crosses val="autoZero"/>
        <c:lblAlgn val="ctr"/>
        <c:lblOffset val="100"/>
      </c:catAx>
      <c:valAx>
        <c:axId val="118491008"/>
        <c:scaling>
          <c:orientation val="minMax"/>
          <c:min val="0"/>
        </c:scaling>
        <c:axPos val="l"/>
        <c:title>
          <c:tx>
            <c:rich>
              <a:bodyPr rot="0" vert="horz"/>
              <a:lstStyle/>
              <a:p>
                <a:pPr algn="ctr">
                  <a:defRPr sz="900" b="0" i="0" u="none" strike="noStrike" baseline="0">
                    <a:solidFill>
                      <a:srgbClr val="000000"/>
                    </a:solidFill>
                    <a:latin typeface="Calibri"/>
                    <a:ea typeface="Calibri"/>
                    <a:cs typeface="Calibri"/>
                  </a:defRPr>
                </a:pPr>
                <a:r>
                  <a:rPr lang="ru-RU" sz="900" b="1" i="0" strike="noStrike">
                    <a:solidFill>
                      <a:srgbClr val="000000"/>
                    </a:solidFill>
                    <a:latin typeface="Times New Roman"/>
                    <a:cs typeface="Times New Roman"/>
                  </a:rPr>
                  <a:t>* - уд. вес в</a:t>
                </a:r>
              </a:p>
              <a:p>
                <a:pPr algn="ctr">
                  <a:defRPr sz="900" b="0" i="0" u="none" strike="noStrike" baseline="0">
                    <a:solidFill>
                      <a:srgbClr val="000000"/>
                    </a:solidFill>
                    <a:latin typeface="Calibri"/>
                    <a:ea typeface="Calibri"/>
                    <a:cs typeface="Calibri"/>
                  </a:defRPr>
                </a:pPr>
                <a:r>
                  <a:rPr lang="ru-RU" sz="900" b="1" i="0" strike="noStrike">
                    <a:solidFill>
                      <a:srgbClr val="000000"/>
                    </a:solidFill>
                    <a:latin typeface="Times New Roman"/>
                    <a:cs typeface="Times New Roman"/>
                  </a:rPr>
                  <a:t> общем объеме инвестиций, % </a:t>
                </a:r>
              </a:p>
            </c:rich>
          </c:tx>
          <c:layout>
            <c:manualLayout>
              <c:xMode val="edge"/>
              <c:yMode val="edge"/>
              <c:x val="0.85495726495725488"/>
              <c:y val="9.8920030101133746E-2"/>
            </c:manualLayout>
          </c:layout>
          <c:spPr>
            <a:noFill/>
            <a:ln w="24876">
              <a:noFill/>
            </a:ln>
          </c:spPr>
        </c:title>
        <c:numFmt formatCode="#,##0" sourceLinked="0"/>
        <c:tickLblPos val="nextTo"/>
        <c:txPr>
          <a:bodyPr/>
          <a:lstStyle/>
          <a:p>
            <a:pPr>
              <a:defRPr b="1"/>
            </a:pPr>
            <a:endParaRPr lang="ru-RU"/>
          </a:p>
        </c:txPr>
        <c:crossAx val="118489472"/>
        <c:crosses val="autoZero"/>
        <c:crossBetween val="between"/>
        <c:majorUnit val="50"/>
      </c:valAx>
    </c:plotArea>
    <c:legend>
      <c:legendPos val="b"/>
      <c:layout>
        <c:manualLayout>
          <c:xMode val="edge"/>
          <c:yMode val="edge"/>
          <c:x val="0.23933592435560938"/>
          <c:y val="0.92574174707034862"/>
          <c:w val="0.54483225654485801"/>
          <c:h val="5.1723041662045784E-2"/>
        </c:manualLayout>
      </c:layout>
      <c:txPr>
        <a:bodyPr/>
        <a:lstStyle/>
        <a:p>
          <a:pPr>
            <a:defRPr sz="900" b="1"/>
          </a:pPr>
          <a:endParaRPr lang="ru-RU"/>
        </a:p>
      </c:txPr>
    </c:legend>
    <c:plotVisOnly val="1"/>
    <c:dispBlanksAs val="gap"/>
  </c:chart>
  <c:spPr>
    <a:ln>
      <a:noFill/>
    </a:ln>
  </c:spPr>
  <c:txPr>
    <a:bodyPr/>
    <a:lstStyle/>
    <a:p>
      <a:pPr>
        <a:defRPr sz="800">
          <a:latin typeface="Times New Roman" pitchFamily="18" charset="0"/>
          <a:cs typeface="Times New Roman" pitchFamily="18" charset="0"/>
        </a:defRPr>
      </a:pPr>
      <a:endParaRPr lang="ru-RU"/>
    </a:p>
  </c:txPr>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lgn="ctr">
              <a:defRPr sz="1100"/>
            </a:pPr>
            <a:r>
              <a:rPr lang="ru-RU" sz="1100"/>
              <a:t>Динамика численности вакантных рабочих мест (должнотей) и безработных граждан, зарегистрированных в службе занятости</a:t>
            </a:r>
          </a:p>
        </c:rich>
      </c:tx>
      <c:layout>
        <c:manualLayout>
          <c:xMode val="edge"/>
          <c:yMode val="edge"/>
          <c:x val="0.12574078546930548"/>
          <c:y val="4.0874735790769445E-2"/>
        </c:manualLayout>
      </c:layout>
    </c:title>
    <c:plotArea>
      <c:layout>
        <c:manualLayout>
          <c:layoutTarget val="inner"/>
          <c:xMode val="edge"/>
          <c:yMode val="edge"/>
          <c:x val="3.7453067633408096E-2"/>
          <c:y val="0.31300387062512131"/>
          <c:w val="0.96182757214000592"/>
          <c:h val="0.27269259881840618"/>
        </c:manualLayout>
      </c:layout>
      <c:lineChart>
        <c:grouping val="standard"/>
        <c:ser>
          <c:idx val="0"/>
          <c:order val="0"/>
          <c:tx>
            <c:strRef>
              <c:f>Лист1!$B$1</c:f>
              <c:strCache>
                <c:ptCount val="1"/>
                <c:pt idx="0">
                  <c:v>Количество граждан состоявших на учете в службе занятости</c:v>
                </c:pt>
              </c:strCache>
            </c:strRef>
          </c:tx>
          <c:spPr>
            <a:ln>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c:spPr>
          <c:marker>
            <c:spPr>
              <a:ln>
                <a:gradFill>
                  <a:gsLst>
                    <a:gs pos="0">
                      <a:srgbClr val="8488C4"/>
                    </a:gs>
                    <a:gs pos="53000">
                      <a:srgbClr val="D4DEFF"/>
                    </a:gs>
                    <a:gs pos="83000">
                      <a:srgbClr val="D4DEFF"/>
                    </a:gs>
                    <a:gs pos="100000">
                      <a:srgbClr val="96AB94"/>
                    </a:gs>
                  </a:gsLst>
                  <a:lin ang="5400000" scaled="0"/>
                </a:gradFill>
              </a:ln>
            </c:spPr>
          </c:marker>
          <c:dLbls>
            <c:txPr>
              <a:bodyPr/>
              <a:lstStyle/>
              <a:p>
                <a:pPr>
                  <a:defRPr sz="950"/>
                </a:pPr>
                <a:endParaRPr lang="ru-RU"/>
              </a:p>
            </c:txPr>
            <c:dLblPos val="t"/>
            <c:showVal val="1"/>
          </c:dLbls>
          <c:cat>
            <c:numRef>
              <c:f>Лист1!$A$2:$A$14</c:f>
              <c:numCache>
                <c:formatCode>dd/mm/yyyy</c:formatCode>
                <c:ptCount val="13"/>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numCache>
            </c:numRef>
          </c:cat>
          <c:val>
            <c:numRef>
              <c:f>Лист1!$B$2:$B$14</c:f>
              <c:numCache>
                <c:formatCode>General</c:formatCode>
                <c:ptCount val="13"/>
                <c:pt idx="0">
                  <c:v>3591</c:v>
                </c:pt>
                <c:pt idx="1">
                  <c:v>3969</c:v>
                </c:pt>
                <c:pt idx="2">
                  <c:v>4350</c:v>
                </c:pt>
                <c:pt idx="3">
                  <c:v>4699</c:v>
                </c:pt>
                <c:pt idx="4">
                  <c:v>4662</c:v>
                </c:pt>
                <c:pt idx="5">
                  <c:v>4601</c:v>
                </c:pt>
                <c:pt idx="6">
                  <c:v>4591</c:v>
                </c:pt>
                <c:pt idx="7">
                  <c:v>4493</c:v>
                </c:pt>
                <c:pt idx="8">
                  <c:v>4274</c:v>
                </c:pt>
                <c:pt idx="9">
                  <c:v>4137</c:v>
                </c:pt>
                <c:pt idx="10">
                  <c:v>4200</c:v>
                </c:pt>
                <c:pt idx="11">
                  <c:v>4213</c:v>
                </c:pt>
                <c:pt idx="12">
                  <c:v>4262</c:v>
                </c:pt>
              </c:numCache>
            </c:numRef>
          </c:val>
        </c:ser>
        <c:ser>
          <c:idx val="1"/>
          <c:order val="1"/>
          <c:tx>
            <c:strRef>
              <c:f>Лист1!$C$1</c:f>
              <c:strCache>
                <c:ptCount val="1"/>
                <c:pt idx="0">
                  <c:v>Наличие вакансий в базе данных службы занятости</c:v>
                </c:pt>
              </c:strCache>
            </c:strRef>
          </c:tx>
          <c:spPr>
            <a:ln>
              <a:solidFill>
                <a:schemeClr val="accent2">
                  <a:lumMod val="60000"/>
                  <a:lumOff val="40000"/>
                </a:schemeClr>
              </a:solidFill>
            </a:ln>
          </c:spPr>
          <c:marker>
            <c:spPr>
              <a:ln>
                <a:solidFill>
                  <a:schemeClr val="accent2">
                    <a:lumMod val="60000"/>
                    <a:lumOff val="40000"/>
                  </a:schemeClr>
                </a:solidFill>
                <a:bevel/>
              </a:ln>
            </c:spPr>
          </c:marker>
          <c:dLbls>
            <c:dLbl>
              <c:idx val="0"/>
              <c:layout>
                <c:manualLayout>
                  <c:x val="1.9550342130987301E-3"/>
                  <c:y val="-0.12033694344163792"/>
                </c:manualLayout>
              </c:layout>
              <c:dLblPos val="b"/>
              <c:showVal val="1"/>
            </c:dLbl>
            <c:dLbl>
              <c:idx val="1"/>
              <c:layout>
                <c:manualLayout>
                  <c:x val="1.9550342130987483E-3"/>
                  <c:y val="-0.12033694344163792"/>
                </c:manualLayout>
              </c:layout>
              <c:dLblPos val="b"/>
              <c:showVal val="1"/>
            </c:dLbl>
            <c:dLbl>
              <c:idx val="2"/>
              <c:layout>
                <c:manualLayout>
                  <c:x val="0"/>
                  <c:y val="-0.12033694344163792"/>
                </c:manualLayout>
              </c:layout>
              <c:dLblPos val="b"/>
              <c:showVal val="1"/>
            </c:dLbl>
            <c:dLbl>
              <c:idx val="3"/>
              <c:layout>
                <c:manualLayout>
                  <c:x val="-1.9550342130987301E-3"/>
                  <c:y val="-0.12033694344163792"/>
                </c:manualLayout>
              </c:layout>
              <c:dLblPos val="b"/>
              <c:showVal val="1"/>
            </c:dLbl>
            <c:dLbl>
              <c:idx val="4"/>
              <c:layout>
                <c:manualLayout>
                  <c:x val="0"/>
                  <c:y val="-0.12996389891696791"/>
                </c:manualLayout>
              </c:layout>
              <c:dLblPos val="b"/>
              <c:showVal val="1"/>
            </c:dLbl>
            <c:dLbl>
              <c:idx val="5"/>
              <c:layout>
                <c:manualLayout>
                  <c:x val="0"/>
                  <c:y val="-0.12515042117930206"/>
                </c:manualLayout>
              </c:layout>
              <c:dLblPos val="b"/>
              <c:showVal val="1"/>
            </c:dLbl>
            <c:dLbl>
              <c:idx val="6"/>
              <c:layout>
                <c:manualLayout>
                  <c:x val="0"/>
                  <c:y val="-0.12996389891696791"/>
                </c:manualLayout>
              </c:layout>
              <c:dLblPos val="b"/>
              <c:showVal val="1"/>
            </c:dLbl>
            <c:dLbl>
              <c:idx val="7"/>
              <c:layout>
                <c:manualLayout>
                  <c:x val="3.9100684261974585E-3"/>
                  <c:y val="-0.12515042117930206"/>
                </c:manualLayout>
              </c:layout>
              <c:dLblPos val="b"/>
              <c:showVal val="1"/>
            </c:dLbl>
            <c:dLbl>
              <c:idx val="8"/>
              <c:layout>
                <c:manualLayout>
                  <c:x val="-1.9550342130987301E-3"/>
                  <c:y val="-0.11552346570397112"/>
                </c:manualLayout>
              </c:layout>
              <c:dLblPos val="b"/>
              <c:showVal val="1"/>
            </c:dLbl>
            <c:dLbl>
              <c:idx val="9"/>
              <c:layout>
                <c:manualLayout>
                  <c:x val="3.9100684261974585E-3"/>
                  <c:y val="-0.12515042117930206"/>
                </c:manualLayout>
              </c:layout>
              <c:dLblPos val="b"/>
              <c:showVal val="1"/>
            </c:dLbl>
            <c:dLbl>
              <c:idx val="10"/>
              <c:layout>
                <c:manualLayout>
                  <c:x val="0"/>
                  <c:y val="-0.12033694344163792"/>
                </c:manualLayout>
              </c:layout>
              <c:dLblPos val="b"/>
              <c:showVal val="1"/>
            </c:dLbl>
            <c:dLbl>
              <c:idx val="11"/>
              <c:layout>
                <c:manualLayout>
                  <c:x val="3.9100684261974585E-3"/>
                  <c:y val="-0.12996389891696791"/>
                </c:manualLayout>
              </c:layout>
              <c:dLblPos val="b"/>
              <c:showVal val="1"/>
            </c:dLbl>
            <c:dLbl>
              <c:idx val="12"/>
              <c:layout>
                <c:manualLayout>
                  <c:x val="0"/>
                  <c:y val="-0.12515042117930206"/>
                </c:manualLayout>
              </c:layout>
              <c:dLblPos val="b"/>
              <c:showVal val="1"/>
            </c:dLbl>
            <c:txPr>
              <a:bodyPr/>
              <a:lstStyle/>
              <a:p>
                <a:pPr>
                  <a:defRPr sz="950"/>
                </a:pPr>
                <a:endParaRPr lang="ru-RU"/>
              </a:p>
            </c:txPr>
            <c:dLblPos val="b"/>
            <c:showVal val="1"/>
          </c:dLbls>
          <c:cat>
            <c:numRef>
              <c:f>Лист1!$A$2:$A$14</c:f>
              <c:numCache>
                <c:formatCode>dd/mm/yyyy</c:formatCode>
                <c:ptCount val="13"/>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numCache>
            </c:numRef>
          </c:cat>
          <c:val>
            <c:numRef>
              <c:f>Лист1!$C$2:$C$14</c:f>
              <c:numCache>
                <c:formatCode>General</c:formatCode>
                <c:ptCount val="13"/>
                <c:pt idx="0">
                  <c:v>908</c:v>
                </c:pt>
                <c:pt idx="1">
                  <c:v>791</c:v>
                </c:pt>
                <c:pt idx="2">
                  <c:v>736</c:v>
                </c:pt>
                <c:pt idx="3">
                  <c:v>748</c:v>
                </c:pt>
                <c:pt idx="4">
                  <c:v>809</c:v>
                </c:pt>
                <c:pt idx="5">
                  <c:v>821</c:v>
                </c:pt>
                <c:pt idx="6">
                  <c:v>957</c:v>
                </c:pt>
                <c:pt idx="7">
                  <c:v>1130</c:v>
                </c:pt>
                <c:pt idx="8">
                  <c:v>1194</c:v>
                </c:pt>
                <c:pt idx="9">
                  <c:v>1076</c:v>
                </c:pt>
                <c:pt idx="10">
                  <c:v>949</c:v>
                </c:pt>
                <c:pt idx="11">
                  <c:v>981</c:v>
                </c:pt>
                <c:pt idx="12">
                  <c:v>931</c:v>
                </c:pt>
              </c:numCache>
            </c:numRef>
          </c:val>
        </c:ser>
        <c:marker val="1"/>
        <c:axId val="160512640"/>
        <c:axId val="160551296"/>
      </c:lineChart>
      <c:dateAx>
        <c:axId val="160512640"/>
        <c:scaling>
          <c:orientation val="minMax"/>
        </c:scaling>
        <c:axPos val="b"/>
        <c:numFmt formatCode="dd/mm/yyyy" sourceLinked="1"/>
        <c:tickLblPos val="nextTo"/>
        <c:txPr>
          <a:bodyPr/>
          <a:lstStyle/>
          <a:p>
            <a:pPr>
              <a:defRPr sz="950"/>
            </a:pPr>
            <a:endParaRPr lang="ru-RU"/>
          </a:p>
        </c:txPr>
        <c:crossAx val="160551296"/>
        <c:crosses val="autoZero"/>
        <c:auto val="1"/>
        <c:lblOffset val="100"/>
      </c:dateAx>
      <c:valAx>
        <c:axId val="160551296"/>
        <c:scaling>
          <c:orientation val="minMax"/>
        </c:scaling>
        <c:delete val="1"/>
        <c:axPos val="l"/>
        <c:numFmt formatCode="General" sourceLinked="1"/>
        <c:tickLblPos val="nextTo"/>
        <c:crossAx val="160512640"/>
        <c:crosses val="autoZero"/>
        <c:crossBetween val="between"/>
      </c:valAx>
    </c:plotArea>
    <c:legend>
      <c:legendPos val="b"/>
      <c:layout>
        <c:manualLayout>
          <c:xMode val="edge"/>
          <c:yMode val="edge"/>
          <c:x val="3.9576671014282722E-2"/>
          <c:y val="0.85400343007665569"/>
          <c:w val="0.92424066783320002"/>
          <c:h val="0.14599656992334442"/>
        </c:manualLayout>
      </c:layout>
      <c:txPr>
        <a:bodyPr/>
        <a:lstStyle/>
        <a:p>
          <a:pPr>
            <a:defRPr sz="1000"/>
          </a:pPr>
          <a:endParaRPr lang="ru-RU"/>
        </a:p>
      </c:txPr>
    </c:legend>
    <c:plotVisOnly val="1"/>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1"/>
  <c:chart>
    <c:title>
      <c:tx>
        <c:rich>
          <a:bodyPr/>
          <a:lstStyle/>
          <a:p>
            <a:pPr>
              <a:defRPr sz="1200"/>
            </a:pPr>
            <a:r>
              <a:rPr lang="ru-RU" sz="1200"/>
              <a:t>Валовая продукция сельского хозяйства в хозяйствах </a:t>
            </a:r>
          </a:p>
          <a:p>
            <a:pPr>
              <a:defRPr sz="1200"/>
            </a:pPr>
            <a:r>
              <a:rPr lang="ru-RU" sz="1200"/>
              <a:t>всех категорий за 2015-2016 годы, млн.руб.</a:t>
            </a:r>
          </a:p>
        </c:rich>
      </c:tx>
      <c:layout>
        <c:manualLayout>
          <c:xMode val="edge"/>
          <c:yMode val="edge"/>
          <c:x val="0.21878070630392771"/>
          <c:y val="2.2245433606513589E-3"/>
        </c:manualLayout>
      </c:layout>
    </c:title>
    <c:plotArea>
      <c:layout>
        <c:manualLayout>
          <c:layoutTarget val="inner"/>
          <c:xMode val="edge"/>
          <c:yMode val="edge"/>
          <c:x val="0.31563851004715188"/>
          <c:y val="0.28595876382504493"/>
          <c:w val="0.66805363092424574"/>
          <c:h val="0.35702213523887727"/>
        </c:manualLayout>
      </c:layout>
      <c:barChart>
        <c:barDir val="col"/>
        <c:grouping val="clustered"/>
        <c:ser>
          <c:idx val="0"/>
          <c:order val="0"/>
          <c:tx>
            <c:strRef>
              <c:f>Лист1!$B$1</c:f>
              <c:strCache>
                <c:ptCount val="1"/>
                <c:pt idx="0">
                  <c:v>Валовая продукция сельского хозяйства</c:v>
                </c:pt>
              </c:strCache>
            </c:strRef>
          </c:tx>
          <c:spPr>
            <a:solidFill>
              <a:schemeClr val="accent6">
                <a:lumMod val="75000"/>
              </a:schemeClr>
            </a:solidFill>
          </c:spPr>
          <c:dLbls>
            <c:dLbl>
              <c:idx val="0"/>
              <c:layout>
                <c:manualLayout>
                  <c:x val="-2.3148148148148147E-3"/>
                  <c:y val="3.9682539682540652E-3"/>
                </c:manualLayout>
              </c:layout>
              <c:tx>
                <c:rich>
                  <a:bodyPr/>
                  <a:lstStyle/>
                  <a:p>
                    <a:r>
                      <a:rPr lang="ru-RU" sz="900" b="1">
                        <a:solidFill>
                          <a:sysClr val="windowText" lastClr="000000"/>
                        </a:solidFill>
                        <a:latin typeface="Times New Roman" pitchFamily="18" charset="0"/>
                        <a:cs typeface="Times New Roman" pitchFamily="18" charset="0"/>
                      </a:rPr>
                      <a:t>+9,2%*</a:t>
                    </a:r>
                    <a:endParaRPr lang="en-US" sz="900" b="1">
                      <a:solidFill>
                        <a:sysClr val="windowText" lastClr="000000"/>
                      </a:solidFill>
                      <a:latin typeface="Times New Roman" pitchFamily="18" charset="0"/>
                      <a:cs typeface="Times New Roman" pitchFamily="18" charset="0"/>
                    </a:endParaRPr>
                  </a:p>
                </c:rich>
              </c:tx>
              <c:dLblPos val="outEnd"/>
              <c:showVal val="1"/>
            </c:dLbl>
            <c:dLbl>
              <c:idx val="1"/>
              <c:layout>
                <c:manualLayout>
                  <c:x val="-4.6296296296297534E-3"/>
                  <c:y val="1.0385013929996374E-2"/>
                </c:manualLayout>
              </c:layout>
              <c:tx>
                <c:rich>
                  <a:bodyPr/>
                  <a:lstStyle/>
                  <a:p>
                    <a:r>
                      <a:rPr lang="ru-RU" sz="900" b="1">
                        <a:solidFill>
                          <a:sysClr val="windowText" lastClr="000000"/>
                        </a:solidFill>
                        <a:latin typeface="Times New Roman" pitchFamily="18" charset="0"/>
                        <a:cs typeface="Times New Roman" pitchFamily="18" charset="0"/>
                      </a:rPr>
                      <a:t>+8,6%*</a:t>
                    </a:r>
                    <a:endParaRPr lang="en-US" sz="900" b="1">
                      <a:solidFill>
                        <a:sysClr val="windowText" lastClr="000000"/>
                      </a:solidFill>
                      <a:latin typeface="Times New Roman" pitchFamily="18" charset="0"/>
                      <a:cs typeface="Times New Roman" pitchFamily="18" charset="0"/>
                    </a:endParaRPr>
                  </a:p>
                </c:rich>
              </c:tx>
              <c:dLblPos val="outEnd"/>
              <c:showVal val="1"/>
            </c:dLbl>
            <c:dLbl>
              <c:idx val="2"/>
              <c:layout>
                <c:manualLayout>
                  <c:x val="8.4875562720161312E-17"/>
                  <c:y val="1.1904761904762811E-2"/>
                </c:manualLayout>
              </c:layout>
              <c:tx>
                <c:rich>
                  <a:bodyPr/>
                  <a:lstStyle/>
                  <a:p>
                    <a:r>
                      <a:rPr lang="ru-RU" sz="900" b="1">
                        <a:solidFill>
                          <a:sysClr val="windowText" lastClr="000000"/>
                        </a:solidFill>
                        <a:latin typeface="Times New Roman" pitchFamily="18" charset="0"/>
                        <a:cs typeface="Times New Roman" pitchFamily="18" charset="0"/>
                      </a:rPr>
                      <a:t>35,6*</a:t>
                    </a:r>
                    <a:endParaRPr lang="en-US" sz="900" b="1">
                      <a:solidFill>
                        <a:sysClr val="windowText" lastClr="000000"/>
                      </a:solidFill>
                      <a:latin typeface="Times New Roman" pitchFamily="18" charset="0"/>
                      <a:cs typeface="Times New Roman" pitchFamily="18" charset="0"/>
                    </a:endParaRPr>
                  </a:p>
                </c:rich>
              </c:tx>
              <c:dLblPos val="outEnd"/>
              <c:showVal val="1"/>
            </c:dLbl>
            <c:txPr>
              <a:bodyPr/>
              <a:lstStyle/>
              <a:p>
                <a:pPr>
                  <a:defRPr sz="900">
                    <a:solidFill>
                      <a:sysClr val="windowText" lastClr="000000"/>
                    </a:solidFill>
                  </a:defRPr>
                </a:pPr>
                <a:endParaRPr lang="ru-RU"/>
              </a:p>
            </c:txPr>
            <c:dLblPos val="outEnd"/>
            <c:showVal val="1"/>
          </c:dLbls>
          <c:cat>
            <c:strRef>
              <c:f>Лист1!$A$2:$A$4</c:f>
              <c:strCache>
                <c:ptCount val="2"/>
                <c:pt idx="0">
                  <c:v>2015 год</c:v>
                </c:pt>
                <c:pt idx="1">
                  <c:v>2016 год</c:v>
                </c:pt>
              </c:strCache>
            </c:strRef>
          </c:cat>
          <c:val>
            <c:numRef>
              <c:f>Лист1!$B$2:$B$4</c:f>
              <c:numCache>
                <c:formatCode>#,##0.0</c:formatCode>
                <c:ptCount val="2"/>
                <c:pt idx="0">
                  <c:v>2037.1</c:v>
                </c:pt>
                <c:pt idx="1">
                  <c:v>2209.1</c:v>
                </c:pt>
              </c:numCache>
            </c:numRef>
          </c:val>
        </c:ser>
        <c:dLbls>
          <c:showVal val="1"/>
        </c:dLbls>
        <c:axId val="52054272"/>
        <c:axId val="52060160"/>
      </c:barChart>
      <c:catAx>
        <c:axId val="52054272"/>
        <c:scaling>
          <c:orientation val="minMax"/>
        </c:scaling>
        <c:axPos val="b"/>
        <c:tickLblPos val="nextTo"/>
        <c:crossAx val="52060160"/>
        <c:crosses val="autoZero"/>
        <c:auto val="1"/>
        <c:lblAlgn val="ctr"/>
        <c:lblOffset val="100"/>
      </c:catAx>
      <c:valAx>
        <c:axId val="52060160"/>
        <c:scaling>
          <c:orientation val="minMax"/>
        </c:scaling>
        <c:axPos val="l"/>
        <c:numFmt formatCode="#,##0.0" sourceLinked="1"/>
        <c:tickLblPos val="nextTo"/>
        <c:crossAx val="52054272"/>
        <c:crosses val="autoZero"/>
        <c:crossBetween val="between"/>
      </c:valAx>
      <c:dTable>
        <c:showHorzBorder val="1"/>
        <c:showVertBorder val="1"/>
        <c:showOutline val="1"/>
        <c:showKeys val="1"/>
      </c:dTable>
    </c:plotArea>
    <c:plotVisOnly val="1"/>
  </c:chart>
  <c:spPr>
    <a:ln>
      <a:noFill/>
    </a:ln>
  </c:spPr>
  <c:txPr>
    <a:bodyPr/>
    <a:lstStyle/>
    <a:p>
      <a:pPr>
        <a:defRPr b="1">
          <a:latin typeface="Times New Roman" pitchFamily="18" charset="0"/>
          <a:cs typeface="Times New Roman" pitchFamily="18" charset="0"/>
        </a:defRPr>
      </a:pPr>
      <a:endParaRPr lang="ru-RU"/>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title>
      <c:tx>
        <c:rich>
          <a:bodyPr/>
          <a:lstStyle/>
          <a:p>
            <a:pPr>
              <a:defRPr sz="1200"/>
            </a:pPr>
            <a:r>
              <a:rPr lang="ru-RU" sz="1200"/>
              <a:t>Динамика основных составляющих инфляции,%</a:t>
            </a:r>
          </a:p>
        </c:rich>
      </c:tx>
      <c:layout>
        <c:manualLayout>
          <c:xMode val="edge"/>
          <c:yMode val="edge"/>
          <c:x val="0.26946993694753685"/>
          <c:y val="5.0812587820462194E-3"/>
        </c:manualLayout>
      </c:layout>
    </c:title>
    <c:plotArea>
      <c:layout>
        <c:manualLayout>
          <c:layoutTarget val="inner"/>
          <c:xMode val="edge"/>
          <c:yMode val="edge"/>
          <c:x val="0.22058602049743814"/>
          <c:y val="0.15530269781851039"/>
          <c:w val="0.76544241901269194"/>
          <c:h val="0.46980680693601901"/>
        </c:manualLayout>
      </c:layout>
      <c:barChart>
        <c:barDir val="col"/>
        <c:grouping val="clustered"/>
        <c:ser>
          <c:idx val="0"/>
          <c:order val="0"/>
          <c:tx>
            <c:strRef>
              <c:f>Лист1!$B$1</c:f>
              <c:strCache>
                <c:ptCount val="1"/>
                <c:pt idx="0">
                  <c:v>январь-декабрь 2015 г. </c:v>
                </c:pt>
              </c:strCache>
            </c:strRef>
          </c:tx>
          <c:spPr>
            <a:solidFill>
              <a:schemeClr val="accent6">
                <a:lumMod val="75000"/>
              </a:schemeClr>
            </a:solidFill>
          </c:spPr>
          <c:dLbls>
            <c:dLbl>
              <c:idx val="0"/>
              <c:layout>
                <c:manualLayout>
                  <c:x val="6.9906515922805719E-4"/>
                  <c:y val="1.9472725145026449E-2"/>
                </c:manualLayout>
              </c:layout>
              <c:tx>
                <c:rich>
                  <a:bodyPr/>
                  <a:lstStyle/>
                  <a:p>
                    <a:r>
                      <a:rPr lang="ru-RU" b="1"/>
                      <a:t>-1,77*</a:t>
                    </a:r>
                    <a:endParaRPr lang="en-US" b="1"/>
                  </a:p>
                </c:rich>
              </c:tx>
              <c:dLblPos val="outEnd"/>
              <c:showVal val="1"/>
            </c:dLbl>
            <c:dLbl>
              <c:idx val="1"/>
              <c:layout>
                <c:manualLayout>
                  <c:x val="2.8049989514024438E-3"/>
                  <c:y val="2.3492166571962011E-2"/>
                </c:manualLayout>
              </c:layout>
              <c:tx>
                <c:rich>
                  <a:bodyPr/>
                  <a:lstStyle/>
                  <a:p>
                    <a:r>
                      <a:rPr lang="ru-RU" b="1"/>
                      <a:t>-4,60*</a:t>
                    </a:r>
                    <a:endParaRPr lang="en-US" b="1"/>
                  </a:p>
                </c:rich>
              </c:tx>
              <c:dLblPos val="outEnd"/>
              <c:showVal val="1"/>
            </c:dLbl>
            <c:dLbl>
              <c:idx val="2"/>
              <c:layout>
                <c:manualLayout>
                  <c:x val="-6.8460192475933417E-4"/>
                  <c:y val="1.9061141947420552E-2"/>
                </c:manualLayout>
              </c:layout>
              <c:tx>
                <c:rich>
                  <a:bodyPr/>
                  <a:lstStyle/>
                  <a:p>
                    <a:r>
                      <a:rPr lang="ru-RU" b="1"/>
                      <a:t>-3,12 *</a:t>
                    </a:r>
                    <a:endParaRPr lang="en-US" b="1"/>
                  </a:p>
                </c:rich>
              </c:tx>
              <c:dLblPos val="outEnd"/>
              <c:showVal val="1"/>
            </c:dLbl>
            <c:dLbl>
              <c:idx val="3"/>
              <c:layout>
                <c:manualLayout>
                  <c:x val="1.7365414069004201E-3"/>
                  <c:y val="2.1991410164638511E-2"/>
                </c:manualLayout>
              </c:layout>
              <c:tx>
                <c:rich>
                  <a:bodyPr/>
                  <a:lstStyle/>
                  <a:p>
                    <a:r>
                      <a:rPr lang="ru-RU" b="1"/>
                      <a:t>+5,92*</a:t>
                    </a:r>
                    <a:endParaRPr lang="en-US" b="1"/>
                  </a:p>
                </c:rich>
              </c:tx>
              <c:dLblPos val="outEnd"/>
              <c:showVal val="1"/>
            </c:dLbl>
            <c:dLblPos val="outEnd"/>
            <c:showVal val="1"/>
          </c:dLbls>
          <c:cat>
            <c:strRef>
              <c:f>Лист1!$A$2:$A$5</c:f>
              <c:strCache>
                <c:ptCount val="4"/>
                <c:pt idx="0">
                  <c:v>Сводный индекс потребительских цен  (инфляция)</c:v>
                </c:pt>
                <c:pt idx="1">
                  <c:v>Индекс цен на продовольствен    ные товары</c:v>
                </c:pt>
                <c:pt idx="2">
                  <c:v>Индекс цен на непродовольствен       ные товары</c:v>
                </c:pt>
                <c:pt idx="3">
                  <c:v>Индекс  тарифов на услуги</c:v>
                </c:pt>
              </c:strCache>
            </c:strRef>
          </c:cat>
          <c:val>
            <c:numRef>
              <c:f>Лист1!$B$2:$B$5</c:f>
              <c:numCache>
                <c:formatCode>0.00</c:formatCode>
                <c:ptCount val="4"/>
                <c:pt idx="0">
                  <c:v>98.23</c:v>
                </c:pt>
                <c:pt idx="1">
                  <c:v>95.4</c:v>
                </c:pt>
                <c:pt idx="2">
                  <c:v>96.88</c:v>
                </c:pt>
                <c:pt idx="3">
                  <c:v>105.92</c:v>
                </c:pt>
              </c:numCache>
            </c:numRef>
          </c:val>
        </c:ser>
        <c:ser>
          <c:idx val="1"/>
          <c:order val="1"/>
          <c:tx>
            <c:strRef>
              <c:f>Лист1!$C$1</c:f>
              <c:strCache>
                <c:ptCount val="1"/>
                <c:pt idx="0">
                  <c:v>январь-декабрь 2016 г. </c:v>
                </c:pt>
              </c:strCache>
            </c:strRef>
          </c:tx>
          <c:spPr>
            <a:solidFill>
              <a:schemeClr val="accent5">
                <a:lumMod val="60000"/>
                <a:lumOff val="40000"/>
              </a:schemeClr>
            </a:solidFill>
          </c:spPr>
          <c:dLbls>
            <c:dLbl>
              <c:idx val="0"/>
              <c:layout>
                <c:manualLayout>
                  <c:x val="3.5865829271341091E-3"/>
                  <c:y val="1.6586635686932635E-2"/>
                </c:manualLayout>
              </c:layout>
              <c:tx>
                <c:rich>
                  <a:bodyPr/>
                  <a:lstStyle/>
                  <a:p>
                    <a:r>
                      <a:rPr lang="ru-RU" b="1"/>
                      <a:t>+4,44*</a:t>
                    </a:r>
                    <a:endParaRPr lang="en-US" b="1"/>
                  </a:p>
                </c:rich>
              </c:tx>
              <c:dLblPos val="outEnd"/>
              <c:showVal val="1"/>
            </c:dLbl>
            <c:dLbl>
              <c:idx val="1"/>
              <c:layout>
                <c:manualLayout>
                  <c:x val="1.3890451193600845E-3"/>
                  <c:y val="1.9980207392108828E-2"/>
                </c:manualLayout>
              </c:layout>
              <c:tx>
                <c:rich>
                  <a:bodyPr/>
                  <a:lstStyle/>
                  <a:p>
                    <a:r>
                      <a:rPr lang="ru-RU" b="1"/>
                      <a:t>+3,80*</a:t>
                    </a:r>
                    <a:endParaRPr lang="en-US" b="1"/>
                  </a:p>
                </c:rich>
              </c:tx>
              <c:dLblPos val="outEnd"/>
              <c:showVal val="1"/>
            </c:dLbl>
            <c:dLbl>
              <c:idx val="2"/>
              <c:layout>
                <c:manualLayout>
                  <c:x val="3.7334395700537489E-3"/>
                  <c:y val="1.8138634310055506E-2"/>
                </c:manualLayout>
              </c:layout>
              <c:tx>
                <c:rich>
                  <a:bodyPr/>
                  <a:lstStyle/>
                  <a:p>
                    <a:r>
                      <a:rPr lang="ru-RU" b="1"/>
                      <a:t>+6,88*</a:t>
                    </a:r>
                    <a:endParaRPr lang="en-US" b="1"/>
                  </a:p>
                </c:rich>
              </c:tx>
              <c:dLblPos val="outEnd"/>
              <c:showVal val="1"/>
            </c:dLbl>
            <c:dLbl>
              <c:idx val="3"/>
              <c:layout>
                <c:manualLayout>
                  <c:x val="4.0777715285589301E-3"/>
                  <c:y val="2.3182737403726235E-2"/>
                </c:manualLayout>
              </c:layout>
              <c:tx>
                <c:rich>
                  <a:bodyPr/>
                  <a:lstStyle/>
                  <a:p>
                    <a:r>
                      <a:rPr lang="ru-RU" b="1"/>
                      <a:t> +1,48*</a:t>
                    </a:r>
                    <a:endParaRPr lang="en-US" b="1"/>
                  </a:p>
                </c:rich>
              </c:tx>
              <c:dLblPos val="outEnd"/>
              <c:showVal val="1"/>
            </c:dLbl>
            <c:dLblPos val="outEnd"/>
            <c:showVal val="1"/>
          </c:dLbls>
          <c:cat>
            <c:strRef>
              <c:f>Лист1!$A$2:$A$5</c:f>
              <c:strCache>
                <c:ptCount val="4"/>
                <c:pt idx="0">
                  <c:v>Сводный индекс потребительских цен  (инфляция)</c:v>
                </c:pt>
                <c:pt idx="1">
                  <c:v>Индекс цен на продовольствен    ные товары</c:v>
                </c:pt>
                <c:pt idx="2">
                  <c:v>Индекс цен на непродовольствен       ные товары</c:v>
                </c:pt>
                <c:pt idx="3">
                  <c:v>Индекс  тарифов на услуги</c:v>
                </c:pt>
              </c:strCache>
            </c:strRef>
          </c:cat>
          <c:val>
            <c:numRef>
              <c:f>Лист1!$C$2:$C$5</c:f>
              <c:numCache>
                <c:formatCode>0.00</c:formatCode>
                <c:ptCount val="4"/>
                <c:pt idx="0">
                  <c:v>104.44000000000015</c:v>
                </c:pt>
                <c:pt idx="1">
                  <c:v>103.8</c:v>
                </c:pt>
                <c:pt idx="2">
                  <c:v>106.88</c:v>
                </c:pt>
                <c:pt idx="3">
                  <c:v>101.48</c:v>
                </c:pt>
              </c:numCache>
            </c:numRef>
          </c:val>
        </c:ser>
        <c:axId val="9468544"/>
        <c:axId val="9486720"/>
      </c:barChart>
      <c:catAx>
        <c:axId val="9468544"/>
        <c:scaling>
          <c:orientation val="minMax"/>
        </c:scaling>
        <c:axPos val="b"/>
        <c:tickLblPos val="nextTo"/>
        <c:crossAx val="9486720"/>
        <c:crosses val="autoZero"/>
        <c:auto val="1"/>
        <c:lblAlgn val="ctr"/>
        <c:lblOffset val="100"/>
      </c:catAx>
      <c:valAx>
        <c:axId val="9486720"/>
        <c:scaling>
          <c:orientation val="minMax"/>
        </c:scaling>
        <c:axPos val="l"/>
        <c:title>
          <c:tx>
            <c:rich>
              <a:bodyPr rot="0" vert="horz"/>
              <a:lstStyle/>
              <a:p>
                <a:pPr>
                  <a:defRPr b="0"/>
                </a:pPr>
                <a:r>
                  <a:rPr lang="ru-RU" b="0"/>
                  <a:t>* - прирост (снижение)  индекса цен,%</a:t>
                </a:r>
              </a:p>
            </c:rich>
          </c:tx>
          <c:layout>
            <c:manualLayout>
              <c:xMode val="edge"/>
              <c:yMode val="edge"/>
              <c:x val="2.4934383202099601E-4"/>
              <c:y val="0.528220386386128"/>
            </c:manualLayout>
          </c:layout>
        </c:title>
        <c:numFmt formatCode="0.00" sourceLinked="1"/>
        <c:tickLblPos val="nextTo"/>
        <c:txPr>
          <a:bodyPr/>
          <a:lstStyle/>
          <a:p>
            <a:pPr>
              <a:defRPr sz="750" b="1"/>
            </a:pPr>
            <a:endParaRPr lang="ru-RU"/>
          </a:p>
        </c:txPr>
        <c:crossAx val="9468544"/>
        <c:crosses val="autoZero"/>
        <c:crossBetween val="between"/>
        <c:minorUnit val="4"/>
      </c:valAx>
      <c:dTable>
        <c:showHorzBorder val="1"/>
        <c:showVertBorder val="1"/>
        <c:showOutline val="1"/>
        <c:showKeys val="1"/>
        <c:txPr>
          <a:bodyPr/>
          <a:lstStyle/>
          <a:p>
            <a:pPr rtl="0">
              <a:defRPr sz="800" b="1"/>
            </a:pPr>
            <a:endParaRPr lang="ru-RU"/>
          </a:p>
        </c:txPr>
      </c:dTable>
      <c:spPr>
        <a:noFill/>
        <a:ln w="25400">
          <a:noFill/>
        </a:ln>
      </c:spPr>
    </c:plotArea>
    <c:plotVisOnly val="1"/>
  </c:chart>
  <c:spPr>
    <a:noFill/>
    <a:ln>
      <a:noFill/>
    </a:ln>
  </c:spPr>
  <c:txPr>
    <a:bodyPr/>
    <a:lstStyle/>
    <a:p>
      <a:pPr>
        <a:defRPr sz="800">
          <a:latin typeface="Times New Roman" pitchFamily="18" charset="0"/>
          <a:cs typeface="Times New Roman" pitchFamily="18" charset="0"/>
        </a:defRPr>
      </a:pPr>
      <a:endParaRPr lang="ru-RU"/>
    </a:p>
  </c:txPr>
  <c:externalData r:id="rId2"/>
</c:chartSpace>
</file>

<file path=word/drawings/_rels/drawing2.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2.emf"/></Relationships>
</file>

<file path=word/drawings/_rels/drawing4.xml.rels><?xml version="1.0" encoding="UTF-8" standalone="yes"?>
<Relationships xmlns="http://schemas.openxmlformats.org/package/2006/relationships"><Relationship Id="rId1" Type="http://schemas.openxmlformats.org/officeDocument/2006/relationships/image" Target="../media/image12.png"/></Relationships>
</file>

<file path=word/drawings/drawing1.xml><?xml version="1.0" encoding="utf-8"?>
<c:userShapes xmlns:c="http://schemas.openxmlformats.org/drawingml/2006/chart">
  <cdr:relSizeAnchor xmlns:cdr="http://schemas.openxmlformats.org/drawingml/2006/chartDrawing">
    <cdr:from>
      <cdr:x>0</cdr:x>
      <cdr:y>0.92717</cdr:y>
    </cdr:from>
    <cdr:to>
      <cdr:x>0.1892</cdr:x>
      <cdr:y>1</cdr:y>
    </cdr:to>
    <cdr:sp macro="" textlink="">
      <cdr:nvSpPr>
        <cdr:cNvPr id="2" name="TextBox 1"/>
        <cdr:cNvSpPr txBox="1"/>
      </cdr:nvSpPr>
      <cdr:spPr>
        <a:xfrm xmlns:a="http://schemas.openxmlformats.org/drawingml/2006/main">
          <a:off x="0" y="3152775"/>
          <a:ext cx="1123950" cy="2476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0.7675</cdr:x>
      <cdr:y>0.03636</cdr:y>
    </cdr:from>
    <cdr:to>
      <cdr:x>1</cdr:x>
      <cdr:y>0.17081</cdr:y>
    </cdr:to>
    <cdr:sp macro="" textlink="">
      <cdr:nvSpPr>
        <cdr:cNvPr id="3" name="TextBox 2"/>
        <cdr:cNvSpPr txBox="1"/>
      </cdr:nvSpPr>
      <cdr:spPr>
        <a:xfrm xmlns:a="http://schemas.openxmlformats.org/drawingml/2006/main">
          <a:off x="4598265" y="95250"/>
          <a:ext cx="1392960" cy="3521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latin typeface="Times New Roman" pitchFamily="18" charset="0"/>
              <a:cs typeface="Times New Roman" pitchFamily="18" charset="0"/>
            </a:rPr>
            <a:t>*</a:t>
          </a:r>
          <a:r>
            <a:rPr lang="en-US" sz="900" baseline="0">
              <a:latin typeface="Times New Roman" pitchFamily="18" charset="0"/>
              <a:cs typeface="Times New Roman" pitchFamily="18" charset="0"/>
            </a:rPr>
            <a:t> - </a:t>
          </a:r>
          <a:r>
            <a:rPr lang="ru-RU" sz="900" baseline="0">
              <a:latin typeface="Times New Roman" pitchFamily="18" charset="0"/>
              <a:cs typeface="Times New Roman" pitchFamily="18" charset="0"/>
            </a:rPr>
            <a:t>темп роста к </a:t>
          </a:r>
        </a:p>
        <a:p xmlns:a="http://schemas.openxmlformats.org/drawingml/2006/main">
          <a:r>
            <a:rPr lang="ru-RU" sz="900" baseline="0">
              <a:latin typeface="Times New Roman" pitchFamily="18" charset="0"/>
              <a:cs typeface="Times New Roman" pitchFamily="18" charset="0"/>
            </a:rPr>
            <a:t>соответствующему</a:t>
          </a:r>
        </a:p>
        <a:p xmlns:a="http://schemas.openxmlformats.org/drawingml/2006/main">
          <a:r>
            <a:rPr lang="ru-RU" sz="900" baseline="0">
              <a:latin typeface="Times New Roman" pitchFamily="18" charset="0"/>
              <a:cs typeface="Times New Roman" pitchFamily="18" charset="0"/>
            </a:rPr>
            <a:t> периоду прошлого года,%</a:t>
          </a:r>
          <a:endParaRPr lang="ru-RU" sz="9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cdr:x>
      <cdr:y>0</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flipV="1">
          <a:off x="-1083733" y="-2125133"/>
          <a:ext cx="0" cy="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0.9359</cdr:y>
    </cdr:from>
    <cdr:to>
      <cdr:x>0.79331</cdr:x>
      <cdr:y>0.98113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834793"/>
          <a:ext cx="4972050" cy="137007"/>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cdr:x>
      <cdr:y>0</cdr:y>
    </cdr:to>
    <cdr:pic>
      <cdr:nvPicPr>
        <cdr:cNvPr id="1025"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bwMode="auto">
        <a:xfrm xmlns:a="http://schemas.openxmlformats.org/drawingml/2006/main">
          <a:off x="-1032750" y="-2645855"/>
          <a:ext cx="0" cy="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0.01565</cdr:x>
      <cdr:y>0.21294</cdr:y>
    </cdr:from>
    <cdr:to>
      <cdr:x>0.26858</cdr:x>
      <cdr:y>0.60647</cdr:y>
    </cdr:to>
    <cdr:sp macro="" textlink="">
      <cdr:nvSpPr>
        <cdr:cNvPr id="3" name="TextBox 2"/>
        <cdr:cNvSpPr txBox="1"/>
      </cdr:nvSpPr>
      <cdr:spPr>
        <a:xfrm xmlns:a="http://schemas.openxmlformats.org/drawingml/2006/main">
          <a:off x="91440" y="601980"/>
          <a:ext cx="1478280" cy="11125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0.1043</cdr:x>
      <cdr:y>0.2938</cdr:y>
    </cdr:from>
    <cdr:to>
      <cdr:x>0.26076</cdr:x>
      <cdr:y>0.61725</cdr:y>
    </cdr:to>
    <cdr:sp macro="" textlink="">
      <cdr:nvSpPr>
        <cdr:cNvPr id="4" name="TextBox 3"/>
        <cdr:cNvSpPr txBox="1"/>
      </cdr:nvSpPr>
      <cdr:spPr>
        <a:xfrm xmlns:a="http://schemas.openxmlformats.org/drawingml/2006/main">
          <a:off x="609600" y="83058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0.05863</cdr:x>
      <cdr:y>0.42625</cdr:y>
    </cdr:from>
    <cdr:to>
      <cdr:x>0.25928</cdr:x>
      <cdr:y>0.65174</cdr:y>
    </cdr:to>
    <cdr:sp macro="" textlink="">
      <cdr:nvSpPr>
        <cdr:cNvPr id="5" name="TextBox 4"/>
        <cdr:cNvSpPr txBox="1"/>
      </cdr:nvSpPr>
      <cdr:spPr>
        <a:xfrm xmlns:a="http://schemas.openxmlformats.org/drawingml/2006/main">
          <a:off x="342900" y="1051560"/>
          <a:ext cx="1173479" cy="5562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900">
              <a:latin typeface="Times New Roman" pitchFamily="18" charset="0"/>
              <a:cs typeface="Times New Roman" pitchFamily="18" charset="0"/>
            </a:rPr>
            <a:t>*- темп роста к</a:t>
          </a:r>
        </a:p>
        <a:p xmlns:a="http://schemas.openxmlformats.org/drawingml/2006/main">
          <a:pPr algn="ctr"/>
          <a:r>
            <a:rPr lang="ru-RU" sz="900">
              <a:latin typeface="Times New Roman" pitchFamily="18" charset="0"/>
              <a:cs typeface="Times New Roman" pitchFamily="18" charset="0"/>
            </a:rPr>
            <a:t> приведен к уточненным </a:t>
          </a:r>
        </a:p>
        <a:p xmlns:a="http://schemas.openxmlformats.org/drawingml/2006/main">
          <a:pPr algn="ctr"/>
          <a:r>
            <a:rPr lang="ru-RU" sz="900">
              <a:latin typeface="Times New Roman" pitchFamily="18" charset="0"/>
              <a:cs typeface="Times New Roman" pitchFamily="18" charset="0"/>
            </a:rPr>
            <a:t>данным ГСС ПМР, %</a:t>
          </a:r>
        </a:p>
      </cdr:txBody>
    </cdr:sp>
  </cdr:relSizeAnchor>
</c:userShapes>
</file>

<file path=word/drawings/drawing5.xml><?xml version="1.0" encoding="utf-8"?>
<c:userShapes xmlns:c="http://schemas.openxmlformats.org/drawingml/2006/chart">
  <cdr:relSizeAnchor xmlns:cdr="http://schemas.openxmlformats.org/drawingml/2006/chartDrawing">
    <cdr:from>
      <cdr:x>0.12296</cdr:x>
      <cdr:y>0.18112</cdr:y>
    </cdr:from>
    <cdr:to>
      <cdr:x>0.30615</cdr:x>
      <cdr:y>0.34242</cdr:y>
    </cdr:to>
    <cdr:sp macro="" textlink="">
      <cdr:nvSpPr>
        <cdr:cNvPr id="2" name="TextBox 1"/>
        <cdr:cNvSpPr txBox="1"/>
      </cdr:nvSpPr>
      <cdr:spPr>
        <a:xfrm xmlns:a="http://schemas.openxmlformats.org/drawingml/2006/main">
          <a:off x="746753" y="455444"/>
          <a:ext cx="1112539" cy="40561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0.13854</cdr:x>
      <cdr:y>0.23188</cdr:y>
    </cdr:from>
    <cdr:to>
      <cdr:x>0.29888</cdr:x>
      <cdr:y>0.40303</cdr:y>
    </cdr:to>
    <cdr:sp macro="" textlink="">
      <cdr:nvSpPr>
        <cdr:cNvPr id="3" name="TextBox 2"/>
        <cdr:cNvSpPr txBox="1"/>
      </cdr:nvSpPr>
      <cdr:spPr>
        <a:xfrm xmlns:a="http://schemas.openxmlformats.org/drawingml/2006/main">
          <a:off x="841373" y="583085"/>
          <a:ext cx="973767" cy="430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Times New Roman" pitchFamily="18" charset="0"/>
              <a:cs typeface="Times New Roman" pitchFamily="18" charset="0"/>
            </a:rPr>
            <a:t>*-темп роста</a:t>
          </a:r>
        </a:p>
        <a:p xmlns:a="http://schemas.openxmlformats.org/drawingml/2006/main">
          <a:r>
            <a:rPr lang="ru-RU" sz="900">
              <a:latin typeface="Times New Roman" pitchFamily="18" charset="0"/>
              <a:cs typeface="Times New Roman" pitchFamily="18" charset="0"/>
            </a:rPr>
            <a:t> к 2015 году,%</a:t>
          </a:r>
        </a:p>
      </cdr:txBody>
    </cdr:sp>
  </cdr:relSizeAnchor>
</c:userShapes>
</file>

<file path=word/drawings/drawing6.xml><?xml version="1.0" encoding="utf-8"?>
<c:userShapes xmlns:c="http://schemas.openxmlformats.org/drawingml/2006/chart">
  <cdr:relSizeAnchor xmlns:cdr="http://schemas.openxmlformats.org/drawingml/2006/chartDrawing">
    <cdr:from>
      <cdr:x>0.03138</cdr:x>
      <cdr:y>0.42014</cdr:y>
    </cdr:from>
    <cdr:to>
      <cdr:x>0.2359</cdr:x>
      <cdr:y>0.61806</cdr:y>
    </cdr:to>
    <cdr:sp macro="" textlink="">
      <cdr:nvSpPr>
        <cdr:cNvPr id="2" name="TextBox 1"/>
        <cdr:cNvSpPr txBox="1"/>
      </cdr:nvSpPr>
      <cdr:spPr>
        <a:xfrm xmlns:a="http://schemas.openxmlformats.org/drawingml/2006/main">
          <a:off x="186510" y="1152525"/>
          <a:ext cx="1215585" cy="5429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950" b="0">
              <a:latin typeface="Times New Roman" pitchFamily="18" charset="0"/>
              <a:cs typeface="Times New Roman" pitchFamily="18" charset="0"/>
            </a:rPr>
            <a:t>*- Удельный вес в общем объеме инвестиций, %</a:t>
          </a:r>
        </a:p>
      </cdr:txBody>
    </cdr:sp>
  </cdr:relSizeAnchor>
</c:userShapes>
</file>

<file path=word/drawings/drawing7.xml><?xml version="1.0" encoding="utf-8"?>
<c:userShapes xmlns:c="http://schemas.openxmlformats.org/drawingml/2006/chart">
  <cdr:relSizeAnchor xmlns:cdr="http://schemas.openxmlformats.org/drawingml/2006/chartDrawing">
    <cdr:from>
      <cdr:x>0.02437</cdr:x>
      <cdr:y>0.59574</cdr:y>
    </cdr:from>
    <cdr:to>
      <cdr:x>0.24231</cdr:x>
      <cdr:y>0.80053</cdr:y>
    </cdr:to>
    <cdr:sp macro="" textlink="">
      <cdr:nvSpPr>
        <cdr:cNvPr id="2" name="TextBox 1"/>
        <cdr:cNvSpPr txBox="1"/>
      </cdr:nvSpPr>
      <cdr:spPr>
        <a:xfrm xmlns:a="http://schemas.openxmlformats.org/drawingml/2006/main">
          <a:off x="144846" y="1706880"/>
          <a:ext cx="1295348" cy="58673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950" b="0">
              <a:latin typeface="Times New Roman" pitchFamily="18" charset="0"/>
              <a:cs typeface="Times New Roman" pitchFamily="18" charset="0"/>
            </a:rPr>
            <a:t>*- Удельный вес в общем объеме инвестиций, %</a:t>
          </a:r>
        </a:p>
      </cdr:txBody>
    </cdr:sp>
  </cdr:relSizeAnchor>
</c:userShapes>
</file>

<file path=word/drawings/drawing8.xml><?xml version="1.0" encoding="utf-8"?>
<c:userShapes xmlns:c="http://schemas.openxmlformats.org/drawingml/2006/chart">
  <cdr:relSizeAnchor xmlns:cdr="http://schemas.openxmlformats.org/drawingml/2006/chartDrawing">
    <cdr:from>
      <cdr:x>0.13389</cdr:x>
      <cdr:y>0.43506</cdr:y>
    </cdr:from>
    <cdr:to>
      <cdr:x>0.26778</cdr:x>
      <cdr:y>0.74675</cdr:y>
    </cdr:to>
    <cdr:sp macro="" textlink="">
      <cdr:nvSpPr>
        <cdr:cNvPr id="2" name="TextBox 1"/>
        <cdr:cNvSpPr txBox="1"/>
      </cdr:nvSpPr>
      <cdr:spPr>
        <a:xfrm xmlns:a="http://schemas.openxmlformats.org/drawingml/2006/main">
          <a:off x="914400" y="12763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0.06506</cdr:x>
      <cdr:y>0.22117</cdr:y>
    </cdr:from>
    <cdr:to>
      <cdr:x>0.22305</cdr:x>
      <cdr:y>0.51987</cdr:y>
    </cdr:to>
    <cdr:sp macro="" textlink="">
      <cdr:nvSpPr>
        <cdr:cNvPr id="3" name="TextBox 2"/>
        <cdr:cNvSpPr txBox="1"/>
      </cdr:nvSpPr>
      <cdr:spPr>
        <a:xfrm xmlns:a="http://schemas.openxmlformats.org/drawingml/2006/main">
          <a:off x="398447" y="545631"/>
          <a:ext cx="967621" cy="73688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0" i="0">
              <a:latin typeface="Times New Roman" pitchFamily="18" charset="0"/>
              <a:cs typeface="Times New Roman" pitchFamily="18" charset="0"/>
            </a:rPr>
            <a:t>*- Удельный вес в общем объеме</a:t>
          </a:r>
          <a:r>
            <a:rPr lang="ru-RU" sz="1000" b="0" i="0" baseline="0">
              <a:latin typeface="Times New Roman" pitchFamily="18" charset="0"/>
              <a:cs typeface="Times New Roman" pitchFamily="18" charset="0"/>
            </a:rPr>
            <a:t> </a:t>
          </a:r>
          <a:r>
            <a:rPr lang="ru-RU" sz="1000" b="0" i="0">
              <a:latin typeface="Times New Roman" pitchFamily="18" charset="0"/>
              <a:cs typeface="Times New Roman" pitchFamily="18" charset="0"/>
            </a:rPr>
            <a:t> доходов, %</a:t>
          </a:r>
        </a:p>
      </cdr:txBody>
    </cdr:sp>
  </cdr:relSizeAnchor>
  <cdr:relSizeAnchor xmlns:cdr="http://schemas.openxmlformats.org/drawingml/2006/chartDrawing">
    <cdr:from>
      <cdr:x>0.48614</cdr:x>
      <cdr:y>0.53329</cdr:y>
    </cdr:from>
    <cdr:to>
      <cdr:x>0.56988</cdr:x>
      <cdr:y>0.59459</cdr:y>
    </cdr:to>
    <cdr:sp macro="" textlink="">
      <cdr:nvSpPr>
        <cdr:cNvPr id="4" name="TextBox 3"/>
        <cdr:cNvSpPr txBox="1"/>
      </cdr:nvSpPr>
      <cdr:spPr>
        <a:xfrm xmlns:a="http://schemas.openxmlformats.org/drawingml/2006/main">
          <a:off x="2977401" y="1315613"/>
          <a:ext cx="512872" cy="15123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0" i="0">
              <a:latin typeface="Times New Roman" pitchFamily="18" charset="0"/>
              <a:cs typeface="Times New Roman" pitchFamily="18" charset="0"/>
            </a:rPr>
            <a:t>*24,2</a:t>
          </a:r>
        </a:p>
      </cdr:txBody>
    </cdr:sp>
  </cdr:relSizeAnchor>
  <cdr:relSizeAnchor xmlns:cdr="http://schemas.openxmlformats.org/drawingml/2006/chartDrawing">
    <cdr:from>
      <cdr:x>0.4863</cdr:x>
      <cdr:y>0.41729</cdr:y>
    </cdr:from>
    <cdr:to>
      <cdr:x>0.56579</cdr:x>
      <cdr:y>0.50529</cdr:y>
    </cdr:to>
    <cdr:sp macro="" textlink="">
      <cdr:nvSpPr>
        <cdr:cNvPr id="5" name="TextBox 4"/>
        <cdr:cNvSpPr txBox="1"/>
      </cdr:nvSpPr>
      <cdr:spPr>
        <a:xfrm xmlns:a="http://schemas.openxmlformats.org/drawingml/2006/main">
          <a:off x="3413763" y="1196379"/>
          <a:ext cx="558069" cy="25229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0">
              <a:latin typeface="Times New Roman" pitchFamily="18" charset="0"/>
              <a:cs typeface="Times New Roman" pitchFamily="18" charset="0"/>
            </a:rPr>
            <a:t>*37,1</a:t>
          </a:r>
        </a:p>
      </cdr:txBody>
    </cdr:sp>
  </cdr:relSizeAnchor>
  <cdr:relSizeAnchor xmlns:cdr="http://schemas.openxmlformats.org/drawingml/2006/chartDrawing">
    <cdr:from>
      <cdr:x>0.47838</cdr:x>
      <cdr:y>0.284</cdr:y>
    </cdr:from>
    <cdr:to>
      <cdr:x>0.55091</cdr:x>
      <cdr:y>0.376</cdr:y>
    </cdr:to>
    <cdr:sp macro="" textlink="">
      <cdr:nvSpPr>
        <cdr:cNvPr id="6" name="TextBox 5"/>
        <cdr:cNvSpPr txBox="1"/>
      </cdr:nvSpPr>
      <cdr:spPr>
        <a:xfrm xmlns:a="http://schemas.openxmlformats.org/drawingml/2006/main">
          <a:off x="3267075" y="676275"/>
          <a:ext cx="495300" cy="2190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0.4849</cdr:x>
      <cdr:y>0.30529</cdr:y>
    </cdr:from>
    <cdr:to>
      <cdr:x>0.56998</cdr:x>
      <cdr:y>0.39729</cdr:y>
    </cdr:to>
    <cdr:sp macro="" textlink="">
      <cdr:nvSpPr>
        <cdr:cNvPr id="7" name="TextBox 6"/>
        <cdr:cNvSpPr txBox="1"/>
      </cdr:nvSpPr>
      <cdr:spPr>
        <a:xfrm xmlns:a="http://schemas.openxmlformats.org/drawingml/2006/main">
          <a:off x="3403972" y="875271"/>
          <a:ext cx="597232" cy="26376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0">
              <a:latin typeface="Times New Roman" pitchFamily="18" charset="0"/>
              <a:cs typeface="Times New Roman" pitchFamily="18" charset="0"/>
            </a:rPr>
            <a:t>*26,0</a:t>
          </a:r>
        </a:p>
      </cdr:txBody>
    </cdr:sp>
  </cdr:relSizeAnchor>
  <cdr:relSizeAnchor xmlns:cdr="http://schemas.openxmlformats.org/drawingml/2006/chartDrawing">
    <cdr:from>
      <cdr:x>0.48909</cdr:x>
      <cdr:y>0.22222</cdr:y>
    </cdr:from>
    <cdr:to>
      <cdr:x>0.55767</cdr:x>
      <cdr:y>0.33397</cdr:y>
    </cdr:to>
    <cdr:sp macro="" textlink="">
      <cdr:nvSpPr>
        <cdr:cNvPr id="8" name="TextBox 7"/>
        <cdr:cNvSpPr txBox="1"/>
      </cdr:nvSpPr>
      <cdr:spPr>
        <a:xfrm xmlns:a="http://schemas.openxmlformats.org/drawingml/2006/main">
          <a:off x="3433376" y="666750"/>
          <a:ext cx="481400" cy="33528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0">
              <a:latin typeface="Times New Roman" pitchFamily="18" charset="0"/>
              <a:cs typeface="Times New Roman" pitchFamily="18" charset="0"/>
            </a:rPr>
            <a:t>*8,6</a:t>
          </a:r>
        </a:p>
      </cdr:txBody>
    </cdr:sp>
  </cdr:relSizeAnchor>
  <cdr:relSizeAnchor xmlns:cdr="http://schemas.openxmlformats.org/drawingml/2006/chartDrawing">
    <cdr:from>
      <cdr:x>0.48773</cdr:x>
      <cdr:y>0.16362</cdr:y>
    </cdr:from>
    <cdr:to>
      <cdr:x>0.55747</cdr:x>
      <cdr:y>0.25962</cdr:y>
    </cdr:to>
    <cdr:sp macro="" textlink="">
      <cdr:nvSpPr>
        <cdr:cNvPr id="9" name="TextBox 8"/>
        <cdr:cNvSpPr txBox="1"/>
      </cdr:nvSpPr>
      <cdr:spPr>
        <a:xfrm xmlns:a="http://schemas.openxmlformats.org/drawingml/2006/main">
          <a:off x="3423802" y="490924"/>
          <a:ext cx="489570" cy="28803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0">
              <a:latin typeface="Times New Roman" pitchFamily="18" charset="0"/>
              <a:cs typeface="Times New Roman" pitchFamily="18" charset="0"/>
            </a:rPr>
            <a:t>*3,8</a:t>
          </a:r>
        </a:p>
      </cdr:txBody>
    </cdr:sp>
  </cdr:relSizeAnchor>
  <cdr:relSizeAnchor xmlns:cdr="http://schemas.openxmlformats.org/drawingml/2006/chartDrawing">
    <cdr:from>
      <cdr:x>0.78697</cdr:x>
      <cdr:y>0.53488</cdr:y>
    </cdr:from>
    <cdr:to>
      <cdr:x>0.86936</cdr:x>
      <cdr:y>0.62162</cdr:y>
    </cdr:to>
    <cdr:sp macro="" textlink="">
      <cdr:nvSpPr>
        <cdr:cNvPr id="10" name="TextBox 9"/>
        <cdr:cNvSpPr txBox="1"/>
      </cdr:nvSpPr>
      <cdr:spPr>
        <a:xfrm xmlns:a="http://schemas.openxmlformats.org/drawingml/2006/main">
          <a:off x="4819857" y="1319535"/>
          <a:ext cx="504618" cy="21398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*22,8</a:t>
          </a:r>
        </a:p>
      </cdr:txBody>
    </cdr:sp>
  </cdr:relSizeAnchor>
  <cdr:relSizeAnchor xmlns:cdr="http://schemas.openxmlformats.org/drawingml/2006/chartDrawing">
    <cdr:from>
      <cdr:x>0.78562</cdr:x>
      <cdr:y>0.43522</cdr:y>
    </cdr:from>
    <cdr:to>
      <cdr:x>0.87246</cdr:x>
      <cdr:y>0.51827</cdr:y>
    </cdr:to>
    <cdr:sp macro="" textlink="">
      <cdr:nvSpPr>
        <cdr:cNvPr id="11" name="TextBox 10"/>
        <cdr:cNvSpPr txBox="1"/>
      </cdr:nvSpPr>
      <cdr:spPr>
        <a:xfrm xmlns:a="http://schemas.openxmlformats.org/drawingml/2006/main">
          <a:off x="5514975" y="1247775"/>
          <a:ext cx="609600"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*37,3</a:t>
          </a:r>
        </a:p>
      </cdr:txBody>
    </cdr:sp>
  </cdr:relSizeAnchor>
  <cdr:relSizeAnchor xmlns:cdr="http://schemas.openxmlformats.org/drawingml/2006/chartDrawing">
    <cdr:from>
      <cdr:x>0.78969</cdr:x>
      <cdr:y>0.32226</cdr:y>
    </cdr:from>
    <cdr:to>
      <cdr:x>0.86703</cdr:x>
      <cdr:y>0.39203</cdr:y>
    </cdr:to>
    <cdr:sp macro="" textlink="">
      <cdr:nvSpPr>
        <cdr:cNvPr id="12" name="TextBox 11"/>
        <cdr:cNvSpPr txBox="1"/>
      </cdr:nvSpPr>
      <cdr:spPr>
        <a:xfrm xmlns:a="http://schemas.openxmlformats.org/drawingml/2006/main">
          <a:off x="5543550" y="923925"/>
          <a:ext cx="542925"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*26,6</a:t>
          </a:r>
        </a:p>
      </cdr:txBody>
    </cdr:sp>
  </cdr:relSizeAnchor>
  <cdr:relSizeAnchor xmlns:cdr="http://schemas.openxmlformats.org/drawingml/2006/chartDrawing">
    <cdr:from>
      <cdr:x>0.79104</cdr:x>
      <cdr:y>0.24252</cdr:y>
    </cdr:from>
    <cdr:to>
      <cdr:x>0.8616</cdr:x>
      <cdr:y>0.32226</cdr:y>
    </cdr:to>
    <cdr:sp macro="" textlink="">
      <cdr:nvSpPr>
        <cdr:cNvPr id="13" name="TextBox 12"/>
        <cdr:cNvSpPr txBox="1"/>
      </cdr:nvSpPr>
      <cdr:spPr>
        <a:xfrm xmlns:a="http://schemas.openxmlformats.org/drawingml/2006/main">
          <a:off x="5553074" y="695324"/>
          <a:ext cx="495301" cy="22860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*8,9</a:t>
          </a:r>
        </a:p>
      </cdr:txBody>
    </cdr:sp>
  </cdr:relSizeAnchor>
  <cdr:relSizeAnchor xmlns:cdr="http://schemas.openxmlformats.org/drawingml/2006/chartDrawing">
    <cdr:from>
      <cdr:x>0.78833</cdr:x>
      <cdr:y>0.1797</cdr:y>
    </cdr:from>
    <cdr:to>
      <cdr:x>0.86295</cdr:x>
      <cdr:y>0.26608</cdr:y>
    </cdr:to>
    <cdr:sp macro="" textlink="">
      <cdr:nvSpPr>
        <cdr:cNvPr id="14" name="TextBox 13"/>
        <cdr:cNvSpPr txBox="1"/>
      </cdr:nvSpPr>
      <cdr:spPr>
        <a:xfrm xmlns:a="http://schemas.openxmlformats.org/drawingml/2006/main">
          <a:off x="5534040" y="539170"/>
          <a:ext cx="523826" cy="25917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*4,2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FA457-1B2D-4F87-83B6-AC1B1ED92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Pages>
  <Words>27807</Words>
  <Characters>158501</Characters>
  <Application>Microsoft Office Word</Application>
  <DocSecurity>0</DocSecurity>
  <Lines>1320</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185937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podsevalnikova-a</dc:creator>
  <cp:keywords/>
  <dc:description/>
  <cp:lastModifiedBy>podsevalnikova-a</cp:lastModifiedBy>
  <cp:revision>58</cp:revision>
  <cp:lastPrinted>2017-04-10T07:51:00Z</cp:lastPrinted>
  <dcterms:created xsi:type="dcterms:W3CDTF">2017-04-06T08:54:00Z</dcterms:created>
  <dcterms:modified xsi:type="dcterms:W3CDTF">2017-06-06T13:17:00Z</dcterms:modified>
</cp:coreProperties>
</file>