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55.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Default Extension="jpeg" ContentType="image/jpeg"/>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drawings/drawing1.xml" ContentType="application/vnd.openxmlformats-officedocument.drawingml.chartshapes+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drawings/drawing4.xml" ContentType="application/vnd.openxmlformats-officedocument.drawingml.chartshapes+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844" w:rsidRDefault="00335844" w:rsidP="00335844">
      <w:pPr>
        <w:spacing w:after="0" w:line="240" w:lineRule="auto"/>
        <w:ind w:firstLine="851"/>
        <w:jc w:val="both"/>
        <w:rPr>
          <w:rFonts w:ascii="Times New Roman" w:hAnsi="Times New Roman"/>
          <w:b/>
          <w:sz w:val="28"/>
          <w:szCs w:val="28"/>
        </w:rPr>
      </w:pPr>
    </w:p>
    <w:p w:rsidR="00335844" w:rsidRPr="00A05477" w:rsidRDefault="00335844" w:rsidP="00335844">
      <w:pPr>
        <w:spacing w:after="0" w:line="240" w:lineRule="auto"/>
        <w:ind w:firstLine="851"/>
        <w:jc w:val="both"/>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r w:rsidRPr="0080737A">
        <w:rPr>
          <w:rFonts w:ascii="Times New Roman" w:hAnsi="Times New Roman"/>
          <w:b/>
          <w:bCs/>
          <w:sz w:val="28"/>
          <w:szCs w:val="28"/>
        </w:rPr>
        <w:t>МИНИСТЕРСТВО ЭКОНОМИЧЕСКОГО РАЗВИТИЯ</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bCs/>
          <w:sz w:val="28"/>
          <w:szCs w:val="28"/>
        </w:rPr>
        <w:t>ПРИДНЕСТРОВСКОЙ МОЛДАВСКОЙ РЕСПУБЛИКИ</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4"/>
          <w:szCs w:val="44"/>
        </w:rPr>
      </w:pPr>
      <w:r w:rsidRPr="0080737A">
        <w:rPr>
          <w:rFonts w:ascii="Times New Roman" w:hAnsi="Times New Roman"/>
          <w:b/>
          <w:bCs/>
          <w:sz w:val="44"/>
          <w:szCs w:val="44"/>
        </w:rPr>
        <w:t>ДОКЛАД</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«О социально-экономическом развитии</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Приднестровской Молдавской Республики в январе</w:t>
      </w:r>
      <w:r w:rsidR="00D34FAD">
        <w:rPr>
          <w:rFonts w:ascii="Times New Roman" w:hAnsi="Times New Roman"/>
          <w:b/>
          <w:bCs/>
          <w:sz w:val="48"/>
          <w:szCs w:val="48"/>
        </w:rPr>
        <w:t xml:space="preserve"> </w:t>
      </w:r>
      <w:r w:rsidRPr="0080737A">
        <w:rPr>
          <w:rFonts w:ascii="Times New Roman" w:hAnsi="Times New Roman"/>
          <w:b/>
          <w:bCs/>
          <w:sz w:val="48"/>
          <w:szCs w:val="48"/>
        </w:rPr>
        <w:t>–</w:t>
      </w:r>
      <w:r w:rsidR="00D34FAD">
        <w:rPr>
          <w:rFonts w:ascii="Times New Roman" w:hAnsi="Times New Roman"/>
          <w:b/>
          <w:bCs/>
          <w:sz w:val="48"/>
          <w:szCs w:val="48"/>
        </w:rPr>
        <w:t xml:space="preserve"> </w:t>
      </w:r>
      <w:r w:rsidRPr="0080737A">
        <w:rPr>
          <w:rFonts w:ascii="Times New Roman" w:hAnsi="Times New Roman"/>
          <w:b/>
          <w:bCs/>
          <w:sz w:val="48"/>
          <w:szCs w:val="48"/>
        </w:rPr>
        <w:t>июне 201</w:t>
      </w:r>
      <w:r w:rsidR="005C20B9" w:rsidRPr="0080737A">
        <w:rPr>
          <w:rFonts w:ascii="Times New Roman" w:hAnsi="Times New Roman"/>
          <w:b/>
          <w:bCs/>
          <w:sz w:val="48"/>
          <w:szCs w:val="48"/>
        </w:rPr>
        <w:t>6</w:t>
      </w:r>
      <w:r w:rsidRPr="0080737A">
        <w:rPr>
          <w:rFonts w:ascii="Times New Roman" w:hAnsi="Times New Roman"/>
          <w:b/>
          <w:bCs/>
          <w:sz w:val="48"/>
          <w:szCs w:val="48"/>
        </w:rPr>
        <w:t xml:space="preserve"> года»</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г. Тирасполь</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201</w:t>
      </w:r>
      <w:r w:rsidR="005C20B9" w:rsidRPr="0080737A">
        <w:rPr>
          <w:rFonts w:ascii="Times New Roman" w:hAnsi="Times New Roman"/>
          <w:b/>
          <w:sz w:val="28"/>
          <w:szCs w:val="28"/>
        </w:rPr>
        <w:t>6</w:t>
      </w:r>
      <w:r w:rsidRPr="0080737A">
        <w:rPr>
          <w:rFonts w:ascii="Times New Roman" w:hAnsi="Times New Roman"/>
          <w:b/>
          <w:sz w:val="28"/>
          <w:szCs w:val="28"/>
        </w:rPr>
        <w:t xml:space="preserve"> год</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r w:rsidRPr="0080737A">
        <w:rPr>
          <w:rFonts w:ascii="Times New Roman" w:hAnsi="Times New Roman"/>
          <w:b/>
          <w:sz w:val="24"/>
          <w:szCs w:val="24"/>
        </w:rPr>
        <w:t>Содержание</w:t>
      </w:r>
    </w:p>
    <w:p w:rsidR="00335844" w:rsidRPr="0080737A" w:rsidRDefault="00335844" w:rsidP="00335844">
      <w:pPr>
        <w:spacing w:after="0" w:line="240" w:lineRule="auto"/>
        <w:ind w:firstLine="851"/>
        <w:jc w:val="both"/>
        <w:rPr>
          <w:rFonts w:ascii="Times New Roman" w:hAnsi="Times New Roman"/>
          <w:b/>
          <w:sz w:val="24"/>
          <w:szCs w:val="24"/>
        </w:rPr>
      </w:pPr>
    </w:p>
    <w:p w:rsidR="00335844" w:rsidRPr="0080737A" w:rsidRDefault="00335844" w:rsidP="00335844">
      <w:pPr>
        <w:spacing w:after="0" w:line="240" w:lineRule="auto"/>
        <w:ind w:firstLine="851"/>
        <w:jc w:val="both"/>
        <w:rPr>
          <w:rFonts w:ascii="Times New Roman" w:hAnsi="Times New Roman"/>
          <w:b/>
          <w:sz w:val="24"/>
          <w:szCs w:val="24"/>
        </w:rPr>
      </w:pPr>
    </w:p>
    <w:p w:rsidR="00335844" w:rsidRPr="0080737A" w:rsidRDefault="00335844" w:rsidP="00335844">
      <w:pPr>
        <w:spacing w:after="0" w:line="240" w:lineRule="auto"/>
        <w:ind w:firstLine="851"/>
        <w:jc w:val="both"/>
        <w:rPr>
          <w:rFonts w:ascii="Times New Roman" w:hAnsi="Times New Roman"/>
          <w:b/>
          <w:sz w:val="24"/>
          <w:szCs w:val="24"/>
        </w:rPr>
      </w:pPr>
    </w:p>
    <w:p w:rsidR="00335844" w:rsidRPr="0080737A" w:rsidRDefault="00335844" w:rsidP="00335844">
      <w:pPr>
        <w:spacing w:after="0" w:line="240" w:lineRule="auto"/>
        <w:ind w:firstLine="851"/>
        <w:jc w:val="both"/>
        <w:rPr>
          <w:rFonts w:ascii="Times New Roman" w:hAnsi="Times New Roman"/>
          <w:b/>
          <w:sz w:val="24"/>
          <w:szCs w:val="24"/>
        </w:rPr>
      </w:pPr>
    </w:p>
    <w:tbl>
      <w:tblPr>
        <w:tblW w:w="9434" w:type="dxa"/>
        <w:tblLook w:val="01E0"/>
      </w:tblPr>
      <w:tblGrid>
        <w:gridCol w:w="8798"/>
        <w:gridCol w:w="636"/>
      </w:tblGrid>
      <w:tr w:rsidR="00335844" w:rsidRPr="0080737A" w:rsidTr="003F67B2">
        <w:tc>
          <w:tcPr>
            <w:tcW w:w="8798" w:type="dxa"/>
          </w:tcPr>
          <w:p w:rsidR="00335844" w:rsidRPr="0080737A" w:rsidRDefault="00335844" w:rsidP="000A1502">
            <w:pPr>
              <w:spacing w:before="100" w:beforeAutospacing="1" w:after="0" w:afterAutospacing="1" w:line="240" w:lineRule="auto"/>
              <w:jc w:val="both"/>
              <w:rPr>
                <w:rFonts w:ascii="Times New Roman" w:hAnsi="Times New Roman"/>
                <w:b/>
                <w:sz w:val="24"/>
                <w:szCs w:val="24"/>
              </w:rPr>
            </w:pPr>
            <w:r w:rsidRPr="0080737A">
              <w:rPr>
                <w:rFonts w:ascii="Times New Roman" w:hAnsi="Times New Roman"/>
                <w:b/>
                <w:sz w:val="24"/>
                <w:szCs w:val="24"/>
              </w:rPr>
              <w:t xml:space="preserve">Основные тенденции развития экономики Приднестровской Молдавской Республики в январе – </w:t>
            </w:r>
            <w:r w:rsidR="000A1502" w:rsidRPr="0080737A">
              <w:rPr>
                <w:rFonts w:ascii="Times New Roman" w:hAnsi="Times New Roman"/>
                <w:b/>
                <w:sz w:val="24"/>
                <w:szCs w:val="24"/>
              </w:rPr>
              <w:t>июне</w:t>
            </w:r>
            <w:r w:rsidR="00D34FAD">
              <w:rPr>
                <w:rFonts w:ascii="Times New Roman" w:hAnsi="Times New Roman"/>
                <w:b/>
                <w:sz w:val="24"/>
                <w:szCs w:val="24"/>
              </w:rPr>
              <w:t xml:space="preserve"> </w:t>
            </w:r>
            <w:r w:rsidRPr="0080737A">
              <w:rPr>
                <w:rFonts w:ascii="Times New Roman" w:hAnsi="Times New Roman"/>
                <w:b/>
                <w:sz w:val="24"/>
                <w:szCs w:val="24"/>
              </w:rPr>
              <w:t>201</w:t>
            </w:r>
            <w:r w:rsidR="000A1502" w:rsidRPr="0080737A">
              <w:rPr>
                <w:rFonts w:ascii="Times New Roman" w:hAnsi="Times New Roman"/>
                <w:b/>
                <w:sz w:val="24"/>
                <w:szCs w:val="24"/>
              </w:rPr>
              <w:t>6</w:t>
            </w:r>
            <w:r w:rsidRPr="0080737A">
              <w:rPr>
                <w:rFonts w:ascii="Times New Roman" w:hAnsi="Times New Roman"/>
                <w:b/>
                <w:sz w:val="24"/>
                <w:szCs w:val="24"/>
              </w:rPr>
              <w:t xml:space="preserve"> года</w:t>
            </w:r>
          </w:p>
        </w:tc>
        <w:tc>
          <w:tcPr>
            <w:tcW w:w="636" w:type="dxa"/>
            <w:vAlign w:val="bottom"/>
          </w:tcPr>
          <w:p w:rsidR="00335844" w:rsidRPr="0080737A" w:rsidRDefault="00335844" w:rsidP="00E26FAD">
            <w:pPr>
              <w:spacing w:before="100" w:beforeAutospacing="1" w:after="0" w:afterAutospacing="1" w:line="240" w:lineRule="auto"/>
              <w:rPr>
                <w:rFonts w:ascii="Times New Roman" w:hAnsi="Times New Roman"/>
                <w:b/>
                <w:sz w:val="24"/>
                <w:szCs w:val="24"/>
              </w:rPr>
            </w:pPr>
            <w:r w:rsidRPr="0080737A">
              <w:rPr>
                <w:rFonts w:ascii="Times New Roman" w:hAnsi="Times New Roman"/>
                <w:b/>
                <w:sz w:val="24"/>
                <w:szCs w:val="24"/>
              </w:rPr>
              <w:t>3</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Объем и структура ВВП……………………………………………………</w:t>
            </w:r>
          </w:p>
        </w:tc>
        <w:tc>
          <w:tcPr>
            <w:tcW w:w="636" w:type="dxa"/>
          </w:tcPr>
          <w:p w:rsidR="00335844" w:rsidRPr="0080737A" w:rsidRDefault="00335844" w:rsidP="005C2655">
            <w:pPr>
              <w:spacing w:before="100" w:beforeAutospacing="1" w:after="100" w:afterAutospacing="1" w:line="240" w:lineRule="auto"/>
              <w:rPr>
                <w:rFonts w:ascii="Times New Roman" w:hAnsi="Times New Roman"/>
                <w:sz w:val="24"/>
                <w:szCs w:val="24"/>
              </w:rPr>
            </w:pPr>
            <w:r w:rsidRPr="0080737A">
              <w:rPr>
                <w:rFonts w:ascii="Times New Roman" w:hAnsi="Times New Roman"/>
                <w:sz w:val="24"/>
                <w:szCs w:val="24"/>
              </w:rPr>
              <w:t>1</w:t>
            </w:r>
            <w:r w:rsidR="005C2655" w:rsidRPr="0080737A">
              <w:rPr>
                <w:rFonts w:ascii="Times New Roman" w:hAnsi="Times New Roman"/>
                <w:sz w:val="24"/>
                <w:szCs w:val="24"/>
              </w:rPr>
              <w:t>3</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Денежно-кредитная политика……………………………………………..</w:t>
            </w:r>
          </w:p>
        </w:tc>
        <w:tc>
          <w:tcPr>
            <w:tcW w:w="636" w:type="dxa"/>
          </w:tcPr>
          <w:p w:rsidR="00335844" w:rsidRPr="0080737A" w:rsidRDefault="00335844" w:rsidP="005C2655">
            <w:pPr>
              <w:spacing w:before="100" w:beforeAutospacing="1" w:after="0" w:afterAutospacing="1" w:line="240" w:lineRule="auto"/>
              <w:rPr>
                <w:rFonts w:ascii="Times New Roman" w:hAnsi="Times New Roman"/>
                <w:sz w:val="24"/>
                <w:szCs w:val="24"/>
              </w:rPr>
            </w:pPr>
            <w:r w:rsidRPr="0080737A">
              <w:rPr>
                <w:rFonts w:ascii="Times New Roman" w:hAnsi="Times New Roman"/>
                <w:sz w:val="24"/>
                <w:szCs w:val="24"/>
              </w:rPr>
              <w:t>1</w:t>
            </w:r>
            <w:r w:rsidR="005C2655" w:rsidRPr="0080737A">
              <w:rPr>
                <w:rFonts w:ascii="Times New Roman" w:hAnsi="Times New Roman"/>
                <w:sz w:val="24"/>
                <w:szCs w:val="24"/>
              </w:rPr>
              <w:t>7</w:t>
            </w:r>
          </w:p>
        </w:tc>
      </w:tr>
      <w:tr w:rsidR="00335844" w:rsidRPr="0080737A" w:rsidTr="003F67B2">
        <w:tc>
          <w:tcPr>
            <w:tcW w:w="8798" w:type="dxa"/>
          </w:tcPr>
          <w:p w:rsidR="00335844" w:rsidRPr="0080737A"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Исполнение Консолидированного бюджета……………………………...</w:t>
            </w:r>
          </w:p>
        </w:tc>
        <w:tc>
          <w:tcPr>
            <w:tcW w:w="636" w:type="dxa"/>
          </w:tcPr>
          <w:p w:rsidR="00335844" w:rsidRPr="0080737A" w:rsidRDefault="005C2655" w:rsidP="003F67B2">
            <w:pPr>
              <w:spacing w:before="100" w:beforeAutospacing="1" w:after="0" w:afterAutospacing="1" w:line="240" w:lineRule="auto"/>
              <w:rPr>
                <w:rFonts w:ascii="Times New Roman" w:hAnsi="Times New Roman"/>
                <w:sz w:val="24"/>
                <w:szCs w:val="24"/>
              </w:rPr>
            </w:pPr>
            <w:r w:rsidRPr="0080737A">
              <w:rPr>
                <w:rFonts w:ascii="Times New Roman" w:hAnsi="Times New Roman"/>
                <w:sz w:val="24"/>
                <w:szCs w:val="24"/>
              </w:rPr>
              <w:t>20</w:t>
            </w:r>
          </w:p>
        </w:tc>
      </w:tr>
      <w:tr w:rsidR="00335844" w:rsidRPr="0080737A" w:rsidTr="003F67B2">
        <w:tc>
          <w:tcPr>
            <w:tcW w:w="8798" w:type="dxa"/>
          </w:tcPr>
          <w:p w:rsidR="00335844" w:rsidRPr="0080737A"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Внешнеэкономическая деятельность……………………………………...</w:t>
            </w:r>
          </w:p>
        </w:tc>
        <w:tc>
          <w:tcPr>
            <w:tcW w:w="636" w:type="dxa"/>
          </w:tcPr>
          <w:p w:rsidR="00335844" w:rsidRPr="0080737A" w:rsidRDefault="00335844" w:rsidP="005C2655">
            <w:pPr>
              <w:spacing w:before="100" w:beforeAutospacing="1" w:after="0" w:afterAutospacing="1" w:line="240" w:lineRule="auto"/>
              <w:rPr>
                <w:rFonts w:ascii="Times New Roman" w:hAnsi="Times New Roman"/>
                <w:sz w:val="24"/>
                <w:szCs w:val="24"/>
              </w:rPr>
            </w:pPr>
            <w:r w:rsidRPr="0080737A">
              <w:rPr>
                <w:rFonts w:ascii="Times New Roman" w:hAnsi="Times New Roman"/>
                <w:sz w:val="24"/>
                <w:szCs w:val="24"/>
              </w:rPr>
              <w:t>2</w:t>
            </w:r>
            <w:r w:rsidR="005C2655" w:rsidRPr="0080737A">
              <w:rPr>
                <w:rFonts w:ascii="Times New Roman" w:hAnsi="Times New Roman"/>
                <w:sz w:val="24"/>
                <w:szCs w:val="24"/>
              </w:rPr>
              <w:t>6</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r w:rsidRPr="0080737A">
              <w:rPr>
                <w:rFonts w:ascii="Times New Roman" w:hAnsi="Times New Roman"/>
                <w:b/>
                <w:sz w:val="24"/>
                <w:szCs w:val="24"/>
              </w:rPr>
              <w:t>Состояние реального сектора экономики……………………………...</w:t>
            </w:r>
          </w:p>
        </w:tc>
        <w:tc>
          <w:tcPr>
            <w:tcW w:w="636" w:type="dxa"/>
          </w:tcPr>
          <w:p w:rsidR="00335844" w:rsidRPr="0080737A" w:rsidRDefault="00B830EB" w:rsidP="005C2655">
            <w:pPr>
              <w:spacing w:before="100" w:beforeAutospacing="1" w:after="0" w:afterAutospacing="1" w:line="240" w:lineRule="auto"/>
              <w:jc w:val="both"/>
              <w:rPr>
                <w:rFonts w:ascii="Times New Roman" w:hAnsi="Times New Roman"/>
                <w:b/>
                <w:sz w:val="24"/>
                <w:szCs w:val="24"/>
              </w:rPr>
            </w:pPr>
            <w:r w:rsidRPr="0080737A">
              <w:rPr>
                <w:rFonts w:ascii="Times New Roman" w:hAnsi="Times New Roman"/>
                <w:b/>
                <w:sz w:val="24"/>
                <w:szCs w:val="24"/>
              </w:rPr>
              <w:t>2</w:t>
            </w:r>
            <w:r w:rsidR="005C2655" w:rsidRPr="0080737A">
              <w:rPr>
                <w:rFonts w:ascii="Times New Roman" w:hAnsi="Times New Roman"/>
                <w:b/>
                <w:sz w:val="24"/>
                <w:szCs w:val="24"/>
              </w:rPr>
              <w:t>9</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Промышленность……………………………………………………………</w:t>
            </w:r>
          </w:p>
        </w:tc>
        <w:tc>
          <w:tcPr>
            <w:tcW w:w="636" w:type="dxa"/>
          </w:tcPr>
          <w:p w:rsidR="00335844" w:rsidRPr="0080737A" w:rsidRDefault="00B830EB" w:rsidP="005C2655">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2</w:t>
            </w:r>
            <w:r w:rsidR="005C2655" w:rsidRPr="0080737A">
              <w:rPr>
                <w:rFonts w:ascii="Times New Roman" w:hAnsi="Times New Roman"/>
                <w:sz w:val="24"/>
                <w:szCs w:val="24"/>
              </w:rPr>
              <w:t>9</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Агропромышленный комплекс…………………………………………….</w:t>
            </w:r>
          </w:p>
        </w:tc>
        <w:tc>
          <w:tcPr>
            <w:tcW w:w="636" w:type="dxa"/>
          </w:tcPr>
          <w:p w:rsidR="00335844" w:rsidRPr="0080737A" w:rsidRDefault="00335844" w:rsidP="005C2655">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3</w:t>
            </w:r>
            <w:r w:rsidR="005C2655" w:rsidRPr="0080737A">
              <w:rPr>
                <w:rFonts w:ascii="Times New Roman" w:hAnsi="Times New Roman"/>
                <w:sz w:val="24"/>
                <w:szCs w:val="24"/>
              </w:rPr>
              <w:t>4</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Инвестиционная деятельность……………………………………………..</w:t>
            </w:r>
          </w:p>
        </w:tc>
        <w:tc>
          <w:tcPr>
            <w:tcW w:w="636" w:type="dxa"/>
          </w:tcPr>
          <w:p w:rsidR="00335844" w:rsidRPr="0080737A" w:rsidRDefault="00B830EB" w:rsidP="005C2655">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3</w:t>
            </w:r>
            <w:r w:rsidR="005C2655" w:rsidRPr="0080737A">
              <w:rPr>
                <w:rFonts w:ascii="Times New Roman" w:hAnsi="Times New Roman"/>
                <w:sz w:val="24"/>
                <w:szCs w:val="24"/>
              </w:rPr>
              <w:t>9</w:t>
            </w:r>
          </w:p>
        </w:tc>
      </w:tr>
      <w:tr w:rsidR="00335844" w:rsidRPr="0080737A" w:rsidTr="003F67B2">
        <w:tc>
          <w:tcPr>
            <w:tcW w:w="8798" w:type="dxa"/>
          </w:tcPr>
          <w:p w:rsidR="00335844" w:rsidRPr="0080737A"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Транспорт…………………………………………………………………….</w:t>
            </w:r>
          </w:p>
        </w:tc>
        <w:tc>
          <w:tcPr>
            <w:tcW w:w="636" w:type="dxa"/>
          </w:tcPr>
          <w:p w:rsidR="00335844" w:rsidRPr="0080737A" w:rsidRDefault="00335844" w:rsidP="005C2655">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4</w:t>
            </w:r>
            <w:r w:rsidR="005C2655" w:rsidRPr="0080737A">
              <w:rPr>
                <w:rFonts w:ascii="Times New Roman" w:hAnsi="Times New Roman"/>
                <w:sz w:val="24"/>
                <w:szCs w:val="24"/>
              </w:rPr>
              <w:t>4</w:t>
            </w:r>
          </w:p>
        </w:tc>
      </w:tr>
      <w:tr w:rsidR="00335844" w:rsidRPr="0080737A" w:rsidTr="003F67B2">
        <w:tc>
          <w:tcPr>
            <w:tcW w:w="8798" w:type="dxa"/>
          </w:tcPr>
          <w:p w:rsidR="00335844" w:rsidRPr="0080737A"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Связь…………………………………………………………………………</w:t>
            </w:r>
          </w:p>
        </w:tc>
        <w:tc>
          <w:tcPr>
            <w:tcW w:w="636" w:type="dxa"/>
          </w:tcPr>
          <w:p w:rsidR="00335844" w:rsidRPr="0080737A" w:rsidRDefault="00335844" w:rsidP="005C2655">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4</w:t>
            </w:r>
            <w:r w:rsidR="005C2655" w:rsidRPr="0080737A">
              <w:rPr>
                <w:rFonts w:ascii="Times New Roman" w:hAnsi="Times New Roman"/>
                <w:sz w:val="24"/>
                <w:szCs w:val="24"/>
              </w:rPr>
              <w:t>7</w:t>
            </w:r>
          </w:p>
        </w:tc>
      </w:tr>
      <w:tr w:rsidR="00335844" w:rsidRPr="0080737A" w:rsidTr="003F67B2">
        <w:tc>
          <w:tcPr>
            <w:tcW w:w="8798" w:type="dxa"/>
          </w:tcPr>
          <w:p w:rsidR="00335844" w:rsidRPr="0080737A"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Потребительский рынок……………………………………………………</w:t>
            </w:r>
          </w:p>
        </w:tc>
        <w:tc>
          <w:tcPr>
            <w:tcW w:w="636" w:type="dxa"/>
          </w:tcPr>
          <w:p w:rsidR="00335844" w:rsidRPr="0080737A" w:rsidRDefault="005C2655"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50</w:t>
            </w:r>
          </w:p>
        </w:tc>
      </w:tr>
      <w:tr w:rsidR="00335844" w:rsidRPr="0080737A" w:rsidTr="003F67B2">
        <w:tc>
          <w:tcPr>
            <w:tcW w:w="8798" w:type="dxa"/>
          </w:tcPr>
          <w:p w:rsidR="00335844" w:rsidRPr="0080737A"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Ценовая и тарифная политика……………………………………………...</w:t>
            </w:r>
          </w:p>
        </w:tc>
        <w:tc>
          <w:tcPr>
            <w:tcW w:w="636" w:type="dxa"/>
          </w:tcPr>
          <w:p w:rsidR="00335844" w:rsidRPr="0080737A" w:rsidRDefault="005C2655"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52</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Малое предпринимательство………………………………………………</w:t>
            </w:r>
          </w:p>
        </w:tc>
        <w:tc>
          <w:tcPr>
            <w:tcW w:w="636" w:type="dxa"/>
          </w:tcPr>
          <w:p w:rsidR="00335844" w:rsidRPr="0080737A" w:rsidRDefault="00335844" w:rsidP="005C2655">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5</w:t>
            </w:r>
            <w:r w:rsidR="005C2655" w:rsidRPr="0080737A">
              <w:rPr>
                <w:rFonts w:ascii="Times New Roman" w:hAnsi="Times New Roman"/>
                <w:sz w:val="24"/>
                <w:szCs w:val="24"/>
              </w:rPr>
              <w:t>9</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Экология……………………………………………………………………..</w:t>
            </w:r>
          </w:p>
        </w:tc>
        <w:tc>
          <w:tcPr>
            <w:tcW w:w="636" w:type="dxa"/>
          </w:tcPr>
          <w:p w:rsidR="00335844" w:rsidRPr="0080737A" w:rsidRDefault="00E27A44" w:rsidP="005C2655">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6</w:t>
            </w:r>
            <w:r w:rsidR="005C2655" w:rsidRPr="0080737A">
              <w:rPr>
                <w:rFonts w:ascii="Times New Roman" w:hAnsi="Times New Roman"/>
                <w:sz w:val="24"/>
                <w:szCs w:val="24"/>
              </w:rPr>
              <w:t>3</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p>
        </w:tc>
        <w:tc>
          <w:tcPr>
            <w:tcW w:w="636"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r w:rsidRPr="0080737A">
              <w:rPr>
                <w:rFonts w:ascii="Times New Roman" w:hAnsi="Times New Roman"/>
                <w:b/>
                <w:sz w:val="24"/>
                <w:szCs w:val="24"/>
              </w:rPr>
              <w:t>Состояние социальной сферы……………………………………………</w:t>
            </w:r>
          </w:p>
        </w:tc>
        <w:tc>
          <w:tcPr>
            <w:tcW w:w="636" w:type="dxa"/>
          </w:tcPr>
          <w:p w:rsidR="00335844" w:rsidRPr="0080737A" w:rsidRDefault="00335844" w:rsidP="005C2655">
            <w:pPr>
              <w:spacing w:before="100" w:beforeAutospacing="1" w:after="100" w:afterAutospacing="1" w:line="240" w:lineRule="auto"/>
              <w:jc w:val="both"/>
              <w:rPr>
                <w:rFonts w:ascii="Times New Roman" w:hAnsi="Times New Roman"/>
                <w:b/>
                <w:sz w:val="24"/>
                <w:szCs w:val="24"/>
              </w:rPr>
            </w:pPr>
            <w:r w:rsidRPr="0080737A">
              <w:rPr>
                <w:rFonts w:ascii="Times New Roman" w:hAnsi="Times New Roman"/>
                <w:b/>
                <w:sz w:val="24"/>
                <w:szCs w:val="24"/>
              </w:rPr>
              <w:t>6</w:t>
            </w:r>
            <w:r w:rsidR="005C2655" w:rsidRPr="0080737A">
              <w:rPr>
                <w:rFonts w:ascii="Times New Roman" w:hAnsi="Times New Roman"/>
                <w:b/>
                <w:sz w:val="24"/>
                <w:szCs w:val="24"/>
              </w:rPr>
              <w:t>6</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Уровень жизни населения………………………………………………….</w:t>
            </w:r>
          </w:p>
        </w:tc>
        <w:tc>
          <w:tcPr>
            <w:tcW w:w="636" w:type="dxa"/>
          </w:tcPr>
          <w:p w:rsidR="00335844" w:rsidRPr="0080737A" w:rsidRDefault="00335844" w:rsidP="005C2655">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6</w:t>
            </w:r>
            <w:r w:rsidR="005C2655" w:rsidRPr="0080737A">
              <w:rPr>
                <w:rFonts w:ascii="Times New Roman" w:hAnsi="Times New Roman"/>
                <w:sz w:val="24"/>
                <w:szCs w:val="24"/>
              </w:rPr>
              <w:t>6</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Рынок труда и сфера занятости…………………………………………….</w:t>
            </w:r>
          </w:p>
        </w:tc>
        <w:tc>
          <w:tcPr>
            <w:tcW w:w="636" w:type="dxa"/>
          </w:tcPr>
          <w:p w:rsidR="00335844" w:rsidRPr="0080737A" w:rsidRDefault="00E27A44" w:rsidP="005C2655">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7</w:t>
            </w:r>
            <w:r w:rsidR="005C2655" w:rsidRPr="0080737A">
              <w:rPr>
                <w:rFonts w:ascii="Times New Roman" w:hAnsi="Times New Roman"/>
                <w:sz w:val="24"/>
                <w:szCs w:val="24"/>
              </w:rPr>
              <w:t>1</w:t>
            </w: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80737A" w:rsidTr="003F67B2">
        <w:tc>
          <w:tcPr>
            <w:tcW w:w="8798" w:type="dxa"/>
          </w:tcPr>
          <w:p w:rsidR="00335844" w:rsidRPr="0080737A" w:rsidRDefault="00335844" w:rsidP="003F67B2">
            <w:pPr>
              <w:spacing w:after="0" w:line="240" w:lineRule="auto"/>
              <w:jc w:val="both"/>
              <w:rPr>
                <w:rFonts w:ascii="Times New Roman" w:hAnsi="Times New Roman"/>
                <w:sz w:val="24"/>
                <w:szCs w:val="24"/>
              </w:rPr>
            </w:pPr>
          </w:p>
        </w:tc>
        <w:tc>
          <w:tcPr>
            <w:tcW w:w="636" w:type="dxa"/>
          </w:tcPr>
          <w:p w:rsidR="00335844" w:rsidRPr="0080737A" w:rsidRDefault="00335844" w:rsidP="003F67B2">
            <w:pPr>
              <w:spacing w:before="100" w:beforeAutospacing="1" w:after="0" w:afterAutospacing="1" w:line="240" w:lineRule="auto"/>
              <w:jc w:val="both"/>
              <w:rPr>
                <w:rFonts w:ascii="Times New Roman" w:hAnsi="Times New Roman"/>
                <w:sz w:val="24"/>
                <w:szCs w:val="24"/>
              </w:rPr>
            </w:pPr>
          </w:p>
        </w:tc>
      </w:tr>
      <w:tr w:rsidR="00335844" w:rsidRPr="0080737A" w:rsidTr="003F67B2">
        <w:tc>
          <w:tcPr>
            <w:tcW w:w="8798" w:type="dxa"/>
          </w:tcPr>
          <w:p w:rsidR="00335844" w:rsidRPr="0080737A" w:rsidRDefault="00335844" w:rsidP="000A1502">
            <w:pPr>
              <w:spacing w:after="0" w:line="240" w:lineRule="auto"/>
              <w:rPr>
                <w:rFonts w:ascii="Times New Roman" w:hAnsi="Times New Roman"/>
                <w:sz w:val="24"/>
                <w:szCs w:val="24"/>
              </w:rPr>
            </w:pPr>
            <w:r w:rsidRPr="0080737A">
              <w:rPr>
                <w:rFonts w:ascii="Times New Roman" w:hAnsi="Times New Roman"/>
                <w:b/>
                <w:sz w:val="24"/>
                <w:szCs w:val="24"/>
              </w:rPr>
              <w:t>Приложение №1</w:t>
            </w:r>
            <w:r w:rsidRPr="0080737A">
              <w:rPr>
                <w:rFonts w:ascii="Times New Roman" w:hAnsi="Times New Roman"/>
                <w:bCs/>
                <w:color w:val="000000"/>
                <w:sz w:val="24"/>
                <w:szCs w:val="24"/>
              </w:rPr>
              <w:t>Основные макроэкономические показатели Приднестровской Молдавской Республики за январь-июнь 201</w:t>
            </w:r>
            <w:r w:rsidR="000A1502" w:rsidRPr="0080737A">
              <w:rPr>
                <w:rFonts w:ascii="Times New Roman" w:hAnsi="Times New Roman"/>
                <w:bCs/>
                <w:color w:val="000000"/>
                <w:sz w:val="24"/>
                <w:szCs w:val="24"/>
              </w:rPr>
              <w:t>6</w:t>
            </w:r>
            <w:r w:rsidRPr="0080737A">
              <w:rPr>
                <w:rFonts w:ascii="Times New Roman" w:hAnsi="Times New Roman"/>
                <w:bCs/>
                <w:color w:val="000000"/>
                <w:sz w:val="24"/>
                <w:szCs w:val="24"/>
              </w:rPr>
              <w:t xml:space="preserve"> года....................................................</w:t>
            </w:r>
          </w:p>
        </w:tc>
        <w:tc>
          <w:tcPr>
            <w:tcW w:w="636" w:type="dxa"/>
            <w:vAlign w:val="bottom"/>
          </w:tcPr>
          <w:p w:rsidR="00335844" w:rsidRPr="0080737A" w:rsidRDefault="00335844" w:rsidP="005C2655">
            <w:pPr>
              <w:spacing w:before="100" w:beforeAutospacing="1" w:after="100" w:afterAutospacing="1" w:line="240" w:lineRule="auto"/>
              <w:rPr>
                <w:rFonts w:ascii="Times New Roman" w:hAnsi="Times New Roman"/>
                <w:sz w:val="24"/>
                <w:szCs w:val="24"/>
              </w:rPr>
            </w:pPr>
            <w:r w:rsidRPr="0080737A">
              <w:rPr>
                <w:rFonts w:ascii="Times New Roman" w:hAnsi="Times New Roman"/>
                <w:sz w:val="24"/>
                <w:szCs w:val="24"/>
              </w:rPr>
              <w:t>7</w:t>
            </w:r>
            <w:r w:rsidR="005C2655" w:rsidRPr="0080737A">
              <w:rPr>
                <w:rFonts w:ascii="Times New Roman" w:hAnsi="Times New Roman"/>
                <w:sz w:val="24"/>
                <w:szCs w:val="24"/>
              </w:rPr>
              <w:t>6</w:t>
            </w:r>
          </w:p>
        </w:tc>
      </w:tr>
      <w:tr w:rsidR="00335844" w:rsidRPr="0080737A" w:rsidTr="003F67B2">
        <w:tc>
          <w:tcPr>
            <w:tcW w:w="8798" w:type="dxa"/>
          </w:tcPr>
          <w:p w:rsidR="00335844" w:rsidRPr="0080737A" w:rsidRDefault="00335844" w:rsidP="000A1502">
            <w:pPr>
              <w:spacing w:after="0" w:line="240" w:lineRule="auto"/>
              <w:jc w:val="both"/>
              <w:rPr>
                <w:rFonts w:ascii="Times New Roman" w:hAnsi="Times New Roman"/>
                <w:sz w:val="24"/>
                <w:szCs w:val="24"/>
              </w:rPr>
            </w:pPr>
            <w:r w:rsidRPr="0080737A">
              <w:rPr>
                <w:rFonts w:ascii="Times New Roman" w:hAnsi="Times New Roman"/>
                <w:b/>
                <w:sz w:val="24"/>
                <w:szCs w:val="24"/>
              </w:rPr>
              <w:t xml:space="preserve">Приложение №2 </w:t>
            </w:r>
            <w:r w:rsidRPr="0080737A">
              <w:rPr>
                <w:rFonts w:ascii="Times New Roman" w:hAnsi="Times New Roman"/>
                <w:sz w:val="24"/>
                <w:szCs w:val="24"/>
              </w:rPr>
              <w:t>Динамика и структура промышленного производства и реализации продукции по отраслям промышленности в январе-июне                                              201</w:t>
            </w:r>
            <w:r w:rsidR="000A1502" w:rsidRPr="0080737A">
              <w:rPr>
                <w:rFonts w:ascii="Times New Roman" w:hAnsi="Times New Roman"/>
                <w:sz w:val="24"/>
                <w:szCs w:val="24"/>
              </w:rPr>
              <w:t>6</w:t>
            </w:r>
            <w:r w:rsidRPr="0080737A">
              <w:rPr>
                <w:rFonts w:ascii="Times New Roman" w:hAnsi="Times New Roman"/>
                <w:sz w:val="24"/>
                <w:szCs w:val="24"/>
              </w:rPr>
              <w:t xml:space="preserve"> года……………………</w:t>
            </w:r>
            <w:r w:rsidR="00B96ECC" w:rsidRPr="0080737A">
              <w:rPr>
                <w:rFonts w:ascii="Times New Roman" w:hAnsi="Times New Roman"/>
                <w:sz w:val="24"/>
                <w:szCs w:val="24"/>
              </w:rPr>
              <w:t>…………………………………………………………...</w:t>
            </w:r>
          </w:p>
        </w:tc>
        <w:tc>
          <w:tcPr>
            <w:tcW w:w="636" w:type="dxa"/>
            <w:vAlign w:val="bottom"/>
          </w:tcPr>
          <w:p w:rsidR="00335844" w:rsidRPr="0080737A" w:rsidRDefault="00335844" w:rsidP="005C2655">
            <w:pPr>
              <w:spacing w:before="100" w:beforeAutospacing="1" w:after="0" w:afterAutospacing="1" w:line="240" w:lineRule="auto"/>
              <w:rPr>
                <w:rFonts w:ascii="Times New Roman" w:hAnsi="Times New Roman"/>
                <w:sz w:val="24"/>
                <w:szCs w:val="24"/>
              </w:rPr>
            </w:pPr>
            <w:r w:rsidRPr="0080737A">
              <w:rPr>
                <w:rFonts w:ascii="Times New Roman" w:hAnsi="Times New Roman"/>
                <w:sz w:val="24"/>
                <w:szCs w:val="24"/>
              </w:rPr>
              <w:t>7</w:t>
            </w:r>
            <w:r w:rsidR="005C2655" w:rsidRPr="0080737A">
              <w:rPr>
                <w:rFonts w:ascii="Times New Roman" w:hAnsi="Times New Roman"/>
                <w:sz w:val="24"/>
                <w:szCs w:val="24"/>
              </w:rPr>
              <w:t>8</w:t>
            </w:r>
          </w:p>
        </w:tc>
      </w:tr>
      <w:tr w:rsidR="00335844" w:rsidRPr="0080737A" w:rsidTr="003F67B2">
        <w:tc>
          <w:tcPr>
            <w:tcW w:w="8798" w:type="dxa"/>
          </w:tcPr>
          <w:p w:rsidR="00335844" w:rsidRPr="0080737A" w:rsidRDefault="00335844" w:rsidP="007A78C2">
            <w:pPr>
              <w:spacing w:after="0" w:line="240" w:lineRule="auto"/>
              <w:rPr>
                <w:rFonts w:ascii="Times New Roman" w:hAnsi="Times New Roman"/>
                <w:sz w:val="24"/>
                <w:szCs w:val="24"/>
              </w:rPr>
            </w:pPr>
            <w:r w:rsidRPr="0080737A">
              <w:rPr>
                <w:rFonts w:ascii="Times New Roman" w:hAnsi="Times New Roman"/>
                <w:b/>
                <w:sz w:val="24"/>
                <w:szCs w:val="24"/>
              </w:rPr>
              <w:t>Приложение №3</w:t>
            </w:r>
            <w:r w:rsidRPr="0080737A">
              <w:rPr>
                <w:rFonts w:ascii="Times New Roman" w:hAnsi="Times New Roman"/>
                <w:sz w:val="24"/>
                <w:szCs w:val="24"/>
              </w:rPr>
              <w:t xml:space="preserve"> Основные показатели развития малого предпринимательства за январь-июнь 201</w:t>
            </w:r>
            <w:r w:rsidR="007A78C2" w:rsidRPr="0080737A">
              <w:rPr>
                <w:rFonts w:ascii="Times New Roman" w:hAnsi="Times New Roman"/>
                <w:sz w:val="24"/>
                <w:szCs w:val="24"/>
              </w:rPr>
              <w:t>6</w:t>
            </w:r>
            <w:r w:rsidRPr="0080737A">
              <w:rPr>
                <w:rFonts w:ascii="Times New Roman" w:hAnsi="Times New Roman"/>
                <w:bCs/>
                <w:color w:val="000000"/>
                <w:sz w:val="24"/>
                <w:szCs w:val="24"/>
              </w:rPr>
              <w:t>года</w:t>
            </w:r>
            <w:r w:rsidRPr="0080737A">
              <w:rPr>
                <w:rFonts w:ascii="Times New Roman" w:hAnsi="Times New Roman"/>
                <w:sz w:val="24"/>
                <w:szCs w:val="24"/>
              </w:rPr>
              <w:t xml:space="preserve"> …………………………………………</w:t>
            </w:r>
            <w:r w:rsidR="00B96ECC" w:rsidRPr="0080737A">
              <w:rPr>
                <w:rFonts w:ascii="Times New Roman" w:hAnsi="Times New Roman"/>
                <w:sz w:val="24"/>
                <w:szCs w:val="24"/>
              </w:rPr>
              <w:t>………………………</w:t>
            </w:r>
          </w:p>
        </w:tc>
        <w:tc>
          <w:tcPr>
            <w:tcW w:w="636" w:type="dxa"/>
            <w:vAlign w:val="bottom"/>
          </w:tcPr>
          <w:p w:rsidR="00335844" w:rsidRPr="0080737A" w:rsidRDefault="00335844" w:rsidP="005C2655">
            <w:pPr>
              <w:spacing w:before="100" w:beforeAutospacing="1" w:after="0" w:afterAutospacing="1" w:line="240" w:lineRule="auto"/>
              <w:rPr>
                <w:rFonts w:ascii="Times New Roman" w:hAnsi="Times New Roman"/>
                <w:sz w:val="24"/>
                <w:szCs w:val="24"/>
              </w:rPr>
            </w:pPr>
            <w:r w:rsidRPr="0080737A">
              <w:rPr>
                <w:rFonts w:ascii="Times New Roman" w:hAnsi="Times New Roman"/>
                <w:sz w:val="24"/>
                <w:szCs w:val="24"/>
              </w:rPr>
              <w:t>7</w:t>
            </w:r>
            <w:r w:rsidR="005C2655" w:rsidRPr="0080737A">
              <w:rPr>
                <w:rFonts w:ascii="Times New Roman" w:hAnsi="Times New Roman"/>
                <w:sz w:val="24"/>
                <w:szCs w:val="24"/>
              </w:rPr>
              <w:t>9</w:t>
            </w:r>
          </w:p>
        </w:tc>
      </w:tr>
      <w:tr w:rsidR="00335844" w:rsidRPr="0080737A" w:rsidTr="003F67B2">
        <w:tc>
          <w:tcPr>
            <w:tcW w:w="8798" w:type="dxa"/>
          </w:tcPr>
          <w:p w:rsidR="00335844" w:rsidRPr="0080737A" w:rsidRDefault="00335844" w:rsidP="003F67B2">
            <w:pPr>
              <w:spacing w:after="0" w:line="240" w:lineRule="auto"/>
              <w:rPr>
                <w:rFonts w:ascii="Times New Roman" w:hAnsi="Times New Roman"/>
                <w:sz w:val="24"/>
                <w:szCs w:val="24"/>
              </w:rPr>
            </w:pPr>
          </w:p>
        </w:tc>
        <w:tc>
          <w:tcPr>
            <w:tcW w:w="636" w:type="dxa"/>
            <w:vAlign w:val="bottom"/>
          </w:tcPr>
          <w:p w:rsidR="00335844" w:rsidRPr="0080737A" w:rsidRDefault="00335844" w:rsidP="003F67B2">
            <w:pPr>
              <w:spacing w:before="100" w:beforeAutospacing="1" w:after="0" w:afterAutospacing="1" w:line="240" w:lineRule="auto"/>
              <w:rPr>
                <w:rFonts w:ascii="Times New Roman" w:hAnsi="Times New Roman"/>
                <w:sz w:val="24"/>
                <w:szCs w:val="24"/>
              </w:rPr>
            </w:pPr>
          </w:p>
        </w:tc>
      </w:tr>
      <w:tr w:rsidR="00335844" w:rsidRPr="0080737A" w:rsidTr="003F67B2">
        <w:tc>
          <w:tcPr>
            <w:tcW w:w="8798" w:type="dxa"/>
          </w:tcPr>
          <w:p w:rsidR="00335844" w:rsidRPr="0080737A" w:rsidRDefault="00335844" w:rsidP="003F67B2">
            <w:pPr>
              <w:spacing w:after="0" w:line="240" w:lineRule="auto"/>
              <w:rPr>
                <w:rFonts w:ascii="Times New Roman" w:hAnsi="Times New Roman"/>
                <w:sz w:val="24"/>
                <w:szCs w:val="24"/>
              </w:rPr>
            </w:pPr>
          </w:p>
        </w:tc>
        <w:tc>
          <w:tcPr>
            <w:tcW w:w="636" w:type="dxa"/>
            <w:vAlign w:val="bottom"/>
          </w:tcPr>
          <w:p w:rsidR="00335844" w:rsidRPr="0080737A" w:rsidRDefault="00335844" w:rsidP="003F67B2">
            <w:pPr>
              <w:spacing w:before="100" w:beforeAutospacing="1" w:after="0" w:afterAutospacing="1" w:line="240" w:lineRule="auto"/>
              <w:rPr>
                <w:rFonts w:ascii="Times New Roman" w:hAnsi="Times New Roman"/>
                <w:sz w:val="24"/>
                <w:szCs w:val="24"/>
              </w:rPr>
            </w:pPr>
          </w:p>
        </w:tc>
      </w:tr>
      <w:tr w:rsidR="00335844" w:rsidRPr="0080737A" w:rsidTr="003F67B2">
        <w:tblPrEx>
          <w:tblLook w:val="00A0"/>
        </w:tblPrEx>
        <w:tc>
          <w:tcPr>
            <w:tcW w:w="8798" w:type="dxa"/>
          </w:tcPr>
          <w:p w:rsidR="00335844" w:rsidRPr="0080737A" w:rsidRDefault="00335844" w:rsidP="003F67B2">
            <w:pPr>
              <w:spacing w:after="0" w:line="240" w:lineRule="auto"/>
              <w:rPr>
                <w:rFonts w:ascii="Times New Roman" w:hAnsi="Times New Roman"/>
                <w:sz w:val="24"/>
                <w:szCs w:val="24"/>
              </w:rPr>
            </w:pPr>
          </w:p>
        </w:tc>
        <w:tc>
          <w:tcPr>
            <w:tcW w:w="636" w:type="dxa"/>
            <w:vAlign w:val="bottom"/>
          </w:tcPr>
          <w:p w:rsidR="00335844" w:rsidRPr="0080737A" w:rsidRDefault="00335844" w:rsidP="003F67B2">
            <w:pPr>
              <w:spacing w:before="100" w:beforeAutospacing="1" w:after="100" w:afterAutospacing="1" w:line="240" w:lineRule="auto"/>
              <w:rPr>
                <w:rFonts w:ascii="Times New Roman" w:hAnsi="Times New Roman"/>
                <w:sz w:val="24"/>
                <w:szCs w:val="24"/>
              </w:rPr>
            </w:pPr>
          </w:p>
        </w:tc>
      </w:tr>
      <w:tr w:rsidR="00335844" w:rsidRPr="0080737A" w:rsidTr="003F67B2">
        <w:tblPrEx>
          <w:tblLook w:val="00A0"/>
        </w:tblPrEx>
        <w:tc>
          <w:tcPr>
            <w:tcW w:w="8798" w:type="dxa"/>
          </w:tcPr>
          <w:p w:rsidR="00335844" w:rsidRPr="0080737A" w:rsidRDefault="00335844" w:rsidP="003F67B2">
            <w:pPr>
              <w:pStyle w:val="4"/>
              <w:spacing w:before="0"/>
              <w:rPr>
                <w:sz w:val="24"/>
                <w:szCs w:val="24"/>
              </w:rPr>
            </w:pPr>
          </w:p>
        </w:tc>
        <w:tc>
          <w:tcPr>
            <w:tcW w:w="636"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80737A" w:rsidTr="003F67B2">
        <w:tblPrEx>
          <w:tblLook w:val="00A0"/>
        </w:tblPrEx>
        <w:tc>
          <w:tcPr>
            <w:tcW w:w="8798"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80737A" w:rsidTr="003F67B2">
        <w:trPr>
          <w:trHeight w:val="87"/>
        </w:trPr>
        <w:tc>
          <w:tcPr>
            <w:tcW w:w="8798"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80737A" w:rsidTr="003F67B2">
        <w:tc>
          <w:tcPr>
            <w:tcW w:w="8798"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80737A" w:rsidTr="003F67B2">
        <w:trPr>
          <w:trHeight w:val="87"/>
        </w:trPr>
        <w:tc>
          <w:tcPr>
            <w:tcW w:w="8798"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80737A" w:rsidRDefault="00335844" w:rsidP="003F67B2">
            <w:pPr>
              <w:spacing w:before="100" w:beforeAutospacing="1" w:after="0" w:afterAutospacing="1" w:line="240" w:lineRule="auto"/>
              <w:jc w:val="both"/>
              <w:rPr>
                <w:rFonts w:ascii="Times New Roman" w:hAnsi="Times New Roman"/>
                <w:b/>
                <w:sz w:val="24"/>
                <w:szCs w:val="24"/>
              </w:rPr>
            </w:pPr>
          </w:p>
        </w:tc>
      </w:tr>
    </w:tbl>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sectPr w:rsidR="00335844" w:rsidRPr="0080737A" w:rsidSect="003F67B2">
          <w:footerReference w:type="even" r:id="rId8"/>
          <w:footerReference w:type="default" r:id="rId9"/>
          <w:pgSz w:w="11906" w:h="16838" w:code="9"/>
          <w:pgMar w:top="993" w:right="851" w:bottom="1134" w:left="1701" w:header="709" w:footer="709" w:gutter="0"/>
          <w:cols w:space="708"/>
          <w:titlePg/>
          <w:docGrid w:linePitch="360"/>
        </w:sectPr>
      </w:pPr>
    </w:p>
    <w:p w:rsidR="00335844" w:rsidRPr="0080737A" w:rsidRDefault="00335844" w:rsidP="008F70F5">
      <w:pPr>
        <w:pStyle w:val="a6"/>
        <w:spacing w:after="0" w:line="240" w:lineRule="atLeast"/>
        <w:ind w:left="0" w:firstLine="709"/>
        <w:jc w:val="center"/>
        <w:rPr>
          <w:rFonts w:ascii="Times New Roman" w:hAnsi="Times New Roman"/>
          <w:b/>
          <w:sz w:val="24"/>
          <w:szCs w:val="24"/>
        </w:rPr>
      </w:pPr>
      <w:r w:rsidRPr="0080737A">
        <w:rPr>
          <w:rFonts w:ascii="Times New Roman" w:hAnsi="Times New Roman"/>
          <w:b/>
          <w:sz w:val="24"/>
          <w:szCs w:val="24"/>
        </w:rPr>
        <w:lastRenderedPageBreak/>
        <w:t>Основные тенденции развития экономики Приднестровской Молдавской Республики в январе-июне 201</w:t>
      </w:r>
      <w:r w:rsidR="005C20B9" w:rsidRPr="0080737A">
        <w:rPr>
          <w:rFonts w:ascii="Times New Roman" w:hAnsi="Times New Roman"/>
          <w:b/>
          <w:sz w:val="24"/>
          <w:szCs w:val="24"/>
        </w:rPr>
        <w:t>6</w:t>
      </w:r>
      <w:r w:rsidRPr="0080737A">
        <w:rPr>
          <w:rFonts w:ascii="Times New Roman" w:hAnsi="Times New Roman"/>
          <w:b/>
          <w:sz w:val="24"/>
          <w:szCs w:val="24"/>
        </w:rPr>
        <w:t xml:space="preserve"> года</w:t>
      </w:r>
    </w:p>
    <w:p w:rsidR="008F70F5" w:rsidRPr="0080737A" w:rsidRDefault="008F70F5" w:rsidP="008F70F5">
      <w:pPr>
        <w:pStyle w:val="a6"/>
        <w:spacing w:after="0" w:line="240" w:lineRule="atLeast"/>
        <w:ind w:left="0" w:firstLine="709"/>
        <w:jc w:val="center"/>
        <w:rPr>
          <w:rFonts w:ascii="Times New Roman" w:hAnsi="Times New Roman"/>
          <w:b/>
          <w:sz w:val="24"/>
          <w:szCs w:val="24"/>
        </w:rPr>
      </w:pPr>
    </w:p>
    <w:p w:rsidR="002220CA" w:rsidRPr="0080737A" w:rsidRDefault="002220CA" w:rsidP="002220CA">
      <w:pPr>
        <w:autoSpaceDE w:val="0"/>
        <w:autoSpaceDN w:val="0"/>
        <w:adjustRightInd w:val="0"/>
        <w:spacing w:after="0" w:line="240" w:lineRule="auto"/>
        <w:ind w:firstLine="709"/>
        <w:jc w:val="both"/>
        <w:rPr>
          <w:rFonts w:ascii="Times New Roman" w:eastAsiaTheme="minorEastAsia" w:hAnsi="Times New Roman"/>
          <w:sz w:val="24"/>
          <w:szCs w:val="24"/>
        </w:rPr>
      </w:pPr>
      <w:r w:rsidRPr="0080737A">
        <w:rPr>
          <w:rFonts w:ascii="Times New Roman" w:eastAsiaTheme="minorEastAsia" w:hAnsi="Times New Roman"/>
          <w:sz w:val="24"/>
          <w:szCs w:val="24"/>
        </w:rPr>
        <w:t xml:space="preserve">Продолжающееся влияние мировых конъюнктурных тенденций, избыточное предложение на сырьевых и товарных рынках </w:t>
      </w:r>
      <w:r w:rsidRPr="0080737A">
        <w:rPr>
          <w:rFonts w:ascii="Times New Roman" w:hAnsi="Times New Roman"/>
          <w:sz w:val="24"/>
          <w:szCs w:val="24"/>
        </w:rPr>
        <w:t xml:space="preserve">в </w:t>
      </w:r>
      <w:r w:rsidRPr="0080737A">
        <w:rPr>
          <w:rFonts w:ascii="Times New Roman" w:eastAsiaTheme="minorEastAsia" w:hAnsi="Times New Roman"/>
          <w:sz w:val="24"/>
          <w:szCs w:val="24"/>
        </w:rPr>
        <w:t xml:space="preserve">январе-июне 2016 года усиливали риски осуществления внешнеэкономической деятельности хозяйствующими субъектами республики и оказывали дестабилизирующее воздействие на динамику результативности функционирования предприятий и организаций практически всех сфер экономики. </w:t>
      </w:r>
      <w:r w:rsidRPr="0080737A">
        <w:rPr>
          <w:rFonts w:ascii="Times New Roman" w:hAnsi="Times New Roman"/>
          <w:sz w:val="24"/>
          <w:szCs w:val="24"/>
        </w:rPr>
        <w:t>Давление внешних факторов в совокупности с внутренними проблемами</w:t>
      </w:r>
      <w:r w:rsidRPr="0080737A">
        <w:rPr>
          <w:rFonts w:ascii="Times New Roman" w:eastAsiaTheme="minorEastAsia" w:hAnsi="Times New Roman"/>
          <w:sz w:val="24"/>
          <w:szCs w:val="24"/>
        </w:rPr>
        <w:t xml:space="preserve"> по итогам </w:t>
      </w:r>
      <w:r w:rsidR="002B1C01" w:rsidRPr="0080737A">
        <w:rPr>
          <w:rFonts w:ascii="Times New Roman" w:eastAsiaTheme="minorEastAsia" w:hAnsi="Times New Roman"/>
          <w:sz w:val="24"/>
          <w:szCs w:val="24"/>
        </w:rPr>
        <w:t xml:space="preserve">                  </w:t>
      </w:r>
      <w:r w:rsidRPr="0080737A">
        <w:rPr>
          <w:rFonts w:ascii="Times New Roman" w:eastAsiaTheme="minorEastAsia" w:hAnsi="Times New Roman"/>
          <w:sz w:val="24"/>
          <w:szCs w:val="24"/>
        </w:rPr>
        <w:t xml:space="preserve">I полугодия текущего года обусловили сужение показателей производственной и инвестиционной активности, а также социальной сферы. </w:t>
      </w:r>
    </w:p>
    <w:p w:rsidR="002220CA" w:rsidRPr="0080737A" w:rsidRDefault="002220CA" w:rsidP="002220CA">
      <w:pPr>
        <w:numPr>
          <w:ilvl w:val="0"/>
          <w:numId w:val="3"/>
        </w:numPr>
        <w:tabs>
          <w:tab w:val="left" w:pos="851"/>
          <w:tab w:val="left" w:pos="993"/>
        </w:tabs>
        <w:spacing w:after="0" w:line="240" w:lineRule="auto"/>
        <w:ind w:left="0" w:firstLine="709"/>
        <w:contextualSpacing/>
        <w:jc w:val="both"/>
        <w:rPr>
          <w:rFonts w:ascii="Times New Roman" w:eastAsiaTheme="minorEastAsia" w:hAnsi="Times New Roman" w:cstheme="minorBidi"/>
          <w:sz w:val="24"/>
          <w:szCs w:val="24"/>
        </w:rPr>
      </w:pPr>
      <w:proofErr w:type="gramStart"/>
      <w:r w:rsidRPr="0080737A">
        <w:rPr>
          <w:rFonts w:ascii="Times New Roman" w:eastAsiaTheme="minorEastAsia" w:hAnsi="Times New Roman" w:cstheme="minorBidi"/>
          <w:sz w:val="24"/>
          <w:szCs w:val="24"/>
        </w:rPr>
        <w:t>Объем промышленного производства (с учетом субъектов малого предпринимательства, промышленных подразделений при непромышленных организациях) по итогам первых шести месяцев текущего года по отношению к базисному уровню 2015 года на фоне неблагоприятной ценовой конъюнктуры и проведенной девальвации в сопредельных государствах снизился на 9,5% (в текущих ценах), объем экспортных и импортных поставок соответственно - на 12,1% и 31,4%;</w:t>
      </w:r>
      <w:proofErr w:type="gramEnd"/>
    </w:p>
    <w:p w:rsidR="002220CA" w:rsidRPr="0080737A" w:rsidRDefault="002220CA" w:rsidP="002220CA">
      <w:pPr>
        <w:numPr>
          <w:ilvl w:val="0"/>
          <w:numId w:val="3"/>
        </w:numPr>
        <w:tabs>
          <w:tab w:val="left" w:pos="851"/>
          <w:tab w:val="left" w:pos="993"/>
        </w:tabs>
        <w:spacing w:after="0" w:line="240" w:lineRule="auto"/>
        <w:ind w:left="0" w:firstLine="709"/>
        <w:contextualSpacing/>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Сложные условия функционирования экономики в рассматриваемом периоде предопределили сдержанное поведение экономических агентов в сфере инвестиций в основной капитал («-»22,5%); </w:t>
      </w:r>
    </w:p>
    <w:p w:rsidR="002220CA" w:rsidRPr="0080737A" w:rsidRDefault="002220CA" w:rsidP="002220CA">
      <w:pPr>
        <w:tabs>
          <w:tab w:val="left" w:pos="851"/>
          <w:tab w:val="left" w:pos="993"/>
        </w:tabs>
        <w:spacing w:after="0" w:line="240" w:lineRule="auto"/>
        <w:ind w:firstLine="709"/>
        <w:jc w:val="both"/>
        <w:rPr>
          <w:rFonts w:ascii="Times New Roman" w:eastAsiaTheme="minorEastAsia" w:hAnsi="Times New Roman"/>
          <w:sz w:val="24"/>
          <w:szCs w:val="24"/>
        </w:rPr>
      </w:pPr>
      <w:r w:rsidRPr="0080737A">
        <w:rPr>
          <w:rFonts w:ascii="Times New Roman" w:eastAsiaTheme="minorEastAsia" w:hAnsi="Times New Roman" w:cstheme="minorBidi"/>
          <w:sz w:val="24"/>
          <w:szCs w:val="24"/>
        </w:rPr>
        <w:t xml:space="preserve">3) </w:t>
      </w:r>
      <w:r w:rsidRPr="0080737A">
        <w:rPr>
          <w:rFonts w:ascii="Times New Roman" w:eastAsiaTheme="minorEastAsia" w:hAnsi="Times New Roman"/>
          <w:sz w:val="24"/>
          <w:szCs w:val="24"/>
        </w:rPr>
        <w:t>В связи с усугублением ситуации в сфере доходов населения, как и годом раннее отмечается сужение внутреннего потребления. Объёмы реализации товаров и услуг на потребительском рынке сохранили отрицательную динамику («-»6,2%);</w:t>
      </w:r>
    </w:p>
    <w:p w:rsidR="002220CA" w:rsidRPr="0080737A" w:rsidRDefault="002220CA" w:rsidP="002220CA">
      <w:pPr>
        <w:spacing w:after="0" w:line="240" w:lineRule="auto"/>
        <w:ind w:firstLine="709"/>
        <w:jc w:val="both"/>
        <w:rPr>
          <w:rFonts w:ascii="Times New Roman" w:eastAsiaTheme="minorEastAsia" w:hAnsi="Times New Roman"/>
          <w:sz w:val="24"/>
          <w:szCs w:val="24"/>
        </w:rPr>
      </w:pPr>
      <w:r w:rsidRPr="0080737A">
        <w:rPr>
          <w:rFonts w:ascii="Times New Roman" w:eastAsiaTheme="minorEastAsia" w:hAnsi="Times New Roman"/>
          <w:sz w:val="24"/>
          <w:szCs w:val="24"/>
        </w:rPr>
        <w:t xml:space="preserve">4) </w:t>
      </w:r>
      <w:r w:rsidRPr="0080737A">
        <w:rPr>
          <w:rFonts w:ascii="Times New Roman" w:eastAsiaTheme="minorEastAsia" w:hAnsi="Times New Roman" w:cstheme="minorBidi"/>
          <w:sz w:val="24"/>
          <w:szCs w:val="24"/>
        </w:rPr>
        <w:t>В</w:t>
      </w:r>
      <w:r w:rsidRPr="0080737A">
        <w:rPr>
          <w:rFonts w:ascii="Times New Roman" w:eastAsiaTheme="minorEastAsia" w:hAnsi="Times New Roman"/>
          <w:sz w:val="24"/>
          <w:szCs w:val="24"/>
        </w:rPr>
        <w:t>следствие нарастания дисбаланса между спросом и предложением отмечалось усиление напряжённости на внутреннем валютном рынке;</w:t>
      </w:r>
    </w:p>
    <w:p w:rsidR="002220CA" w:rsidRPr="0080737A" w:rsidRDefault="002220CA" w:rsidP="002220CA">
      <w:pPr>
        <w:tabs>
          <w:tab w:val="left" w:pos="851"/>
          <w:tab w:val="left" w:pos="993"/>
        </w:tabs>
        <w:spacing w:after="0" w:line="240" w:lineRule="auto"/>
        <w:ind w:firstLine="709"/>
        <w:contextualSpacing/>
        <w:jc w:val="both"/>
        <w:rPr>
          <w:rFonts w:ascii="Times New Roman" w:eastAsiaTheme="minorEastAsia" w:hAnsi="Times New Roman" w:cstheme="minorBidi"/>
          <w:sz w:val="24"/>
          <w:szCs w:val="24"/>
        </w:rPr>
      </w:pPr>
      <w:r w:rsidRPr="0080737A">
        <w:rPr>
          <w:rFonts w:ascii="Times New Roman" w:eastAsiaTheme="minorEastAsia" w:hAnsi="Times New Roman"/>
          <w:sz w:val="24"/>
          <w:szCs w:val="24"/>
        </w:rPr>
        <w:t xml:space="preserve">5) </w:t>
      </w:r>
      <w:r w:rsidRPr="0080737A">
        <w:rPr>
          <w:rFonts w:ascii="Times New Roman" w:eastAsiaTheme="minorEastAsia" w:hAnsi="Times New Roman" w:cstheme="minorBidi"/>
          <w:sz w:val="24"/>
          <w:szCs w:val="24"/>
        </w:rPr>
        <w:t xml:space="preserve">В складывающейся ситуации среднемесячная номинальная начисленная заработная плата одного работника с учетом субъектов малого предпринимательства, некоммерческих и религиозных организаций сократилась на 1,2% до 3 744 руб. ПМР и соответствовала 334 долл. США, против 340 долл. США в январе-июне 2015 года. </w:t>
      </w:r>
    </w:p>
    <w:p w:rsidR="002220CA" w:rsidRPr="0080737A" w:rsidRDefault="002220CA" w:rsidP="002220CA">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Вместе с этим, воздействие группы факторов, связанных с нестабильной внешнеполитической и экономической конъюнктурой в совокупности с углублением структурных деформаций реального сектора экономики и проблем в сфере финансов, предопределили прирост реального ВВП на 17,6%. </w:t>
      </w:r>
    </w:p>
    <w:p w:rsidR="002220CA" w:rsidRPr="0080737A" w:rsidRDefault="002220CA" w:rsidP="002220CA">
      <w:pPr>
        <w:tabs>
          <w:tab w:val="left" w:pos="851"/>
          <w:tab w:val="left" w:pos="993"/>
        </w:tabs>
        <w:spacing w:after="0" w:line="240" w:lineRule="auto"/>
        <w:ind w:firstLine="709"/>
        <w:contextualSpacing/>
        <w:jc w:val="both"/>
        <w:rPr>
          <w:rFonts w:ascii="Times New Roman" w:hAnsi="Times New Roman"/>
          <w:sz w:val="24"/>
          <w:szCs w:val="24"/>
        </w:rPr>
      </w:pPr>
    </w:p>
    <w:p w:rsidR="002220CA" w:rsidRPr="0080737A" w:rsidRDefault="002220CA" w:rsidP="002220CA">
      <w:pPr>
        <w:spacing w:after="0" w:line="240" w:lineRule="auto"/>
        <w:ind w:firstLine="709"/>
        <w:jc w:val="both"/>
        <w:rPr>
          <w:rFonts w:ascii="Times New Roman" w:eastAsiaTheme="minorEastAsia" w:hAnsi="Times New Roman" w:cstheme="minorBidi"/>
          <w:b/>
          <w:sz w:val="24"/>
          <w:szCs w:val="24"/>
        </w:rPr>
      </w:pPr>
      <w:r w:rsidRPr="0080737A">
        <w:rPr>
          <w:rFonts w:ascii="Times New Roman" w:eastAsiaTheme="minorEastAsia" w:hAnsi="Times New Roman" w:cstheme="minorBidi"/>
          <w:b/>
          <w:sz w:val="24"/>
          <w:szCs w:val="24"/>
          <w:u w:val="single"/>
        </w:rPr>
        <w:t>Валовой внутренний продукт (ВВП)</w:t>
      </w:r>
    </w:p>
    <w:p w:rsidR="002220CA" w:rsidRPr="0080737A" w:rsidRDefault="002220CA" w:rsidP="002220CA">
      <w:pPr>
        <w:spacing w:after="0" w:line="240" w:lineRule="auto"/>
        <w:ind w:firstLine="709"/>
        <w:jc w:val="both"/>
        <w:rPr>
          <w:rFonts w:ascii="Times New Roman" w:hAnsi="Times New Roman"/>
          <w:sz w:val="24"/>
        </w:rPr>
      </w:pPr>
      <w:r w:rsidRPr="0080737A">
        <w:rPr>
          <w:rFonts w:ascii="Times New Roman" w:hAnsi="Times New Roman"/>
          <w:sz w:val="24"/>
        </w:rPr>
        <w:t>Номинальный объем созданного в республике валового внутреннего продукта за январь-июнь 2016 года составил 3 950,0 млн. руб. и соответствовал 352,1 млн. долл., превысив базовый показатель 2015 года на 10,0%.</w:t>
      </w:r>
    </w:p>
    <w:p w:rsidR="002220CA" w:rsidRPr="0080737A" w:rsidRDefault="002220CA" w:rsidP="002220CA">
      <w:pPr>
        <w:spacing w:after="0" w:line="240" w:lineRule="auto"/>
        <w:ind w:firstLine="709"/>
        <w:jc w:val="center"/>
        <w:rPr>
          <w:rFonts w:ascii="Times New Roman" w:hAnsi="Times New Roman"/>
          <w:b/>
          <w:sz w:val="24"/>
          <w:szCs w:val="24"/>
        </w:rPr>
      </w:pPr>
    </w:p>
    <w:p w:rsidR="002220CA" w:rsidRPr="0080737A" w:rsidRDefault="002220CA" w:rsidP="002220CA">
      <w:pPr>
        <w:spacing w:after="0" w:line="240" w:lineRule="auto"/>
        <w:ind w:firstLine="709"/>
        <w:jc w:val="center"/>
        <w:rPr>
          <w:rFonts w:ascii="Times New Roman" w:hAnsi="Times New Roman"/>
          <w:b/>
          <w:sz w:val="24"/>
          <w:szCs w:val="24"/>
        </w:rPr>
      </w:pPr>
      <w:r w:rsidRPr="0080737A">
        <w:rPr>
          <w:rFonts w:ascii="Times New Roman" w:hAnsi="Times New Roman"/>
          <w:b/>
          <w:sz w:val="24"/>
          <w:szCs w:val="24"/>
        </w:rPr>
        <w:t>Динамика изменения объема ВВП</w:t>
      </w:r>
    </w:p>
    <w:p w:rsidR="002220CA" w:rsidRPr="0080737A" w:rsidRDefault="002220CA" w:rsidP="002220CA">
      <w:pPr>
        <w:spacing w:after="0" w:line="240" w:lineRule="auto"/>
        <w:ind w:firstLine="709"/>
        <w:contextualSpacing/>
        <w:jc w:val="both"/>
        <w:rPr>
          <w:rFonts w:ascii="Times New Roman" w:hAnsi="Times New Roman"/>
          <w:sz w:val="24"/>
          <w:szCs w:val="24"/>
        </w:rPr>
      </w:pPr>
    </w:p>
    <w:p w:rsidR="002220CA" w:rsidRPr="0080737A" w:rsidRDefault="002220CA" w:rsidP="002220CA">
      <w:pPr>
        <w:spacing w:after="0" w:line="240" w:lineRule="auto"/>
        <w:contextualSpacing/>
        <w:jc w:val="both"/>
        <w:rPr>
          <w:rFonts w:ascii="Times New Roman" w:hAnsi="Times New Roman"/>
          <w:sz w:val="24"/>
          <w:szCs w:val="24"/>
        </w:rPr>
      </w:pPr>
      <w:r w:rsidRPr="0080737A">
        <w:rPr>
          <w:rFonts w:ascii="Times New Roman" w:hAnsi="Times New Roman"/>
          <w:noProof/>
          <w:sz w:val="24"/>
          <w:szCs w:val="24"/>
        </w:rPr>
        <w:drawing>
          <wp:inline distT="0" distB="0" distL="0" distR="0">
            <wp:extent cx="5943600" cy="1990725"/>
            <wp:effectExtent l="0" t="0" r="0" b="0"/>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20CA" w:rsidRPr="0080737A" w:rsidRDefault="002220CA" w:rsidP="002220CA">
      <w:pPr>
        <w:spacing w:after="0" w:line="240" w:lineRule="auto"/>
        <w:contextualSpacing/>
        <w:jc w:val="both"/>
        <w:rPr>
          <w:rFonts w:ascii="Times New Roman" w:hAnsi="Times New Roman"/>
          <w:sz w:val="24"/>
          <w:szCs w:val="24"/>
        </w:rPr>
      </w:pPr>
    </w:p>
    <w:p w:rsidR="002220CA" w:rsidRPr="0080737A" w:rsidRDefault="002220CA" w:rsidP="002220CA">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lastRenderedPageBreak/>
        <w:t>Реальный размер совокупного показателя развития экономики (ВВП в сопоставимых ценах) на фоне низких базовых показателей минувшего года и с учетом влияния конъюнктуры цен вырос на 17,6%.Индекс-д</w:t>
      </w:r>
      <w:r w:rsidRPr="0080737A">
        <w:rPr>
          <w:rFonts w:ascii="Times New Roman" w:hAnsi="Times New Roman"/>
        </w:rPr>
        <w:t xml:space="preserve">ефлятор ВВП, устанавливающий связь между реальным и номинальным ВВП, </w:t>
      </w:r>
      <w:r w:rsidR="006808A1" w:rsidRPr="0080737A">
        <w:rPr>
          <w:rFonts w:ascii="Times New Roman" w:hAnsi="Times New Roman"/>
        </w:rPr>
        <w:t>в результате</w:t>
      </w:r>
      <w:r w:rsidRPr="0080737A">
        <w:rPr>
          <w:rFonts w:ascii="Times New Roman" w:hAnsi="Times New Roman"/>
        </w:rPr>
        <w:t xml:space="preserve"> падения цен (дефляции) в отраслях материального производства и в сфере услуг по итогам января – июня 2016 года сократился до 0,9456 против 1,0059 </w:t>
      </w:r>
      <w:proofErr w:type="spellStart"/>
      <w:r w:rsidRPr="0080737A">
        <w:rPr>
          <w:rFonts w:ascii="Times New Roman" w:hAnsi="Times New Roman"/>
        </w:rPr>
        <w:t>вянваре</w:t>
      </w:r>
      <w:proofErr w:type="spellEnd"/>
      <w:proofErr w:type="gramEnd"/>
      <w:r w:rsidRPr="0080737A">
        <w:rPr>
          <w:rFonts w:ascii="Times New Roman" w:hAnsi="Times New Roman"/>
        </w:rPr>
        <w:t xml:space="preserve"> – </w:t>
      </w:r>
      <w:proofErr w:type="gramStart"/>
      <w:r w:rsidRPr="0080737A">
        <w:rPr>
          <w:rFonts w:ascii="Times New Roman" w:hAnsi="Times New Roman"/>
        </w:rPr>
        <w:t>июне</w:t>
      </w:r>
      <w:proofErr w:type="gramEnd"/>
      <w:r w:rsidRPr="0080737A">
        <w:rPr>
          <w:rFonts w:ascii="Times New Roman" w:hAnsi="Times New Roman"/>
        </w:rPr>
        <w:t xml:space="preserve"> 2015 года.</w:t>
      </w:r>
    </w:p>
    <w:p w:rsidR="002220CA" w:rsidRPr="0080737A" w:rsidRDefault="002220CA" w:rsidP="002220CA">
      <w:pPr>
        <w:spacing w:after="0" w:line="240" w:lineRule="auto"/>
        <w:jc w:val="both"/>
        <w:rPr>
          <w:rFonts w:ascii="Times New Roman" w:eastAsiaTheme="minorEastAsia" w:hAnsi="Times New Roman" w:cstheme="minorBidi"/>
          <w:b/>
          <w:sz w:val="24"/>
          <w:szCs w:val="24"/>
        </w:rPr>
      </w:pPr>
      <w:r w:rsidRPr="0080737A">
        <w:rPr>
          <w:rFonts w:ascii="Times New Roman" w:eastAsiaTheme="minorEastAsia" w:hAnsi="Times New Roman" w:cstheme="minorBidi"/>
          <w:b/>
          <w:noProof/>
          <w:sz w:val="24"/>
          <w:szCs w:val="24"/>
        </w:rPr>
        <w:drawing>
          <wp:inline distT="0" distB="0" distL="0" distR="0">
            <wp:extent cx="5943600" cy="2962275"/>
            <wp:effectExtent l="0" t="0" r="0" b="0"/>
            <wp:docPr id="34"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220CA" w:rsidRPr="0080737A" w:rsidRDefault="002220CA" w:rsidP="002220CA">
      <w:pPr>
        <w:spacing w:after="0" w:line="240" w:lineRule="auto"/>
        <w:ind w:firstLine="709"/>
        <w:contextualSpacing/>
        <w:jc w:val="both"/>
        <w:rPr>
          <w:rFonts w:ascii="Times New Roman" w:hAnsi="Times New Roman"/>
          <w:sz w:val="24"/>
          <w:szCs w:val="24"/>
        </w:rPr>
      </w:pPr>
      <w:proofErr w:type="gramStart"/>
      <w:r w:rsidRPr="0080737A">
        <w:rPr>
          <w:rFonts w:ascii="Times New Roman" w:hAnsi="Times New Roman"/>
          <w:sz w:val="24"/>
          <w:szCs w:val="24"/>
        </w:rPr>
        <w:t>В структуре валового внутреннего продукта на фоне кризисных тенденций в экономике и широкого перечня конъюнктурных проблем отмечается повышение удельного веса отраслей материального производства по отношению к базисным параметрам на 3,9 процентных пункта до 17,99% и отраслей сферы услуг на 0,7 процентных пункта до 83,9%. Это произошло на фоне падения удельного веса фискальной составляющей «чистые налоги на продукты и импорт» до</w:t>
      </w:r>
      <w:proofErr w:type="gramEnd"/>
      <w:r w:rsidRPr="0080737A">
        <w:rPr>
          <w:rFonts w:ascii="Times New Roman" w:hAnsi="Times New Roman"/>
          <w:sz w:val="24"/>
          <w:szCs w:val="24"/>
        </w:rPr>
        <w:t xml:space="preserve"> отрицательного значения  «-»3,1% против 2,7% в январе-июне 2015 года. </w:t>
      </w:r>
      <w:proofErr w:type="gramStart"/>
      <w:r w:rsidRPr="0080737A">
        <w:rPr>
          <w:rFonts w:ascii="Times New Roman" w:hAnsi="Times New Roman"/>
          <w:sz w:val="24"/>
          <w:szCs w:val="24"/>
        </w:rPr>
        <w:t>Определившаяся результативность  экономики в январе-июне текущего года на 52,6% была обеспечена приростом вновь созданной добавленной стоимости в индустриальном и строительном комплексах.</w:t>
      </w:r>
      <w:proofErr w:type="gramEnd"/>
    </w:p>
    <w:p w:rsidR="001354B7" w:rsidRPr="0080737A" w:rsidRDefault="001354B7" w:rsidP="001354B7">
      <w:pPr>
        <w:autoSpaceDE w:val="0"/>
        <w:autoSpaceDN w:val="0"/>
        <w:adjustRightInd w:val="0"/>
        <w:spacing w:after="0" w:line="240" w:lineRule="auto"/>
        <w:ind w:firstLine="709"/>
        <w:jc w:val="both"/>
        <w:rPr>
          <w:rFonts w:ascii="Times New Roman" w:eastAsiaTheme="minorEastAsia" w:hAnsi="Times New Roman" w:cstheme="minorBidi"/>
          <w:b/>
          <w:sz w:val="24"/>
          <w:szCs w:val="24"/>
          <w:u w:val="single"/>
        </w:rPr>
      </w:pPr>
    </w:p>
    <w:p w:rsidR="001354B7" w:rsidRPr="0080737A" w:rsidRDefault="001354B7" w:rsidP="001354B7">
      <w:pPr>
        <w:autoSpaceDE w:val="0"/>
        <w:autoSpaceDN w:val="0"/>
        <w:adjustRightInd w:val="0"/>
        <w:spacing w:after="0" w:line="240" w:lineRule="auto"/>
        <w:ind w:firstLine="709"/>
        <w:jc w:val="both"/>
        <w:rPr>
          <w:rFonts w:ascii="Times New Roman" w:eastAsiaTheme="minorEastAsia" w:hAnsi="Times New Roman" w:cstheme="minorBidi"/>
          <w:b/>
          <w:sz w:val="24"/>
          <w:szCs w:val="24"/>
        </w:rPr>
      </w:pPr>
      <w:r w:rsidRPr="0080737A">
        <w:rPr>
          <w:rFonts w:ascii="Times New Roman" w:eastAsiaTheme="minorEastAsia" w:hAnsi="Times New Roman" w:cstheme="minorBidi"/>
          <w:b/>
          <w:sz w:val="24"/>
          <w:szCs w:val="24"/>
          <w:u w:val="single"/>
        </w:rPr>
        <w:t>Промышленный сектор</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Ситуация в индустриальном секторе республики в </w:t>
      </w:r>
      <w:r w:rsidRPr="0080737A">
        <w:rPr>
          <w:rFonts w:ascii="Times New Roman" w:eastAsiaTheme="minorEastAsia" w:hAnsi="Times New Roman" w:cstheme="minorBidi"/>
          <w:sz w:val="24"/>
          <w:szCs w:val="24"/>
          <w:lang w:val="en-US"/>
        </w:rPr>
        <w:t>I</w:t>
      </w:r>
      <w:r w:rsidRPr="0080737A">
        <w:rPr>
          <w:rFonts w:ascii="Times New Roman" w:eastAsiaTheme="minorEastAsia" w:hAnsi="Times New Roman" w:cstheme="minorBidi"/>
          <w:sz w:val="24"/>
          <w:szCs w:val="24"/>
        </w:rPr>
        <w:t xml:space="preserve"> полугодии текущего года складывалась под воздействием </w:t>
      </w:r>
      <w:r w:rsidRPr="0080737A">
        <w:rPr>
          <w:rFonts w:ascii="Times New Roman" w:eastAsiaTheme="minorEastAsia" w:hAnsi="Times New Roman" w:cstheme="minorBidi"/>
          <w:sz w:val="24"/>
          <w:szCs w:val="24"/>
          <w:shd w:val="clear" w:color="auto" w:fill="FFFFFF"/>
        </w:rPr>
        <w:t xml:space="preserve">ограничительных барьеров со стороны соседних государств, на фоне падения спроса на отечественную продукцию как на внутреннем, так и на внешних </w:t>
      </w:r>
      <w:proofErr w:type="spellStart"/>
      <w:r w:rsidRPr="0080737A">
        <w:rPr>
          <w:rFonts w:ascii="Times New Roman" w:eastAsiaTheme="minorEastAsia" w:hAnsi="Times New Roman" w:cstheme="minorBidi"/>
          <w:sz w:val="24"/>
          <w:szCs w:val="24"/>
          <w:shd w:val="clear" w:color="auto" w:fill="FFFFFF"/>
        </w:rPr>
        <w:t>рынках</w:t>
      </w:r>
      <w:proofErr w:type="gramStart"/>
      <w:r w:rsidRPr="0080737A">
        <w:rPr>
          <w:rFonts w:ascii="Times New Roman" w:eastAsiaTheme="minorEastAsia" w:hAnsi="Times New Roman" w:cstheme="minorBidi"/>
          <w:sz w:val="24"/>
          <w:szCs w:val="24"/>
          <w:shd w:val="clear" w:color="auto" w:fill="FFFFFF"/>
        </w:rPr>
        <w:t>.</w:t>
      </w:r>
      <w:r w:rsidRPr="0080737A">
        <w:rPr>
          <w:rFonts w:ascii="Times New Roman" w:eastAsiaTheme="minorEastAsia" w:hAnsi="Times New Roman" w:cstheme="minorBidi"/>
          <w:sz w:val="24"/>
          <w:szCs w:val="24"/>
        </w:rPr>
        <w:t>В</w:t>
      </w:r>
      <w:proofErr w:type="spellEnd"/>
      <w:proofErr w:type="gramEnd"/>
      <w:r w:rsidRPr="0080737A">
        <w:rPr>
          <w:rFonts w:ascii="Times New Roman" w:eastAsiaTheme="minorEastAsia" w:hAnsi="Times New Roman" w:cstheme="minorBidi"/>
          <w:sz w:val="24"/>
          <w:szCs w:val="24"/>
        </w:rPr>
        <w:t xml:space="preserve"> складывающейся ситуации товарный выпуск промышленных предприятий (без учета субъектов малого предпринимательства) за январь-июнь 2016 года </w:t>
      </w:r>
      <w:r w:rsidRPr="0080737A">
        <w:rPr>
          <w:rFonts w:ascii="Times New Roman" w:eastAsiaTheme="minorEastAsia" w:hAnsi="Times New Roman"/>
          <w:sz w:val="24"/>
          <w:szCs w:val="24"/>
        </w:rPr>
        <w:t xml:space="preserve">составил 4 357,6 млн. руб. (в сопоставимых ценах), что выше аналогичного показателя минувшего года на 2,5%. </w:t>
      </w:r>
      <w:proofErr w:type="gramStart"/>
      <w:r w:rsidRPr="0080737A">
        <w:rPr>
          <w:rFonts w:ascii="Times New Roman" w:eastAsiaTheme="minorEastAsia" w:hAnsi="Times New Roman"/>
          <w:sz w:val="24"/>
          <w:szCs w:val="24"/>
        </w:rPr>
        <w:t>Однако</w:t>
      </w:r>
      <w:proofErr w:type="gramEnd"/>
      <w:r w:rsidRPr="0080737A">
        <w:rPr>
          <w:rFonts w:ascii="Times New Roman" w:eastAsiaTheme="minorEastAsia" w:hAnsi="Times New Roman"/>
          <w:sz w:val="24"/>
          <w:szCs w:val="24"/>
        </w:rPr>
        <w:t xml:space="preserve"> с учетом падения текущих цен по отдельным позициям товарной номенклатуры, объем продукции в текущих ценах </w:t>
      </w:r>
      <w:r w:rsidRPr="0080737A">
        <w:rPr>
          <w:rFonts w:ascii="Times New Roman" w:eastAsiaTheme="minorEastAsia" w:hAnsi="Times New Roman" w:cstheme="minorBidi"/>
          <w:sz w:val="24"/>
          <w:szCs w:val="24"/>
        </w:rPr>
        <w:t>снизился на 8,4% по отношению к базовому уровню 2015 года, а в долларовом эквиваленте на 9,3%.</w:t>
      </w:r>
    </w:p>
    <w:p w:rsidR="001354B7" w:rsidRPr="0080737A" w:rsidRDefault="001354B7" w:rsidP="001354B7">
      <w:pPr>
        <w:spacing w:after="0" w:line="240" w:lineRule="auto"/>
        <w:ind w:firstLine="709"/>
        <w:jc w:val="both"/>
        <w:rPr>
          <w:rFonts w:ascii="Times New Roman" w:hAnsi="Times New Roman"/>
          <w:sz w:val="24"/>
          <w:szCs w:val="24"/>
        </w:rPr>
      </w:pPr>
      <w:r w:rsidRPr="0080737A">
        <w:rPr>
          <w:rFonts w:ascii="Times New Roman" w:hAnsi="Times New Roman"/>
          <w:sz w:val="24"/>
          <w:szCs w:val="24"/>
        </w:rPr>
        <w:t>Помесячная динамика промышленного производства в течени</w:t>
      </w:r>
      <w:proofErr w:type="gramStart"/>
      <w:r w:rsidRPr="0080737A">
        <w:rPr>
          <w:rFonts w:ascii="Times New Roman" w:hAnsi="Times New Roman"/>
          <w:sz w:val="24"/>
          <w:szCs w:val="24"/>
        </w:rPr>
        <w:t>и</w:t>
      </w:r>
      <w:proofErr w:type="gramEnd"/>
      <w:r w:rsidRPr="0080737A">
        <w:rPr>
          <w:rFonts w:ascii="Times New Roman" w:hAnsi="Times New Roman"/>
          <w:sz w:val="24"/>
          <w:szCs w:val="24"/>
        </w:rPr>
        <w:t xml:space="preserve"> января-июня 2016 года, на фоне неустойчивой конъюнктурной ситуации в январе, феврале и марте (по отношению к соответствующему месяцу прошлого года) характеризовалась положительным вектором (101,9%), (120,5%), (124,4%) соответственно, сменившись падением показателя с тенденцией углубления темпов снижения во второй четверти года: в апреле («-»0,1%), в мае («-»6,0%), в июне («-»18,4%). </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В разрезе </w:t>
      </w:r>
      <w:proofErr w:type="spellStart"/>
      <w:r w:rsidRPr="0080737A">
        <w:rPr>
          <w:rFonts w:ascii="Times New Roman" w:eastAsiaTheme="minorEastAsia" w:hAnsi="Times New Roman" w:cstheme="minorBidi"/>
          <w:sz w:val="24"/>
          <w:szCs w:val="24"/>
        </w:rPr>
        <w:t>подотраслей</w:t>
      </w:r>
      <w:proofErr w:type="spellEnd"/>
      <w:r w:rsidRPr="0080737A">
        <w:rPr>
          <w:rFonts w:ascii="Times New Roman" w:eastAsiaTheme="minorEastAsia" w:hAnsi="Times New Roman" w:cstheme="minorBidi"/>
          <w:sz w:val="24"/>
          <w:szCs w:val="24"/>
        </w:rPr>
        <w:t xml:space="preserve"> динамика промышленного производства в январе-июне 2016 го</w:t>
      </w:r>
      <w:r w:rsidR="002220CA" w:rsidRPr="0080737A">
        <w:rPr>
          <w:rFonts w:ascii="Times New Roman" w:eastAsiaTheme="minorEastAsia" w:hAnsi="Times New Roman" w:cstheme="minorBidi"/>
          <w:sz w:val="24"/>
          <w:szCs w:val="24"/>
        </w:rPr>
        <w:t>ду выглядела следующим образом:</w:t>
      </w:r>
    </w:p>
    <w:p w:rsidR="002220CA" w:rsidRPr="0080737A" w:rsidRDefault="002220CA" w:rsidP="001354B7">
      <w:pPr>
        <w:spacing w:after="0" w:line="240" w:lineRule="auto"/>
        <w:ind w:firstLine="709"/>
        <w:jc w:val="both"/>
        <w:rPr>
          <w:rFonts w:ascii="Times New Roman" w:eastAsiaTheme="minorEastAsia" w:hAnsi="Times New Roman" w:cstheme="minorBidi"/>
          <w:sz w:val="24"/>
          <w:szCs w:val="24"/>
        </w:rPr>
      </w:pPr>
    </w:p>
    <w:p w:rsidR="002220CA" w:rsidRPr="0080737A" w:rsidRDefault="002220CA" w:rsidP="001354B7">
      <w:pPr>
        <w:spacing w:after="0" w:line="240" w:lineRule="auto"/>
        <w:ind w:firstLine="709"/>
        <w:jc w:val="both"/>
        <w:rPr>
          <w:rFonts w:ascii="Times New Roman" w:eastAsiaTheme="minorEastAsia" w:hAnsi="Times New Roman" w:cstheme="minorBidi"/>
          <w:sz w:val="24"/>
          <w:szCs w:val="24"/>
        </w:rPr>
      </w:pPr>
    </w:p>
    <w:p w:rsidR="002220CA" w:rsidRPr="0080737A" w:rsidRDefault="002220CA" w:rsidP="001354B7">
      <w:pPr>
        <w:spacing w:after="0" w:line="240" w:lineRule="auto"/>
        <w:ind w:firstLine="709"/>
        <w:jc w:val="both"/>
        <w:rPr>
          <w:rFonts w:ascii="Times New Roman" w:eastAsiaTheme="minorEastAsia" w:hAnsi="Times New Roman" w:cstheme="minorBidi"/>
          <w:sz w:val="24"/>
          <w:szCs w:val="24"/>
        </w:rPr>
      </w:pPr>
    </w:p>
    <w:p w:rsidR="001354B7" w:rsidRPr="0080737A" w:rsidRDefault="001354B7" w:rsidP="001354B7">
      <w:pPr>
        <w:spacing w:after="0"/>
        <w:ind w:firstLine="709"/>
        <w:jc w:val="center"/>
        <w:rPr>
          <w:rFonts w:ascii="Times New Roman" w:eastAsiaTheme="minorEastAsia" w:hAnsi="Times New Roman" w:cstheme="minorBidi"/>
          <w:b/>
          <w:snapToGrid w:val="0"/>
          <w:sz w:val="24"/>
          <w:szCs w:val="24"/>
        </w:rPr>
      </w:pPr>
      <w:r w:rsidRPr="0080737A">
        <w:rPr>
          <w:rFonts w:ascii="Times New Roman" w:eastAsiaTheme="minorEastAsia" w:hAnsi="Times New Roman" w:cstheme="minorBidi"/>
          <w:b/>
          <w:snapToGrid w:val="0"/>
          <w:sz w:val="24"/>
          <w:szCs w:val="24"/>
        </w:rPr>
        <w:lastRenderedPageBreak/>
        <w:t xml:space="preserve">Динамика промышленного производства </w:t>
      </w:r>
      <w:r w:rsidRPr="0080737A">
        <w:rPr>
          <w:rFonts w:ascii="Times New Roman" w:eastAsiaTheme="minorEastAsia" w:hAnsi="Times New Roman" w:cstheme="minorBidi"/>
          <w:snapToGrid w:val="0"/>
          <w:sz w:val="24"/>
          <w:szCs w:val="24"/>
        </w:rPr>
        <w:t>(в сопоставимых ценах)</w:t>
      </w:r>
      <w:r w:rsidRPr="0080737A">
        <w:rPr>
          <w:rFonts w:ascii="Times New Roman" w:eastAsiaTheme="minorEastAsia" w:hAnsi="Times New Roman" w:cstheme="minorBidi"/>
          <w:b/>
          <w:snapToGrid w:val="0"/>
          <w:sz w:val="24"/>
          <w:szCs w:val="24"/>
        </w:rPr>
        <w:t>, %</w:t>
      </w:r>
    </w:p>
    <w:p w:rsidR="001354B7" w:rsidRPr="0080737A" w:rsidRDefault="001354B7" w:rsidP="001354B7">
      <w:pPr>
        <w:spacing w:after="0" w:line="240" w:lineRule="auto"/>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5940425" cy="3000375"/>
            <wp:effectExtent l="19050" t="0" r="3175" b="0"/>
            <wp:docPr id="8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20CA" w:rsidRPr="0080737A" w:rsidRDefault="002220CA" w:rsidP="001354B7">
      <w:pPr>
        <w:tabs>
          <w:tab w:val="left" w:pos="851"/>
          <w:tab w:val="left" w:pos="993"/>
        </w:tabs>
        <w:spacing w:after="0" w:line="240" w:lineRule="auto"/>
        <w:ind w:firstLine="709"/>
        <w:jc w:val="both"/>
        <w:rPr>
          <w:rFonts w:ascii="Times New Roman" w:hAnsi="Times New Roman"/>
          <w:sz w:val="24"/>
          <w:szCs w:val="24"/>
        </w:rPr>
      </w:pPr>
    </w:p>
    <w:p w:rsidR="001354B7" w:rsidRPr="0080737A" w:rsidRDefault="001354B7" w:rsidP="001354B7">
      <w:pPr>
        <w:tabs>
          <w:tab w:val="left" w:pos="851"/>
          <w:tab w:val="left" w:pos="993"/>
        </w:tabs>
        <w:spacing w:after="0" w:line="240" w:lineRule="auto"/>
        <w:ind w:firstLine="709"/>
        <w:jc w:val="both"/>
        <w:rPr>
          <w:rFonts w:ascii="Times New Roman" w:hAnsi="Times New Roman"/>
          <w:sz w:val="24"/>
          <w:szCs w:val="24"/>
        </w:rPr>
      </w:pPr>
      <w:r w:rsidRPr="0080737A">
        <w:rPr>
          <w:rFonts w:ascii="Times New Roman" w:hAnsi="Times New Roman"/>
          <w:sz w:val="24"/>
          <w:szCs w:val="24"/>
        </w:rPr>
        <w:t>На фоне низких базовых показателей минувшего года положительную динамику демонстрировали такие отрасли промышленности, как черная металлургия (108,3%), химическая промышленность (129,2%), промышленность строительных материалов (124,5%), легкая промышленность (110,6%), пищевая промышленность (103,2%).</w:t>
      </w:r>
    </w:p>
    <w:p w:rsidR="001354B7" w:rsidRPr="0080737A" w:rsidRDefault="001354B7" w:rsidP="001354B7">
      <w:pPr>
        <w:spacing w:after="0" w:line="240" w:lineRule="auto"/>
        <w:ind w:firstLine="540"/>
        <w:jc w:val="both"/>
        <w:rPr>
          <w:rFonts w:ascii="Times New Roman" w:eastAsiaTheme="minorEastAsia" w:hAnsi="Times New Roman"/>
          <w:sz w:val="24"/>
          <w:szCs w:val="24"/>
        </w:rPr>
      </w:pPr>
      <w:r w:rsidRPr="0080737A">
        <w:rPr>
          <w:rFonts w:ascii="Times New Roman" w:hAnsi="Times New Roman"/>
          <w:sz w:val="24"/>
          <w:szCs w:val="24"/>
        </w:rPr>
        <w:t xml:space="preserve">Однако в условиях </w:t>
      </w:r>
      <w:r w:rsidRPr="0080737A">
        <w:rPr>
          <w:rFonts w:ascii="Times New Roman" w:eastAsiaTheme="minorEastAsia" w:hAnsi="Times New Roman"/>
          <w:sz w:val="24"/>
          <w:szCs w:val="24"/>
        </w:rPr>
        <w:t>неблагоприятной экономической конъюнктурной ситуации на мировых рынках, в совокупности</w:t>
      </w:r>
      <w:r w:rsidRPr="0080737A">
        <w:rPr>
          <w:rFonts w:ascii="Times New Roman" w:hAnsi="Times New Roman"/>
          <w:sz w:val="24"/>
          <w:szCs w:val="24"/>
        </w:rPr>
        <w:t xml:space="preserve"> воздействием ограничительных </w:t>
      </w:r>
      <w:r w:rsidRPr="0080737A">
        <w:rPr>
          <w:rFonts w:ascii="Times New Roman" w:hAnsi="Times New Roman"/>
          <w:color w:val="262626"/>
          <w:sz w:val="24"/>
          <w:szCs w:val="24"/>
          <w:shd w:val="clear" w:color="auto" w:fill="FFFFFF"/>
        </w:rPr>
        <w:t xml:space="preserve">барьеров со стороны соседних государств, </w:t>
      </w:r>
      <w:r w:rsidRPr="0080737A">
        <w:rPr>
          <w:rFonts w:ascii="Times New Roman" w:eastAsiaTheme="minorEastAsia" w:hAnsi="Times New Roman"/>
          <w:sz w:val="24"/>
          <w:szCs w:val="24"/>
        </w:rPr>
        <w:t xml:space="preserve">двойного таможенного оформления экспорта и импорта, </w:t>
      </w:r>
      <w:r w:rsidRPr="0080737A">
        <w:rPr>
          <w:rFonts w:ascii="Times New Roman" w:hAnsi="Times New Roman"/>
          <w:color w:val="262626"/>
          <w:sz w:val="24"/>
          <w:szCs w:val="24"/>
          <w:shd w:val="clear" w:color="auto" w:fill="FFFFFF"/>
        </w:rPr>
        <w:t xml:space="preserve">на фоне </w:t>
      </w:r>
      <w:r w:rsidRPr="0080737A">
        <w:rPr>
          <w:rFonts w:ascii="Times New Roman" w:eastAsiaTheme="minorEastAsia" w:hAnsi="Times New Roman"/>
          <w:sz w:val="24"/>
          <w:szCs w:val="24"/>
        </w:rPr>
        <w:t>недостатка собственных оборотных средств и сложности в привлечении заемных ресурсов большинству хозяйствующим субъектам не удалось достичь базисных параметров минувшего года. Так, о</w:t>
      </w:r>
      <w:r w:rsidRPr="0080737A">
        <w:rPr>
          <w:rFonts w:ascii="Times New Roman" w:hAnsi="Times New Roman"/>
          <w:sz w:val="24"/>
          <w:szCs w:val="24"/>
        </w:rPr>
        <w:t xml:space="preserve">трицательная динамика показателя промышленного производства в рассматриваемом периоде отмечена в таких отраслях промышленности, как электроэнергетика (-3,7%), машиностроение и металлообработка (-11,1%), электротехническая промышленность (-7,4%), лесная и деревообрабатывающая промышленность (-68,3%), мукомольно-крупяная и комбикормовая промышленность </w:t>
      </w:r>
      <w:r w:rsidR="002B1C01" w:rsidRPr="0080737A">
        <w:rPr>
          <w:rFonts w:ascii="Times New Roman" w:hAnsi="Times New Roman"/>
          <w:sz w:val="24"/>
          <w:szCs w:val="24"/>
        </w:rPr>
        <w:t xml:space="preserve">      </w:t>
      </w:r>
      <w:r w:rsidRPr="0080737A">
        <w:rPr>
          <w:rFonts w:ascii="Times New Roman" w:hAnsi="Times New Roman"/>
          <w:sz w:val="24"/>
          <w:szCs w:val="24"/>
        </w:rPr>
        <w:t>(-15,7%), полиграфия (-56,3%).</w:t>
      </w:r>
    </w:p>
    <w:p w:rsidR="001354B7" w:rsidRPr="0080737A" w:rsidRDefault="001354B7" w:rsidP="001354B7">
      <w:pPr>
        <w:spacing w:after="0" w:line="240" w:lineRule="auto"/>
        <w:ind w:firstLine="425"/>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Спад промышленного производства допущен на 52 предприятиях, что составляет 57,8% от общего числа. </w:t>
      </w:r>
    </w:p>
    <w:p w:rsidR="001354B7" w:rsidRPr="0080737A" w:rsidRDefault="001354B7" w:rsidP="001354B7">
      <w:pPr>
        <w:spacing w:after="0" w:line="240" w:lineRule="auto"/>
        <w:ind w:firstLine="425"/>
        <w:jc w:val="both"/>
        <w:rPr>
          <w:rFonts w:ascii="Times New Roman" w:eastAsiaTheme="minorEastAsia" w:hAnsi="Times New Roman" w:cstheme="minorBidi"/>
          <w:sz w:val="24"/>
          <w:szCs w:val="24"/>
        </w:rPr>
      </w:pPr>
      <w:r w:rsidRPr="0080737A">
        <w:rPr>
          <w:rFonts w:ascii="Times New Roman" w:eastAsiaTheme="minorEastAsia" w:hAnsi="Times New Roman"/>
          <w:sz w:val="24"/>
          <w:szCs w:val="24"/>
        </w:rPr>
        <w:t xml:space="preserve">В целом объем промышленного производства по полному кругу предприятий (с учетом субъектов малого предпринимательства, промышленных подразделений при непромышленных организациях) в январе-июне 2016 года по оценке составил </w:t>
      </w:r>
      <w:r w:rsidRPr="0080737A">
        <w:rPr>
          <w:rFonts w:ascii="Times New Roman" w:eastAsiaTheme="minorEastAsia" w:hAnsi="Times New Roman"/>
          <w:sz w:val="24"/>
          <w:szCs w:val="24"/>
        </w:rPr>
        <w:br/>
        <w:t>4 024,6 млн. руб. или 90,5% от уровня показателя соответствующего периода минувшего года. При этом товарный выпуск в натуральном выражении вырос (и</w:t>
      </w:r>
      <w:r w:rsidRPr="0080737A">
        <w:rPr>
          <w:rFonts w:ascii="Times New Roman" w:eastAsiaTheme="minorEastAsia" w:hAnsi="Times New Roman" w:cstheme="minorBidi"/>
          <w:sz w:val="24"/>
          <w:szCs w:val="24"/>
        </w:rPr>
        <w:t>ндекс физического объёма выпуска важнейших видов продукции составил 102,4% к уровню января-июня 2015 года).</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proofErr w:type="gramStart"/>
      <w:r w:rsidRPr="0080737A">
        <w:rPr>
          <w:rFonts w:ascii="Times New Roman" w:eastAsiaTheme="minorEastAsia" w:hAnsi="Times New Roman" w:cstheme="minorBidi"/>
          <w:sz w:val="24"/>
          <w:szCs w:val="24"/>
        </w:rPr>
        <w:t>Находясь в сложных условиях в текущем году, государство продолжало оказывать государственную поддержку предприятиям в рамках принятого Закона ПМР «О некоторых государственных мерах, направленных на повышение макроэкономической и социально-экономической устойчивости Приднестровской Молдавской Республики» в части снижения налога на доходы, а также в рамках полномочий Правительства ПМР предоставление господдержки по установлению льготных тарифов на услуги естественных монополий.</w:t>
      </w:r>
      <w:proofErr w:type="gramEnd"/>
    </w:p>
    <w:p w:rsidR="001354B7" w:rsidRPr="0080737A" w:rsidRDefault="001354B7" w:rsidP="001354B7">
      <w:pPr>
        <w:spacing w:after="0" w:line="240" w:lineRule="auto"/>
        <w:ind w:firstLine="709"/>
        <w:jc w:val="both"/>
        <w:rPr>
          <w:rFonts w:ascii="Times New Roman" w:eastAsiaTheme="minorEastAsia" w:hAnsi="Times New Roman"/>
          <w:b/>
          <w:sz w:val="24"/>
          <w:szCs w:val="24"/>
          <w:u w:val="single"/>
        </w:rPr>
      </w:pPr>
    </w:p>
    <w:p w:rsidR="001354B7" w:rsidRPr="0080737A" w:rsidRDefault="001354B7" w:rsidP="001354B7">
      <w:pPr>
        <w:spacing w:after="0" w:line="240" w:lineRule="auto"/>
        <w:ind w:firstLine="709"/>
        <w:jc w:val="both"/>
        <w:rPr>
          <w:rFonts w:ascii="Times New Roman" w:eastAsiaTheme="minorEastAsia" w:hAnsi="Times New Roman"/>
          <w:b/>
          <w:sz w:val="24"/>
          <w:szCs w:val="24"/>
          <w:u w:val="single"/>
        </w:rPr>
      </w:pPr>
    </w:p>
    <w:p w:rsidR="001354B7" w:rsidRPr="0080737A" w:rsidRDefault="001354B7" w:rsidP="001354B7">
      <w:pPr>
        <w:spacing w:after="0" w:line="240" w:lineRule="auto"/>
        <w:ind w:firstLine="709"/>
        <w:jc w:val="both"/>
        <w:rPr>
          <w:rFonts w:ascii="Times New Roman" w:eastAsiaTheme="minorEastAsia" w:hAnsi="Times New Roman"/>
          <w:b/>
          <w:sz w:val="24"/>
          <w:szCs w:val="24"/>
          <w:u w:val="single"/>
        </w:rPr>
      </w:pPr>
    </w:p>
    <w:p w:rsidR="001354B7" w:rsidRPr="0080737A" w:rsidRDefault="001354B7" w:rsidP="001354B7">
      <w:pPr>
        <w:spacing w:after="0" w:line="240" w:lineRule="auto"/>
        <w:ind w:firstLine="709"/>
        <w:jc w:val="both"/>
        <w:rPr>
          <w:rFonts w:ascii="Times New Roman" w:eastAsiaTheme="minorEastAsia" w:hAnsi="Times New Roman" w:cstheme="minorBidi"/>
          <w:b/>
          <w:sz w:val="24"/>
          <w:szCs w:val="24"/>
        </w:rPr>
      </w:pPr>
      <w:r w:rsidRPr="0080737A">
        <w:rPr>
          <w:rFonts w:ascii="Times New Roman" w:eastAsiaTheme="minorEastAsia" w:hAnsi="Times New Roman"/>
          <w:b/>
          <w:sz w:val="24"/>
          <w:szCs w:val="24"/>
          <w:u w:val="single"/>
        </w:rPr>
        <w:lastRenderedPageBreak/>
        <w:t>Внешнеэкономическая деятельность</w:t>
      </w:r>
    </w:p>
    <w:p w:rsidR="001354B7" w:rsidRPr="0080737A" w:rsidRDefault="001354B7" w:rsidP="001354B7">
      <w:pPr>
        <w:shd w:val="clear" w:color="auto" w:fill="FFFFFF"/>
        <w:spacing w:after="0" w:line="240" w:lineRule="auto"/>
        <w:ind w:firstLine="709"/>
        <w:jc w:val="both"/>
        <w:rPr>
          <w:rFonts w:ascii="Times New Roman" w:eastAsiaTheme="minorEastAsia" w:hAnsi="Times New Roman"/>
          <w:sz w:val="24"/>
          <w:szCs w:val="24"/>
        </w:rPr>
      </w:pPr>
      <w:r w:rsidRPr="0080737A">
        <w:rPr>
          <w:rFonts w:ascii="Times New Roman" w:eastAsiaTheme="minorEastAsia" w:hAnsi="Times New Roman"/>
          <w:sz w:val="24"/>
          <w:szCs w:val="24"/>
        </w:rPr>
        <w:t>Влияние ценовой конъюнктуры мировых рынков, а также негативных внешнеэкономических и внешнеполитических вызовов в совокупности с осложнением внутренних условий функционирования оказывали непосредственное воздействие на деятельность экономических агентов Приднестровской Молдавской Республики и как следствие на динамику показателей внешнеэкономической деятельности.</w:t>
      </w:r>
    </w:p>
    <w:p w:rsidR="001354B7" w:rsidRPr="0080737A" w:rsidRDefault="001354B7" w:rsidP="001354B7">
      <w:pPr>
        <w:widowControl w:val="0"/>
        <w:tabs>
          <w:tab w:val="left" w:pos="7920"/>
        </w:tabs>
        <w:spacing w:after="0" w:line="240" w:lineRule="auto"/>
        <w:ind w:firstLine="709"/>
        <w:jc w:val="center"/>
        <w:rPr>
          <w:rFonts w:ascii="Times New Roman" w:hAnsi="Times New Roman"/>
          <w:b/>
        </w:rPr>
      </w:pPr>
    </w:p>
    <w:p w:rsidR="001354B7" w:rsidRPr="0080737A" w:rsidRDefault="001354B7" w:rsidP="001354B7">
      <w:pPr>
        <w:widowControl w:val="0"/>
        <w:tabs>
          <w:tab w:val="left" w:pos="7920"/>
        </w:tabs>
        <w:spacing w:after="0" w:line="240" w:lineRule="auto"/>
        <w:ind w:firstLine="709"/>
        <w:jc w:val="center"/>
        <w:rPr>
          <w:rFonts w:ascii="Times New Roman" w:hAnsi="Times New Roman"/>
          <w:b/>
        </w:rPr>
      </w:pPr>
      <w:r w:rsidRPr="0080737A">
        <w:rPr>
          <w:rFonts w:ascii="Times New Roman" w:hAnsi="Times New Roman"/>
          <w:b/>
        </w:rPr>
        <w:t>Динамика внешнеторгового оборота в январе-июне 2015 - 2016 г.г., млн. долл. США</w:t>
      </w:r>
    </w:p>
    <w:p w:rsidR="001354B7" w:rsidRPr="0080737A" w:rsidRDefault="001354B7" w:rsidP="001354B7">
      <w:pPr>
        <w:shd w:val="clear" w:color="auto" w:fill="FFFFFF"/>
        <w:spacing w:after="0" w:line="240" w:lineRule="auto"/>
        <w:jc w:val="both"/>
        <w:rPr>
          <w:rFonts w:ascii="Times New Roman" w:eastAsiaTheme="minorEastAsia" w:hAnsi="Times New Roman"/>
          <w:sz w:val="24"/>
          <w:szCs w:val="24"/>
        </w:rPr>
      </w:pPr>
      <w:r w:rsidRPr="0080737A">
        <w:rPr>
          <w:rFonts w:ascii="Times New Roman" w:eastAsiaTheme="minorEastAsia" w:hAnsi="Times New Roman"/>
          <w:noProof/>
          <w:sz w:val="24"/>
          <w:szCs w:val="24"/>
        </w:rPr>
        <w:drawing>
          <wp:inline distT="0" distB="0" distL="0" distR="0">
            <wp:extent cx="5905500" cy="1533525"/>
            <wp:effectExtent l="0" t="0" r="0" b="0"/>
            <wp:docPr id="8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54B7" w:rsidRPr="0080737A" w:rsidRDefault="001354B7" w:rsidP="001354B7">
      <w:pPr>
        <w:shd w:val="clear" w:color="auto" w:fill="FFFFFF"/>
        <w:spacing w:after="0" w:line="240" w:lineRule="auto"/>
        <w:ind w:firstLine="709"/>
        <w:jc w:val="both"/>
        <w:rPr>
          <w:rFonts w:ascii="Times New Roman" w:eastAsiaTheme="minorEastAsia" w:hAnsi="Times New Roman"/>
          <w:sz w:val="24"/>
          <w:szCs w:val="24"/>
        </w:rPr>
      </w:pPr>
      <w:r w:rsidRPr="0080737A">
        <w:rPr>
          <w:rFonts w:ascii="Times New Roman" w:eastAsiaTheme="minorEastAsia" w:hAnsi="Times New Roman"/>
          <w:sz w:val="24"/>
          <w:szCs w:val="24"/>
        </w:rPr>
        <w:t xml:space="preserve">Совокупный внешнеторговый оборот резидентов республики в январе-июне текущего года по отношению к базовому показателю 2015 года снизился на четверть </w:t>
      </w:r>
      <w:r w:rsidRPr="0080737A">
        <w:rPr>
          <w:rFonts w:ascii="Times New Roman" w:eastAsiaTheme="minorEastAsia" w:hAnsi="Times New Roman"/>
          <w:sz w:val="24"/>
          <w:szCs w:val="24"/>
        </w:rPr>
        <w:br/>
        <w:t xml:space="preserve">(«-»25,3%) до 676,8 млн. долл., объем экспортных и импортных поставок сократился на 12,1% до 253,5 млн. долл. и на 31,4% до 423,2 млн. долл. соответственно. Таким образом, в рассматриваемом периоде отмечается </w:t>
      </w:r>
      <w:r w:rsidRPr="0080737A">
        <w:rPr>
          <w:rFonts w:ascii="Times New Roman" w:eastAsiaTheme="minorEastAsia" w:hAnsi="Times New Roman" w:cstheme="minorBidi"/>
          <w:sz w:val="24"/>
          <w:szCs w:val="24"/>
        </w:rPr>
        <w:t xml:space="preserve">замедление падения объемов экспорта </w:t>
      </w:r>
      <w:r w:rsidR="002B1C01" w:rsidRPr="0080737A">
        <w:rPr>
          <w:rFonts w:ascii="Times New Roman" w:eastAsiaTheme="minorEastAsia" w:hAnsi="Times New Roman" w:cstheme="minorBidi"/>
          <w:sz w:val="24"/>
          <w:szCs w:val="24"/>
        </w:rPr>
        <w:t xml:space="preserve">                      </w:t>
      </w:r>
      <w:r w:rsidRPr="0080737A">
        <w:rPr>
          <w:rFonts w:ascii="Times New Roman" w:eastAsiaTheme="minorEastAsia" w:hAnsi="Times New Roman" w:cstheme="minorBidi"/>
          <w:sz w:val="24"/>
          <w:szCs w:val="24"/>
        </w:rPr>
        <w:t xml:space="preserve">(-8,4 процентных пункта), </w:t>
      </w:r>
      <w:r w:rsidRPr="0080737A">
        <w:rPr>
          <w:rFonts w:ascii="Times New Roman" w:hAnsi="Times New Roman"/>
          <w:sz w:val="24"/>
          <w:szCs w:val="24"/>
        </w:rPr>
        <w:t xml:space="preserve">скорость сужения импорта, напротив, несколько возросла </w:t>
      </w:r>
      <w:r w:rsidR="002B1C01" w:rsidRPr="0080737A">
        <w:rPr>
          <w:rFonts w:ascii="Times New Roman" w:hAnsi="Times New Roman"/>
          <w:sz w:val="24"/>
          <w:szCs w:val="24"/>
        </w:rPr>
        <w:t xml:space="preserve">                 </w:t>
      </w:r>
      <w:r w:rsidRPr="0080737A">
        <w:rPr>
          <w:rFonts w:ascii="Times New Roman" w:hAnsi="Times New Roman"/>
          <w:sz w:val="24"/>
          <w:szCs w:val="24"/>
        </w:rPr>
        <w:t xml:space="preserve">(+6,2 </w:t>
      </w:r>
      <w:r w:rsidRPr="0080737A">
        <w:rPr>
          <w:rFonts w:ascii="Times New Roman" w:eastAsiaTheme="minorEastAsia" w:hAnsi="Times New Roman" w:cstheme="minorBidi"/>
          <w:sz w:val="24"/>
          <w:szCs w:val="24"/>
        </w:rPr>
        <w:t>процентных пункта</w:t>
      </w:r>
      <w:r w:rsidRPr="0080737A">
        <w:rPr>
          <w:rFonts w:ascii="Times New Roman" w:hAnsi="Times New Roman"/>
          <w:sz w:val="24"/>
          <w:szCs w:val="24"/>
        </w:rPr>
        <w:t>).</w:t>
      </w:r>
    </w:p>
    <w:p w:rsidR="001354B7" w:rsidRPr="0080737A" w:rsidRDefault="001354B7" w:rsidP="001354B7">
      <w:pPr>
        <w:spacing w:after="0" w:line="240" w:lineRule="auto"/>
        <w:ind w:firstLine="709"/>
        <w:jc w:val="both"/>
        <w:rPr>
          <w:rFonts w:ascii="Times New Roman" w:hAnsi="Times New Roman"/>
          <w:sz w:val="24"/>
        </w:rPr>
      </w:pPr>
      <w:r w:rsidRPr="0080737A">
        <w:rPr>
          <w:rFonts w:ascii="Times New Roman" w:hAnsi="Times New Roman"/>
          <w:sz w:val="24"/>
        </w:rPr>
        <w:t xml:space="preserve">Анализ товарной структуры экспорта свидетельствует о сужении поставок за рубеж по большинству товарных наименований. </w:t>
      </w:r>
      <w:proofErr w:type="gramStart"/>
      <w:r w:rsidRPr="0080737A">
        <w:rPr>
          <w:rFonts w:ascii="Times New Roman" w:hAnsi="Times New Roman"/>
          <w:sz w:val="24"/>
        </w:rPr>
        <w:t xml:space="preserve">Так, на фоне существенного роста экспорта топливно-энергетических товаров в базисном периоде (+32,4%) в совокупности с сокращением контрактной цены на электроэнергию с апреля месяца текущего года на 30%, в рассматриваемом периоде при сохранении лидирующей позиции в товарной структуре (36,1% совокупного экспорта) их поставки за рубеж сократились на 14,7% до 91,6 млн. долл. В числе статей, уступивших параметрам </w:t>
      </w:r>
      <w:r w:rsidRPr="0080737A">
        <w:rPr>
          <w:rFonts w:ascii="Times New Roman" w:hAnsi="Times New Roman"/>
          <w:sz w:val="24"/>
          <w:lang w:val="en-US"/>
        </w:rPr>
        <w:t>I</w:t>
      </w:r>
      <w:r w:rsidRPr="0080737A">
        <w:rPr>
          <w:rFonts w:ascii="Times New Roman" w:hAnsi="Times New Roman"/>
          <w:sz w:val="24"/>
        </w:rPr>
        <w:t xml:space="preserve"> полугодия 2015 года</w:t>
      </w:r>
      <w:proofErr w:type="gramEnd"/>
      <w:r w:rsidR="002B1C01" w:rsidRPr="0080737A">
        <w:rPr>
          <w:rFonts w:ascii="Times New Roman" w:hAnsi="Times New Roman"/>
          <w:sz w:val="24"/>
        </w:rPr>
        <w:t xml:space="preserve"> </w:t>
      </w:r>
      <w:proofErr w:type="gramStart"/>
      <w:r w:rsidRPr="0080737A">
        <w:rPr>
          <w:rFonts w:ascii="Times New Roman" w:hAnsi="Times New Roman"/>
          <w:sz w:val="24"/>
        </w:rPr>
        <w:t xml:space="preserve">также фигурируют металлы и изделия из них, в абсолютном выражении стоимостная величина которых уменьшилась на 15,7%, сократив долевое участие в товарной структуре на </w:t>
      </w:r>
      <w:r w:rsidR="002B1C01" w:rsidRPr="0080737A">
        <w:rPr>
          <w:rFonts w:ascii="Times New Roman" w:hAnsi="Times New Roman"/>
          <w:sz w:val="24"/>
        </w:rPr>
        <w:t xml:space="preserve">                 </w:t>
      </w:r>
      <w:r w:rsidRPr="0080737A">
        <w:rPr>
          <w:rFonts w:ascii="Times New Roman" w:hAnsi="Times New Roman"/>
          <w:sz w:val="24"/>
        </w:rPr>
        <w:t>0,9 процентных пункта до 21,3%. Поставки продовольствия сократились на 17,4% по отношению к соответствующему периоду прошлого года, сузив при этом долевое участие в товарной структуре на 0,7 процентных пункта до 11,2%. Спрос на машиностроительную продукцию за рубежом</w:t>
      </w:r>
      <w:proofErr w:type="gramEnd"/>
      <w:r w:rsidRPr="0080737A">
        <w:rPr>
          <w:rFonts w:ascii="Times New Roman" w:hAnsi="Times New Roman"/>
          <w:sz w:val="24"/>
        </w:rPr>
        <w:t>, обусловил сокращение ее поставок на 19,5% и долевого участия в товарной структуре экспорта на 0,4 процентных пункта до 4,1%.</w:t>
      </w:r>
    </w:p>
    <w:p w:rsidR="001354B7" w:rsidRPr="0080737A" w:rsidRDefault="001354B7" w:rsidP="001354B7">
      <w:pPr>
        <w:spacing w:after="0" w:line="240" w:lineRule="auto"/>
        <w:jc w:val="center"/>
        <w:rPr>
          <w:rFonts w:ascii="Times New Roman" w:hAnsi="Times New Roman"/>
          <w:b/>
          <w:sz w:val="24"/>
          <w:szCs w:val="24"/>
        </w:rPr>
      </w:pPr>
    </w:p>
    <w:p w:rsidR="001354B7" w:rsidRPr="0080737A" w:rsidRDefault="001354B7" w:rsidP="001354B7">
      <w:pPr>
        <w:spacing w:after="0" w:line="240" w:lineRule="auto"/>
        <w:jc w:val="center"/>
        <w:rPr>
          <w:rFonts w:ascii="Times New Roman" w:hAnsi="Times New Roman"/>
          <w:b/>
          <w:sz w:val="24"/>
          <w:szCs w:val="24"/>
        </w:rPr>
      </w:pPr>
      <w:r w:rsidRPr="0080737A">
        <w:rPr>
          <w:rFonts w:ascii="Times New Roman" w:hAnsi="Times New Roman"/>
          <w:b/>
          <w:sz w:val="24"/>
          <w:szCs w:val="24"/>
        </w:rPr>
        <w:t>Товарная структура экспорта, млн. долл. США</w:t>
      </w:r>
    </w:p>
    <w:p w:rsidR="001354B7" w:rsidRPr="0080737A" w:rsidRDefault="001354B7" w:rsidP="001354B7">
      <w:pPr>
        <w:widowControl w:val="0"/>
        <w:spacing w:after="0" w:line="240" w:lineRule="auto"/>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5943600" cy="2466975"/>
            <wp:effectExtent l="0" t="0" r="0" b="0"/>
            <wp:docPr id="9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54B7" w:rsidRPr="0080737A" w:rsidRDefault="001354B7" w:rsidP="001354B7">
      <w:pPr>
        <w:spacing w:after="0" w:line="240" w:lineRule="auto"/>
        <w:ind w:firstLine="709"/>
        <w:jc w:val="both"/>
        <w:rPr>
          <w:rFonts w:ascii="Times New Roman" w:hAnsi="Times New Roman"/>
          <w:sz w:val="24"/>
        </w:rPr>
      </w:pPr>
      <w:r w:rsidRPr="0080737A">
        <w:rPr>
          <w:rFonts w:ascii="Times New Roman" w:eastAsiaTheme="minorEastAsia" w:hAnsi="Times New Roman"/>
          <w:sz w:val="24"/>
          <w:szCs w:val="24"/>
        </w:rPr>
        <w:lastRenderedPageBreak/>
        <w:t>В числе статей</w:t>
      </w:r>
      <w:r w:rsidRPr="0080737A">
        <w:rPr>
          <w:rFonts w:ascii="Times New Roman" w:hAnsi="Times New Roman"/>
          <w:sz w:val="24"/>
          <w:szCs w:val="24"/>
        </w:rPr>
        <w:t>,</w:t>
      </w:r>
      <w:r w:rsidR="002B1C01" w:rsidRPr="0080737A">
        <w:rPr>
          <w:rFonts w:ascii="Times New Roman" w:hAnsi="Times New Roman"/>
          <w:sz w:val="24"/>
          <w:szCs w:val="24"/>
        </w:rPr>
        <w:t xml:space="preserve"> </w:t>
      </w:r>
      <w:r w:rsidRPr="0080737A">
        <w:rPr>
          <w:rFonts w:ascii="Times New Roman" w:hAnsi="Times New Roman"/>
          <w:sz w:val="24"/>
          <w:szCs w:val="24"/>
        </w:rPr>
        <w:t>расширивших экспортные поставки выступают</w:t>
      </w:r>
      <w:r w:rsidRPr="0080737A">
        <w:rPr>
          <w:rFonts w:ascii="Times New Roman" w:eastAsiaTheme="minorEastAsia" w:hAnsi="Times New Roman"/>
          <w:sz w:val="24"/>
          <w:szCs w:val="24"/>
        </w:rPr>
        <w:t xml:space="preserve"> товар</w:t>
      </w:r>
      <w:r w:rsidRPr="0080737A">
        <w:rPr>
          <w:rFonts w:ascii="Times New Roman" w:hAnsi="Times New Roman"/>
          <w:sz w:val="24"/>
          <w:szCs w:val="24"/>
        </w:rPr>
        <w:t>ы</w:t>
      </w:r>
      <w:r w:rsidRPr="0080737A">
        <w:rPr>
          <w:rFonts w:ascii="Times New Roman" w:eastAsiaTheme="minorEastAsia" w:hAnsi="Times New Roman"/>
          <w:sz w:val="24"/>
          <w:szCs w:val="24"/>
        </w:rPr>
        <w:t xml:space="preserve"> лёгкой промышленности</w:t>
      </w:r>
      <w:r w:rsidRPr="0080737A">
        <w:rPr>
          <w:rFonts w:ascii="Times New Roman" w:hAnsi="Times New Roman"/>
          <w:sz w:val="24"/>
          <w:szCs w:val="24"/>
        </w:rPr>
        <w:t xml:space="preserve"> (текстильные материалы, одежда, текстильные изделия, обувь</w:t>
      </w:r>
      <w:proofErr w:type="gramStart"/>
      <w:r w:rsidRPr="0080737A">
        <w:rPr>
          <w:rFonts w:ascii="Times New Roman" w:hAnsi="Times New Roman"/>
          <w:sz w:val="24"/>
          <w:szCs w:val="24"/>
        </w:rPr>
        <w:t>)у</w:t>
      </w:r>
      <w:proofErr w:type="gramEnd"/>
      <w:r w:rsidRPr="0080737A">
        <w:rPr>
          <w:rFonts w:ascii="Times New Roman" w:hAnsi="Times New Roman"/>
          <w:sz w:val="24"/>
          <w:szCs w:val="24"/>
        </w:rPr>
        <w:t>величившие объем реализации товаров за рубеж на 0,3%, расширив, при этом долевое участие в товарной структуре на 2,5 процентных пункта до 20,2%.</w:t>
      </w:r>
      <w:r w:rsidRPr="0080737A">
        <w:rPr>
          <w:rFonts w:ascii="Times New Roman" w:hAnsi="Times New Roman"/>
          <w:sz w:val="24"/>
        </w:rPr>
        <w:t xml:space="preserve">Экспортные поставки минеральных продуктов выросли в рассматриваемом периоде на 1,3% по отношению к соответствующему периоду прошлого года, а их долевое участие в товарной структуре расширилось на 0,6 </w:t>
      </w:r>
      <w:proofErr w:type="gramStart"/>
      <w:r w:rsidRPr="0080737A">
        <w:rPr>
          <w:rFonts w:ascii="Times New Roman" w:hAnsi="Times New Roman"/>
          <w:sz w:val="24"/>
        </w:rPr>
        <w:t>процентных</w:t>
      </w:r>
      <w:proofErr w:type="gramEnd"/>
      <w:r w:rsidRPr="0080737A">
        <w:rPr>
          <w:rFonts w:ascii="Times New Roman" w:hAnsi="Times New Roman"/>
          <w:sz w:val="24"/>
        </w:rPr>
        <w:t xml:space="preserve"> пункта до 4,5%.</w:t>
      </w:r>
    </w:p>
    <w:p w:rsidR="001354B7" w:rsidRPr="0080737A" w:rsidRDefault="001354B7" w:rsidP="001354B7">
      <w:pPr>
        <w:spacing w:after="0" w:line="240" w:lineRule="auto"/>
        <w:ind w:firstLine="709"/>
        <w:contextualSpacing/>
        <w:jc w:val="both"/>
        <w:rPr>
          <w:rFonts w:ascii="Times New Roman" w:hAnsi="Times New Roman"/>
          <w:sz w:val="24"/>
        </w:rPr>
      </w:pPr>
      <w:proofErr w:type="gramStart"/>
      <w:r w:rsidRPr="0080737A">
        <w:rPr>
          <w:rFonts w:ascii="Times New Roman" w:hAnsi="Times New Roman"/>
          <w:sz w:val="24"/>
        </w:rPr>
        <w:t xml:space="preserve">Основными торговыми партнерами Приднестровья по экспортным поставкам в январе – июне 2016 года являлись Республика Молдова (44,9% совокупного экспорта, </w:t>
      </w:r>
      <w:r w:rsidR="002B1C01" w:rsidRPr="0080737A">
        <w:rPr>
          <w:rFonts w:ascii="Times New Roman" w:hAnsi="Times New Roman"/>
          <w:sz w:val="24"/>
        </w:rPr>
        <w:t xml:space="preserve">            </w:t>
      </w:r>
      <w:r w:rsidRPr="0080737A">
        <w:rPr>
          <w:rFonts w:ascii="Times New Roman" w:hAnsi="Times New Roman"/>
          <w:sz w:val="24"/>
        </w:rPr>
        <w:t>«-» 20,6% к уровню января – июня 2015 года), Румыния (16,5%, прирост на 5,1% к базовому уровню 2015 года), Украина (8,2%, увеличение на 16,1% к уровню января – июня 2015 года), Российская Федерация (7,8%, «-» 16,9% базисного уровня 2015 года), Италия (7,6%, «-» 11,6% к уровню января</w:t>
      </w:r>
      <w:proofErr w:type="gramEnd"/>
      <w:r w:rsidRPr="0080737A">
        <w:rPr>
          <w:rFonts w:ascii="Times New Roman" w:hAnsi="Times New Roman"/>
          <w:sz w:val="24"/>
        </w:rPr>
        <w:t xml:space="preserve"> – июня 2015 года), Германия (6,5%, прирост на 8,6% к базовому уровню 2015 года). Экспортные поставки в данные страны обеспечили 91,5% всех поставок за рубеж.</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Таможенная стоимость импортных поставок на территорию республики за январь-июнь 2016 года составила 423,2 млн. долл., что на 31,</w:t>
      </w:r>
      <w:r w:rsidR="001B363E" w:rsidRPr="0080737A">
        <w:rPr>
          <w:rFonts w:ascii="Times New Roman" w:eastAsiaTheme="minorEastAsia" w:hAnsi="Times New Roman" w:cstheme="minorBidi"/>
          <w:sz w:val="24"/>
          <w:szCs w:val="24"/>
        </w:rPr>
        <w:t>4</w:t>
      </w:r>
      <w:r w:rsidRPr="0080737A">
        <w:rPr>
          <w:rFonts w:ascii="Times New Roman" w:eastAsiaTheme="minorEastAsia" w:hAnsi="Times New Roman" w:cstheme="minorBidi"/>
          <w:sz w:val="24"/>
          <w:szCs w:val="24"/>
        </w:rPr>
        <w:t xml:space="preserve">% ниже базисного показателя I полугодия 2015 года. </w:t>
      </w:r>
    </w:p>
    <w:p w:rsidR="001354B7" w:rsidRPr="0080737A" w:rsidRDefault="001354B7" w:rsidP="001354B7">
      <w:pPr>
        <w:spacing w:after="0" w:line="240" w:lineRule="auto"/>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5940425" cy="3065412"/>
            <wp:effectExtent l="0" t="0" r="0" b="0"/>
            <wp:docPr id="92"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54B7" w:rsidRPr="0080737A" w:rsidRDefault="001354B7" w:rsidP="001354B7">
      <w:pPr>
        <w:widowControl w:val="0"/>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Товарная структура импортных поставок в республику в январе – июне 2016 года зависела от конъюнктурной ситуации на товарных рынках и обуславливалась </w:t>
      </w:r>
      <w:proofErr w:type="spellStart"/>
      <w:r w:rsidRPr="0080737A">
        <w:rPr>
          <w:rFonts w:ascii="Times New Roman" w:hAnsi="Times New Roman"/>
          <w:sz w:val="24"/>
          <w:szCs w:val="24"/>
        </w:rPr>
        <w:t>востребованостью</w:t>
      </w:r>
      <w:proofErr w:type="spellEnd"/>
      <w:r w:rsidRPr="0080737A">
        <w:rPr>
          <w:rFonts w:ascii="Times New Roman" w:hAnsi="Times New Roman"/>
          <w:sz w:val="24"/>
          <w:szCs w:val="24"/>
        </w:rPr>
        <w:t xml:space="preserve"> крупных предприятий индустрии в сырьевых материалах и ресурсах. Так, на фоне падения цены на потребляемый природный газ и сжатия внутреннего спроса в связи нестабильной работой ряда предприятий, стоимость приобретённых топливно-энергетических товаров сократилась на 38,4% до 216,7 млн. долл.(51,2% совокупного импорта) и стало одной из причин масштабного сокращения импорта в республику.</w:t>
      </w:r>
    </w:p>
    <w:p w:rsidR="001354B7" w:rsidRPr="0080737A" w:rsidRDefault="001354B7" w:rsidP="001354B7">
      <w:pPr>
        <w:spacing w:after="0" w:line="240" w:lineRule="auto"/>
        <w:ind w:firstLine="709"/>
        <w:jc w:val="both"/>
        <w:rPr>
          <w:rFonts w:ascii="Times New Roman" w:hAnsi="Times New Roman"/>
          <w:sz w:val="24"/>
        </w:rPr>
      </w:pPr>
      <w:proofErr w:type="gramStart"/>
      <w:r w:rsidRPr="0080737A">
        <w:rPr>
          <w:rFonts w:ascii="Times New Roman" w:eastAsiaTheme="minorEastAsia" w:hAnsi="Times New Roman"/>
          <w:sz w:val="24"/>
          <w:szCs w:val="24"/>
        </w:rPr>
        <w:t>Среди статей импорта, характеризовавшихся понижательной динамикой</w:t>
      </w:r>
      <w:r w:rsidRPr="0080737A">
        <w:rPr>
          <w:rFonts w:ascii="Times New Roman" w:hAnsi="Times New Roman"/>
          <w:sz w:val="24"/>
          <w:szCs w:val="24"/>
        </w:rPr>
        <w:t xml:space="preserve"> в январе – июне 2016 года</w:t>
      </w:r>
      <w:r w:rsidRPr="0080737A">
        <w:rPr>
          <w:rFonts w:ascii="Times New Roman" w:eastAsiaTheme="minorEastAsia" w:hAnsi="Times New Roman"/>
          <w:sz w:val="24"/>
          <w:szCs w:val="24"/>
        </w:rPr>
        <w:t xml:space="preserve">, были отмечены металлы и изделия из них (- </w:t>
      </w:r>
      <w:r w:rsidRPr="0080737A">
        <w:rPr>
          <w:rFonts w:ascii="Times New Roman" w:hAnsi="Times New Roman"/>
          <w:sz w:val="24"/>
          <w:szCs w:val="24"/>
        </w:rPr>
        <w:t>53,8</w:t>
      </w:r>
      <w:r w:rsidRPr="0080737A">
        <w:rPr>
          <w:rFonts w:ascii="Times New Roman" w:eastAsiaTheme="minorEastAsia" w:hAnsi="Times New Roman"/>
          <w:sz w:val="24"/>
          <w:szCs w:val="24"/>
        </w:rPr>
        <w:t xml:space="preserve">% до </w:t>
      </w:r>
      <w:r w:rsidRPr="0080737A">
        <w:rPr>
          <w:rFonts w:ascii="Times New Roman" w:hAnsi="Times New Roman"/>
          <w:sz w:val="24"/>
          <w:szCs w:val="24"/>
        </w:rPr>
        <w:t>29,2</w:t>
      </w:r>
      <w:r w:rsidRPr="0080737A">
        <w:rPr>
          <w:rFonts w:ascii="Times New Roman" w:eastAsiaTheme="minorEastAsia" w:hAnsi="Times New Roman"/>
          <w:sz w:val="24"/>
          <w:szCs w:val="24"/>
        </w:rPr>
        <w:t xml:space="preserve"> млн. долл.), сузившие долевое представительство в товарной структуре до </w:t>
      </w:r>
      <w:r w:rsidRPr="0080737A">
        <w:rPr>
          <w:rFonts w:ascii="Times New Roman" w:hAnsi="Times New Roman"/>
          <w:sz w:val="24"/>
          <w:szCs w:val="24"/>
        </w:rPr>
        <w:t>6,9</w:t>
      </w:r>
      <w:r w:rsidRPr="0080737A">
        <w:rPr>
          <w:rFonts w:ascii="Times New Roman" w:eastAsiaTheme="minorEastAsia" w:hAnsi="Times New Roman"/>
          <w:sz w:val="24"/>
          <w:szCs w:val="24"/>
        </w:rPr>
        <w:t xml:space="preserve">% против </w:t>
      </w:r>
      <w:r w:rsidRPr="0080737A">
        <w:rPr>
          <w:rFonts w:ascii="Times New Roman" w:hAnsi="Times New Roman"/>
          <w:sz w:val="24"/>
          <w:szCs w:val="24"/>
        </w:rPr>
        <w:t>10,2</w:t>
      </w:r>
      <w:r w:rsidRPr="0080737A">
        <w:rPr>
          <w:rFonts w:ascii="Times New Roman" w:eastAsiaTheme="minorEastAsia" w:hAnsi="Times New Roman"/>
          <w:sz w:val="24"/>
          <w:szCs w:val="24"/>
        </w:rPr>
        <w:t>% в базовом периоде 201</w:t>
      </w:r>
      <w:r w:rsidRPr="0080737A">
        <w:rPr>
          <w:rFonts w:ascii="Times New Roman" w:hAnsi="Times New Roman"/>
          <w:sz w:val="24"/>
          <w:szCs w:val="24"/>
        </w:rPr>
        <w:t>5</w:t>
      </w:r>
      <w:r w:rsidRPr="0080737A">
        <w:rPr>
          <w:rFonts w:ascii="Times New Roman" w:eastAsiaTheme="minorEastAsia" w:hAnsi="Times New Roman"/>
          <w:sz w:val="24"/>
          <w:szCs w:val="24"/>
        </w:rPr>
        <w:t xml:space="preserve"> года., </w:t>
      </w:r>
      <w:r w:rsidRPr="0080737A">
        <w:rPr>
          <w:rFonts w:ascii="Times New Roman" w:hAnsi="Times New Roman"/>
          <w:sz w:val="24"/>
          <w:szCs w:val="24"/>
        </w:rPr>
        <w:t>машиностроительная продукция, на импортные</w:t>
      </w:r>
      <w:r w:rsidRPr="0080737A">
        <w:rPr>
          <w:rFonts w:ascii="Times New Roman" w:hAnsi="Times New Roman"/>
          <w:sz w:val="24"/>
        </w:rPr>
        <w:t xml:space="preserve"> поставки которой приходилось 9,1% ввезенных товаров против 9,6% в </w:t>
      </w:r>
      <w:r w:rsidRPr="0080737A">
        <w:rPr>
          <w:rFonts w:ascii="Times New Roman" w:hAnsi="Times New Roman"/>
          <w:sz w:val="24"/>
          <w:lang w:val="en-US"/>
        </w:rPr>
        <w:t>I</w:t>
      </w:r>
      <w:r w:rsidRPr="0080737A">
        <w:rPr>
          <w:rFonts w:ascii="Times New Roman" w:hAnsi="Times New Roman"/>
          <w:sz w:val="24"/>
        </w:rPr>
        <w:t xml:space="preserve"> полугодии 2015 года, в абсолютной величине их объем</w:t>
      </w:r>
      <w:proofErr w:type="gramEnd"/>
      <w:r w:rsidRPr="0080737A">
        <w:rPr>
          <w:rFonts w:ascii="Times New Roman" w:hAnsi="Times New Roman"/>
          <w:sz w:val="24"/>
        </w:rPr>
        <w:t xml:space="preserve"> сократился на 34,4%.</w:t>
      </w:r>
    </w:p>
    <w:p w:rsidR="001354B7" w:rsidRPr="0080737A" w:rsidRDefault="001354B7" w:rsidP="001354B7">
      <w:pPr>
        <w:spacing w:after="0" w:line="240" w:lineRule="auto"/>
        <w:ind w:firstLine="709"/>
        <w:jc w:val="both"/>
        <w:rPr>
          <w:rFonts w:ascii="Times New Roman" w:hAnsi="Times New Roman"/>
          <w:sz w:val="24"/>
        </w:rPr>
      </w:pPr>
      <w:r w:rsidRPr="0080737A">
        <w:rPr>
          <w:rFonts w:ascii="Times New Roman" w:hAnsi="Times New Roman"/>
          <w:sz w:val="24"/>
          <w:szCs w:val="24"/>
        </w:rPr>
        <w:t>Импортные поставки</w:t>
      </w:r>
      <w:r w:rsidRPr="0080737A">
        <w:rPr>
          <w:rFonts w:ascii="Times New Roman" w:eastAsiaTheme="minorEastAsia" w:hAnsi="Times New Roman"/>
          <w:sz w:val="24"/>
          <w:szCs w:val="24"/>
        </w:rPr>
        <w:t xml:space="preserve"> продовольственных товаров и сырья </w:t>
      </w:r>
      <w:r w:rsidRPr="0080737A">
        <w:rPr>
          <w:rFonts w:ascii="Times New Roman" w:hAnsi="Times New Roman"/>
          <w:sz w:val="24"/>
          <w:szCs w:val="24"/>
        </w:rPr>
        <w:t xml:space="preserve">уступили параметрам января-июня 2015 года 8,1%, составив </w:t>
      </w:r>
      <w:r w:rsidRPr="0080737A">
        <w:rPr>
          <w:rFonts w:ascii="Times New Roman" w:hAnsi="Times New Roman"/>
          <w:sz w:val="24"/>
        </w:rPr>
        <w:t xml:space="preserve">в денежном эквиваленте </w:t>
      </w:r>
      <w:r w:rsidRPr="0080737A">
        <w:rPr>
          <w:rFonts w:ascii="Times New Roman" w:eastAsiaTheme="minorEastAsia" w:hAnsi="Times New Roman"/>
          <w:sz w:val="24"/>
          <w:szCs w:val="24"/>
        </w:rPr>
        <w:t>4</w:t>
      </w:r>
      <w:r w:rsidRPr="0080737A">
        <w:rPr>
          <w:rFonts w:ascii="Times New Roman" w:hAnsi="Times New Roman"/>
          <w:sz w:val="24"/>
          <w:szCs w:val="24"/>
        </w:rPr>
        <w:t>3</w:t>
      </w:r>
      <w:r w:rsidRPr="0080737A">
        <w:rPr>
          <w:rFonts w:ascii="Times New Roman" w:eastAsiaTheme="minorEastAsia" w:hAnsi="Times New Roman"/>
          <w:sz w:val="24"/>
          <w:szCs w:val="24"/>
        </w:rPr>
        <w:t>,</w:t>
      </w:r>
      <w:r w:rsidRPr="0080737A">
        <w:rPr>
          <w:rFonts w:ascii="Times New Roman" w:hAnsi="Times New Roman"/>
          <w:sz w:val="24"/>
          <w:szCs w:val="24"/>
        </w:rPr>
        <w:t>1</w:t>
      </w:r>
      <w:r w:rsidRPr="0080737A">
        <w:rPr>
          <w:rFonts w:ascii="Times New Roman" w:eastAsiaTheme="minorEastAsia" w:hAnsi="Times New Roman"/>
          <w:sz w:val="24"/>
          <w:szCs w:val="24"/>
        </w:rPr>
        <w:t xml:space="preserve"> млн. долл., но в связи с опережающим падением других составляющих товарной структуры их долевое участие расширилось до </w:t>
      </w:r>
      <w:r w:rsidRPr="0080737A">
        <w:rPr>
          <w:rFonts w:ascii="Times New Roman" w:hAnsi="Times New Roman"/>
          <w:sz w:val="24"/>
          <w:szCs w:val="24"/>
        </w:rPr>
        <w:t>10,2</w:t>
      </w:r>
      <w:r w:rsidRPr="0080737A">
        <w:rPr>
          <w:rFonts w:ascii="Times New Roman" w:eastAsiaTheme="minorEastAsia" w:hAnsi="Times New Roman"/>
          <w:sz w:val="24"/>
          <w:szCs w:val="24"/>
        </w:rPr>
        <w:t xml:space="preserve">% против </w:t>
      </w:r>
      <w:r w:rsidRPr="0080737A">
        <w:rPr>
          <w:rFonts w:ascii="Times New Roman" w:hAnsi="Times New Roman"/>
          <w:sz w:val="24"/>
          <w:szCs w:val="24"/>
        </w:rPr>
        <w:t>7,6</w:t>
      </w:r>
      <w:r w:rsidRPr="0080737A">
        <w:rPr>
          <w:rFonts w:ascii="Times New Roman" w:eastAsiaTheme="minorEastAsia" w:hAnsi="Times New Roman"/>
          <w:sz w:val="24"/>
          <w:szCs w:val="24"/>
        </w:rPr>
        <w:t>% в базовом периоде минувшего года</w:t>
      </w:r>
      <w:r w:rsidRPr="0080737A">
        <w:rPr>
          <w:rFonts w:ascii="Times New Roman" w:hAnsi="Times New Roman"/>
          <w:sz w:val="24"/>
          <w:szCs w:val="24"/>
        </w:rPr>
        <w:t>.</w:t>
      </w:r>
    </w:p>
    <w:p w:rsidR="001354B7" w:rsidRPr="0080737A" w:rsidRDefault="001354B7" w:rsidP="001354B7">
      <w:pPr>
        <w:spacing w:after="0" w:line="240" w:lineRule="auto"/>
        <w:ind w:firstLine="709"/>
        <w:jc w:val="both"/>
        <w:rPr>
          <w:rFonts w:ascii="Times New Roman" w:hAnsi="Times New Roman"/>
          <w:sz w:val="24"/>
        </w:rPr>
      </w:pPr>
      <w:r w:rsidRPr="0080737A">
        <w:rPr>
          <w:rFonts w:ascii="Times New Roman" w:hAnsi="Times New Roman"/>
          <w:sz w:val="24"/>
        </w:rPr>
        <w:lastRenderedPageBreak/>
        <w:t>Увеличение ввоза текстильных изделий и текстильных материалов на 22,9% и 45,0% соответственно предопределило расширение импортных поставок товаров легкой промышленности до 6,6% против 3,3% в январе – июне 2015 года, в абсолютной величине их объем вырос на 36,5%.</w:t>
      </w:r>
    </w:p>
    <w:p w:rsidR="001354B7" w:rsidRPr="0080737A" w:rsidRDefault="001354B7" w:rsidP="001B363E">
      <w:pPr>
        <w:widowControl w:val="0"/>
        <w:spacing w:after="0" w:line="240" w:lineRule="auto"/>
        <w:ind w:hanging="426"/>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6305550" cy="2533650"/>
            <wp:effectExtent l="0" t="0" r="0" b="0"/>
            <wp:docPr id="9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54B7" w:rsidRPr="0080737A" w:rsidRDefault="001354B7" w:rsidP="001354B7">
      <w:pPr>
        <w:shd w:val="clear" w:color="auto" w:fill="FFFFFF"/>
        <w:spacing w:after="0" w:line="240" w:lineRule="auto"/>
        <w:ind w:firstLine="709"/>
        <w:jc w:val="both"/>
        <w:rPr>
          <w:rFonts w:ascii="Times New Roman" w:eastAsiaTheme="minorEastAsia" w:hAnsi="Times New Roman"/>
          <w:sz w:val="24"/>
          <w:szCs w:val="24"/>
        </w:rPr>
      </w:pPr>
    </w:p>
    <w:p w:rsidR="001354B7" w:rsidRPr="0080737A" w:rsidRDefault="001354B7" w:rsidP="001354B7">
      <w:pPr>
        <w:spacing w:after="0" w:line="240" w:lineRule="auto"/>
        <w:ind w:firstLine="709"/>
        <w:jc w:val="both"/>
        <w:rPr>
          <w:rFonts w:ascii="Times New Roman" w:hAnsi="Times New Roman"/>
          <w:sz w:val="24"/>
        </w:rPr>
      </w:pPr>
      <w:r w:rsidRPr="0080737A">
        <w:rPr>
          <w:rFonts w:ascii="Times New Roman" w:hAnsi="Times New Roman"/>
          <w:sz w:val="24"/>
        </w:rPr>
        <w:t xml:space="preserve">Большая часть товаров </w:t>
      </w:r>
      <w:r w:rsidRPr="0080737A">
        <w:rPr>
          <w:rFonts w:ascii="Times New Roman" w:hAnsi="Times New Roman"/>
          <w:color w:val="000000"/>
          <w:sz w:val="24"/>
        </w:rPr>
        <w:t>в рассматриваемом периоде</w:t>
      </w:r>
      <w:r w:rsidRPr="0080737A">
        <w:rPr>
          <w:rFonts w:ascii="Times New Roman" w:hAnsi="Times New Roman"/>
          <w:sz w:val="24"/>
        </w:rPr>
        <w:t xml:space="preserve"> была адресована контрагентами Российской Федерации (53,4% совокупного импорта, «-» 37,4% к уровню базового показателя 2015 года), Украины (9,3%, «-»42,1%), Республики Молдова (7,5%, «-»23,1%), Германии (4,0%, «-»28,9%), Республики Беларусь (3,0%, «-» 44,2%).</w:t>
      </w:r>
    </w:p>
    <w:p w:rsidR="001354B7" w:rsidRPr="0080737A" w:rsidRDefault="001354B7" w:rsidP="001354B7">
      <w:pPr>
        <w:spacing w:after="0" w:line="240" w:lineRule="auto"/>
        <w:ind w:firstLine="540"/>
        <w:jc w:val="both"/>
        <w:rPr>
          <w:rFonts w:ascii="Times New Roman" w:hAnsi="Times New Roman"/>
          <w:color w:val="262626"/>
          <w:sz w:val="24"/>
          <w:szCs w:val="24"/>
          <w:shd w:val="clear" w:color="auto" w:fill="FFFFFF"/>
        </w:rPr>
      </w:pPr>
      <w:r w:rsidRPr="0080737A">
        <w:rPr>
          <w:rFonts w:ascii="Times New Roman" w:hAnsi="Times New Roman"/>
          <w:sz w:val="24"/>
          <w:szCs w:val="24"/>
        </w:rPr>
        <w:t xml:space="preserve">Усиливающееся воздействие ограничительных </w:t>
      </w:r>
      <w:r w:rsidRPr="0080737A">
        <w:rPr>
          <w:rFonts w:ascii="Times New Roman" w:hAnsi="Times New Roman"/>
          <w:color w:val="262626"/>
          <w:sz w:val="24"/>
          <w:szCs w:val="24"/>
          <w:shd w:val="clear" w:color="auto" w:fill="FFFFFF"/>
        </w:rPr>
        <w:t xml:space="preserve">барьеров в отношении хозяйствующих субъектов Приднестровской Молдавской Республики со стороны соседних государств, </w:t>
      </w:r>
      <w:r w:rsidRPr="0080737A">
        <w:rPr>
          <w:rFonts w:ascii="Times New Roman" w:eastAsiaTheme="minorEastAsia" w:hAnsi="Times New Roman"/>
          <w:sz w:val="24"/>
          <w:szCs w:val="24"/>
        </w:rPr>
        <w:t>вынуждает приднестровских экономических агентов приспосабливаться к действующим условиям ведения внешней торговли, что приводит к дополнительным затратам и соответственно к снижению конкурентоспособности приднестровской продукции и отражается на показателях внешнеэкономической деятельности.</w:t>
      </w:r>
    </w:p>
    <w:p w:rsidR="001354B7" w:rsidRPr="0080737A" w:rsidRDefault="001354B7" w:rsidP="001354B7">
      <w:pPr>
        <w:spacing w:after="0" w:line="240" w:lineRule="auto"/>
        <w:ind w:firstLine="709"/>
        <w:jc w:val="both"/>
        <w:rPr>
          <w:rFonts w:ascii="Times New Roman" w:eastAsiaTheme="minorEastAsia" w:hAnsi="Times New Roman" w:cstheme="minorBidi"/>
          <w:b/>
          <w:sz w:val="24"/>
          <w:u w:val="single"/>
        </w:rPr>
      </w:pPr>
    </w:p>
    <w:p w:rsidR="001354B7" w:rsidRPr="0080737A" w:rsidRDefault="001354B7" w:rsidP="001354B7">
      <w:pPr>
        <w:spacing w:after="0" w:line="240" w:lineRule="auto"/>
        <w:ind w:firstLine="709"/>
        <w:jc w:val="both"/>
        <w:rPr>
          <w:rFonts w:ascii="Times New Roman" w:eastAsiaTheme="minorEastAsia" w:hAnsi="Times New Roman" w:cstheme="minorBidi"/>
          <w:b/>
          <w:sz w:val="24"/>
        </w:rPr>
      </w:pPr>
      <w:r w:rsidRPr="0080737A">
        <w:rPr>
          <w:rFonts w:ascii="Times New Roman" w:eastAsiaTheme="minorEastAsia" w:hAnsi="Times New Roman" w:cstheme="minorBidi"/>
          <w:b/>
          <w:sz w:val="24"/>
          <w:u w:val="single"/>
        </w:rPr>
        <w:t>Инвестиционная сфера</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r w:rsidRPr="0080737A">
        <w:rPr>
          <w:rFonts w:ascii="Times New Roman" w:hAnsi="Times New Roman"/>
          <w:sz w:val="24"/>
          <w:szCs w:val="24"/>
        </w:rPr>
        <w:t xml:space="preserve">Неблагоприятная общеэкономическая конъюнктура оказывает дестабилизирующее воздействие на инвестиционную активность хозяйствующих субъектов. </w:t>
      </w:r>
      <w:r w:rsidRPr="0080737A">
        <w:rPr>
          <w:rFonts w:ascii="Times New Roman" w:eastAsiaTheme="minorEastAsia" w:hAnsi="Times New Roman" w:cstheme="minorBidi"/>
          <w:sz w:val="24"/>
          <w:szCs w:val="24"/>
        </w:rPr>
        <w:t xml:space="preserve">В результате в рассматриваемом периоде продолжилось снижение объёма долгосрочных вложений в основной капитал. </w:t>
      </w:r>
      <w:proofErr w:type="gramStart"/>
      <w:r w:rsidRPr="0080737A">
        <w:rPr>
          <w:rFonts w:ascii="Times New Roman" w:eastAsiaTheme="minorEastAsia" w:hAnsi="Times New Roman" w:cstheme="minorBidi"/>
          <w:sz w:val="24"/>
          <w:szCs w:val="24"/>
        </w:rPr>
        <w:t>Так, по итогам 6 месяцев текущего года на развитие и обновление основных фондов (в части новых и приобретенных по импорту основных средств) организациями всех форм собственности (без субъектов малого предпринимательства) было направленно 371,3 млн. руб., что на 14,3% (в сопоставимых ценах) ниже базовой величины минувшего года, из которых 247,0 млн. руб. («-»</w:t>
      </w:r>
      <w:r w:rsidR="004D494D" w:rsidRPr="0080737A">
        <w:rPr>
          <w:rFonts w:ascii="Times New Roman" w:eastAsiaTheme="minorEastAsia" w:hAnsi="Times New Roman" w:cstheme="minorBidi"/>
          <w:sz w:val="24"/>
          <w:szCs w:val="24"/>
        </w:rPr>
        <w:t>3</w:t>
      </w:r>
      <w:r w:rsidRPr="0080737A">
        <w:rPr>
          <w:rFonts w:ascii="Times New Roman" w:eastAsiaTheme="minorEastAsia" w:hAnsi="Times New Roman" w:cstheme="minorBidi"/>
          <w:sz w:val="24"/>
          <w:szCs w:val="24"/>
        </w:rPr>
        <w:t xml:space="preserve">,9%) было затрачено на </w:t>
      </w:r>
      <w:r w:rsidRPr="0080737A">
        <w:rPr>
          <w:rFonts w:ascii="Times New Roman" w:eastAsiaTheme="minorEastAsia" w:hAnsi="Times New Roman" w:cstheme="minorBidi"/>
          <w:spacing w:val="4"/>
          <w:sz w:val="24"/>
          <w:szCs w:val="24"/>
        </w:rPr>
        <w:t>обновление машин, оборудования, транспортных средств</w:t>
      </w:r>
      <w:proofErr w:type="gramEnd"/>
      <w:r w:rsidRPr="0080737A">
        <w:rPr>
          <w:rFonts w:ascii="Times New Roman" w:eastAsiaTheme="minorEastAsia" w:hAnsi="Times New Roman" w:cstheme="minorBidi"/>
          <w:spacing w:val="4"/>
          <w:sz w:val="24"/>
          <w:szCs w:val="24"/>
        </w:rPr>
        <w:t xml:space="preserve">, на </w:t>
      </w:r>
      <w:r w:rsidRPr="0080737A">
        <w:rPr>
          <w:rFonts w:ascii="Times New Roman" w:eastAsiaTheme="minorEastAsia" w:hAnsi="Times New Roman" w:cstheme="minorBidi"/>
          <w:sz w:val="24"/>
          <w:szCs w:val="24"/>
        </w:rPr>
        <w:t xml:space="preserve">финансирование строительно-монтажных работ было направленно 102,7 </w:t>
      </w:r>
      <w:r w:rsidRPr="0080737A">
        <w:rPr>
          <w:rFonts w:ascii="Times New Roman" w:eastAsiaTheme="minorEastAsia" w:hAnsi="Times New Roman" w:cstheme="minorBidi"/>
          <w:spacing w:val="4"/>
          <w:sz w:val="24"/>
          <w:szCs w:val="24"/>
        </w:rPr>
        <w:t>млн. руб. («-»</w:t>
      </w:r>
      <w:r w:rsidR="001B363E" w:rsidRPr="0080737A">
        <w:rPr>
          <w:rFonts w:ascii="Times New Roman" w:eastAsiaTheme="minorEastAsia" w:hAnsi="Times New Roman" w:cstheme="minorBidi"/>
          <w:spacing w:val="4"/>
          <w:sz w:val="24"/>
          <w:szCs w:val="24"/>
        </w:rPr>
        <w:t>37,4</w:t>
      </w:r>
      <w:r w:rsidRPr="0080737A">
        <w:rPr>
          <w:rFonts w:ascii="Times New Roman" w:eastAsiaTheme="minorEastAsia" w:hAnsi="Times New Roman" w:cstheme="minorBidi"/>
          <w:sz w:val="24"/>
          <w:szCs w:val="24"/>
        </w:rPr>
        <w:t xml:space="preserve">%). </w:t>
      </w:r>
    </w:p>
    <w:p w:rsidR="001354B7" w:rsidRPr="0080737A" w:rsidRDefault="001354B7" w:rsidP="002220CA">
      <w:pPr>
        <w:spacing w:after="0" w:line="240" w:lineRule="auto"/>
        <w:jc w:val="both"/>
        <w:rPr>
          <w:rFonts w:ascii="Times New Roman" w:eastAsia="Calibri" w:hAnsi="Times New Roman" w:cstheme="minorBidi"/>
          <w:spacing w:val="2"/>
          <w:sz w:val="18"/>
          <w:szCs w:val="18"/>
          <w:lang w:eastAsia="en-US"/>
        </w:rPr>
      </w:pPr>
      <w:r w:rsidRPr="0080737A">
        <w:rPr>
          <w:rFonts w:ascii="Times New Roman" w:eastAsiaTheme="minorEastAsia" w:hAnsi="Times New Roman" w:cstheme="minorBidi"/>
          <w:noProof/>
          <w:sz w:val="24"/>
          <w:szCs w:val="24"/>
        </w:rPr>
        <w:drawing>
          <wp:inline distT="0" distB="0" distL="0" distR="0">
            <wp:extent cx="5781675" cy="1676400"/>
            <wp:effectExtent l="0" t="0" r="0" b="0"/>
            <wp:docPr id="94"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0737A">
        <w:rPr>
          <w:rFonts w:ascii="Times New Roman" w:eastAsia="Calibri" w:hAnsi="Times New Roman" w:cstheme="minorBidi"/>
          <w:i/>
          <w:spacing w:val="2"/>
          <w:sz w:val="18"/>
          <w:szCs w:val="18"/>
          <w:lang w:eastAsia="en-US"/>
        </w:rPr>
        <w:t>*</w:t>
      </w:r>
      <w:r w:rsidRPr="0080737A">
        <w:rPr>
          <w:rFonts w:ascii="Times New Roman" w:eastAsia="Calibri" w:hAnsi="Times New Roman" w:cstheme="minorBidi"/>
          <w:spacing w:val="2"/>
          <w:sz w:val="18"/>
          <w:szCs w:val="18"/>
          <w:lang w:eastAsia="en-US"/>
        </w:rPr>
        <w:t>-темпы роста (спада) приведены к уточнённым данным ГСС</w:t>
      </w:r>
    </w:p>
    <w:p w:rsidR="001354B7" w:rsidRPr="0080737A" w:rsidRDefault="001354B7" w:rsidP="001354B7">
      <w:pPr>
        <w:spacing w:after="0" w:line="240" w:lineRule="auto"/>
        <w:ind w:firstLine="708"/>
        <w:jc w:val="both"/>
        <w:rPr>
          <w:rFonts w:ascii="Times New Roman" w:eastAsiaTheme="minorEastAsia" w:hAnsi="Times New Roman" w:cstheme="minorBidi"/>
          <w:sz w:val="24"/>
        </w:rPr>
      </w:pPr>
      <w:r w:rsidRPr="0080737A">
        <w:rPr>
          <w:rFonts w:ascii="Times New Roman" w:eastAsiaTheme="minorEastAsia" w:hAnsi="Times New Roman" w:cstheme="minorBidi"/>
          <w:sz w:val="24"/>
        </w:rPr>
        <w:lastRenderedPageBreak/>
        <w:t>На строительство, расширение, реконструкцию и техническое перевооружение объектов производственного назначения направленно 83,3% всех инвестиций                 (309,3 млн. руб.), объем которых сократился к уровню базового показателя 2015 года на 21,0%.</w:t>
      </w:r>
    </w:p>
    <w:p w:rsidR="001354B7" w:rsidRPr="0080737A" w:rsidRDefault="001354B7" w:rsidP="001354B7">
      <w:pPr>
        <w:spacing w:after="0" w:line="240" w:lineRule="auto"/>
        <w:ind w:firstLine="708"/>
        <w:jc w:val="both"/>
        <w:rPr>
          <w:rFonts w:ascii="Times New Roman" w:eastAsiaTheme="minorEastAsia" w:hAnsi="Times New Roman" w:cstheme="minorBidi"/>
          <w:sz w:val="24"/>
        </w:rPr>
      </w:pPr>
      <w:r w:rsidRPr="0080737A">
        <w:rPr>
          <w:rFonts w:ascii="Times New Roman" w:eastAsiaTheme="minorEastAsia" w:hAnsi="Times New Roman" w:cstheme="minorBidi"/>
          <w:sz w:val="24"/>
        </w:rPr>
        <w:t xml:space="preserve">Традиционно большая часть инвестиций финансировалась за счет собственных средств организаций, доля которых сузилась до 92,2% («-»2,7 процентных пункта). Также сократилась роль бюджетных источников в осуществлении капитальных вложений («-»1,0 процентных пункта до 2,0%). На этом фоне и в совокупности с отсутствием кредитов (займов) банков доля прочих источников финансирования программ долгосрочного развития расширилась до 5,8% или на 3,9 процентных пункта. </w:t>
      </w:r>
    </w:p>
    <w:p w:rsidR="001354B7" w:rsidRPr="0080737A" w:rsidRDefault="001354B7" w:rsidP="002220CA">
      <w:pPr>
        <w:spacing w:after="0" w:line="240" w:lineRule="auto"/>
        <w:jc w:val="center"/>
        <w:rPr>
          <w:rFonts w:ascii="Times New Roman" w:eastAsiaTheme="minorEastAsia" w:hAnsi="Times New Roman" w:cstheme="minorBidi"/>
          <w:sz w:val="24"/>
        </w:rPr>
      </w:pPr>
      <w:r w:rsidRPr="0080737A">
        <w:rPr>
          <w:rFonts w:ascii="Times New Roman" w:eastAsiaTheme="minorEastAsia" w:hAnsi="Times New Roman" w:cstheme="minorBidi"/>
          <w:noProof/>
          <w:sz w:val="24"/>
        </w:rPr>
        <w:drawing>
          <wp:inline distT="0" distB="0" distL="0" distR="0">
            <wp:extent cx="5943600" cy="2486025"/>
            <wp:effectExtent l="0" t="0" r="0" b="0"/>
            <wp:docPr id="9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54B7" w:rsidRPr="0080737A" w:rsidRDefault="001354B7" w:rsidP="001354B7">
      <w:pPr>
        <w:spacing w:after="0" w:line="240" w:lineRule="auto"/>
        <w:ind w:firstLine="709"/>
        <w:jc w:val="both"/>
        <w:rPr>
          <w:rFonts w:ascii="Times New Roman" w:eastAsiaTheme="minorEastAsia" w:hAnsi="Times New Roman"/>
          <w:sz w:val="24"/>
          <w:szCs w:val="24"/>
        </w:rPr>
      </w:pPr>
      <w:proofErr w:type="gramStart"/>
      <w:r w:rsidRPr="0080737A">
        <w:rPr>
          <w:rFonts w:ascii="Times New Roman" w:eastAsiaTheme="minorEastAsia" w:hAnsi="Times New Roman"/>
          <w:sz w:val="24"/>
          <w:szCs w:val="24"/>
        </w:rPr>
        <w:t xml:space="preserve">Отраслевой анализ инвестиций в январе-июне 2016 года показывает, что, несмотря на недостаточный спрос на продукцию, высокие процентные ставки по банковским кредитам, а также неопределенность экономической и политической ситуации, набольший объем инвестирования долгосрочного развития был освоен в промышленности (181,2 млн. руб., или 48,8% всех инвестиций), абсолютная величина которых расширилась к уровню показателей первой половины 2015 года на 14,7%. </w:t>
      </w:r>
      <w:r w:rsidRPr="0080737A">
        <w:rPr>
          <w:rFonts w:ascii="Times New Roman" w:hAnsi="Times New Roman"/>
          <w:sz w:val="24"/>
          <w:szCs w:val="24"/>
        </w:rPr>
        <w:t xml:space="preserve">Продолжились обновление </w:t>
      </w:r>
      <w:proofErr w:type="spellStart"/>
      <w:r w:rsidRPr="0080737A">
        <w:rPr>
          <w:rFonts w:ascii="Times New Roman" w:hAnsi="Times New Roman"/>
          <w:sz w:val="24"/>
          <w:szCs w:val="24"/>
        </w:rPr>
        <w:t>имодернизация</w:t>
      </w:r>
      <w:proofErr w:type="spellEnd"/>
      <w:proofErr w:type="gramEnd"/>
      <w:r w:rsidRPr="0080737A">
        <w:rPr>
          <w:rFonts w:ascii="Times New Roman" w:hAnsi="Times New Roman"/>
          <w:sz w:val="24"/>
          <w:szCs w:val="24"/>
        </w:rPr>
        <w:t xml:space="preserve"> </w:t>
      </w:r>
      <w:proofErr w:type="gramStart"/>
      <w:r w:rsidRPr="0080737A">
        <w:rPr>
          <w:rFonts w:ascii="Times New Roman" w:hAnsi="Times New Roman"/>
          <w:sz w:val="24"/>
          <w:szCs w:val="24"/>
        </w:rPr>
        <w:t>сельскохозяйственной техники, однако, масштабы инвестирования проектов сократились до 32,6 млн. руб. или на 59,4%.</w:t>
      </w:r>
      <w:r w:rsidRPr="0080737A">
        <w:rPr>
          <w:rFonts w:ascii="Times New Roman" w:eastAsiaTheme="minorEastAsia" w:hAnsi="Times New Roman"/>
          <w:sz w:val="24"/>
          <w:szCs w:val="24"/>
        </w:rPr>
        <w:t xml:space="preserve"> В числе отраслей, уступивших параметрам инвестирования </w:t>
      </w:r>
      <w:r w:rsidRPr="0080737A">
        <w:rPr>
          <w:rFonts w:ascii="Times New Roman" w:eastAsiaTheme="minorEastAsia" w:hAnsi="Times New Roman"/>
          <w:sz w:val="24"/>
          <w:szCs w:val="24"/>
          <w:lang w:val="en-US"/>
        </w:rPr>
        <w:t>I</w:t>
      </w:r>
      <w:r w:rsidRPr="0080737A">
        <w:rPr>
          <w:rFonts w:ascii="Times New Roman" w:eastAsiaTheme="minorEastAsia" w:hAnsi="Times New Roman"/>
          <w:sz w:val="24"/>
          <w:szCs w:val="24"/>
        </w:rPr>
        <w:t xml:space="preserve"> полугодия 2015 года фигурируют практически все отрасли экономики, кроме коммунального хозяйства и здравоохранения, расширившие вложения в обновление материальной базы по итогам первых шести месяце текущего года на 53,6% и на 13,3% соответственно.</w:t>
      </w:r>
      <w:proofErr w:type="gramEnd"/>
      <w:r w:rsidRPr="0080737A">
        <w:rPr>
          <w:rFonts w:ascii="Times New Roman" w:eastAsiaTheme="minorEastAsia" w:hAnsi="Times New Roman"/>
          <w:sz w:val="24"/>
          <w:szCs w:val="24"/>
        </w:rPr>
        <w:t xml:space="preserve"> Масштабное расширение инвестиционной активности в рассматриваемом периоде также демонстрируют организации образования, увеличившие капитальные вложения в инфраструктуру в 6,0 раз. </w:t>
      </w:r>
    </w:p>
    <w:p w:rsidR="001354B7" w:rsidRPr="0080737A" w:rsidRDefault="001354B7" w:rsidP="001354B7">
      <w:pPr>
        <w:spacing w:after="0" w:line="240" w:lineRule="auto"/>
        <w:ind w:firstLine="709"/>
        <w:jc w:val="both"/>
        <w:rPr>
          <w:rFonts w:ascii="Times New Roman" w:eastAsiaTheme="minorEastAsia" w:hAnsi="Times New Roman" w:cstheme="minorBidi"/>
          <w:b/>
          <w:sz w:val="24"/>
          <w:szCs w:val="24"/>
          <w:u w:val="single"/>
        </w:rPr>
      </w:pPr>
    </w:p>
    <w:p w:rsidR="001354B7" w:rsidRPr="0080737A" w:rsidRDefault="001354B7" w:rsidP="001354B7">
      <w:pPr>
        <w:spacing w:after="0" w:line="240" w:lineRule="auto"/>
        <w:ind w:firstLine="709"/>
        <w:jc w:val="both"/>
        <w:rPr>
          <w:rFonts w:ascii="Times New Roman" w:eastAsiaTheme="minorEastAsia" w:hAnsi="Times New Roman" w:cstheme="minorBidi"/>
          <w:sz w:val="24"/>
        </w:rPr>
      </w:pPr>
      <w:r w:rsidRPr="0080737A">
        <w:rPr>
          <w:rFonts w:ascii="Times New Roman" w:eastAsiaTheme="minorEastAsia" w:hAnsi="Times New Roman" w:cstheme="minorBidi"/>
          <w:b/>
          <w:sz w:val="24"/>
          <w:szCs w:val="24"/>
          <w:u w:val="single"/>
        </w:rPr>
        <w:t>Агропромышленный комплекс</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Объём валовой продукции сельского хозяйства в январе-июне 2016 года оценочно составил 316,4 млн. руб. (в текущих ценах) не достигнув на 7,7% абсолютного базового параметра января-июня 2015 года. </w:t>
      </w:r>
      <w:r w:rsidRPr="0080737A">
        <w:rPr>
          <w:rFonts w:ascii="Times New Roman" w:hAnsi="Times New Roman"/>
          <w:sz w:val="24"/>
          <w:szCs w:val="24"/>
        </w:rPr>
        <w:t xml:space="preserve">Данный факт, в основном, обусловлен изменениями ценовых характеристик. </w:t>
      </w:r>
    </w:p>
    <w:p w:rsidR="001354B7" w:rsidRPr="0080737A" w:rsidRDefault="001354B7" w:rsidP="001354B7">
      <w:pPr>
        <w:spacing w:after="0" w:line="240" w:lineRule="auto"/>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5943600" cy="1514475"/>
            <wp:effectExtent l="0" t="0" r="0" b="0"/>
            <wp:docPr id="9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54B7" w:rsidRPr="0080737A" w:rsidRDefault="001354B7" w:rsidP="001354B7">
      <w:pPr>
        <w:spacing w:after="0" w:line="240" w:lineRule="auto"/>
        <w:rPr>
          <w:rFonts w:ascii="Times New Roman" w:eastAsia="Calibri" w:hAnsi="Times New Roman" w:cstheme="minorBidi"/>
          <w:spacing w:val="2"/>
          <w:sz w:val="18"/>
          <w:szCs w:val="18"/>
          <w:lang w:eastAsia="en-US"/>
        </w:rPr>
      </w:pPr>
      <w:r w:rsidRPr="0080737A">
        <w:rPr>
          <w:rFonts w:ascii="Times New Roman" w:eastAsia="Calibri" w:hAnsi="Times New Roman" w:cstheme="minorBidi"/>
          <w:i/>
          <w:spacing w:val="2"/>
          <w:sz w:val="18"/>
          <w:szCs w:val="18"/>
          <w:lang w:eastAsia="en-US"/>
        </w:rPr>
        <w:t>*</w:t>
      </w:r>
      <w:r w:rsidRPr="0080737A">
        <w:rPr>
          <w:rFonts w:ascii="Times New Roman" w:eastAsia="Calibri" w:hAnsi="Times New Roman" w:cstheme="minorBidi"/>
          <w:spacing w:val="2"/>
          <w:sz w:val="18"/>
          <w:szCs w:val="18"/>
          <w:lang w:eastAsia="en-US"/>
        </w:rPr>
        <w:t>-темпы роста (спада) приведены к уточнённым данным ГСС</w:t>
      </w:r>
    </w:p>
    <w:p w:rsidR="001354B7" w:rsidRPr="0080737A" w:rsidRDefault="001354B7" w:rsidP="001354B7">
      <w:pPr>
        <w:spacing w:after="0" w:line="240" w:lineRule="auto"/>
        <w:ind w:firstLine="709"/>
        <w:jc w:val="both"/>
        <w:rPr>
          <w:rFonts w:ascii="Times New Roman" w:eastAsiaTheme="minorEastAsia" w:hAnsi="Times New Roman" w:cstheme="minorBidi"/>
          <w:sz w:val="24"/>
        </w:rPr>
      </w:pPr>
      <w:r w:rsidRPr="0080737A">
        <w:rPr>
          <w:rFonts w:ascii="Times New Roman" w:hAnsi="Times New Roman"/>
          <w:sz w:val="24"/>
          <w:szCs w:val="24"/>
        </w:rPr>
        <w:lastRenderedPageBreak/>
        <w:t xml:space="preserve">При этом индекс физического объема </w:t>
      </w:r>
      <w:r w:rsidRPr="0080737A">
        <w:rPr>
          <w:rFonts w:ascii="Times New Roman" w:eastAsiaTheme="minorEastAsia" w:hAnsi="Times New Roman" w:cstheme="minorBidi"/>
          <w:sz w:val="24"/>
          <w:szCs w:val="24"/>
        </w:rPr>
        <w:t>сельскохозяйственных товаров</w:t>
      </w:r>
      <w:r w:rsidR="002B1C01" w:rsidRPr="0080737A">
        <w:rPr>
          <w:rFonts w:ascii="Times New Roman" w:eastAsiaTheme="minorEastAsia" w:hAnsi="Times New Roman" w:cstheme="minorBidi"/>
          <w:sz w:val="24"/>
          <w:szCs w:val="24"/>
        </w:rPr>
        <w:t xml:space="preserve"> </w:t>
      </w:r>
      <w:r w:rsidRPr="0080737A">
        <w:rPr>
          <w:rFonts w:ascii="Times New Roman" w:eastAsiaTheme="minorEastAsia" w:hAnsi="Times New Roman" w:cstheme="minorBidi"/>
          <w:sz w:val="24"/>
          <w:szCs w:val="24"/>
        </w:rPr>
        <w:t>составил 106,3%, в том числе по продукции растениеводства – 116,3%, в животноводстве – 99,9%.</w:t>
      </w:r>
    </w:p>
    <w:p w:rsidR="001354B7" w:rsidRPr="0080737A" w:rsidRDefault="001354B7" w:rsidP="001354B7">
      <w:pPr>
        <w:spacing w:after="0" w:line="240" w:lineRule="auto"/>
        <w:ind w:firstLine="709"/>
        <w:jc w:val="both"/>
        <w:rPr>
          <w:rFonts w:ascii="Times New Roman" w:hAnsi="Times New Roman"/>
          <w:sz w:val="24"/>
        </w:rPr>
      </w:pPr>
      <w:r w:rsidRPr="0080737A">
        <w:rPr>
          <w:rFonts w:ascii="Times New Roman" w:hAnsi="Times New Roman"/>
          <w:sz w:val="24"/>
        </w:rPr>
        <w:t>В аграрном секторе республики в первой половине года основная работа сельскохозяйственных производителей была направлена на проведение весенних посевных работ и на уборку урожая зерновых и зернобобовых культур первой группы в сжатые сроки.</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По информации Министерства сельского хозяйства и природных ресурсов уборка зерновых первой группы в республике практически завершена (97,5% пашни). П</w:t>
      </w:r>
      <w:r w:rsidRPr="0080737A">
        <w:rPr>
          <w:rFonts w:ascii="Times New Roman" w:hAnsi="Times New Roman"/>
          <w:color w:val="000000"/>
          <w:sz w:val="24"/>
          <w:szCs w:val="24"/>
        </w:rPr>
        <w:t>огодные условия текущего года способствовали достижению высоких количественных и качественных показателей зерна, в том числе продовольственного. В текущем году в республике</w:t>
      </w:r>
      <w:r w:rsidRPr="0080737A">
        <w:rPr>
          <w:rFonts w:ascii="Times New Roman" w:eastAsiaTheme="minorEastAsia" w:hAnsi="Times New Roman" w:cstheme="minorBidi"/>
          <w:sz w:val="24"/>
          <w:szCs w:val="24"/>
        </w:rPr>
        <w:t xml:space="preserve"> собранно зерновых первой группы на 31,9% больше чем в прошлом году, что обусловлено </w:t>
      </w:r>
      <w:r w:rsidRPr="0080737A">
        <w:rPr>
          <w:rFonts w:ascii="Times New Roman" w:hAnsi="Times New Roman"/>
          <w:color w:val="000000"/>
          <w:sz w:val="24"/>
          <w:szCs w:val="24"/>
        </w:rPr>
        <w:t xml:space="preserve">как расширением посевных площадей, так и повышением урожайности основных зерновых культур. </w:t>
      </w:r>
      <w:r w:rsidRPr="0080737A">
        <w:rPr>
          <w:rFonts w:ascii="Times New Roman" w:eastAsiaTheme="minorEastAsia" w:hAnsi="Times New Roman" w:cstheme="minorBidi"/>
          <w:sz w:val="24"/>
          <w:szCs w:val="24"/>
        </w:rPr>
        <w:t xml:space="preserve">Так по состоянию на 12 августа 2016 года  валовой сбор зерновых и зернобобовых культур первой группы составил 433,2 тыс. тонн, в том числе пшеницы – 351,1 тыс. тонн. Средняя урожайность зерновых и зернобобовых культур первой группы в 2016 году по оценкам экспертов составила 42,7 </w:t>
      </w:r>
      <w:proofErr w:type="spellStart"/>
      <w:r w:rsidRPr="0080737A">
        <w:rPr>
          <w:rFonts w:ascii="Times New Roman" w:eastAsiaTheme="minorEastAsia" w:hAnsi="Times New Roman" w:cstheme="minorBidi"/>
          <w:sz w:val="24"/>
          <w:szCs w:val="24"/>
        </w:rPr>
        <w:t>ц</w:t>
      </w:r>
      <w:proofErr w:type="spellEnd"/>
      <w:r w:rsidRPr="0080737A">
        <w:rPr>
          <w:rFonts w:ascii="Times New Roman" w:eastAsiaTheme="minorEastAsia" w:hAnsi="Times New Roman" w:cstheme="minorBidi"/>
          <w:sz w:val="24"/>
          <w:szCs w:val="24"/>
        </w:rPr>
        <w:t xml:space="preserve">/га против 35,4 </w:t>
      </w:r>
      <w:proofErr w:type="spellStart"/>
      <w:r w:rsidRPr="0080737A">
        <w:rPr>
          <w:rFonts w:ascii="Times New Roman" w:eastAsiaTheme="minorEastAsia" w:hAnsi="Times New Roman" w:cstheme="minorBidi"/>
          <w:sz w:val="24"/>
          <w:szCs w:val="24"/>
        </w:rPr>
        <w:t>ц</w:t>
      </w:r>
      <w:proofErr w:type="spellEnd"/>
      <w:r w:rsidRPr="0080737A">
        <w:rPr>
          <w:rFonts w:ascii="Times New Roman" w:eastAsiaTheme="minorEastAsia" w:hAnsi="Times New Roman" w:cstheme="minorBidi"/>
          <w:sz w:val="24"/>
          <w:szCs w:val="24"/>
        </w:rPr>
        <w:t xml:space="preserve">/га в 2015 году, и существенно превысила весьма успешные показатели урожайности 2014 года. </w:t>
      </w:r>
    </w:p>
    <w:p w:rsidR="002220CA" w:rsidRPr="0080737A" w:rsidRDefault="002220CA" w:rsidP="001354B7">
      <w:pPr>
        <w:spacing w:after="0" w:line="240" w:lineRule="auto"/>
        <w:ind w:firstLine="709"/>
        <w:jc w:val="right"/>
        <w:rPr>
          <w:rFonts w:ascii="Times New Roman" w:eastAsiaTheme="minorEastAsia" w:hAnsi="Times New Roman" w:cstheme="minorBidi"/>
          <w:sz w:val="24"/>
          <w:szCs w:val="24"/>
        </w:rPr>
      </w:pPr>
    </w:p>
    <w:p w:rsidR="001354B7" w:rsidRPr="0080737A" w:rsidRDefault="001354B7" w:rsidP="001354B7">
      <w:pPr>
        <w:spacing w:after="0" w:line="240" w:lineRule="auto"/>
        <w:ind w:firstLine="709"/>
        <w:jc w:val="right"/>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Таблица №1</w:t>
      </w:r>
    </w:p>
    <w:p w:rsidR="002220CA" w:rsidRPr="0080737A" w:rsidRDefault="001354B7" w:rsidP="00374268">
      <w:pPr>
        <w:suppressAutoHyphens/>
        <w:spacing w:before="10" w:after="10" w:line="240" w:lineRule="auto"/>
        <w:jc w:val="center"/>
        <w:rPr>
          <w:rFonts w:ascii="Times New Roman" w:eastAsiaTheme="minorEastAsia" w:hAnsi="Times New Roman" w:cstheme="minorBidi"/>
          <w:b/>
          <w:sz w:val="24"/>
          <w:szCs w:val="24"/>
        </w:rPr>
      </w:pPr>
      <w:r w:rsidRPr="0080737A">
        <w:rPr>
          <w:rFonts w:ascii="Times New Roman" w:eastAsiaTheme="minorEastAsia" w:hAnsi="Times New Roman" w:cstheme="minorBidi"/>
          <w:b/>
          <w:sz w:val="24"/>
          <w:szCs w:val="24"/>
        </w:rPr>
        <w:t xml:space="preserve">Оперативная информация о валовом сборе зерновых </w:t>
      </w:r>
    </w:p>
    <w:p w:rsidR="002220CA" w:rsidRPr="0080737A" w:rsidRDefault="001354B7" w:rsidP="00374268">
      <w:pPr>
        <w:suppressAutoHyphens/>
        <w:spacing w:before="10" w:after="10" w:line="240" w:lineRule="auto"/>
        <w:jc w:val="center"/>
        <w:rPr>
          <w:rFonts w:ascii="Times New Roman" w:eastAsiaTheme="minorEastAsia" w:hAnsi="Times New Roman" w:cstheme="minorBidi"/>
          <w:b/>
          <w:sz w:val="24"/>
          <w:szCs w:val="24"/>
        </w:rPr>
      </w:pPr>
      <w:r w:rsidRPr="0080737A">
        <w:rPr>
          <w:rFonts w:ascii="Times New Roman" w:eastAsiaTheme="minorEastAsia" w:hAnsi="Times New Roman" w:cstheme="minorBidi"/>
          <w:b/>
          <w:sz w:val="24"/>
          <w:szCs w:val="24"/>
        </w:rPr>
        <w:t xml:space="preserve">и зернобобовых культур первой группы всеми категориями хозяйств </w:t>
      </w:r>
    </w:p>
    <w:p w:rsidR="001354B7" w:rsidRPr="0080737A" w:rsidRDefault="001354B7" w:rsidP="00374268">
      <w:pPr>
        <w:suppressAutoHyphens/>
        <w:spacing w:before="10" w:after="10" w:line="240" w:lineRule="auto"/>
        <w:jc w:val="center"/>
        <w:rPr>
          <w:rFonts w:ascii="Times New Roman" w:eastAsiaTheme="minorEastAsia" w:hAnsi="Times New Roman" w:cstheme="minorBidi"/>
          <w:b/>
          <w:sz w:val="24"/>
          <w:szCs w:val="24"/>
        </w:rPr>
      </w:pPr>
      <w:r w:rsidRPr="0080737A">
        <w:rPr>
          <w:rFonts w:ascii="Times New Roman" w:eastAsiaTheme="minorEastAsia" w:hAnsi="Times New Roman" w:cstheme="minorBidi"/>
          <w:b/>
          <w:sz w:val="24"/>
          <w:szCs w:val="24"/>
        </w:rPr>
        <w:t>ПМР по состоянию на 12 августа 2016 года</w:t>
      </w:r>
    </w:p>
    <w:p w:rsidR="002B7296" w:rsidRPr="0080737A" w:rsidRDefault="002B7296" w:rsidP="00374268">
      <w:pPr>
        <w:suppressAutoHyphens/>
        <w:spacing w:before="10" w:after="10" w:line="240" w:lineRule="auto"/>
        <w:jc w:val="center"/>
        <w:rPr>
          <w:rFonts w:ascii="Times New Roman" w:eastAsiaTheme="minorEastAsia" w:hAnsi="Times New Roman" w:cstheme="minorBidi"/>
          <w:b/>
          <w:sz w:val="24"/>
          <w:szCs w:val="24"/>
        </w:rPr>
      </w:pPr>
    </w:p>
    <w:tbl>
      <w:tblPr>
        <w:tblW w:w="9298" w:type="dxa"/>
        <w:tblInd w:w="250" w:type="dxa"/>
        <w:tblLayout w:type="fixed"/>
        <w:tblLook w:val="0000"/>
      </w:tblPr>
      <w:tblGrid>
        <w:gridCol w:w="2736"/>
        <w:gridCol w:w="1208"/>
        <w:gridCol w:w="985"/>
        <w:gridCol w:w="1128"/>
        <w:gridCol w:w="1127"/>
        <w:gridCol w:w="985"/>
        <w:gridCol w:w="1129"/>
      </w:tblGrid>
      <w:tr w:rsidR="001354B7" w:rsidRPr="0080737A" w:rsidTr="004A339A">
        <w:trPr>
          <w:trHeight w:val="354"/>
        </w:trPr>
        <w:tc>
          <w:tcPr>
            <w:tcW w:w="273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54B7" w:rsidRPr="0080737A" w:rsidRDefault="001354B7" w:rsidP="002220CA">
            <w:pPr>
              <w:spacing w:after="40" w:line="240" w:lineRule="auto"/>
              <w:jc w:val="center"/>
              <w:rPr>
                <w:rFonts w:ascii="Times New Roman" w:eastAsiaTheme="minorEastAsia" w:hAnsi="Times New Roman" w:cstheme="minorBidi"/>
                <w:b/>
                <w:bCs/>
              </w:rPr>
            </w:pPr>
            <w:r w:rsidRPr="0080737A">
              <w:rPr>
                <w:rFonts w:ascii="Times New Roman" w:eastAsiaTheme="minorEastAsia" w:hAnsi="Times New Roman" w:cstheme="minorBidi"/>
                <w:b/>
                <w:bCs/>
              </w:rPr>
              <w:t>Культуры</w:t>
            </w:r>
          </w:p>
        </w:tc>
        <w:tc>
          <w:tcPr>
            <w:tcW w:w="3321" w:type="dxa"/>
            <w:gridSpan w:val="3"/>
            <w:tcBorders>
              <w:top w:val="single" w:sz="4" w:space="0" w:color="auto"/>
              <w:left w:val="nil"/>
              <w:bottom w:val="single" w:sz="4" w:space="0" w:color="auto"/>
              <w:right w:val="single" w:sz="4" w:space="0" w:color="auto"/>
            </w:tcBorders>
            <w:shd w:val="clear" w:color="auto" w:fill="auto"/>
            <w:vAlign w:val="center"/>
          </w:tcPr>
          <w:p w:rsidR="001354B7" w:rsidRPr="0080737A" w:rsidRDefault="001354B7" w:rsidP="002220CA">
            <w:pPr>
              <w:spacing w:after="40" w:line="240" w:lineRule="auto"/>
              <w:jc w:val="center"/>
              <w:rPr>
                <w:rFonts w:ascii="Times New Roman" w:eastAsiaTheme="minorEastAsia" w:hAnsi="Times New Roman" w:cstheme="minorBidi"/>
                <w:b/>
                <w:bCs/>
              </w:rPr>
            </w:pPr>
            <w:r w:rsidRPr="0080737A">
              <w:rPr>
                <w:rFonts w:ascii="Times New Roman" w:eastAsiaTheme="minorEastAsia" w:hAnsi="Times New Roman" w:cstheme="minorBidi"/>
                <w:b/>
                <w:bCs/>
              </w:rPr>
              <w:t>Валовой сбор, тыс. тонн</w:t>
            </w:r>
          </w:p>
        </w:tc>
        <w:tc>
          <w:tcPr>
            <w:tcW w:w="3241" w:type="dxa"/>
            <w:gridSpan w:val="3"/>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2220CA">
            <w:pPr>
              <w:spacing w:after="40" w:line="240" w:lineRule="auto"/>
              <w:ind w:left="-288"/>
              <w:jc w:val="center"/>
              <w:rPr>
                <w:rFonts w:ascii="Times New Roman" w:eastAsiaTheme="minorEastAsia" w:hAnsi="Times New Roman" w:cstheme="minorBidi"/>
                <w:b/>
                <w:bCs/>
              </w:rPr>
            </w:pPr>
            <w:r w:rsidRPr="0080737A">
              <w:rPr>
                <w:rFonts w:ascii="Times New Roman" w:eastAsiaTheme="minorEastAsia" w:hAnsi="Times New Roman" w:cstheme="minorBidi"/>
                <w:b/>
                <w:bCs/>
              </w:rPr>
              <w:t xml:space="preserve">Средняя урожайность, </w:t>
            </w:r>
            <w:proofErr w:type="spellStart"/>
            <w:r w:rsidRPr="0080737A">
              <w:rPr>
                <w:rFonts w:ascii="Times New Roman" w:eastAsiaTheme="minorEastAsia" w:hAnsi="Times New Roman" w:cstheme="minorBidi"/>
                <w:b/>
                <w:bCs/>
              </w:rPr>
              <w:t>ц</w:t>
            </w:r>
            <w:proofErr w:type="spellEnd"/>
            <w:r w:rsidRPr="0080737A">
              <w:rPr>
                <w:rFonts w:ascii="Times New Roman" w:eastAsiaTheme="minorEastAsia" w:hAnsi="Times New Roman" w:cstheme="minorBidi"/>
                <w:b/>
                <w:bCs/>
              </w:rPr>
              <w:t>/га</w:t>
            </w:r>
          </w:p>
        </w:tc>
      </w:tr>
      <w:tr w:rsidR="001354B7" w:rsidRPr="0080737A" w:rsidTr="004A339A">
        <w:trPr>
          <w:trHeight w:val="1041"/>
        </w:trPr>
        <w:tc>
          <w:tcPr>
            <w:tcW w:w="2736" w:type="dxa"/>
            <w:vMerge/>
            <w:tcBorders>
              <w:top w:val="single" w:sz="4" w:space="0" w:color="auto"/>
              <w:left w:val="single" w:sz="4" w:space="0" w:color="auto"/>
              <w:bottom w:val="single" w:sz="4" w:space="0" w:color="auto"/>
              <w:right w:val="single" w:sz="4" w:space="0" w:color="auto"/>
            </w:tcBorders>
            <w:vAlign w:val="center"/>
          </w:tcPr>
          <w:p w:rsidR="001354B7" w:rsidRPr="0080737A" w:rsidRDefault="001354B7" w:rsidP="001354B7">
            <w:pPr>
              <w:spacing w:after="0" w:line="240" w:lineRule="auto"/>
              <w:rPr>
                <w:rFonts w:ascii="Times New Roman" w:eastAsiaTheme="minorEastAsia" w:hAnsi="Times New Roman" w:cstheme="minorBidi"/>
                <w:b/>
                <w:bCs/>
              </w:rPr>
            </w:pPr>
          </w:p>
        </w:tc>
        <w:tc>
          <w:tcPr>
            <w:tcW w:w="1208" w:type="dxa"/>
            <w:tcBorders>
              <w:top w:val="nil"/>
              <w:left w:val="nil"/>
              <w:bottom w:val="single" w:sz="4" w:space="0" w:color="auto"/>
              <w:right w:val="single" w:sz="4" w:space="0" w:color="auto"/>
            </w:tcBorders>
            <w:shd w:val="clear" w:color="auto" w:fill="auto"/>
            <w:vAlign w:val="center"/>
          </w:tcPr>
          <w:p w:rsidR="001354B7" w:rsidRPr="0080737A" w:rsidRDefault="001354B7" w:rsidP="001354B7">
            <w:pPr>
              <w:spacing w:after="0" w:line="240" w:lineRule="auto"/>
              <w:ind w:left="-288"/>
              <w:jc w:val="center"/>
              <w:rPr>
                <w:rFonts w:ascii="Times New Roman" w:eastAsiaTheme="minorEastAsia" w:hAnsi="Times New Roman" w:cstheme="minorBidi"/>
                <w:b/>
                <w:bCs/>
              </w:rPr>
            </w:pPr>
            <w:r w:rsidRPr="0080737A">
              <w:rPr>
                <w:rFonts w:ascii="Times New Roman" w:eastAsiaTheme="minorEastAsia" w:hAnsi="Times New Roman" w:cstheme="minorBidi"/>
                <w:b/>
                <w:bCs/>
              </w:rPr>
              <w:t xml:space="preserve">2015 </w:t>
            </w:r>
          </w:p>
          <w:p w:rsidR="001354B7" w:rsidRPr="0080737A" w:rsidRDefault="001354B7" w:rsidP="001354B7">
            <w:pPr>
              <w:spacing w:after="0" w:line="240" w:lineRule="auto"/>
              <w:ind w:left="-288"/>
              <w:jc w:val="center"/>
              <w:rPr>
                <w:rFonts w:ascii="Times New Roman" w:eastAsiaTheme="minorEastAsia" w:hAnsi="Times New Roman" w:cstheme="minorBidi"/>
                <w:b/>
                <w:bCs/>
              </w:rPr>
            </w:pPr>
            <w:r w:rsidRPr="0080737A">
              <w:rPr>
                <w:rFonts w:ascii="Times New Roman" w:eastAsiaTheme="minorEastAsia" w:hAnsi="Times New Roman" w:cstheme="minorBidi"/>
                <w:b/>
                <w:bCs/>
              </w:rPr>
              <w:t>год</w:t>
            </w:r>
          </w:p>
        </w:tc>
        <w:tc>
          <w:tcPr>
            <w:tcW w:w="985" w:type="dxa"/>
            <w:tcBorders>
              <w:top w:val="nil"/>
              <w:left w:val="nil"/>
              <w:bottom w:val="single" w:sz="4" w:space="0" w:color="auto"/>
              <w:right w:val="single" w:sz="4" w:space="0" w:color="auto"/>
            </w:tcBorders>
            <w:shd w:val="clear" w:color="auto" w:fill="auto"/>
            <w:vAlign w:val="center"/>
          </w:tcPr>
          <w:p w:rsidR="001354B7" w:rsidRPr="0080737A" w:rsidRDefault="001354B7" w:rsidP="001354B7">
            <w:pPr>
              <w:spacing w:after="0" w:line="240" w:lineRule="auto"/>
              <w:ind w:left="-288"/>
              <w:jc w:val="center"/>
              <w:rPr>
                <w:rFonts w:ascii="Times New Roman" w:eastAsiaTheme="minorEastAsia" w:hAnsi="Times New Roman" w:cstheme="minorBidi"/>
                <w:b/>
                <w:bCs/>
              </w:rPr>
            </w:pPr>
            <w:r w:rsidRPr="0080737A">
              <w:rPr>
                <w:rFonts w:ascii="Times New Roman" w:eastAsiaTheme="minorEastAsia" w:hAnsi="Times New Roman" w:cstheme="minorBidi"/>
                <w:b/>
                <w:bCs/>
              </w:rPr>
              <w:t>2016</w:t>
            </w:r>
          </w:p>
          <w:p w:rsidR="001354B7" w:rsidRPr="0080737A" w:rsidRDefault="001354B7" w:rsidP="001354B7">
            <w:pPr>
              <w:spacing w:after="0" w:line="240" w:lineRule="auto"/>
              <w:ind w:left="-288"/>
              <w:jc w:val="center"/>
              <w:rPr>
                <w:rFonts w:ascii="Times New Roman" w:eastAsiaTheme="minorEastAsia" w:hAnsi="Times New Roman" w:cstheme="minorBidi"/>
                <w:b/>
                <w:bCs/>
              </w:rPr>
            </w:pPr>
            <w:r w:rsidRPr="0080737A">
              <w:rPr>
                <w:rFonts w:ascii="Times New Roman" w:eastAsiaTheme="minorEastAsia" w:hAnsi="Times New Roman" w:cstheme="minorBidi"/>
                <w:b/>
                <w:bCs/>
              </w:rPr>
              <w:t>год</w:t>
            </w:r>
          </w:p>
        </w:tc>
        <w:tc>
          <w:tcPr>
            <w:tcW w:w="1127" w:type="dxa"/>
            <w:tcBorders>
              <w:top w:val="nil"/>
              <w:left w:val="nil"/>
              <w:bottom w:val="single" w:sz="4" w:space="0" w:color="auto"/>
              <w:right w:val="single" w:sz="4" w:space="0" w:color="auto"/>
            </w:tcBorders>
            <w:shd w:val="clear" w:color="auto" w:fill="auto"/>
            <w:vAlign w:val="center"/>
          </w:tcPr>
          <w:p w:rsidR="001354B7" w:rsidRPr="0080737A" w:rsidRDefault="001354B7" w:rsidP="001354B7">
            <w:pPr>
              <w:spacing w:after="0" w:line="240" w:lineRule="auto"/>
              <w:ind w:left="-108"/>
              <w:jc w:val="center"/>
              <w:rPr>
                <w:rFonts w:ascii="Times New Roman" w:eastAsiaTheme="minorEastAsia" w:hAnsi="Times New Roman" w:cstheme="minorBidi"/>
                <w:b/>
                <w:bCs/>
              </w:rPr>
            </w:pPr>
            <w:r w:rsidRPr="0080737A">
              <w:rPr>
                <w:rFonts w:ascii="Times New Roman" w:eastAsiaTheme="minorEastAsia" w:hAnsi="Times New Roman" w:cstheme="minorBidi"/>
                <w:b/>
                <w:bCs/>
              </w:rPr>
              <w:t xml:space="preserve">Темп роста </w:t>
            </w:r>
          </w:p>
          <w:p w:rsidR="001354B7" w:rsidRPr="0080737A" w:rsidRDefault="001354B7" w:rsidP="001354B7">
            <w:pPr>
              <w:spacing w:after="0" w:line="240" w:lineRule="auto"/>
              <w:ind w:left="-108"/>
              <w:jc w:val="center"/>
              <w:rPr>
                <w:rFonts w:ascii="Times New Roman" w:eastAsiaTheme="minorEastAsia" w:hAnsi="Times New Roman" w:cstheme="minorBidi"/>
                <w:b/>
                <w:bCs/>
              </w:rPr>
            </w:pPr>
            <w:r w:rsidRPr="0080737A">
              <w:rPr>
                <w:rFonts w:ascii="Times New Roman" w:eastAsiaTheme="minorEastAsia" w:hAnsi="Times New Roman" w:cstheme="minorBidi"/>
                <w:b/>
                <w:bCs/>
              </w:rPr>
              <w:t xml:space="preserve">в % к </w:t>
            </w:r>
          </w:p>
          <w:p w:rsidR="001354B7" w:rsidRPr="0080737A" w:rsidRDefault="001354B7" w:rsidP="001354B7">
            <w:pPr>
              <w:spacing w:after="0" w:line="240" w:lineRule="auto"/>
              <w:jc w:val="center"/>
              <w:rPr>
                <w:rFonts w:ascii="Times New Roman" w:eastAsiaTheme="minorEastAsia" w:hAnsi="Times New Roman" w:cstheme="minorBidi"/>
                <w:b/>
                <w:bCs/>
              </w:rPr>
            </w:pPr>
            <w:r w:rsidRPr="0080737A">
              <w:rPr>
                <w:rFonts w:ascii="Times New Roman" w:eastAsiaTheme="minorEastAsia" w:hAnsi="Times New Roman" w:cstheme="minorBidi"/>
                <w:b/>
                <w:bCs/>
              </w:rPr>
              <w:t>2015 г.*</w:t>
            </w:r>
          </w:p>
        </w:tc>
        <w:tc>
          <w:tcPr>
            <w:tcW w:w="1127" w:type="dxa"/>
            <w:tcBorders>
              <w:top w:val="nil"/>
              <w:left w:val="nil"/>
              <w:bottom w:val="single" w:sz="4" w:space="0" w:color="auto"/>
              <w:right w:val="single" w:sz="4" w:space="0" w:color="auto"/>
            </w:tcBorders>
            <w:shd w:val="clear" w:color="auto" w:fill="auto"/>
            <w:vAlign w:val="center"/>
          </w:tcPr>
          <w:p w:rsidR="001354B7" w:rsidRPr="0080737A" w:rsidRDefault="001354B7" w:rsidP="001354B7">
            <w:pPr>
              <w:spacing w:after="0" w:line="240" w:lineRule="auto"/>
              <w:jc w:val="center"/>
              <w:rPr>
                <w:rFonts w:ascii="Times New Roman" w:eastAsiaTheme="minorEastAsia" w:hAnsi="Times New Roman" w:cstheme="minorBidi"/>
                <w:b/>
                <w:bCs/>
              </w:rPr>
            </w:pPr>
            <w:r w:rsidRPr="0080737A">
              <w:rPr>
                <w:rFonts w:ascii="Times New Roman" w:eastAsiaTheme="minorEastAsia" w:hAnsi="Times New Roman" w:cstheme="minorBidi"/>
                <w:b/>
                <w:bCs/>
              </w:rPr>
              <w:t xml:space="preserve">2015 </w:t>
            </w:r>
          </w:p>
          <w:p w:rsidR="001354B7" w:rsidRPr="0080737A" w:rsidRDefault="001354B7" w:rsidP="001354B7">
            <w:pPr>
              <w:spacing w:after="0" w:line="240" w:lineRule="auto"/>
              <w:jc w:val="center"/>
              <w:rPr>
                <w:rFonts w:ascii="Times New Roman" w:eastAsiaTheme="minorEastAsia" w:hAnsi="Times New Roman" w:cstheme="minorBidi"/>
                <w:b/>
                <w:bCs/>
              </w:rPr>
            </w:pPr>
            <w:r w:rsidRPr="0080737A">
              <w:rPr>
                <w:rFonts w:ascii="Times New Roman" w:eastAsiaTheme="minorEastAsia" w:hAnsi="Times New Roman" w:cstheme="minorBidi"/>
                <w:b/>
                <w:bCs/>
              </w:rPr>
              <w:t>год</w:t>
            </w:r>
          </w:p>
        </w:tc>
        <w:tc>
          <w:tcPr>
            <w:tcW w:w="985" w:type="dxa"/>
            <w:tcBorders>
              <w:top w:val="nil"/>
              <w:left w:val="nil"/>
              <w:bottom w:val="single" w:sz="4" w:space="0" w:color="auto"/>
              <w:right w:val="single" w:sz="4" w:space="0" w:color="auto"/>
            </w:tcBorders>
            <w:shd w:val="clear" w:color="auto" w:fill="auto"/>
            <w:vAlign w:val="center"/>
          </w:tcPr>
          <w:p w:rsidR="001354B7" w:rsidRPr="0080737A" w:rsidRDefault="001354B7" w:rsidP="001354B7">
            <w:pPr>
              <w:spacing w:after="0" w:line="240" w:lineRule="auto"/>
              <w:ind w:right="224"/>
              <w:jc w:val="center"/>
              <w:rPr>
                <w:rFonts w:ascii="Times New Roman" w:eastAsiaTheme="minorEastAsia" w:hAnsi="Times New Roman" w:cstheme="minorBidi"/>
                <w:b/>
                <w:bCs/>
              </w:rPr>
            </w:pPr>
            <w:r w:rsidRPr="0080737A">
              <w:rPr>
                <w:rFonts w:ascii="Times New Roman" w:eastAsiaTheme="minorEastAsia" w:hAnsi="Times New Roman" w:cstheme="minorBidi"/>
                <w:b/>
                <w:bCs/>
              </w:rPr>
              <w:t xml:space="preserve">2016 год </w:t>
            </w:r>
          </w:p>
        </w:tc>
        <w:tc>
          <w:tcPr>
            <w:tcW w:w="1128" w:type="dxa"/>
            <w:tcBorders>
              <w:top w:val="nil"/>
              <w:left w:val="nil"/>
              <w:bottom w:val="single" w:sz="4" w:space="0" w:color="auto"/>
              <w:right w:val="single" w:sz="4" w:space="0" w:color="auto"/>
            </w:tcBorders>
            <w:shd w:val="clear" w:color="auto" w:fill="auto"/>
            <w:vAlign w:val="center"/>
          </w:tcPr>
          <w:p w:rsidR="001354B7" w:rsidRPr="0080737A" w:rsidRDefault="001354B7" w:rsidP="001354B7">
            <w:pPr>
              <w:spacing w:after="0" w:line="240" w:lineRule="auto"/>
              <w:ind w:left="-141"/>
              <w:jc w:val="center"/>
              <w:rPr>
                <w:rFonts w:ascii="Times New Roman" w:eastAsiaTheme="minorEastAsia" w:hAnsi="Times New Roman" w:cstheme="minorBidi"/>
                <w:b/>
                <w:bCs/>
              </w:rPr>
            </w:pPr>
            <w:r w:rsidRPr="0080737A">
              <w:rPr>
                <w:rFonts w:ascii="Times New Roman" w:eastAsiaTheme="minorEastAsia" w:hAnsi="Times New Roman" w:cstheme="minorBidi"/>
                <w:b/>
                <w:bCs/>
              </w:rPr>
              <w:t>Темп роста</w:t>
            </w:r>
          </w:p>
          <w:p w:rsidR="001354B7" w:rsidRPr="0080737A" w:rsidRDefault="001354B7" w:rsidP="001354B7">
            <w:pPr>
              <w:spacing w:after="0" w:line="240" w:lineRule="auto"/>
              <w:ind w:left="-141"/>
              <w:jc w:val="center"/>
              <w:rPr>
                <w:rFonts w:ascii="Times New Roman" w:eastAsiaTheme="minorEastAsia" w:hAnsi="Times New Roman" w:cstheme="minorBidi"/>
                <w:b/>
                <w:bCs/>
              </w:rPr>
            </w:pPr>
            <w:r w:rsidRPr="0080737A">
              <w:rPr>
                <w:rFonts w:ascii="Times New Roman" w:eastAsiaTheme="minorEastAsia" w:hAnsi="Times New Roman" w:cstheme="minorBidi"/>
                <w:b/>
                <w:bCs/>
              </w:rPr>
              <w:t xml:space="preserve">в % к </w:t>
            </w:r>
          </w:p>
          <w:p w:rsidR="001354B7" w:rsidRPr="0080737A" w:rsidRDefault="001354B7" w:rsidP="001354B7">
            <w:pPr>
              <w:spacing w:after="0" w:line="240" w:lineRule="auto"/>
              <w:ind w:left="-141"/>
              <w:jc w:val="center"/>
              <w:rPr>
                <w:rFonts w:ascii="Times New Roman" w:eastAsiaTheme="minorEastAsia" w:hAnsi="Times New Roman" w:cstheme="minorBidi"/>
                <w:b/>
                <w:bCs/>
              </w:rPr>
            </w:pPr>
            <w:r w:rsidRPr="0080737A">
              <w:rPr>
                <w:rFonts w:ascii="Times New Roman" w:eastAsiaTheme="minorEastAsia" w:hAnsi="Times New Roman" w:cstheme="minorBidi"/>
                <w:b/>
                <w:bCs/>
              </w:rPr>
              <w:t>2015 г.*</w:t>
            </w:r>
          </w:p>
        </w:tc>
      </w:tr>
      <w:tr w:rsidR="001354B7" w:rsidRPr="0080737A" w:rsidTr="004A339A">
        <w:trPr>
          <w:trHeight w:val="378"/>
        </w:trPr>
        <w:tc>
          <w:tcPr>
            <w:tcW w:w="2736" w:type="dxa"/>
            <w:tcBorders>
              <w:top w:val="single" w:sz="4" w:space="0" w:color="auto"/>
              <w:left w:val="single" w:sz="4" w:space="0" w:color="auto"/>
              <w:bottom w:val="single" w:sz="4" w:space="0" w:color="auto"/>
              <w:right w:val="single" w:sz="4" w:space="0" w:color="auto"/>
            </w:tcBorders>
            <w:shd w:val="clear" w:color="auto" w:fill="auto"/>
            <w:vAlign w:val="center"/>
          </w:tcPr>
          <w:p w:rsidR="001354B7" w:rsidRPr="0080737A" w:rsidRDefault="001354B7" w:rsidP="004A339A">
            <w:pPr>
              <w:spacing w:before="10" w:after="10" w:line="240" w:lineRule="auto"/>
              <w:rPr>
                <w:rFonts w:ascii="Times New Roman" w:eastAsiaTheme="minorEastAsia" w:hAnsi="Times New Roman" w:cstheme="minorBidi"/>
                <w:bCs/>
              </w:rPr>
            </w:pPr>
            <w:r w:rsidRPr="0080737A">
              <w:rPr>
                <w:rFonts w:ascii="Times New Roman" w:eastAsiaTheme="minorEastAsia" w:hAnsi="Times New Roman" w:cstheme="minorBidi"/>
                <w:bCs/>
              </w:rPr>
              <w:t>Зерновые и зернобобовые культуры - всего</w:t>
            </w:r>
          </w:p>
        </w:tc>
        <w:tc>
          <w:tcPr>
            <w:tcW w:w="1208"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328,4</w:t>
            </w:r>
          </w:p>
        </w:tc>
        <w:tc>
          <w:tcPr>
            <w:tcW w:w="985"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433,2</w:t>
            </w:r>
          </w:p>
        </w:tc>
        <w:tc>
          <w:tcPr>
            <w:tcW w:w="1127"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131,9</w:t>
            </w:r>
          </w:p>
        </w:tc>
        <w:tc>
          <w:tcPr>
            <w:tcW w:w="1127"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35,4</w:t>
            </w:r>
          </w:p>
        </w:tc>
        <w:tc>
          <w:tcPr>
            <w:tcW w:w="985"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42,7</w:t>
            </w:r>
          </w:p>
        </w:tc>
        <w:tc>
          <w:tcPr>
            <w:tcW w:w="1128" w:type="dxa"/>
            <w:tcBorders>
              <w:top w:val="single" w:sz="4" w:space="0" w:color="auto"/>
              <w:left w:val="nil"/>
              <w:bottom w:val="single" w:sz="4" w:space="0" w:color="auto"/>
              <w:right w:val="single" w:sz="4" w:space="0" w:color="auto"/>
            </w:tcBorders>
            <w:shd w:val="clear" w:color="auto" w:fill="auto"/>
            <w:noWrap/>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120,6</w:t>
            </w:r>
          </w:p>
        </w:tc>
      </w:tr>
      <w:tr w:rsidR="001354B7" w:rsidRPr="0080737A" w:rsidTr="004A339A">
        <w:trPr>
          <w:trHeight w:val="264"/>
        </w:trPr>
        <w:tc>
          <w:tcPr>
            <w:tcW w:w="2736" w:type="dxa"/>
            <w:tcBorders>
              <w:top w:val="single" w:sz="4" w:space="0" w:color="auto"/>
              <w:left w:val="single" w:sz="4" w:space="0" w:color="auto"/>
              <w:bottom w:val="single" w:sz="4" w:space="0" w:color="auto"/>
              <w:right w:val="single" w:sz="4" w:space="0" w:color="auto"/>
            </w:tcBorders>
            <w:shd w:val="clear" w:color="auto" w:fill="auto"/>
          </w:tcPr>
          <w:p w:rsidR="001354B7" w:rsidRPr="0080737A" w:rsidRDefault="001354B7" w:rsidP="004A339A">
            <w:pPr>
              <w:spacing w:before="10" w:after="10" w:line="240" w:lineRule="auto"/>
              <w:rPr>
                <w:rFonts w:ascii="Times New Roman" w:eastAsiaTheme="minorEastAsia" w:hAnsi="Times New Roman" w:cstheme="minorBidi"/>
                <w:bCs/>
              </w:rPr>
            </w:pPr>
            <w:r w:rsidRPr="0080737A">
              <w:rPr>
                <w:rFonts w:ascii="Times New Roman" w:eastAsiaTheme="minorEastAsia" w:hAnsi="Times New Roman" w:cstheme="minorBidi"/>
                <w:bCs/>
              </w:rPr>
              <w:t>из них: озимая пшеница</w:t>
            </w:r>
          </w:p>
        </w:tc>
        <w:tc>
          <w:tcPr>
            <w:tcW w:w="1208"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263,2</w:t>
            </w:r>
          </w:p>
        </w:tc>
        <w:tc>
          <w:tcPr>
            <w:tcW w:w="985"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351,1</w:t>
            </w:r>
          </w:p>
        </w:tc>
        <w:tc>
          <w:tcPr>
            <w:tcW w:w="1127"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133,4</w:t>
            </w:r>
          </w:p>
        </w:tc>
        <w:tc>
          <w:tcPr>
            <w:tcW w:w="1127"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37,8</w:t>
            </w:r>
          </w:p>
        </w:tc>
        <w:tc>
          <w:tcPr>
            <w:tcW w:w="985" w:type="dxa"/>
            <w:tcBorders>
              <w:top w:val="single" w:sz="4" w:space="0" w:color="auto"/>
              <w:left w:val="nil"/>
              <w:bottom w:val="single" w:sz="4" w:space="0" w:color="auto"/>
              <w:right w:val="single" w:sz="4" w:space="0" w:color="auto"/>
            </w:tcBorders>
            <w:shd w:val="clear" w:color="auto" w:fill="auto"/>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45,2</w:t>
            </w:r>
          </w:p>
        </w:tc>
        <w:tc>
          <w:tcPr>
            <w:tcW w:w="1128" w:type="dxa"/>
            <w:tcBorders>
              <w:top w:val="single" w:sz="4" w:space="0" w:color="auto"/>
              <w:left w:val="nil"/>
              <w:bottom w:val="single" w:sz="4" w:space="0" w:color="auto"/>
              <w:right w:val="single" w:sz="4" w:space="0" w:color="auto"/>
            </w:tcBorders>
            <w:shd w:val="clear" w:color="auto" w:fill="auto"/>
            <w:noWrap/>
            <w:vAlign w:val="bottom"/>
          </w:tcPr>
          <w:p w:rsidR="001354B7" w:rsidRPr="0080737A" w:rsidRDefault="001354B7" w:rsidP="001354B7">
            <w:pPr>
              <w:spacing w:after="0" w:line="240" w:lineRule="auto"/>
              <w:jc w:val="right"/>
              <w:rPr>
                <w:rFonts w:ascii="Times New Roman" w:eastAsiaTheme="minorEastAsia" w:hAnsi="Times New Roman" w:cstheme="minorBidi"/>
              </w:rPr>
            </w:pPr>
            <w:r w:rsidRPr="0080737A">
              <w:rPr>
                <w:rFonts w:ascii="Times New Roman" w:eastAsiaTheme="minorEastAsia" w:hAnsi="Times New Roman" w:cstheme="minorBidi"/>
              </w:rPr>
              <w:t>119,6</w:t>
            </w:r>
          </w:p>
        </w:tc>
      </w:tr>
    </w:tbl>
    <w:p w:rsidR="001354B7" w:rsidRPr="0080737A" w:rsidRDefault="001354B7" w:rsidP="001354B7">
      <w:pPr>
        <w:tabs>
          <w:tab w:val="left" w:pos="7020"/>
          <w:tab w:val="left" w:pos="8460"/>
        </w:tabs>
        <w:spacing w:after="0" w:line="240" w:lineRule="auto"/>
        <w:ind w:left="-142" w:firstLine="142"/>
        <w:rPr>
          <w:rFonts w:ascii="Times New Roman" w:eastAsiaTheme="minorEastAsia" w:hAnsi="Times New Roman" w:cstheme="minorBidi"/>
          <w:sz w:val="20"/>
          <w:szCs w:val="20"/>
        </w:rPr>
      </w:pPr>
      <w:r w:rsidRPr="0080737A">
        <w:rPr>
          <w:rFonts w:ascii="Times New Roman" w:eastAsiaTheme="minorEastAsia" w:hAnsi="Times New Roman" w:cstheme="minorBidi"/>
          <w:sz w:val="20"/>
          <w:szCs w:val="20"/>
        </w:rPr>
        <w:t xml:space="preserve">     *- темп роста (спада) к соответствующей дате 2015года, %</w:t>
      </w:r>
    </w:p>
    <w:p w:rsidR="001354B7" w:rsidRPr="0080737A" w:rsidRDefault="001354B7" w:rsidP="001354B7">
      <w:pPr>
        <w:spacing w:after="0" w:line="240" w:lineRule="auto"/>
        <w:ind w:firstLine="709"/>
        <w:jc w:val="both"/>
        <w:rPr>
          <w:rFonts w:ascii="Times New Roman" w:eastAsiaTheme="minorEastAsia" w:hAnsi="Times New Roman"/>
          <w:sz w:val="24"/>
          <w:szCs w:val="24"/>
        </w:rPr>
      </w:pPr>
    </w:p>
    <w:p w:rsidR="001354B7" w:rsidRPr="0080737A" w:rsidRDefault="001354B7" w:rsidP="001354B7">
      <w:pPr>
        <w:spacing w:after="0" w:line="240" w:lineRule="auto"/>
        <w:ind w:firstLine="709"/>
        <w:jc w:val="both"/>
        <w:rPr>
          <w:rFonts w:ascii="Times New Roman" w:hAnsi="Times New Roman"/>
          <w:sz w:val="24"/>
          <w:szCs w:val="24"/>
        </w:rPr>
      </w:pPr>
      <w:r w:rsidRPr="0080737A">
        <w:rPr>
          <w:rFonts w:ascii="Times New Roman" w:eastAsiaTheme="minorEastAsia" w:hAnsi="Times New Roman"/>
          <w:sz w:val="24"/>
          <w:szCs w:val="24"/>
        </w:rPr>
        <w:t xml:space="preserve">В животноводческой отрасли в январе-июне 2016 года отмечаются </w:t>
      </w:r>
      <w:proofErr w:type="spellStart"/>
      <w:r w:rsidRPr="0080737A">
        <w:rPr>
          <w:rFonts w:ascii="Times New Roman" w:eastAsiaTheme="minorEastAsia" w:hAnsi="Times New Roman"/>
          <w:sz w:val="24"/>
          <w:szCs w:val="24"/>
        </w:rPr>
        <w:t>разновекторные</w:t>
      </w:r>
      <w:proofErr w:type="spellEnd"/>
      <w:r w:rsidRPr="0080737A">
        <w:rPr>
          <w:rFonts w:ascii="Times New Roman" w:eastAsiaTheme="minorEastAsia" w:hAnsi="Times New Roman"/>
          <w:sz w:val="24"/>
          <w:szCs w:val="24"/>
        </w:rPr>
        <w:t xml:space="preserve"> тенденции развития. </w:t>
      </w:r>
      <w:proofErr w:type="gramStart"/>
      <w:r w:rsidRPr="0080737A">
        <w:rPr>
          <w:rFonts w:ascii="Times New Roman" w:eastAsiaTheme="minorEastAsia" w:hAnsi="Times New Roman"/>
          <w:sz w:val="24"/>
          <w:szCs w:val="24"/>
        </w:rPr>
        <w:t xml:space="preserve">Так, увеличение выращенного скота и птицы на 33,3%, сопровождалось активизацией их реализации на убой (в живом весе) на 48,0%, тогда как </w:t>
      </w:r>
      <w:r w:rsidRPr="0080737A">
        <w:rPr>
          <w:rFonts w:ascii="Times New Roman" w:hAnsi="Times New Roman"/>
          <w:sz w:val="24"/>
          <w:szCs w:val="24"/>
        </w:rPr>
        <w:t>на фоне сокращения поголовья коров (-11,2%) и кур-несушек (-71,0%) и показателей продуктивности коров (-4,4%) и средней яйценоскости кур-несушек (-3,7%) отмечен спад производства молока (-15,2% до 3,1 тыс. тонн) и куриных яиц (-72,1% до 4 799,9 тыс. шт.).</w:t>
      </w:r>
      <w:proofErr w:type="gramEnd"/>
      <w:r w:rsidRPr="0080737A">
        <w:rPr>
          <w:rFonts w:ascii="Times New Roman" w:hAnsi="Times New Roman"/>
          <w:sz w:val="24"/>
          <w:szCs w:val="24"/>
        </w:rPr>
        <w:t xml:space="preserve"> Данные показатели свидетельствуют, что ситуация в животноводческой отрасли остается сложной и требует неотлагательных мер государственной поддержки. </w:t>
      </w:r>
    </w:p>
    <w:p w:rsidR="001354B7" w:rsidRPr="0080737A" w:rsidRDefault="001354B7" w:rsidP="001354B7">
      <w:pPr>
        <w:spacing w:after="0" w:line="240" w:lineRule="auto"/>
        <w:ind w:firstLine="709"/>
        <w:jc w:val="both"/>
        <w:rPr>
          <w:rFonts w:ascii="Times New Roman" w:hAnsi="Times New Roman"/>
          <w:sz w:val="24"/>
          <w:szCs w:val="24"/>
        </w:rPr>
      </w:pPr>
    </w:p>
    <w:p w:rsidR="001354B7" w:rsidRPr="0080737A" w:rsidRDefault="001354B7" w:rsidP="001354B7">
      <w:pPr>
        <w:spacing w:after="0" w:line="240" w:lineRule="auto"/>
        <w:ind w:firstLine="709"/>
        <w:jc w:val="both"/>
        <w:rPr>
          <w:rFonts w:ascii="Times New Roman" w:eastAsiaTheme="minorEastAsia" w:hAnsi="Times New Roman" w:cstheme="minorBidi"/>
          <w:b/>
          <w:sz w:val="24"/>
          <w:szCs w:val="24"/>
          <w:u w:val="single"/>
        </w:rPr>
      </w:pPr>
      <w:r w:rsidRPr="0080737A">
        <w:rPr>
          <w:rFonts w:ascii="Times New Roman" w:eastAsiaTheme="minorEastAsia" w:hAnsi="Times New Roman" w:cstheme="minorBidi"/>
          <w:b/>
          <w:sz w:val="24"/>
          <w:szCs w:val="24"/>
          <w:u w:val="single"/>
        </w:rPr>
        <w:t>Потребительский рынок</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proofErr w:type="gramStart"/>
      <w:r w:rsidRPr="0080737A">
        <w:rPr>
          <w:rFonts w:ascii="Times New Roman" w:hAnsi="Times New Roman"/>
          <w:sz w:val="24"/>
          <w:szCs w:val="24"/>
        </w:rPr>
        <w:t xml:space="preserve">Инфляционные проявления в секторе продовольственных и не продовольственных товаров, начиная с апреля месяца, наличие которых во многом определялись сложившейся ситуацией на валютном рынке, в совокупности с </w:t>
      </w:r>
      <w:r w:rsidRPr="0080737A">
        <w:rPr>
          <w:rFonts w:ascii="Times New Roman" w:eastAsiaTheme="minorEastAsia" w:hAnsi="Times New Roman" w:cstheme="minorBidi"/>
          <w:sz w:val="24"/>
          <w:szCs w:val="24"/>
        </w:rPr>
        <w:t xml:space="preserve">проводимыми антиинфляционными мерами со стороны государства по оптимизации тарифной политики обеспечили инфляцию на товары и услуги по итогам </w:t>
      </w:r>
      <w:r w:rsidRPr="0080737A">
        <w:rPr>
          <w:rFonts w:ascii="Times New Roman" w:eastAsiaTheme="minorEastAsia" w:hAnsi="Times New Roman" w:cstheme="minorBidi"/>
          <w:sz w:val="24"/>
          <w:szCs w:val="24"/>
          <w:lang w:val="en-US"/>
        </w:rPr>
        <w:t>I</w:t>
      </w:r>
      <w:r w:rsidRPr="0080737A">
        <w:rPr>
          <w:rFonts w:ascii="Times New Roman" w:eastAsiaTheme="minorEastAsia" w:hAnsi="Times New Roman" w:cstheme="minorBidi"/>
          <w:sz w:val="24"/>
          <w:szCs w:val="24"/>
        </w:rPr>
        <w:t xml:space="preserve"> полугодия текущего года на уровне 103,75% (в январе-июне 2015 года – 100,22%).</w:t>
      </w:r>
      <w:proofErr w:type="gramEnd"/>
    </w:p>
    <w:p w:rsidR="00374268" w:rsidRPr="0080737A" w:rsidRDefault="00374268" w:rsidP="001354B7">
      <w:pPr>
        <w:spacing w:after="0" w:line="240" w:lineRule="auto"/>
        <w:ind w:firstLine="709"/>
        <w:jc w:val="both"/>
        <w:rPr>
          <w:rFonts w:ascii="Times New Roman" w:eastAsiaTheme="minorEastAsia" w:hAnsi="Times New Roman" w:cstheme="minorBidi"/>
          <w:sz w:val="24"/>
          <w:szCs w:val="24"/>
        </w:rPr>
      </w:pPr>
    </w:p>
    <w:p w:rsidR="00374268" w:rsidRPr="0080737A" w:rsidRDefault="00374268" w:rsidP="001354B7">
      <w:pPr>
        <w:spacing w:after="0" w:line="240" w:lineRule="auto"/>
        <w:ind w:firstLine="709"/>
        <w:jc w:val="both"/>
        <w:rPr>
          <w:rFonts w:ascii="Times New Roman" w:eastAsiaTheme="minorEastAsia" w:hAnsi="Times New Roman" w:cstheme="minorBidi"/>
          <w:sz w:val="24"/>
          <w:szCs w:val="24"/>
        </w:rPr>
      </w:pPr>
    </w:p>
    <w:p w:rsidR="00374268" w:rsidRPr="0080737A" w:rsidRDefault="00374268" w:rsidP="001354B7">
      <w:pPr>
        <w:spacing w:after="0" w:line="240" w:lineRule="auto"/>
        <w:ind w:firstLine="709"/>
        <w:jc w:val="both"/>
        <w:rPr>
          <w:rFonts w:ascii="Times New Roman" w:eastAsiaTheme="minorEastAsia" w:hAnsi="Times New Roman" w:cstheme="minorBidi"/>
          <w:sz w:val="24"/>
          <w:szCs w:val="24"/>
        </w:rPr>
      </w:pPr>
    </w:p>
    <w:p w:rsidR="00374268" w:rsidRPr="0080737A" w:rsidRDefault="00374268" w:rsidP="001354B7">
      <w:pPr>
        <w:spacing w:after="0" w:line="240" w:lineRule="auto"/>
        <w:ind w:firstLine="709"/>
        <w:jc w:val="both"/>
        <w:rPr>
          <w:rFonts w:ascii="Times New Roman" w:hAnsi="Times New Roman"/>
          <w:sz w:val="24"/>
          <w:szCs w:val="24"/>
        </w:rPr>
      </w:pPr>
    </w:p>
    <w:p w:rsidR="001354B7" w:rsidRPr="0080737A" w:rsidRDefault="001354B7" w:rsidP="001354B7">
      <w:pPr>
        <w:spacing w:after="0" w:line="240" w:lineRule="auto"/>
        <w:jc w:val="both"/>
        <w:rPr>
          <w:rFonts w:ascii="Times New Roman" w:hAnsi="Times New Roman"/>
          <w:sz w:val="24"/>
          <w:szCs w:val="24"/>
        </w:rPr>
      </w:pPr>
      <w:r w:rsidRPr="0080737A">
        <w:rPr>
          <w:rFonts w:ascii="Times New Roman" w:hAnsi="Times New Roman"/>
          <w:noProof/>
          <w:sz w:val="24"/>
          <w:szCs w:val="24"/>
        </w:rPr>
        <w:lastRenderedPageBreak/>
        <w:drawing>
          <wp:inline distT="0" distB="0" distL="0" distR="0">
            <wp:extent cx="5934075" cy="2257425"/>
            <wp:effectExtent l="0" t="0" r="0" b="0"/>
            <wp:docPr id="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54B7" w:rsidRPr="0080737A" w:rsidRDefault="001354B7" w:rsidP="001354B7">
      <w:pPr>
        <w:spacing w:after="0" w:line="240" w:lineRule="auto"/>
        <w:ind w:firstLine="709"/>
        <w:jc w:val="both"/>
        <w:rPr>
          <w:rFonts w:ascii="Times New Roman" w:eastAsiaTheme="minorEastAsia" w:hAnsi="Times New Roman"/>
          <w:bCs/>
          <w:color w:val="000000"/>
          <w:sz w:val="24"/>
          <w:shd w:val="clear" w:color="auto" w:fill="FFFFFF"/>
        </w:rPr>
      </w:pPr>
      <w:r w:rsidRPr="0080737A">
        <w:rPr>
          <w:rFonts w:ascii="Times New Roman" w:hAnsi="Times New Roman"/>
          <w:sz w:val="24"/>
          <w:szCs w:val="24"/>
        </w:rPr>
        <w:t>Стоимость продовольственных товаров в январе-июне 2016 года, подверженных воздействию сезонных и административных факторов ценообразования, сформировала в продовольственном сегменте рынка инфляцию в размере 104,64% (в январе-июне 2015 года дефляция «-»1,41%). Основное влияние на определившийся инфляционный фон оказало</w:t>
      </w:r>
      <w:r w:rsidR="002B1C01" w:rsidRPr="0080737A">
        <w:rPr>
          <w:rFonts w:ascii="Times New Roman" w:hAnsi="Times New Roman"/>
          <w:sz w:val="24"/>
          <w:szCs w:val="24"/>
        </w:rPr>
        <w:t xml:space="preserve"> </w:t>
      </w:r>
      <w:r w:rsidRPr="0080737A">
        <w:rPr>
          <w:rFonts w:ascii="Times New Roman" w:eastAsiaTheme="minorEastAsia" w:hAnsi="Times New Roman" w:cstheme="minorBidi"/>
          <w:bCs/>
          <w:color w:val="000000"/>
          <w:sz w:val="24"/>
          <w:shd w:val="clear" w:color="auto" w:fill="FFFFFF"/>
        </w:rPr>
        <w:t xml:space="preserve">удорожание стоимости мясопродуктов – на 5,35%, рыбопродуктов – на 6,83%, сахара – на 12,05%, масла и жиров – на 8,67%, плодоовощной продукции, включая картофель – на 15,92%, </w:t>
      </w:r>
      <w:r w:rsidRPr="0080737A">
        <w:rPr>
          <w:rFonts w:ascii="Times New Roman" w:eastAsiaTheme="minorEastAsia" w:hAnsi="Times New Roman"/>
          <w:bCs/>
          <w:color w:val="000000"/>
          <w:sz w:val="24"/>
          <w:shd w:val="clear" w:color="auto" w:fill="FFFFFF"/>
        </w:rPr>
        <w:t>в совокупности с удешевлением стоимости яиц</w:t>
      </w:r>
      <w:r w:rsidRPr="0080737A">
        <w:rPr>
          <w:rFonts w:ascii="Times New Roman" w:eastAsiaTheme="minorEastAsia" w:hAnsi="Times New Roman" w:cstheme="minorBidi"/>
          <w:bCs/>
          <w:color w:val="000000"/>
          <w:sz w:val="24"/>
          <w:shd w:val="clear" w:color="auto" w:fill="FFFFFF"/>
        </w:rPr>
        <w:t xml:space="preserve"> – на 7,24%, сыра – на 3,42%, молока и молочной продукции  </w:t>
      </w:r>
      <w:r w:rsidRPr="0080737A">
        <w:rPr>
          <w:rFonts w:ascii="Times New Roman" w:eastAsiaTheme="minorEastAsia" w:hAnsi="Times New Roman"/>
          <w:bCs/>
          <w:color w:val="000000"/>
          <w:sz w:val="24"/>
          <w:shd w:val="clear" w:color="auto" w:fill="FFFFFF"/>
        </w:rPr>
        <w:t xml:space="preserve">– </w:t>
      </w:r>
      <w:proofErr w:type="gramStart"/>
      <w:r w:rsidRPr="0080737A">
        <w:rPr>
          <w:rFonts w:ascii="Times New Roman" w:eastAsiaTheme="minorEastAsia" w:hAnsi="Times New Roman"/>
          <w:bCs/>
          <w:color w:val="000000"/>
          <w:sz w:val="24"/>
          <w:shd w:val="clear" w:color="auto" w:fill="FFFFFF"/>
        </w:rPr>
        <w:t>на</w:t>
      </w:r>
      <w:proofErr w:type="gramEnd"/>
      <w:r w:rsidRPr="0080737A">
        <w:rPr>
          <w:rFonts w:ascii="Times New Roman" w:eastAsiaTheme="minorEastAsia" w:hAnsi="Times New Roman"/>
          <w:bCs/>
          <w:color w:val="000000"/>
          <w:sz w:val="24"/>
          <w:shd w:val="clear" w:color="auto" w:fill="FFFFFF"/>
        </w:rPr>
        <w:t xml:space="preserve"> 1,62%.</w:t>
      </w:r>
    </w:p>
    <w:p w:rsidR="001354B7" w:rsidRPr="0080737A" w:rsidRDefault="001354B7" w:rsidP="001354B7">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В непродовольственном сегменте рынка в рассматриваемом периоде отмечается усиление инфляционных процессов в до 10</w:t>
      </w:r>
      <w:r w:rsidRPr="0080737A">
        <w:rPr>
          <w:rFonts w:ascii="Times New Roman" w:eastAsiaTheme="minorEastAsia" w:hAnsi="Times New Roman"/>
          <w:sz w:val="24"/>
          <w:szCs w:val="24"/>
        </w:rPr>
        <w:t>3,48%(в январе–июне 2015 года дефляция «-» 1,62%)</w:t>
      </w:r>
      <w:proofErr w:type="gramEnd"/>
      <w:r w:rsidRPr="0080737A">
        <w:rPr>
          <w:rFonts w:ascii="Times New Roman" w:eastAsiaTheme="minorEastAsia" w:hAnsi="Times New Roman"/>
          <w:sz w:val="24"/>
          <w:szCs w:val="24"/>
        </w:rPr>
        <w:t>.</w:t>
      </w:r>
      <w:r w:rsidRPr="0080737A">
        <w:rPr>
          <w:rFonts w:ascii="Times New Roman" w:hAnsi="Times New Roman"/>
          <w:sz w:val="24"/>
          <w:szCs w:val="24"/>
        </w:rPr>
        <w:t xml:space="preserve">Прежде всего, дорожали товары народного потребления, импортируемые на территорию республики. </w:t>
      </w:r>
      <w:r w:rsidRPr="0080737A">
        <w:rPr>
          <w:rFonts w:ascii="Times New Roman" w:eastAsiaTheme="minorEastAsia" w:hAnsi="Times New Roman"/>
          <w:sz w:val="24"/>
          <w:szCs w:val="24"/>
        </w:rPr>
        <w:t>В общей структуре данного сегмента выделяется повышение стоимости табачных изделий («+»18,10%), ковров и ковровых изделий («+»13,51%), велосипедов («+»10,63%), электротоваров и других бытовых приборов («+»9,30%), строительных материалов («+»8,69%), печатных изданий («+»5,64%), вычислительной техники («+»5,32%), топлива (бензина) («+»1,61%), медикаментов («+»1,05%). В то же время отмечалось удешевление стоимости товаров бытовой химии («-»2,22%), моющих средств («-»2,01%) и др.</w:t>
      </w:r>
    </w:p>
    <w:p w:rsidR="001354B7" w:rsidRPr="0080737A" w:rsidRDefault="001354B7" w:rsidP="001354B7">
      <w:pPr>
        <w:spacing w:after="0" w:line="240" w:lineRule="auto"/>
        <w:ind w:firstLine="709"/>
        <w:jc w:val="both"/>
        <w:rPr>
          <w:rFonts w:ascii="Times New Roman" w:hAnsi="Times New Roman"/>
          <w:sz w:val="24"/>
          <w:szCs w:val="24"/>
        </w:rPr>
      </w:pPr>
      <w:r w:rsidRPr="0080737A">
        <w:rPr>
          <w:rFonts w:ascii="Times New Roman" w:eastAsiaTheme="minorEastAsia" w:hAnsi="Times New Roman" w:cstheme="minorBidi"/>
          <w:sz w:val="24"/>
          <w:szCs w:val="24"/>
        </w:rPr>
        <w:t xml:space="preserve">В сфере услуг в первом полугодии текущего года был зафиксирован минимальный прирост тарифов («+»2,53%, против «+»6,54% в январе-июне 2015 года), что </w:t>
      </w:r>
      <w:r w:rsidRPr="0080737A">
        <w:rPr>
          <w:rFonts w:ascii="Times New Roman" w:hAnsi="Times New Roman"/>
          <w:sz w:val="24"/>
          <w:szCs w:val="24"/>
        </w:rPr>
        <w:t xml:space="preserve">стало следствием принятых на государственном уровне решений о неосуществлении в 2016 году корректировок стоимости ключевых потребительских услуг в целях минимизации инфляционной нагрузки на население в условиях экономического кризиса. </w:t>
      </w:r>
    </w:p>
    <w:p w:rsidR="001354B7" w:rsidRPr="0080737A" w:rsidRDefault="001354B7" w:rsidP="001354B7">
      <w:pPr>
        <w:spacing w:after="0" w:line="240" w:lineRule="auto"/>
        <w:ind w:firstLine="709"/>
        <w:jc w:val="both"/>
        <w:rPr>
          <w:rFonts w:ascii="Times New Roman" w:eastAsiaTheme="minorEastAsia" w:hAnsi="Times New Roman" w:cstheme="minorBidi"/>
          <w:b/>
          <w:sz w:val="24"/>
          <w:u w:val="single"/>
          <w:shd w:val="clear" w:color="auto" w:fill="FFFFFF"/>
        </w:rPr>
      </w:pPr>
      <w:r w:rsidRPr="0080737A">
        <w:rPr>
          <w:rFonts w:ascii="Times New Roman" w:eastAsiaTheme="minorEastAsia" w:hAnsi="Times New Roman" w:cstheme="minorBidi"/>
          <w:sz w:val="24"/>
          <w:szCs w:val="24"/>
        </w:rPr>
        <w:t xml:space="preserve">Воздействие группы факторов, связанных с нестабильной внешнеполитической и экономической конъюнктурой в совокупности с углублением структурных деформаций реального сектора экономики, отражаются на доходах и на потребительском поведении населения. </w:t>
      </w:r>
      <w:r w:rsidRPr="0080737A">
        <w:rPr>
          <w:rFonts w:ascii="Times New Roman" w:hAnsi="Times New Roman"/>
          <w:sz w:val="24"/>
          <w:szCs w:val="24"/>
        </w:rPr>
        <w:t xml:space="preserve">Сжатие потребления в условиях режима жёсткой экономии предопределило падение </w:t>
      </w:r>
      <w:r w:rsidRPr="0080737A">
        <w:rPr>
          <w:rFonts w:ascii="Times New Roman" w:eastAsia="TimesNewRoman" w:hAnsi="Times New Roman" w:cstheme="minorBidi"/>
          <w:sz w:val="24"/>
          <w:szCs w:val="24"/>
        </w:rPr>
        <w:t>объема розничных продаж</w:t>
      </w:r>
      <w:r w:rsidRPr="0080737A">
        <w:rPr>
          <w:rFonts w:ascii="Times New Roman" w:eastAsiaTheme="minorEastAsia" w:hAnsi="Times New Roman" w:cstheme="minorBidi"/>
          <w:sz w:val="24"/>
          <w:szCs w:val="24"/>
        </w:rPr>
        <w:t xml:space="preserve"> по итогам I полугодия текущего года на 7,9% до                   2 486,1 млн. руб., потребление услуг населением сократилось соответственно– </w:t>
      </w:r>
      <w:proofErr w:type="gramStart"/>
      <w:r w:rsidRPr="0080737A">
        <w:rPr>
          <w:rFonts w:ascii="Times New Roman" w:eastAsiaTheme="minorEastAsia" w:hAnsi="Times New Roman" w:cstheme="minorBidi"/>
          <w:sz w:val="24"/>
          <w:szCs w:val="24"/>
        </w:rPr>
        <w:t>на</w:t>
      </w:r>
      <w:proofErr w:type="gramEnd"/>
      <w:r w:rsidRPr="0080737A">
        <w:rPr>
          <w:rFonts w:ascii="Times New Roman" w:eastAsiaTheme="minorEastAsia" w:hAnsi="Times New Roman" w:cstheme="minorBidi"/>
          <w:sz w:val="24"/>
          <w:szCs w:val="24"/>
        </w:rPr>
        <w:t xml:space="preserve"> 2,1% до 1 088,9 млн. руб. при этом </w:t>
      </w:r>
      <w:r w:rsidRPr="0080737A">
        <w:rPr>
          <w:rFonts w:ascii="Times New Roman" w:hAnsi="Times New Roman"/>
          <w:sz w:val="24"/>
          <w:szCs w:val="24"/>
        </w:rPr>
        <w:t>с</w:t>
      </w:r>
      <w:r w:rsidRPr="0080737A">
        <w:rPr>
          <w:rFonts w:ascii="Times New Roman" w:eastAsiaTheme="minorEastAsia" w:hAnsi="Times New Roman" w:cstheme="minorBidi"/>
          <w:sz w:val="24"/>
          <w:szCs w:val="24"/>
        </w:rPr>
        <w:t xml:space="preserve">овокупный объем продаж товаров и услуг на внутреннем рынке в январе-июне 2016 года по отношению к базовому параметру минувшего года сузился в сопоставимой оценке на 6,2% до 3 574,9 млн. руб. </w:t>
      </w:r>
    </w:p>
    <w:p w:rsidR="001354B7" w:rsidRPr="0080737A" w:rsidRDefault="001354B7" w:rsidP="001354B7">
      <w:pPr>
        <w:spacing w:after="0" w:line="240" w:lineRule="auto"/>
        <w:ind w:firstLine="709"/>
        <w:jc w:val="both"/>
        <w:rPr>
          <w:rFonts w:ascii="Times New Roman" w:eastAsiaTheme="minorEastAsia" w:hAnsi="Times New Roman" w:cstheme="minorBidi"/>
          <w:b/>
          <w:sz w:val="24"/>
          <w:u w:val="single"/>
          <w:shd w:val="clear" w:color="auto" w:fill="FFFFFF"/>
        </w:rPr>
      </w:pPr>
    </w:p>
    <w:p w:rsidR="001354B7" w:rsidRPr="0080737A" w:rsidRDefault="001354B7" w:rsidP="001354B7">
      <w:pPr>
        <w:spacing w:after="0" w:line="240" w:lineRule="auto"/>
        <w:ind w:firstLine="709"/>
        <w:jc w:val="both"/>
        <w:rPr>
          <w:rFonts w:ascii="Times New Roman" w:eastAsiaTheme="minorEastAsia" w:hAnsi="Times New Roman" w:cstheme="minorBidi"/>
          <w:b/>
          <w:sz w:val="24"/>
          <w:u w:val="single"/>
          <w:shd w:val="clear" w:color="auto" w:fill="FFFFFF"/>
        </w:rPr>
      </w:pPr>
      <w:r w:rsidRPr="0080737A">
        <w:rPr>
          <w:rFonts w:ascii="Times New Roman" w:eastAsiaTheme="minorEastAsia" w:hAnsi="Times New Roman" w:cstheme="minorBidi"/>
          <w:b/>
          <w:sz w:val="24"/>
          <w:u w:val="single"/>
          <w:shd w:val="clear" w:color="auto" w:fill="FFFFFF"/>
        </w:rPr>
        <w:t>Уровень жизни и сфера занятости</w:t>
      </w:r>
    </w:p>
    <w:p w:rsidR="001354B7" w:rsidRPr="0080737A" w:rsidRDefault="001354B7" w:rsidP="001354B7">
      <w:pPr>
        <w:spacing w:after="0" w:line="240" w:lineRule="auto"/>
        <w:ind w:firstLine="708"/>
        <w:jc w:val="both"/>
        <w:rPr>
          <w:rFonts w:ascii="Times New Roman" w:eastAsiaTheme="minorEastAsia" w:hAnsi="Times New Roman" w:cstheme="minorBidi"/>
          <w:sz w:val="24"/>
          <w:szCs w:val="24"/>
          <w:shd w:val="clear" w:color="auto" w:fill="FFFFFF"/>
        </w:rPr>
      </w:pPr>
      <w:r w:rsidRPr="0080737A">
        <w:rPr>
          <w:rFonts w:ascii="Times New Roman" w:eastAsiaTheme="minorEastAsia" w:hAnsi="Times New Roman" w:cstheme="minorBidi"/>
          <w:sz w:val="24"/>
          <w:szCs w:val="24"/>
          <w:shd w:val="clear" w:color="auto" w:fill="FFFFFF"/>
        </w:rPr>
        <w:t xml:space="preserve">Показатели уровня жизни населения в январе-июне текущего года формировались в условиях усугубления ситуации в экономике, обусловленной рядом факторов как внутреннего так внешнего характера (снижение промышленного производства, падение спроса на продукцию отечественных товаропроизводителей, и как следствие </w:t>
      </w:r>
      <w:proofErr w:type="spellStart"/>
      <w:r w:rsidRPr="0080737A">
        <w:rPr>
          <w:rFonts w:ascii="Times New Roman" w:eastAsiaTheme="minorEastAsia" w:hAnsi="Times New Roman" w:cstheme="minorBidi"/>
          <w:sz w:val="24"/>
          <w:szCs w:val="24"/>
          <w:shd w:val="clear" w:color="auto" w:fill="FFFFFF"/>
        </w:rPr>
        <w:t>недополучение</w:t>
      </w:r>
      <w:proofErr w:type="spellEnd"/>
      <w:r w:rsidR="005C2655" w:rsidRPr="0080737A">
        <w:rPr>
          <w:rFonts w:ascii="Times New Roman" w:eastAsiaTheme="minorEastAsia" w:hAnsi="Times New Roman" w:cstheme="minorBidi"/>
          <w:sz w:val="24"/>
          <w:szCs w:val="24"/>
          <w:shd w:val="clear" w:color="auto" w:fill="FFFFFF"/>
        </w:rPr>
        <w:t xml:space="preserve"> </w:t>
      </w:r>
      <w:r w:rsidRPr="0080737A">
        <w:rPr>
          <w:rFonts w:ascii="Times New Roman" w:eastAsiaTheme="minorEastAsia" w:hAnsi="Times New Roman" w:cstheme="minorBidi"/>
          <w:sz w:val="24"/>
          <w:szCs w:val="24"/>
          <w:shd w:val="clear" w:color="auto" w:fill="FFFFFF"/>
        </w:rPr>
        <w:t>налоговых поступлений в бюджет), что и предопределило их динамику.</w:t>
      </w:r>
    </w:p>
    <w:p w:rsidR="001354B7" w:rsidRPr="0080737A" w:rsidRDefault="001354B7" w:rsidP="001354B7">
      <w:pPr>
        <w:spacing w:after="0" w:line="240" w:lineRule="auto"/>
        <w:ind w:hanging="567"/>
        <w:rPr>
          <w:rFonts w:ascii="Times New Roman" w:hAnsi="Times New Roman"/>
          <w:noProof/>
          <w:sz w:val="24"/>
          <w:szCs w:val="24"/>
        </w:rPr>
      </w:pPr>
      <w:r w:rsidRPr="0080737A">
        <w:rPr>
          <w:rFonts w:ascii="Times New Roman" w:hAnsi="Times New Roman"/>
          <w:noProof/>
          <w:sz w:val="24"/>
          <w:szCs w:val="24"/>
        </w:rPr>
        <w:lastRenderedPageBreak/>
        <w:drawing>
          <wp:inline distT="0" distB="0" distL="0" distR="0">
            <wp:extent cx="6315075" cy="2105025"/>
            <wp:effectExtent l="0" t="0" r="0" b="0"/>
            <wp:docPr id="9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54B7" w:rsidRPr="0080737A" w:rsidRDefault="001354B7" w:rsidP="002B7296">
      <w:pPr>
        <w:spacing w:after="0" w:line="240" w:lineRule="auto"/>
        <w:ind w:firstLine="708"/>
        <w:jc w:val="both"/>
        <w:rPr>
          <w:rFonts w:ascii="Times New Roman" w:eastAsiaTheme="minorEastAsia" w:hAnsi="Times New Roman" w:cstheme="minorBidi"/>
          <w:sz w:val="24"/>
          <w:szCs w:val="24"/>
          <w:shd w:val="clear" w:color="auto" w:fill="FFFFFF"/>
        </w:rPr>
      </w:pPr>
      <w:r w:rsidRPr="0080737A">
        <w:rPr>
          <w:rFonts w:ascii="Times New Roman" w:eastAsiaTheme="minorEastAsia" w:hAnsi="Times New Roman" w:cstheme="minorBidi"/>
          <w:sz w:val="24"/>
          <w:szCs w:val="24"/>
          <w:shd w:val="clear" w:color="auto" w:fill="FFFFFF"/>
        </w:rPr>
        <w:t>Номинальная заработная плата в целом по республике (кроме субъектов малого предпринимательства и без учета силовых структур) составила 3 791 руб. и соответствовала 338 долл. США, сократившись на 2,3%. Реальный размер заработной платы одного работника с учетом корректировки на инфляционный фактор сократился по отношению к базисному уровню минувшего года на 1,5%.</w:t>
      </w:r>
    </w:p>
    <w:p w:rsidR="002B7296" w:rsidRPr="0080737A" w:rsidRDefault="002B7296" w:rsidP="002B7296">
      <w:pPr>
        <w:spacing w:after="0" w:line="240" w:lineRule="auto"/>
        <w:ind w:firstLine="708"/>
        <w:jc w:val="both"/>
        <w:rPr>
          <w:rFonts w:ascii="Times New Roman" w:eastAsiaTheme="minorEastAsia" w:hAnsi="Times New Roman" w:cstheme="minorBidi"/>
          <w:sz w:val="24"/>
          <w:szCs w:val="24"/>
          <w:shd w:val="clear" w:color="auto" w:fill="FFFFFF"/>
        </w:rPr>
      </w:pPr>
    </w:p>
    <w:p w:rsidR="001354B7" w:rsidRPr="0080737A" w:rsidRDefault="001354B7" w:rsidP="001354B7">
      <w:pPr>
        <w:spacing w:after="0" w:line="240" w:lineRule="auto"/>
        <w:ind w:hanging="1276"/>
        <w:rPr>
          <w:rFonts w:ascii="Times New Roman" w:hAnsi="Times New Roman"/>
          <w:sz w:val="24"/>
          <w:szCs w:val="24"/>
        </w:rPr>
      </w:pPr>
      <w:r w:rsidRPr="0080737A">
        <w:rPr>
          <w:rFonts w:ascii="Times New Roman" w:hAnsi="Times New Roman"/>
          <w:noProof/>
          <w:sz w:val="24"/>
          <w:szCs w:val="24"/>
        </w:rPr>
        <w:drawing>
          <wp:inline distT="0" distB="0" distL="0" distR="0">
            <wp:extent cx="7038975" cy="3390900"/>
            <wp:effectExtent l="0" t="0" r="0" b="0"/>
            <wp:docPr id="9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7296" w:rsidRPr="0080737A" w:rsidRDefault="002B7296" w:rsidP="001354B7">
      <w:pPr>
        <w:spacing w:after="0" w:line="240" w:lineRule="auto"/>
        <w:ind w:firstLine="709"/>
        <w:jc w:val="both"/>
        <w:rPr>
          <w:rFonts w:ascii="Times New Roman" w:eastAsiaTheme="minorEastAsia" w:hAnsi="Times New Roman" w:cstheme="minorBidi"/>
          <w:sz w:val="24"/>
          <w:shd w:val="clear" w:color="auto" w:fill="FFFFFF"/>
        </w:rPr>
      </w:pPr>
    </w:p>
    <w:p w:rsidR="001354B7" w:rsidRPr="0080737A" w:rsidRDefault="001354B7" w:rsidP="001354B7">
      <w:pPr>
        <w:spacing w:after="0" w:line="240" w:lineRule="auto"/>
        <w:ind w:firstLine="709"/>
        <w:jc w:val="both"/>
        <w:rPr>
          <w:rFonts w:ascii="Times New Roman" w:eastAsiaTheme="minorEastAsia" w:hAnsi="Times New Roman" w:cstheme="minorBidi"/>
          <w:sz w:val="24"/>
          <w:shd w:val="clear" w:color="auto" w:fill="FFFFFF"/>
        </w:rPr>
      </w:pPr>
      <w:r w:rsidRPr="0080737A">
        <w:rPr>
          <w:rFonts w:ascii="Times New Roman" w:eastAsiaTheme="minorEastAsia" w:hAnsi="Times New Roman" w:cstheme="minorBidi"/>
          <w:sz w:val="24"/>
          <w:shd w:val="clear" w:color="auto" w:fill="FFFFFF"/>
        </w:rPr>
        <w:t>Дифференциация по уровню оплаты труда в различных секторах экономики в отчетном периоде не претерпела существенных структурных изменений и сохранилась на достаточно высокой отметке.</w:t>
      </w:r>
      <w:r w:rsidRPr="0080737A">
        <w:rPr>
          <w:rFonts w:ascii="Times New Roman" w:eastAsiaTheme="minorEastAsia" w:hAnsi="Times New Roman" w:cstheme="minorBidi"/>
          <w:sz w:val="24"/>
          <w:szCs w:val="24"/>
        </w:rPr>
        <w:t xml:space="preserve"> Превышение уровня заработной платы в высоко- и низкооплачиваемых отраслях экономики составило 4,6 раза.</w:t>
      </w:r>
      <w:r w:rsidRPr="0080737A">
        <w:rPr>
          <w:rFonts w:ascii="Times New Roman" w:eastAsiaTheme="minorEastAsia" w:hAnsi="Times New Roman" w:cstheme="minorBidi"/>
          <w:sz w:val="24"/>
          <w:shd w:val="clear" w:color="auto" w:fill="FFFFFF"/>
        </w:rPr>
        <w:t xml:space="preserve"> Самый высокий размер заработной платы традиционно оставался у работников таких отраслей экономики как, «</w:t>
      </w:r>
      <w:proofErr w:type="spellStart"/>
      <w:r w:rsidRPr="0080737A">
        <w:rPr>
          <w:rFonts w:ascii="Times New Roman" w:eastAsiaTheme="minorEastAsia" w:hAnsi="Times New Roman" w:cstheme="minorBidi"/>
          <w:sz w:val="24"/>
          <w:shd w:val="clear" w:color="auto" w:fill="FFFFFF"/>
        </w:rPr>
        <w:t>Электро</w:t>
      </w:r>
      <w:proofErr w:type="spellEnd"/>
      <w:r w:rsidRPr="0080737A">
        <w:rPr>
          <w:rFonts w:ascii="Times New Roman" w:eastAsiaTheme="minorEastAsia" w:hAnsi="Times New Roman" w:cstheme="minorBidi"/>
          <w:sz w:val="24"/>
          <w:shd w:val="clear" w:color="auto" w:fill="FFFFFF"/>
        </w:rPr>
        <w:t xml:space="preserve"> и радиосвязь» (9 369 руб., «+»3,0%), «Банки и кредитование» (6 972 руб. «-»9,5%), «Страхование» (6 535 руб. «+»7,2%), где превышение </w:t>
      </w:r>
      <w:proofErr w:type="spellStart"/>
      <w:r w:rsidRPr="0080737A">
        <w:rPr>
          <w:rFonts w:ascii="Times New Roman" w:eastAsiaTheme="minorEastAsia" w:hAnsi="Times New Roman" w:cstheme="minorBidi"/>
          <w:sz w:val="24"/>
          <w:shd w:val="clear" w:color="auto" w:fill="FFFFFF"/>
        </w:rPr>
        <w:t>среднереспубликанского</w:t>
      </w:r>
      <w:proofErr w:type="spellEnd"/>
      <w:r w:rsidRPr="0080737A">
        <w:rPr>
          <w:rFonts w:ascii="Times New Roman" w:eastAsiaTheme="minorEastAsia" w:hAnsi="Times New Roman" w:cstheme="minorBidi"/>
          <w:sz w:val="24"/>
          <w:shd w:val="clear" w:color="auto" w:fill="FFFFFF"/>
        </w:rPr>
        <w:t xml:space="preserve"> уровня варьировало в пределах 2,5 – 1,7 раза.</w:t>
      </w:r>
    </w:p>
    <w:p w:rsidR="001354B7" w:rsidRPr="0080737A" w:rsidRDefault="001354B7" w:rsidP="001354B7">
      <w:pPr>
        <w:spacing w:after="0" w:line="240" w:lineRule="auto"/>
        <w:ind w:firstLine="709"/>
        <w:jc w:val="both"/>
        <w:rPr>
          <w:rFonts w:ascii="Times New Roman" w:hAnsi="Times New Roman"/>
          <w:sz w:val="24"/>
          <w:shd w:val="clear" w:color="auto" w:fill="FFFFFF"/>
        </w:rPr>
      </w:pPr>
      <w:r w:rsidRPr="0080737A">
        <w:rPr>
          <w:rFonts w:ascii="Times New Roman" w:hAnsi="Times New Roman"/>
          <w:sz w:val="24"/>
          <w:shd w:val="clear" w:color="auto" w:fill="FFFFFF"/>
        </w:rPr>
        <w:t xml:space="preserve">Среднемесячная номинальная заработная плата у работников отраслей </w:t>
      </w:r>
      <w:r w:rsidRPr="0080737A">
        <w:rPr>
          <w:rFonts w:ascii="Times New Roman" w:hAnsi="Times New Roman"/>
          <w:b/>
          <w:sz w:val="24"/>
          <w:shd w:val="clear" w:color="auto" w:fill="FFFFFF"/>
        </w:rPr>
        <w:t xml:space="preserve">бюджетной сферы </w:t>
      </w:r>
      <w:r w:rsidRPr="0080737A">
        <w:rPr>
          <w:rFonts w:ascii="Times New Roman" w:hAnsi="Times New Roman"/>
          <w:sz w:val="24"/>
          <w:shd w:val="clear" w:color="auto" w:fill="FFFFFF"/>
        </w:rPr>
        <w:t xml:space="preserve">по итогам полугодия соответствовала практически прошлогоднему уровню, составив 2 694 руб. («+»0,4%), реальное повышение жалования у работников бюджетной сферы с учетом корректировки на инфляционный фактор составило 0,2%, при этом ее размер составляет 71,1% от </w:t>
      </w:r>
      <w:proofErr w:type="spellStart"/>
      <w:r w:rsidRPr="0080737A">
        <w:rPr>
          <w:rFonts w:ascii="Times New Roman" w:hAnsi="Times New Roman"/>
          <w:sz w:val="24"/>
          <w:shd w:val="clear" w:color="auto" w:fill="FFFFFF"/>
        </w:rPr>
        <w:t>среднереспубликанского</w:t>
      </w:r>
      <w:proofErr w:type="spellEnd"/>
      <w:r w:rsidRPr="0080737A">
        <w:rPr>
          <w:rFonts w:ascii="Times New Roman" w:hAnsi="Times New Roman"/>
          <w:sz w:val="24"/>
          <w:shd w:val="clear" w:color="auto" w:fill="FFFFFF"/>
        </w:rPr>
        <w:t xml:space="preserve"> уровня.</w:t>
      </w:r>
    </w:p>
    <w:p w:rsidR="001354B7" w:rsidRPr="0080737A" w:rsidRDefault="001354B7" w:rsidP="001354B7">
      <w:pPr>
        <w:widowControl w:val="0"/>
        <w:spacing w:after="0" w:line="240" w:lineRule="auto"/>
        <w:ind w:firstLine="720"/>
        <w:jc w:val="both"/>
        <w:rPr>
          <w:rFonts w:ascii="Times New Roman" w:eastAsiaTheme="minorEastAsia" w:hAnsi="Times New Roman" w:cstheme="minorBidi"/>
          <w:sz w:val="24"/>
          <w:szCs w:val="24"/>
        </w:rPr>
      </w:pPr>
      <w:r w:rsidRPr="0080737A">
        <w:rPr>
          <w:rFonts w:ascii="Times New Roman" w:eastAsiaTheme="minorEastAsia" w:hAnsi="Times New Roman" w:cstheme="minorBidi"/>
          <w:b/>
          <w:sz w:val="24"/>
          <w:szCs w:val="24"/>
        </w:rPr>
        <w:t>Во внебюджетном секторе</w:t>
      </w:r>
      <w:r w:rsidRPr="0080737A">
        <w:rPr>
          <w:rFonts w:ascii="Times New Roman" w:eastAsiaTheme="minorEastAsia" w:hAnsi="Times New Roman" w:cstheme="minorBidi"/>
          <w:sz w:val="24"/>
          <w:szCs w:val="24"/>
        </w:rPr>
        <w:t xml:space="preserve"> экономики начисленная номинальная среднемесячная заработная плата одного работника за январь – июнь 2016 года сократилась по отношению </w:t>
      </w:r>
      <w:r w:rsidRPr="0080737A">
        <w:rPr>
          <w:rFonts w:ascii="Times New Roman" w:eastAsiaTheme="minorEastAsia" w:hAnsi="Times New Roman" w:cstheme="minorBidi"/>
          <w:sz w:val="24"/>
          <w:szCs w:val="24"/>
        </w:rPr>
        <w:lastRenderedPageBreak/>
        <w:t>к базовому показателю 2015 года на 1,2% и сложилась в размере 4 777 руб., что с учетом корректировки на индекс инфляции соответствует ее реальному сокращению на 1,4%.</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Сумма задолженности по оплате труда в рассматриваемом периоде на фоне действующего механизма выплат заработной платы работникам бюджетной сферы в январе-июне 2015 года в целом по экономике сократилась в 3,9 раза, составив по состоянию на 1 июля 2016 года 35,4 млн. руб. </w:t>
      </w:r>
    </w:p>
    <w:p w:rsidR="001354B7" w:rsidRPr="0080737A" w:rsidRDefault="001354B7" w:rsidP="001354B7">
      <w:pPr>
        <w:tabs>
          <w:tab w:val="left" w:pos="851"/>
          <w:tab w:val="left" w:pos="993"/>
        </w:tabs>
        <w:spacing w:after="0" w:line="240" w:lineRule="auto"/>
        <w:ind w:firstLine="709"/>
        <w:contextualSpacing/>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В складывающейся ситуации среднемесячная номинальная начисленная заработная плата одного работника с учетом субъектов малого предпринимательства, некоммерческих и религиозных организаций сократилась на 1,2% до 3 744 руб. и соответствовала 334 долл. США, против 340 долл. США в январе-июне 2015 года. </w:t>
      </w:r>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b/>
          <w:sz w:val="24"/>
          <w:szCs w:val="24"/>
          <w:shd w:val="clear" w:color="auto" w:fill="FFFFFF"/>
        </w:rPr>
        <w:t>Средний размер назначенных пенсий</w:t>
      </w:r>
      <w:r w:rsidRPr="0080737A">
        <w:rPr>
          <w:rFonts w:ascii="Times New Roman" w:eastAsiaTheme="minorEastAsia" w:hAnsi="Times New Roman" w:cstheme="minorBidi"/>
          <w:sz w:val="24"/>
          <w:szCs w:val="24"/>
          <w:shd w:val="clear" w:color="auto" w:fill="FFFFFF"/>
        </w:rPr>
        <w:t xml:space="preserve"> по состоянию на конец рассматриваемого периода при увеличении количества получателей пенсий на 1 684 чел. до 126 705 чел. составил 1 355,99 руб., увеличившись по сравнению с началом года на 23,28 руб. («+»1,7%), превысив при этом на 22,1% прожиточный минимум пенсионера. Кроме того, в целях повышения материального благосостояния пенсионеров, </w:t>
      </w:r>
      <w:r w:rsidRPr="0080737A">
        <w:rPr>
          <w:rFonts w:ascii="Times New Roman" w:eastAsiaTheme="minorEastAsia" w:hAnsi="Times New Roman" w:cstheme="minorBidi"/>
          <w:sz w:val="24"/>
          <w:szCs w:val="24"/>
        </w:rPr>
        <w:t xml:space="preserve">каждому получателю пенсии одновременно с выплатой пенсии ежемесячно производилась выплата из средств гуманитарной помощи Российской Федерации в размере 100 руб. ПМР. </w:t>
      </w:r>
    </w:p>
    <w:p w:rsidR="001354B7" w:rsidRPr="0080737A" w:rsidRDefault="001354B7" w:rsidP="001354B7">
      <w:pPr>
        <w:spacing w:after="0" w:line="240" w:lineRule="auto"/>
        <w:ind w:firstLine="709"/>
        <w:jc w:val="both"/>
        <w:rPr>
          <w:rFonts w:ascii="Times New Roman" w:hAnsi="Times New Roman"/>
          <w:sz w:val="24"/>
          <w:szCs w:val="24"/>
        </w:rPr>
      </w:pPr>
      <w:r w:rsidRPr="0080737A">
        <w:rPr>
          <w:rFonts w:ascii="Times New Roman" w:eastAsiaTheme="minorEastAsia" w:hAnsi="Times New Roman" w:cstheme="minorBidi"/>
          <w:sz w:val="24"/>
          <w:szCs w:val="24"/>
        </w:rPr>
        <w:t xml:space="preserve">Ситуация на рынке труда в рассматриваемом периоде характеризовалась сокращением численности </w:t>
      </w:r>
      <w:proofErr w:type="gramStart"/>
      <w:r w:rsidRPr="0080737A">
        <w:rPr>
          <w:rFonts w:ascii="Times New Roman" w:eastAsiaTheme="minorEastAsia" w:hAnsi="Times New Roman" w:cstheme="minorBidi"/>
          <w:sz w:val="24"/>
          <w:szCs w:val="24"/>
        </w:rPr>
        <w:t>работающих</w:t>
      </w:r>
      <w:proofErr w:type="gramEnd"/>
      <w:r w:rsidRPr="0080737A">
        <w:rPr>
          <w:rFonts w:ascii="Times New Roman" w:eastAsiaTheme="minorEastAsia" w:hAnsi="Times New Roman" w:cstheme="minorBidi"/>
          <w:sz w:val="24"/>
          <w:szCs w:val="24"/>
        </w:rPr>
        <w:t xml:space="preserve">. </w:t>
      </w:r>
      <w:proofErr w:type="gramStart"/>
      <w:r w:rsidRPr="0080737A">
        <w:rPr>
          <w:rFonts w:ascii="Times New Roman" w:eastAsiaTheme="minorEastAsia" w:hAnsi="Times New Roman" w:cstheme="minorBidi"/>
          <w:sz w:val="24"/>
          <w:szCs w:val="24"/>
        </w:rPr>
        <w:t xml:space="preserve">Так, </w:t>
      </w:r>
      <w:r w:rsidRPr="0080737A">
        <w:rPr>
          <w:rFonts w:ascii="Times New Roman" w:hAnsi="Times New Roman"/>
          <w:sz w:val="24"/>
          <w:szCs w:val="24"/>
        </w:rPr>
        <w:t xml:space="preserve">число занятых в организациях всех отраслей экономики (без субъектов предпринимательства, силовых структур и таможенных органов) по состоянию на 1 июля 2016 года снизилось на 2,3% (на 2,3 тыс. чел.) до </w:t>
      </w:r>
      <w:r w:rsidRPr="0080737A">
        <w:rPr>
          <w:rFonts w:ascii="Times New Roman" w:hAnsi="Times New Roman"/>
          <w:sz w:val="24"/>
          <w:szCs w:val="24"/>
        </w:rPr>
        <w:br/>
        <w:t xml:space="preserve">98,3 тыс. чел. При этом в течении </w:t>
      </w:r>
      <w:r w:rsidRPr="0080737A">
        <w:rPr>
          <w:rFonts w:ascii="Times New Roman" w:hAnsi="Times New Roman"/>
          <w:sz w:val="24"/>
          <w:szCs w:val="24"/>
          <w:lang w:val="en-US"/>
        </w:rPr>
        <w:t>I</w:t>
      </w:r>
      <w:r w:rsidRPr="0080737A">
        <w:rPr>
          <w:rFonts w:ascii="Times New Roman" w:hAnsi="Times New Roman"/>
          <w:sz w:val="24"/>
          <w:szCs w:val="24"/>
        </w:rPr>
        <w:t xml:space="preserve"> полугодия 2016 года увольнения затронули 7,9 тыс. чел., что составляет 8,0% от списочной численности работников на начало года. </w:t>
      </w:r>
      <w:proofErr w:type="gramEnd"/>
    </w:p>
    <w:p w:rsidR="001354B7" w:rsidRPr="0080737A" w:rsidRDefault="001354B7" w:rsidP="001354B7">
      <w:pPr>
        <w:spacing w:after="0" w:line="240" w:lineRule="auto"/>
        <w:ind w:firstLine="709"/>
        <w:jc w:val="both"/>
        <w:rPr>
          <w:rFonts w:ascii="Times New Roman" w:eastAsiaTheme="minorEastAsia" w:hAnsi="Times New Roman" w:cstheme="minorBidi"/>
          <w:sz w:val="24"/>
          <w:szCs w:val="24"/>
        </w:rPr>
      </w:pPr>
      <w:proofErr w:type="gramStart"/>
      <w:r w:rsidRPr="0080737A">
        <w:rPr>
          <w:rFonts w:ascii="Times New Roman" w:hAnsi="Times New Roman"/>
          <w:sz w:val="24"/>
          <w:szCs w:val="24"/>
        </w:rPr>
        <w:t xml:space="preserve">На фоне увеличения зарегистрированных граждан, не занятых трудовой деятельностью на 22,2%, численность которых по состоянию на 1 июля 2016 года выросла до 4,6 тыс. чел., и сокращения </w:t>
      </w:r>
      <w:r w:rsidRPr="0080737A">
        <w:rPr>
          <w:rFonts w:ascii="Times New Roman" w:eastAsiaTheme="minorEastAsia" w:hAnsi="Times New Roman" w:cstheme="minorBidi"/>
          <w:sz w:val="24"/>
          <w:szCs w:val="24"/>
          <w:shd w:val="clear" w:color="auto" w:fill="FFFFFF"/>
        </w:rPr>
        <w:t>потребности организаций в работниках на 16,2% (</w:t>
      </w:r>
      <w:r w:rsidRPr="0080737A">
        <w:rPr>
          <w:rFonts w:ascii="Times New Roman" w:eastAsiaTheme="minorEastAsia" w:hAnsi="Times New Roman" w:cstheme="minorBidi"/>
          <w:sz w:val="24"/>
          <w:szCs w:val="24"/>
        </w:rPr>
        <w:t xml:space="preserve">работодателями заявлено 957 вакантных мест, против 1 142 вакантных места в базовом периоде), </w:t>
      </w:r>
      <w:r w:rsidRPr="0080737A">
        <w:rPr>
          <w:rFonts w:ascii="Times New Roman" w:eastAsiaTheme="minorEastAsia" w:hAnsi="Times New Roman" w:cstheme="minorBidi"/>
          <w:sz w:val="24"/>
          <w:szCs w:val="24"/>
          <w:shd w:val="clear" w:color="auto" w:fill="FFFFFF"/>
        </w:rPr>
        <w:t>коэффициент напряженности на рынке труда (отношение зарегистрированных граждан к количеству вакансий) возрос до 4,8</w:t>
      </w:r>
      <w:proofErr w:type="gramEnd"/>
      <w:r w:rsidRPr="0080737A">
        <w:rPr>
          <w:rFonts w:ascii="Times New Roman" w:eastAsiaTheme="minorEastAsia" w:hAnsi="Times New Roman" w:cstheme="minorBidi"/>
          <w:sz w:val="24"/>
          <w:szCs w:val="24"/>
          <w:shd w:val="clear" w:color="auto" w:fill="FFFFFF"/>
        </w:rPr>
        <w:t xml:space="preserve"> человека на одно вакантное место, против 3,3 на соответствующую дату 2015 года. Из общего числа заявленных вакансий 65,0% предназначены для трудоустройства рабочих. Таким образом ситуация на рынке труда на фоне прогрессирующего дефицита квалифицированных рабочих, непрестижности рабочих специальностей и значительной численности безработных сочетается с сокращением потребности организаций в работниках.</w:t>
      </w:r>
    </w:p>
    <w:p w:rsidR="005C20B9" w:rsidRPr="0080737A" w:rsidRDefault="005C20B9" w:rsidP="00335844">
      <w:pPr>
        <w:spacing w:after="0" w:line="240" w:lineRule="auto"/>
        <w:ind w:firstLine="720"/>
        <w:jc w:val="both"/>
        <w:rPr>
          <w:rFonts w:ascii="Times New Roman" w:hAnsi="Times New Roman"/>
          <w:b/>
          <w:sz w:val="24"/>
          <w:szCs w:val="24"/>
        </w:rPr>
      </w:pPr>
    </w:p>
    <w:p w:rsidR="00335844" w:rsidRPr="0080737A" w:rsidRDefault="00335844" w:rsidP="00335844">
      <w:pPr>
        <w:spacing w:after="0" w:line="240" w:lineRule="auto"/>
        <w:ind w:firstLine="720"/>
        <w:jc w:val="both"/>
        <w:rPr>
          <w:rFonts w:ascii="Times New Roman" w:hAnsi="Times New Roman"/>
          <w:b/>
          <w:sz w:val="24"/>
          <w:szCs w:val="24"/>
        </w:rPr>
      </w:pPr>
      <w:r w:rsidRPr="0080737A">
        <w:rPr>
          <w:rFonts w:ascii="Times New Roman" w:hAnsi="Times New Roman"/>
          <w:b/>
          <w:sz w:val="24"/>
          <w:szCs w:val="24"/>
        </w:rPr>
        <w:t>Объем и структура ВВП</w:t>
      </w:r>
    </w:p>
    <w:p w:rsidR="002B7296" w:rsidRPr="0080737A" w:rsidRDefault="002B7296" w:rsidP="00335844">
      <w:pPr>
        <w:spacing w:after="0" w:line="240" w:lineRule="auto"/>
        <w:ind w:firstLine="720"/>
        <w:jc w:val="both"/>
        <w:rPr>
          <w:rFonts w:ascii="Times New Roman" w:hAnsi="Times New Roman"/>
          <w:b/>
          <w:sz w:val="24"/>
          <w:szCs w:val="24"/>
        </w:rPr>
      </w:pPr>
    </w:p>
    <w:p w:rsidR="006D1DEF" w:rsidRPr="0080737A" w:rsidRDefault="006D1DEF" w:rsidP="006D1DEF">
      <w:pPr>
        <w:spacing w:after="0" w:line="240" w:lineRule="auto"/>
        <w:ind w:firstLine="709"/>
        <w:jc w:val="both"/>
        <w:rPr>
          <w:rFonts w:ascii="Times New Roman" w:hAnsi="Times New Roman"/>
          <w:sz w:val="24"/>
          <w:szCs w:val="24"/>
        </w:rPr>
      </w:pPr>
      <w:r w:rsidRPr="0080737A">
        <w:rPr>
          <w:rFonts w:ascii="Times New Roman" w:hAnsi="Times New Roman"/>
          <w:sz w:val="24"/>
          <w:szCs w:val="24"/>
        </w:rPr>
        <w:t>Номинальный объем созданного в республике валового внутреннего продукта за январь-июнь 2016 года составил 3 950,0 млн. руб. и соответствовал 352,1 млн. долл., превысив базовый показатель 2015 года на 10,0%.</w:t>
      </w:r>
    </w:p>
    <w:p w:rsidR="006D1DEF" w:rsidRPr="0080737A" w:rsidRDefault="006D1DEF" w:rsidP="006D1DEF">
      <w:pPr>
        <w:spacing w:after="0" w:line="240" w:lineRule="auto"/>
        <w:ind w:firstLine="709"/>
        <w:jc w:val="both"/>
        <w:rPr>
          <w:rFonts w:ascii="Times New Roman" w:hAnsi="Times New Roman"/>
          <w:b/>
          <w:sz w:val="24"/>
          <w:szCs w:val="24"/>
        </w:rPr>
      </w:pPr>
      <w:r w:rsidRPr="0080737A">
        <w:rPr>
          <w:rFonts w:ascii="Times New Roman" w:hAnsi="Times New Roman"/>
          <w:sz w:val="24"/>
          <w:szCs w:val="24"/>
        </w:rPr>
        <w:t>Реальный размер совокупного показателя развития экономики (ВВП в сопоставимых ценах) на фоне низких базовых показателей минувшего года и с учетом влияния конъюнктуры цен вырос на 17,6%.</w:t>
      </w:r>
    </w:p>
    <w:p w:rsidR="006D1DEF" w:rsidRPr="0080737A" w:rsidRDefault="006D1DEF" w:rsidP="006D1DEF">
      <w:pPr>
        <w:spacing w:after="0" w:line="240" w:lineRule="auto"/>
        <w:ind w:firstLine="709"/>
        <w:jc w:val="center"/>
        <w:rPr>
          <w:rFonts w:ascii="Times New Roman" w:hAnsi="Times New Roman"/>
          <w:b/>
          <w:sz w:val="24"/>
          <w:szCs w:val="24"/>
        </w:rPr>
      </w:pPr>
      <w:r w:rsidRPr="0080737A">
        <w:rPr>
          <w:rFonts w:ascii="Times New Roman" w:hAnsi="Times New Roman"/>
          <w:b/>
          <w:sz w:val="24"/>
          <w:szCs w:val="24"/>
        </w:rPr>
        <w:t>Динамика изменения объема ВВП</w:t>
      </w:r>
    </w:p>
    <w:p w:rsidR="006808A1" w:rsidRPr="0080737A" w:rsidRDefault="006D1DEF" w:rsidP="006808A1">
      <w:pPr>
        <w:spacing w:after="0" w:line="240" w:lineRule="auto"/>
        <w:jc w:val="both"/>
        <w:rPr>
          <w:rFonts w:ascii="Times New Roman" w:hAnsi="Times New Roman"/>
          <w:b/>
          <w:sz w:val="24"/>
          <w:szCs w:val="24"/>
        </w:rPr>
      </w:pPr>
      <w:r w:rsidRPr="0080737A">
        <w:rPr>
          <w:rFonts w:ascii="Times New Roman" w:hAnsi="Times New Roman"/>
          <w:b/>
          <w:noProof/>
          <w:sz w:val="24"/>
          <w:szCs w:val="24"/>
        </w:rPr>
        <w:drawing>
          <wp:inline distT="0" distB="0" distL="0" distR="0">
            <wp:extent cx="5943600" cy="1295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1DEF" w:rsidRPr="0080737A" w:rsidRDefault="006D1DEF" w:rsidP="002B7296">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Дефлятор ВВП, устанавливающий связь между реальным и номинальным ВВП, на фоне падения цен (дефляции) в отраслях материального производства и в сфере услуг по </w:t>
      </w:r>
      <w:r w:rsidRPr="0080737A">
        <w:rPr>
          <w:rFonts w:ascii="Times New Roman" w:hAnsi="Times New Roman"/>
          <w:sz w:val="24"/>
          <w:szCs w:val="24"/>
        </w:rPr>
        <w:lastRenderedPageBreak/>
        <w:t xml:space="preserve">итогам января – июня 2016 года сократился до 0,9456 против 1,0059 в январе – июне 2015 года. </w:t>
      </w:r>
      <w:r w:rsidRPr="0080737A">
        <w:rPr>
          <w:rFonts w:ascii="Times New Roman" w:hAnsi="Times New Roman"/>
          <w:noProof/>
          <w:sz w:val="24"/>
          <w:szCs w:val="24"/>
        </w:rPr>
        <w:drawing>
          <wp:inline distT="0" distB="0" distL="0" distR="0">
            <wp:extent cx="5943600" cy="2095500"/>
            <wp:effectExtent l="0" t="0" r="0" b="0"/>
            <wp:docPr id="22"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1DEF" w:rsidRPr="0080737A" w:rsidRDefault="006D1DEF" w:rsidP="009A50F2">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В тоже время воздействие группы факторов, связанных с нестабильной внешнеполитической и экономической конъюнктурой в совокупности с углублением структурных деформаций реального сектора экономики и проблем в сфере финансов, отражаются на объеме и структуре совокупного показателя развития экономики (ВВП).</w:t>
      </w:r>
    </w:p>
    <w:p w:rsidR="006D1DEF" w:rsidRPr="0080737A" w:rsidRDefault="006D1DEF" w:rsidP="006D1DEF">
      <w:pPr>
        <w:spacing w:after="0" w:line="240" w:lineRule="auto"/>
        <w:ind w:firstLine="709"/>
        <w:contextualSpacing/>
        <w:jc w:val="both"/>
        <w:rPr>
          <w:rFonts w:ascii="Times New Roman" w:hAnsi="Times New Roman"/>
          <w:sz w:val="24"/>
          <w:szCs w:val="24"/>
        </w:rPr>
      </w:pPr>
      <w:proofErr w:type="gramStart"/>
      <w:r w:rsidRPr="0080737A">
        <w:rPr>
          <w:rFonts w:ascii="Times New Roman" w:hAnsi="Times New Roman"/>
          <w:sz w:val="24"/>
          <w:szCs w:val="24"/>
        </w:rPr>
        <w:t>В структуре валового внутреннего продукта на фоне кризисных тенденций в экономике и широкого перечня конъюнктурных проблем</w:t>
      </w:r>
      <w:r w:rsidR="003D7204" w:rsidRPr="0080737A">
        <w:rPr>
          <w:rFonts w:ascii="Times New Roman" w:hAnsi="Times New Roman"/>
          <w:sz w:val="24"/>
          <w:szCs w:val="24"/>
        </w:rPr>
        <w:t xml:space="preserve"> по ряду</w:t>
      </w:r>
      <w:r w:rsidR="009A50F2" w:rsidRPr="0080737A">
        <w:rPr>
          <w:rFonts w:ascii="Times New Roman" w:hAnsi="Times New Roman"/>
          <w:sz w:val="24"/>
          <w:szCs w:val="24"/>
        </w:rPr>
        <w:t xml:space="preserve"> ключевых позиций</w:t>
      </w:r>
      <w:r w:rsidR="003D7204" w:rsidRPr="0080737A">
        <w:rPr>
          <w:rFonts w:ascii="Times New Roman" w:hAnsi="Times New Roman"/>
          <w:sz w:val="24"/>
          <w:szCs w:val="24"/>
        </w:rPr>
        <w:t xml:space="preserve"> выпускаемой продукции</w:t>
      </w:r>
      <w:r w:rsidR="009A50F2" w:rsidRPr="0080737A">
        <w:rPr>
          <w:rFonts w:ascii="Times New Roman" w:hAnsi="Times New Roman"/>
          <w:sz w:val="24"/>
          <w:szCs w:val="24"/>
        </w:rPr>
        <w:t>,</w:t>
      </w:r>
      <w:r w:rsidRPr="0080737A">
        <w:rPr>
          <w:rFonts w:ascii="Times New Roman" w:hAnsi="Times New Roman"/>
          <w:sz w:val="24"/>
          <w:szCs w:val="24"/>
        </w:rPr>
        <w:t xml:space="preserve"> отмечается повышение удельного веса отраслей материального производства по отношению к базисным параметрам на 3,9 процентных пункта до 17,99% и отраслей сферы услуг на 0,7 процентных пункта до 83,9%. Это произошло на фоне падения удельного веса фискальной составляющей «чистые</w:t>
      </w:r>
      <w:proofErr w:type="gramEnd"/>
      <w:r w:rsidR="002B1C01" w:rsidRPr="0080737A">
        <w:rPr>
          <w:rFonts w:ascii="Times New Roman" w:hAnsi="Times New Roman"/>
          <w:sz w:val="24"/>
          <w:szCs w:val="24"/>
        </w:rPr>
        <w:t xml:space="preserve"> </w:t>
      </w:r>
      <w:r w:rsidRPr="0080737A">
        <w:rPr>
          <w:rFonts w:ascii="Times New Roman" w:hAnsi="Times New Roman"/>
          <w:sz w:val="24"/>
          <w:szCs w:val="24"/>
        </w:rPr>
        <w:t>налоги на продукты и импорт» до отрицательного значения «-»1,9% против 2,7% в январе-июне 2015 года</w:t>
      </w:r>
      <w:r w:rsidR="003D7204" w:rsidRPr="0080737A">
        <w:rPr>
          <w:rFonts w:ascii="Times New Roman" w:hAnsi="Times New Roman"/>
          <w:sz w:val="24"/>
          <w:szCs w:val="24"/>
        </w:rPr>
        <w:t>, в результате последовательного роста субсидий, которые не покрывались увеличением налогов на потребление.</w:t>
      </w:r>
    </w:p>
    <w:p w:rsidR="006D1DEF" w:rsidRPr="0080737A" w:rsidRDefault="006D1DEF" w:rsidP="006D1DEF">
      <w:pPr>
        <w:spacing w:after="0" w:line="240" w:lineRule="auto"/>
        <w:ind w:firstLine="709"/>
        <w:contextualSpacing/>
        <w:jc w:val="both"/>
        <w:rPr>
          <w:rFonts w:ascii="Times New Roman" w:hAnsi="Times New Roman"/>
          <w:sz w:val="24"/>
          <w:szCs w:val="24"/>
        </w:rPr>
      </w:pPr>
      <w:proofErr w:type="gramStart"/>
      <w:r w:rsidRPr="0080737A">
        <w:rPr>
          <w:rFonts w:ascii="Times New Roman" w:hAnsi="Times New Roman"/>
          <w:sz w:val="24"/>
          <w:szCs w:val="24"/>
        </w:rPr>
        <w:t xml:space="preserve">Опережающее падение издержек производства (промежуточное потребление) в индустриальном секторе и в строительстве на «-»20,9% и на «-»25,8% по отношению к  сокращению валового выпуска («-»8,2%) и («-»4,2%) предопределило повышение результативности в данных секторах  на «+»23,7% и «+»17,0% соответственно, что в совокупности с отрицательным вкладом в структуре формирования валового внутреннего продукта организаций аграрного сектора («-»24,5%) привело к расширению показателей </w:t>
      </w:r>
      <w:r w:rsidRPr="0080737A">
        <w:rPr>
          <w:rFonts w:ascii="Times New Roman" w:hAnsi="Times New Roman"/>
          <w:b/>
          <w:sz w:val="24"/>
          <w:szCs w:val="24"/>
        </w:rPr>
        <w:t>отраслей материального производства</w:t>
      </w:r>
      <w:proofErr w:type="gramEnd"/>
      <w:r w:rsidRPr="0080737A">
        <w:rPr>
          <w:rFonts w:ascii="Times New Roman" w:hAnsi="Times New Roman"/>
          <w:sz w:val="24"/>
          <w:szCs w:val="24"/>
        </w:rPr>
        <w:t xml:space="preserve"> («+»</w:t>
      </w:r>
      <w:proofErr w:type="gramStart"/>
      <w:r w:rsidRPr="0080737A">
        <w:rPr>
          <w:rFonts w:ascii="Times New Roman" w:hAnsi="Times New Roman"/>
          <w:sz w:val="24"/>
          <w:szCs w:val="24"/>
        </w:rPr>
        <w:t>3,9 процентных пункта) и обеспечило 17,99%  валовой добавленной стоимости в структуре совокупного показателя.</w:t>
      </w:r>
      <w:proofErr w:type="gramEnd"/>
      <w:r w:rsidRPr="0080737A">
        <w:rPr>
          <w:rFonts w:ascii="Times New Roman" w:hAnsi="Times New Roman"/>
          <w:sz w:val="24"/>
          <w:szCs w:val="24"/>
        </w:rPr>
        <w:t xml:space="preserve"> В результате совокупная номинальная величина вновь созданной добавленной стоимости отраслей материального сектора в январе-июне текущего года составила 710,8 млн. руб. и превысила параметр минувшего года на 41,6% и обеспечила больше половины (52,6%) прироста ВВП. </w:t>
      </w:r>
    </w:p>
    <w:p w:rsidR="006D1DEF" w:rsidRPr="0080737A" w:rsidRDefault="006D1DEF" w:rsidP="002B7296">
      <w:pPr>
        <w:spacing w:after="0" w:line="240" w:lineRule="auto"/>
        <w:contextualSpacing/>
        <w:jc w:val="both"/>
        <w:rPr>
          <w:rFonts w:ascii="Times New Roman" w:hAnsi="Times New Roman"/>
          <w:sz w:val="24"/>
          <w:szCs w:val="24"/>
        </w:rPr>
      </w:pPr>
      <w:r w:rsidRPr="0080737A">
        <w:rPr>
          <w:rFonts w:ascii="Times New Roman" w:hAnsi="Times New Roman"/>
          <w:noProof/>
          <w:sz w:val="24"/>
          <w:szCs w:val="24"/>
        </w:rPr>
        <w:drawing>
          <wp:inline distT="0" distB="0" distL="0" distR="0">
            <wp:extent cx="5991225" cy="2219325"/>
            <wp:effectExtent l="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1DEF" w:rsidRPr="0080737A" w:rsidRDefault="006D1DEF" w:rsidP="006D1DEF">
      <w:pPr>
        <w:spacing w:after="0" w:line="240" w:lineRule="auto"/>
        <w:ind w:firstLine="709"/>
        <w:jc w:val="both"/>
        <w:rPr>
          <w:rFonts w:ascii="Times New Roman" w:eastAsiaTheme="minorEastAsia" w:hAnsi="Times New Roman" w:cstheme="minorBidi"/>
          <w:sz w:val="24"/>
          <w:szCs w:val="24"/>
        </w:rPr>
      </w:pPr>
      <w:proofErr w:type="gramStart"/>
      <w:r w:rsidRPr="0080737A">
        <w:rPr>
          <w:rFonts w:ascii="Times New Roman" w:eastAsiaTheme="minorEastAsia" w:hAnsi="Times New Roman" w:cstheme="minorBidi"/>
          <w:sz w:val="24"/>
          <w:szCs w:val="24"/>
        </w:rPr>
        <w:t xml:space="preserve">Умеренный потребительский спрос населения в январе-июне текущего года, </w:t>
      </w:r>
      <w:r w:rsidRPr="0080737A">
        <w:rPr>
          <w:rFonts w:ascii="Times New Roman" w:hAnsi="Times New Roman"/>
          <w:sz w:val="24"/>
          <w:szCs w:val="24"/>
        </w:rPr>
        <w:t xml:space="preserve">после отрицательного тренда в предыдущие периоды, получил положительную корректировку в </w:t>
      </w:r>
      <w:r w:rsidRPr="0080737A">
        <w:rPr>
          <w:rFonts w:ascii="Times New Roman" w:hAnsi="Times New Roman"/>
          <w:sz w:val="24"/>
          <w:szCs w:val="24"/>
        </w:rPr>
        <w:lastRenderedPageBreak/>
        <w:t xml:space="preserve">рассматриваемом периоде в связи с поступлением в распоряжение граждан сумм накопленной перед ними бюджетной задолженности, что стало </w:t>
      </w:r>
      <w:r w:rsidRPr="0080737A">
        <w:rPr>
          <w:rFonts w:ascii="Times New Roman" w:eastAsiaTheme="minorEastAsia" w:hAnsi="Times New Roman" w:cstheme="minorBidi"/>
          <w:sz w:val="24"/>
          <w:szCs w:val="24"/>
        </w:rPr>
        <w:t xml:space="preserve">итогом увеличения совокупной добавленной стоимости </w:t>
      </w:r>
      <w:r w:rsidRPr="0080737A">
        <w:rPr>
          <w:rFonts w:ascii="Times New Roman" w:eastAsiaTheme="minorEastAsia" w:hAnsi="Times New Roman" w:cstheme="minorBidi"/>
          <w:b/>
          <w:sz w:val="24"/>
          <w:szCs w:val="24"/>
        </w:rPr>
        <w:t>отраслей сектора услуг</w:t>
      </w:r>
      <w:r w:rsidRPr="0080737A">
        <w:rPr>
          <w:rFonts w:ascii="Times New Roman" w:eastAsiaTheme="minorEastAsia" w:hAnsi="Times New Roman" w:cstheme="minorBidi"/>
          <w:sz w:val="24"/>
          <w:szCs w:val="24"/>
        </w:rPr>
        <w:t xml:space="preserve"> на 12,1% до</w:t>
      </w:r>
      <w:r w:rsidR="002B7296" w:rsidRPr="0080737A">
        <w:rPr>
          <w:rFonts w:ascii="Times New Roman" w:eastAsiaTheme="minorEastAsia" w:hAnsi="Times New Roman" w:cstheme="minorBidi"/>
          <w:sz w:val="24"/>
          <w:szCs w:val="24"/>
        </w:rPr>
        <w:t xml:space="preserve">                      </w:t>
      </w:r>
      <w:r w:rsidRPr="0080737A">
        <w:rPr>
          <w:rFonts w:ascii="Times New Roman" w:eastAsiaTheme="minorEastAsia" w:hAnsi="Times New Roman" w:cstheme="minorBidi"/>
          <w:sz w:val="24"/>
          <w:szCs w:val="24"/>
        </w:rPr>
        <w:t xml:space="preserve">3 314,2 млн. руб. и расширения  долевого представления в структуре </w:t>
      </w:r>
      <w:r w:rsidRPr="0080737A">
        <w:rPr>
          <w:rFonts w:ascii="Times New Roman" w:eastAsiaTheme="minorEastAsia" w:hAnsi="Times New Roman"/>
          <w:sz w:val="24"/>
          <w:szCs w:val="24"/>
        </w:rPr>
        <w:t>валового внутреннего продукта</w:t>
      </w:r>
      <w:r w:rsidRPr="0080737A">
        <w:rPr>
          <w:rFonts w:ascii="Times New Roman" w:eastAsiaTheme="minorEastAsia" w:hAnsi="Times New Roman" w:cstheme="minorBidi"/>
          <w:sz w:val="24"/>
          <w:szCs w:val="24"/>
        </w:rPr>
        <w:t xml:space="preserve"> на</w:t>
      </w:r>
      <w:proofErr w:type="gramEnd"/>
      <w:r w:rsidRPr="0080737A">
        <w:rPr>
          <w:rFonts w:ascii="Times New Roman" w:eastAsiaTheme="minorEastAsia" w:hAnsi="Times New Roman" w:cstheme="minorBidi"/>
          <w:sz w:val="24"/>
          <w:szCs w:val="24"/>
        </w:rPr>
        <w:t xml:space="preserve"> 0,7 </w:t>
      </w:r>
      <w:proofErr w:type="gramStart"/>
      <w:r w:rsidRPr="0080737A">
        <w:rPr>
          <w:rFonts w:ascii="Times New Roman" w:eastAsiaTheme="minorEastAsia" w:hAnsi="Times New Roman" w:cstheme="minorBidi"/>
          <w:sz w:val="24"/>
          <w:szCs w:val="24"/>
        </w:rPr>
        <w:t>процентных</w:t>
      </w:r>
      <w:proofErr w:type="gramEnd"/>
      <w:r w:rsidRPr="0080737A">
        <w:rPr>
          <w:rFonts w:ascii="Times New Roman" w:eastAsiaTheme="minorEastAsia" w:hAnsi="Times New Roman" w:cstheme="minorBidi"/>
          <w:sz w:val="24"/>
          <w:szCs w:val="24"/>
        </w:rPr>
        <w:t xml:space="preserve"> пункта до 83,9%. </w:t>
      </w:r>
    </w:p>
    <w:p w:rsidR="006D1DEF" w:rsidRPr="0080737A" w:rsidRDefault="006D1DEF" w:rsidP="006D1DE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На этом фоне </w:t>
      </w:r>
      <w:r w:rsidRPr="0080737A">
        <w:rPr>
          <w:rFonts w:ascii="Times New Roman" w:hAnsi="Times New Roman"/>
          <w:b/>
          <w:sz w:val="24"/>
          <w:szCs w:val="24"/>
        </w:rPr>
        <w:t>производство рыночных услуг</w:t>
      </w:r>
      <w:r w:rsidRPr="0080737A">
        <w:rPr>
          <w:rFonts w:ascii="Times New Roman" w:hAnsi="Times New Roman"/>
          <w:sz w:val="24"/>
          <w:szCs w:val="24"/>
        </w:rPr>
        <w:t xml:space="preserve"> демонстрировало понижательный тренд, сократив абсолютную величину вновь созданной добавленной стоимости на 9,7% до 1 508,3 млн. руб., при этом долевое представительство данного сегмента рынка в структуре ВВП сузилось на 8,8 процентных пункта до 38,19%.</w:t>
      </w:r>
    </w:p>
    <w:p w:rsidR="006D1DEF" w:rsidRPr="0080737A" w:rsidRDefault="006D1DEF" w:rsidP="006D1DEF">
      <w:pPr>
        <w:spacing w:after="0" w:line="240" w:lineRule="auto"/>
        <w:jc w:val="both"/>
        <w:rPr>
          <w:rFonts w:ascii="Times New Roman" w:hAnsi="Times New Roman"/>
          <w:sz w:val="24"/>
          <w:szCs w:val="24"/>
        </w:rPr>
      </w:pPr>
      <w:r w:rsidRPr="0080737A">
        <w:rPr>
          <w:rFonts w:ascii="Times New Roman" w:hAnsi="Times New Roman"/>
          <w:noProof/>
          <w:sz w:val="24"/>
          <w:szCs w:val="24"/>
        </w:rPr>
        <w:drawing>
          <wp:inline distT="0" distB="0" distL="0" distR="0">
            <wp:extent cx="5943600" cy="3095625"/>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1DEF" w:rsidRPr="0080737A" w:rsidRDefault="006D1DEF" w:rsidP="006D1DEF">
      <w:pPr>
        <w:spacing w:after="0" w:line="240" w:lineRule="auto"/>
        <w:ind w:firstLine="709"/>
        <w:jc w:val="both"/>
        <w:rPr>
          <w:rFonts w:ascii="Times New Roman" w:hAnsi="Times New Roman"/>
          <w:sz w:val="24"/>
          <w:szCs w:val="24"/>
        </w:rPr>
      </w:pPr>
    </w:p>
    <w:p w:rsidR="006D1DEF" w:rsidRPr="0080737A" w:rsidRDefault="006D1DEF" w:rsidP="006D1DEF">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Объем услуг, предоставляемых </w:t>
      </w:r>
      <w:r w:rsidRPr="0080737A">
        <w:rPr>
          <w:rFonts w:ascii="Times New Roman" w:hAnsi="Times New Roman"/>
          <w:b/>
          <w:sz w:val="24"/>
          <w:szCs w:val="24"/>
        </w:rPr>
        <w:t>организациями торговли и общественного питания</w:t>
      </w:r>
      <w:r w:rsidRPr="0080737A">
        <w:rPr>
          <w:rFonts w:ascii="Times New Roman" w:hAnsi="Times New Roman"/>
          <w:sz w:val="24"/>
          <w:szCs w:val="24"/>
        </w:rPr>
        <w:t>, оставался доминирующим структурным показателем сектора рыночных услуг в формировании совокупного показателя результативности экономики, обеспечившим 14,06% вновь созданной добавленной стоимости, при этом в рассматриваемом периоде отмечается снижение темпов роста валовой добавленной стоимости данного сегмента рынка, на 10,2% до 555,2 млн. руб. и соответственно долевого участия в формировании валового внутреннего продукта на 3,4 процентных</w:t>
      </w:r>
      <w:proofErr w:type="gramEnd"/>
      <w:r w:rsidRPr="0080737A">
        <w:rPr>
          <w:rFonts w:ascii="Times New Roman" w:hAnsi="Times New Roman"/>
          <w:sz w:val="24"/>
          <w:szCs w:val="24"/>
        </w:rPr>
        <w:t xml:space="preserve"> пункта.</w:t>
      </w:r>
    </w:p>
    <w:p w:rsidR="006D1DEF" w:rsidRPr="0080737A" w:rsidRDefault="006D1DEF" w:rsidP="006D1DE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Стабильный потребительский спрос на услуги </w:t>
      </w:r>
      <w:r w:rsidRPr="0080737A">
        <w:rPr>
          <w:rFonts w:ascii="Times New Roman" w:hAnsi="Times New Roman"/>
          <w:b/>
          <w:sz w:val="24"/>
          <w:szCs w:val="24"/>
        </w:rPr>
        <w:t xml:space="preserve">связи </w:t>
      </w:r>
      <w:r w:rsidRPr="0080737A">
        <w:rPr>
          <w:rFonts w:ascii="Times New Roman" w:hAnsi="Times New Roman"/>
          <w:sz w:val="24"/>
          <w:szCs w:val="24"/>
        </w:rPr>
        <w:t>в предыдущие периоды в рассматриваемом периоде сменился понижательным трендом и обеспечил снижение валовой добавленной</w:t>
      </w:r>
      <w:r w:rsidRPr="0080737A">
        <w:rPr>
          <w:rFonts w:ascii="Times New Roman" w:hAnsi="Times New Roman"/>
          <w:sz w:val="24"/>
          <w:szCs w:val="24"/>
        </w:rPr>
        <w:tab/>
        <w:t xml:space="preserve"> стоимости на 1,8% до 198,0 млн. руб., что предопределило сужение вклада отрасли в структуре валового внутреннего продукта на 0,7 </w:t>
      </w:r>
      <w:proofErr w:type="gramStart"/>
      <w:r w:rsidRPr="0080737A">
        <w:rPr>
          <w:rFonts w:ascii="Times New Roman" w:hAnsi="Times New Roman"/>
          <w:sz w:val="24"/>
          <w:szCs w:val="24"/>
        </w:rPr>
        <w:t>процентных</w:t>
      </w:r>
      <w:proofErr w:type="gramEnd"/>
      <w:r w:rsidRPr="0080737A">
        <w:rPr>
          <w:rFonts w:ascii="Times New Roman" w:hAnsi="Times New Roman"/>
          <w:sz w:val="24"/>
          <w:szCs w:val="24"/>
        </w:rPr>
        <w:t xml:space="preserve"> пункта до 5,01%.</w:t>
      </w:r>
    </w:p>
    <w:p w:rsidR="006D1DEF" w:rsidRPr="0080737A" w:rsidRDefault="006D1DEF" w:rsidP="006D1DE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Добавленная стоимость, созданная </w:t>
      </w:r>
      <w:r w:rsidRPr="0080737A">
        <w:rPr>
          <w:rFonts w:ascii="Times New Roman" w:hAnsi="Times New Roman"/>
          <w:b/>
          <w:sz w:val="24"/>
          <w:szCs w:val="24"/>
        </w:rPr>
        <w:t>транспортными организациями</w:t>
      </w:r>
      <w:r w:rsidRPr="0080737A">
        <w:rPr>
          <w:rFonts w:ascii="Times New Roman" w:hAnsi="Times New Roman"/>
          <w:sz w:val="24"/>
          <w:szCs w:val="24"/>
        </w:rPr>
        <w:t xml:space="preserve">, в </w:t>
      </w:r>
      <w:r w:rsidR="00EF7D3C" w:rsidRPr="0080737A">
        <w:rPr>
          <w:rFonts w:ascii="Times New Roman" w:hAnsi="Times New Roman"/>
          <w:sz w:val="24"/>
          <w:szCs w:val="24"/>
        </w:rPr>
        <w:t xml:space="preserve">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текущего года сократилась по отношению к соответствующему показателю 2015 года на 17,4% и сложилась в объеме 141,1 млн. руб., сократив при этом долевое участие в структуре совокупного показателя на 1,2 </w:t>
      </w:r>
      <w:proofErr w:type="gramStart"/>
      <w:r w:rsidRPr="0080737A">
        <w:rPr>
          <w:rFonts w:ascii="Times New Roman" w:hAnsi="Times New Roman"/>
          <w:sz w:val="24"/>
          <w:szCs w:val="24"/>
        </w:rPr>
        <w:t>процентных</w:t>
      </w:r>
      <w:proofErr w:type="gramEnd"/>
      <w:r w:rsidRPr="0080737A">
        <w:rPr>
          <w:rFonts w:ascii="Times New Roman" w:hAnsi="Times New Roman"/>
          <w:sz w:val="24"/>
          <w:szCs w:val="24"/>
        </w:rPr>
        <w:t xml:space="preserve"> пункта до 3,57%. </w:t>
      </w:r>
    </w:p>
    <w:p w:rsidR="006D1DEF" w:rsidRPr="0080737A" w:rsidRDefault="006D1DEF" w:rsidP="006D1DE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Организациями </w:t>
      </w:r>
      <w:r w:rsidRPr="0080737A">
        <w:rPr>
          <w:rFonts w:ascii="Times New Roman" w:hAnsi="Times New Roman"/>
          <w:b/>
          <w:sz w:val="24"/>
          <w:szCs w:val="24"/>
        </w:rPr>
        <w:t>жилищно-коммунального хозяйства</w:t>
      </w:r>
      <w:r w:rsidRPr="0080737A">
        <w:rPr>
          <w:rFonts w:ascii="Times New Roman" w:hAnsi="Times New Roman"/>
          <w:sz w:val="24"/>
          <w:szCs w:val="24"/>
        </w:rPr>
        <w:t xml:space="preserve"> в рассматриваемом периоде создано 178,5 млн. руб. добавленной стоимости, номинальный объем которой сократился на 3,8%, а долевое участие в структуре валового внутреннего продукта сузилось на 0,7 </w:t>
      </w:r>
      <w:proofErr w:type="gramStart"/>
      <w:r w:rsidRPr="0080737A">
        <w:rPr>
          <w:rFonts w:ascii="Times New Roman" w:hAnsi="Times New Roman"/>
          <w:sz w:val="24"/>
          <w:szCs w:val="24"/>
        </w:rPr>
        <w:t>процентных</w:t>
      </w:r>
      <w:proofErr w:type="gramEnd"/>
      <w:r w:rsidRPr="0080737A">
        <w:rPr>
          <w:rFonts w:ascii="Times New Roman" w:hAnsi="Times New Roman"/>
          <w:sz w:val="24"/>
          <w:szCs w:val="24"/>
        </w:rPr>
        <w:t xml:space="preserve"> пункта до 4,52%.</w:t>
      </w:r>
    </w:p>
    <w:p w:rsidR="006D1DEF" w:rsidRPr="0080737A" w:rsidRDefault="006D1DEF" w:rsidP="006D1DEF">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Сокращение процентных доходов по кредитам, предоставленным юридическим и физическим лицам, на фоне увеличения расходов по выпущенным долговым обязательствам позволило банкам создать в январе-июне текущего года добавленной стоимости на 213,4 млн. руб., что на 16,0% ниже базового параметра минувшего года и предопределило сужение вклада </w:t>
      </w:r>
      <w:r w:rsidRPr="0080737A">
        <w:rPr>
          <w:rFonts w:ascii="Times New Roman" w:hAnsi="Times New Roman"/>
          <w:b/>
          <w:sz w:val="24"/>
          <w:szCs w:val="24"/>
        </w:rPr>
        <w:t>финансового сектора</w:t>
      </w:r>
      <w:r w:rsidRPr="0080737A">
        <w:rPr>
          <w:rFonts w:ascii="Times New Roman" w:hAnsi="Times New Roman"/>
          <w:sz w:val="24"/>
          <w:szCs w:val="24"/>
        </w:rPr>
        <w:t xml:space="preserve"> в структуре валового внутреннего продукта на 1,7 процентных пункта до 5,4%. </w:t>
      </w:r>
      <w:proofErr w:type="gramEnd"/>
    </w:p>
    <w:p w:rsidR="006D1DEF" w:rsidRPr="0080737A" w:rsidRDefault="006D1DEF" w:rsidP="006D1DEF">
      <w:pPr>
        <w:spacing w:after="0" w:line="240" w:lineRule="auto"/>
        <w:ind w:firstLine="708"/>
        <w:jc w:val="both"/>
        <w:rPr>
          <w:rFonts w:ascii="Times New Roman" w:hAnsi="Times New Roman"/>
          <w:sz w:val="24"/>
          <w:szCs w:val="24"/>
        </w:rPr>
      </w:pPr>
      <w:r w:rsidRPr="0080737A">
        <w:rPr>
          <w:rFonts w:ascii="Times New Roman" w:hAnsi="Times New Roman"/>
          <w:sz w:val="24"/>
          <w:szCs w:val="24"/>
        </w:rPr>
        <w:lastRenderedPageBreak/>
        <w:t xml:space="preserve">Организациями, осуществляющими </w:t>
      </w:r>
      <w:r w:rsidRPr="0080737A">
        <w:rPr>
          <w:rFonts w:ascii="Times New Roman" w:hAnsi="Times New Roman"/>
          <w:b/>
          <w:sz w:val="24"/>
          <w:szCs w:val="24"/>
        </w:rPr>
        <w:t>операции с недвижимым имуществом</w:t>
      </w:r>
      <w:r w:rsidRPr="0080737A">
        <w:rPr>
          <w:rFonts w:ascii="Times New Roman" w:hAnsi="Times New Roman"/>
          <w:sz w:val="24"/>
          <w:szCs w:val="24"/>
        </w:rPr>
        <w:t xml:space="preserve"> в рассматриваемом периоде создано 85,2 млн. руб. добавленной стоимости, номинальный объем которой сократился на 2,1%, сузив при этом долевое участие в структуре валового внутреннего продукта на 0,3 </w:t>
      </w:r>
      <w:proofErr w:type="gramStart"/>
      <w:r w:rsidRPr="0080737A">
        <w:rPr>
          <w:rFonts w:ascii="Times New Roman" w:hAnsi="Times New Roman"/>
          <w:sz w:val="24"/>
          <w:szCs w:val="24"/>
        </w:rPr>
        <w:t>процентных</w:t>
      </w:r>
      <w:proofErr w:type="gramEnd"/>
      <w:r w:rsidRPr="0080737A">
        <w:rPr>
          <w:rFonts w:ascii="Times New Roman" w:hAnsi="Times New Roman"/>
          <w:sz w:val="24"/>
          <w:szCs w:val="24"/>
        </w:rPr>
        <w:t xml:space="preserve"> пункта до 2,16%.</w:t>
      </w:r>
    </w:p>
    <w:p w:rsidR="006D1DEF" w:rsidRPr="0080737A" w:rsidRDefault="006D1DEF" w:rsidP="006D1DEF">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Динамика составляющих </w:t>
      </w:r>
      <w:r w:rsidRPr="0080737A">
        <w:rPr>
          <w:rFonts w:ascii="Times New Roman" w:eastAsiaTheme="minorEastAsia" w:hAnsi="Times New Roman" w:cstheme="minorBidi"/>
          <w:b/>
          <w:sz w:val="24"/>
          <w:szCs w:val="24"/>
        </w:rPr>
        <w:t>нерыночных услуг</w:t>
      </w:r>
      <w:r w:rsidRPr="0080737A">
        <w:rPr>
          <w:rFonts w:ascii="Times New Roman" w:eastAsiaTheme="minorEastAsia" w:hAnsi="Times New Roman" w:cstheme="minorBidi"/>
          <w:sz w:val="24"/>
          <w:szCs w:val="24"/>
        </w:rPr>
        <w:t xml:space="preserve"> и их долевое участие в совокупном показателе (ВВП) отражают ситуацию с исполнением государственного бюджета в январе-июне текущего года и участие государства в распределительном процессе услуг. </w:t>
      </w:r>
    </w:p>
    <w:p w:rsidR="006D1DEF" w:rsidRPr="0080737A" w:rsidRDefault="006D1DEF" w:rsidP="006D1DEF">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В условиях жесткой экономии и оптимизации расходования бюджетных средств, в совокупности с выплат</w:t>
      </w:r>
      <w:r w:rsidR="009A50F2" w:rsidRPr="0080737A">
        <w:rPr>
          <w:rFonts w:ascii="Times New Roman" w:eastAsiaTheme="minorEastAsia" w:hAnsi="Times New Roman" w:cstheme="minorBidi"/>
          <w:sz w:val="24"/>
          <w:szCs w:val="24"/>
        </w:rPr>
        <w:t>ой</w:t>
      </w:r>
      <w:r w:rsidRPr="0080737A">
        <w:rPr>
          <w:rFonts w:ascii="Times New Roman" w:eastAsiaTheme="minorEastAsia" w:hAnsi="Times New Roman" w:cstheme="minorBidi"/>
          <w:sz w:val="24"/>
          <w:szCs w:val="24"/>
        </w:rPr>
        <w:t xml:space="preserve"> накопленной задолженности  по заработной плате работникам бюджетной сферы и дополнительных выплат пенсионерам</w:t>
      </w:r>
      <w:r w:rsidR="00CD1894" w:rsidRPr="0080737A">
        <w:rPr>
          <w:rFonts w:ascii="Times New Roman" w:eastAsiaTheme="minorEastAsia" w:hAnsi="Times New Roman" w:cstheme="minorBidi"/>
          <w:sz w:val="24"/>
          <w:szCs w:val="24"/>
        </w:rPr>
        <w:t>,</w:t>
      </w:r>
      <w:r w:rsidRPr="0080737A">
        <w:rPr>
          <w:rFonts w:ascii="Times New Roman" w:eastAsiaTheme="minorEastAsia" w:hAnsi="Times New Roman" w:cstheme="minorBidi"/>
          <w:sz w:val="24"/>
          <w:szCs w:val="24"/>
        </w:rPr>
        <w:t xml:space="preserve"> объем вновь созданной добавленной стоимости составляющих нерыночных услуг расширился на 40,5% и обеспечил 45,72% совокупного показателя. </w:t>
      </w:r>
    </w:p>
    <w:p w:rsidR="006D1DEF" w:rsidRPr="0080737A" w:rsidRDefault="006D1DEF" w:rsidP="006D1DEF">
      <w:pPr>
        <w:spacing w:after="0" w:line="240" w:lineRule="auto"/>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5943600" cy="2619375"/>
            <wp:effectExtent l="0" t="0" r="0" b="0"/>
            <wp:docPr id="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1DEF" w:rsidRPr="0080737A" w:rsidRDefault="006D1DEF" w:rsidP="006D1DEF">
      <w:pPr>
        <w:spacing w:after="0" w:line="240" w:lineRule="auto"/>
        <w:ind w:firstLine="709"/>
        <w:jc w:val="both"/>
        <w:rPr>
          <w:rFonts w:ascii="Times New Roman" w:eastAsiaTheme="minorEastAsia" w:hAnsi="Times New Roman" w:cstheme="minorBidi"/>
          <w:sz w:val="24"/>
          <w:szCs w:val="24"/>
        </w:rPr>
      </w:pPr>
    </w:p>
    <w:p w:rsidR="006D1DEF" w:rsidRPr="0080737A" w:rsidRDefault="006D1DEF" w:rsidP="006D1DEF">
      <w:pPr>
        <w:spacing w:after="0" w:line="240" w:lineRule="auto"/>
        <w:ind w:firstLine="709"/>
        <w:jc w:val="both"/>
        <w:rPr>
          <w:rFonts w:ascii="Times New Roman" w:eastAsiaTheme="minorEastAsia" w:hAnsi="Times New Roman" w:cstheme="minorBidi"/>
          <w:sz w:val="24"/>
          <w:szCs w:val="24"/>
        </w:rPr>
      </w:pPr>
      <w:proofErr w:type="gramStart"/>
      <w:r w:rsidRPr="0080737A">
        <w:rPr>
          <w:rFonts w:ascii="Times New Roman" w:eastAsiaTheme="minorEastAsia" w:hAnsi="Times New Roman" w:cstheme="minorBidi"/>
          <w:sz w:val="24"/>
          <w:szCs w:val="24"/>
        </w:rPr>
        <w:t>Вместе с этим, сохранение приоритета политики государства в области отраслей социальной направленности (</w:t>
      </w:r>
      <w:r w:rsidRPr="0080737A">
        <w:rPr>
          <w:rFonts w:ascii="Times New Roman" w:eastAsiaTheme="minorEastAsia" w:hAnsi="Times New Roman" w:cstheme="minorBidi"/>
          <w:b/>
          <w:sz w:val="24"/>
          <w:szCs w:val="24"/>
        </w:rPr>
        <w:t>здравоохранение, социальное обеспечение, образование),</w:t>
      </w:r>
      <w:r w:rsidRPr="0080737A">
        <w:rPr>
          <w:rFonts w:ascii="Times New Roman" w:eastAsiaTheme="minorEastAsia" w:hAnsi="Times New Roman" w:cstheme="minorBidi"/>
          <w:sz w:val="24"/>
          <w:szCs w:val="24"/>
        </w:rPr>
        <w:t xml:space="preserve"> несмотря на нарастание кризисных тенденций в экономике республики, позволило обеспечить свыше половины (52,5%) валовой добавленной стоимости сектора нерыночных услуг или около четверти (24,0%) совокупного ВВП, расширив при этом абсолютную номинальную величина данных сфер на 34,1%.</w:t>
      </w:r>
      <w:proofErr w:type="gramEnd"/>
    </w:p>
    <w:p w:rsidR="006D1DEF" w:rsidRPr="0080737A" w:rsidRDefault="006D1DEF" w:rsidP="006D1DEF">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Остальные составляющие нерыночного сектора (культура, искусство, кинематография, наука и научное обслуживание, управление) также демонстрировали повышательный тренд по формированию добавленной стоимости. </w:t>
      </w:r>
    </w:p>
    <w:p w:rsidR="006D1DEF" w:rsidRPr="0080737A" w:rsidRDefault="006D1DEF" w:rsidP="006D1DEF">
      <w:pPr>
        <w:spacing w:after="0" w:line="240" w:lineRule="auto"/>
        <w:ind w:firstLine="709"/>
        <w:jc w:val="both"/>
        <w:rPr>
          <w:rFonts w:ascii="Times New Roman" w:eastAsiaTheme="minorEastAsia" w:hAnsi="Times New Roman" w:cstheme="minorBidi"/>
          <w:sz w:val="24"/>
          <w:szCs w:val="24"/>
        </w:rPr>
      </w:pPr>
      <w:proofErr w:type="gramStart"/>
      <w:r w:rsidRPr="0080737A">
        <w:rPr>
          <w:rFonts w:ascii="Times New Roman" w:eastAsiaTheme="minorEastAsia" w:hAnsi="Times New Roman" w:cstheme="minorBidi"/>
          <w:sz w:val="24"/>
          <w:szCs w:val="24"/>
        </w:rPr>
        <w:t xml:space="preserve">Существенный рост субсидирования государством товаров и услуг (в 2,3 раза до </w:t>
      </w:r>
      <w:r w:rsidRPr="0080737A">
        <w:rPr>
          <w:rFonts w:ascii="Times New Roman" w:eastAsiaTheme="minorEastAsia" w:hAnsi="Times New Roman" w:cstheme="minorBidi"/>
          <w:sz w:val="24"/>
          <w:szCs w:val="24"/>
        </w:rPr>
        <w:br/>
        <w:t xml:space="preserve">245,3 млн. руб.) в январе-июне текущего года не покрывался поступлениями налогов на потребление (налог на внешнюю торговлю и внешнеэкономические операции и акцизы сократились на 16,1% до 170,3 млн. руб.), что спровоцировало отрицательный вклад в структуру доходов государства, суммируемых по статье </w:t>
      </w:r>
      <w:r w:rsidRPr="0080737A">
        <w:rPr>
          <w:rFonts w:ascii="Times New Roman" w:eastAsiaTheme="minorEastAsia" w:hAnsi="Times New Roman" w:cstheme="minorBidi"/>
          <w:b/>
          <w:sz w:val="24"/>
          <w:szCs w:val="24"/>
        </w:rPr>
        <w:t xml:space="preserve">«чистые налоги на продукты и импорт» </w:t>
      </w:r>
      <w:r w:rsidRPr="0080737A">
        <w:rPr>
          <w:rFonts w:ascii="Times New Roman" w:eastAsiaTheme="minorEastAsia" w:hAnsi="Times New Roman" w:cstheme="minorBidi"/>
          <w:sz w:val="24"/>
          <w:szCs w:val="24"/>
        </w:rPr>
        <w:t>(«-»1,9%).</w:t>
      </w:r>
      <w:proofErr w:type="gramEnd"/>
      <w:r w:rsidRPr="0080737A">
        <w:rPr>
          <w:rFonts w:ascii="Times New Roman" w:eastAsiaTheme="minorEastAsia" w:hAnsi="Times New Roman" w:cstheme="minorBidi"/>
          <w:sz w:val="24"/>
          <w:szCs w:val="24"/>
        </w:rPr>
        <w:t xml:space="preserve"> По итогам первой половины 2016 года величина данного показателя сложилась н</w:t>
      </w:r>
      <w:r w:rsidR="002B7296" w:rsidRPr="0080737A">
        <w:rPr>
          <w:rFonts w:ascii="Times New Roman" w:eastAsiaTheme="minorEastAsia" w:hAnsi="Times New Roman" w:cstheme="minorBidi"/>
          <w:sz w:val="24"/>
          <w:szCs w:val="24"/>
        </w:rPr>
        <w:t>а уровне «-» 75,0 млн. руб.</w:t>
      </w:r>
    </w:p>
    <w:p w:rsidR="006D1DEF" w:rsidRPr="0080737A" w:rsidRDefault="006D1DEF" w:rsidP="006D1DEF">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Таким образом, результативность экономики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на фоне падения мировых цен на сырье и материалы в совокупности с нарастанием кризисных тенденций в экономике, определялась эффективностью деятельности индустриального и строительного секторов, а также необходимостью выполнения государством обязательств по выплате накопленной задолженности по заработной плате работникам бюджетной сферы, что спровоцировало существенное расширение добавленной стоимости в секторе нерыночных услуг.</w:t>
      </w:r>
      <w:proofErr w:type="gramEnd"/>
    </w:p>
    <w:p w:rsidR="006D1DEF" w:rsidRPr="0080737A" w:rsidRDefault="006D1DEF" w:rsidP="006D1DE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Кроме того сдерживающим фактором явилось сокращение фискальной составляющей (чистые налоги на импорт и продукты). </w:t>
      </w:r>
    </w:p>
    <w:p w:rsidR="00335844" w:rsidRPr="0080737A" w:rsidRDefault="00335844" w:rsidP="003F67B2">
      <w:pPr>
        <w:spacing w:after="0" w:line="240" w:lineRule="auto"/>
        <w:ind w:firstLine="720"/>
        <w:contextualSpacing/>
        <w:jc w:val="both"/>
        <w:rPr>
          <w:rFonts w:ascii="Times New Roman" w:hAnsi="Times New Roman"/>
          <w:b/>
          <w:sz w:val="24"/>
          <w:szCs w:val="24"/>
        </w:rPr>
      </w:pPr>
      <w:r w:rsidRPr="0080737A">
        <w:rPr>
          <w:rFonts w:ascii="Times New Roman" w:hAnsi="Times New Roman"/>
          <w:b/>
          <w:sz w:val="24"/>
          <w:szCs w:val="24"/>
        </w:rPr>
        <w:lastRenderedPageBreak/>
        <w:t>Денежно-кредитная политика</w:t>
      </w:r>
    </w:p>
    <w:p w:rsidR="003F67B2" w:rsidRPr="0080737A" w:rsidRDefault="003F67B2" w:rsidP="003F67B2">
      <w:pPr>
        <w:spacing w:after="0" w:line="240" w:lineRule="auto"/>
        <w:ind w:firstLine="720"/>
        <w:contextualSpacing/>
        <w:jc w:val="both"/>
        <w:rPr>
          <w:rFonts w:ascii="Times New Roman" w:hAnsi="Times New Roman"/>
          <w:sz w:val="24"/>
          <w:szCs w:val="24"/>
        </w:rPr>
      </w:pPr>
    </w:p>
    <w:p w:rsidR="00CF6691" w:rsidRPr="0080737A" w:rsidRDefault="00CF6691" w:rsidP="00CF6691">
      <w:pPr>
        <w:spacing w:after="0" w:line="240" w:lineRule="auto"/>
        <w:ind w:firstLine="709"/>
        <w:jc w:val="both"/>
        <w:rPr>
          <w:rFonts w:ascii="Times New Roman" w:hAnsi="Times New Roman"/>
          <w:spacing w:val="-4"/>
          <w:sz w:val="24"/>
          <w:szCs w:val="24"/>
        </w:rPr>
      </w:pPr>
      <w:r w:rsidRPr="0080737A">
        <w:rPr>
          <w:rFonts w:ascii="Times New Roman" w:hAnsi="Times New Roman"/>
          <w:spacing w:val="-4"/>
          <w:sz w:val="24"/>
          <w:szCs w:val="24"/>
        </w:rPr>
        <w:t>В I полугодии 2016 года в республике сохранялась сложная социально-экономическая обстановка.</w:t>
      </w:r>
      <w:r w:rsidR="00EF7D3C" w:rsidRPr="0080737A">
        <w:rPr>
          <w:rFonts w:ascii="Times New Roman" w:hAnsi="Times New Roman"/>
          <w:spacing w:val="-4"/>
          <w:sz w:val="24"/>
          <w:szCs w:val="24"/>
        </w:rPr>
        <w:t xml:space="preserve"> </w:t>
      </w:r>
      <w:r w:rsidRPr="0080737A">
        <w:rPr>
          <w:rFonts w:ascii="Times New Roman" w:hAnsi="Times New Roman"/>
          <w:spacing w:val="-4"/>
          <w:sz w:val="24"/>
          <w:szCs w:val="24"/>
        </w:rPr>
        <w:t xml:space="preserve">Наиболее напряженная ситуация складывалась в валютной сфере. Существенно сократился приток валюты на территорию республики, в частности по таким ключевым позициям, как экспорт («-»12,2%), частные денежные переводы из-за рубежа (в 1,7 раза). В то же время спрос на иностранную валюту для оплаты импортных контрактов на поставку, в том числе, жизненно необходимых товаров, оставался высоким. </w:t>
      </w:r>
    </w:p>
    <w:p w:rsidR="00CF6691" w:rsidRPr="0080737A" w:rsidRDefault="00CF6691" w:rsidP="00CF6691">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По мере исчерпания возможностей реагирования на ситуацию путём валютных интервенций, Приднестровский республиканский банк, действуя в рамках имеющихся полномочий, с 16 марта 2016 года повысил официальный курс доллара США с 11,10 руб. до верхней границы утверждённого валютного коридора– 11,30 руб., который сохранялся на этом уровне до конца отчётного периода. Официальный средневзвешенный курс за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 2016 года составил 11,2176 руб. ПМР, что на 1,1% выше отметки соответствующего периода прошлого года. </w:t>
      </w:r>
    </w:p>
    <w:p w:rsidR="00CF6691" w:rsidRPr="0080737A" w:rsidRDefault="00CF6691" w:rsidP="00CF6691">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Объём совокупного денежного предложения за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 2016 года увеличился на 2,4% (на 127,8 млн. руб.) до 5 523,5 млн. руб. Основное влияние н</w:t>
      </w:r>
      <w:r w:rsidRPr="0080737A">
        <w:rPr>
          <w:rFonts w:ascii="Times New Roman" w:hAnsi="Times New Roman"/>
          <w:color w:val="000000"/>
          <w:sz w:val="24"/>
          <w:szCs w:val="24"/>
        </w:rPr>
        <w:t xml:space="preserve">а его динамику оказало расширение рублевой составляющей, зафиксированное во </w:t>
      </w:r>
      <w:r w:rsidRPr="0080737A">
        <w:rPr>
          <w:rFonts w:ascii="Times New Roman" w:hAnsi="Times New Roman"/>
          <w:color w:val="000000"/>
          <w:sz w:val="24"/>
          <w:szCs w:val="24"/>
          <w:lang w:val="en-US"/>
        </w:rPr>
        <w:t>II</w:t>
      </w:r>
      <w:r w:rsidRPr="0080737A">
        <w:rPr>
          <w:rFonts w:ascii="Times New Roman" w:hAnsi="Times New Roman"/>
          <w:color w:val="000000"/>
          <w:sz w:val="24"/>
          <w:szCs w:val="24"/>
        </w:rPr>
        <w:t xml:space="preserve"> квартале текущего года </w:t>
      </w:r>
      <w:r w:rsidRPr="0080737A">
        <w:rPr>
          <w:rFonts w:ascii="Times New Roman" w:hAnsi="Times New Roman"/>
          <w:sz w:val="24"/>
          <w:szCs w:val="24"/>
        </w:rPr>
        <w:t>на 19,9% или на 398,9 млн. руб.</w:t>
      </w:r>
      <w:proofErr w:type="gramEnd"/>
    </w:p>
    <w:p w:rsidR="00CF6691" w:rsidRPr="0080737A" w:rsidRDefault="00CF6691" w:rsidP="00CF6691">
      <w:pPr>
        <w:spacing w:after="0" w:line="240" w:lineRule="auto"/>
        <w:ind w:firstLine="720"/>
        <w:jc w:val="both"/>
        <w:rPr>
          <w:sz w:val="24"/>
          <w:szCs w:val="24"/>
        </w:rPr>
      </w:pPr>
      <w:r w:rsidRPr="0080737A">
        <w:rPr>
          <w:rFonts w:ascii="Times New Roman" w:hAnsi="Times New Roman"/>
          <w:sz w:val="24"/>
          <w:szCs w:val="24"/>
        </w:rPr>
        <w:t xml:space="preserve">Совокупная ёмкость наличного сегмента валютного рынка составила в эквиваленте 102,6 млн. долл. США, что двукратно уступает базисному значению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2015 года наблюдался аналогичный спад).</w:t>
      </w:r>
    </w:p>
    <w:p w:rsidR="00CF6691" w:rsidRPr="0080737A" w:rsidRDefault="00CF6691" w:rsidP="00CF6691">
      <w:pPr>
        <w:widowControl w:val="0"/>
        <w:spacing w:after="0" w:line="240" w:lineRule="auto"/>
        <w:ind w:firstLine="709"/>
        <w:contextualSpacing/>
        <w:jc w:val="both"/>
        <w:rPr>
          <w:rFonts w:ascii="Times New Roman" w:hAnsi="Times New Roman"/>
          <w:sz w:val="24"/>
          <w:szCs w:val="24"/>
        </w:rPr>
      </w:pPr>
    </w:p>
    <w:p w:rsidR="00CF6691" w:rsidRPr="0080737A" w:rsidRDefault="00CF6691" w:rsidP="00CF6691">
      <w:pPr>
        <w:widowControl w:val="0"/>
        <w:spacing w:after="0" w:line="240" w:lineRule="auto"/>
        <w:ind w:firstLine="709"/>
        <w:contextualSpacing/>
        <w:jc w:val="both"/>
        <w:rPr>
          <w:rFonts w:ascii="Times New Roman" w:hAnsi="Times New Roman"/>
          <w:b/>
          <w:i/>
          <w:color w:val="000000"/>
          <w:sz w:val="24"/>
          <w:szCs w:val="24"/>
        </w:rPr>
      </w:pPr>
      <w:r w:rsidRPr="0080737A">
        <w:rPr>
          <w:rFonts w:ascii="Times New Roman" w:hAnsi="Times New Roman"/>
          <w:b/>
          <w:i/>
          <w:color w:val="000000"/>
          <w:sz w:val="24"/>
          <w:szCs w:val="24"/>
        </w:rPr>
        <w:t>Монетарная сфера</w:t>
      </w:r>
    </w:p>
    <w:p w:rsidR="00CF6691" w:rsidRPr="0080737A" w:rsidRDefault="00CF6691" w:rsidP="00CF6691">
      <w:pPr>
        <w:spacing w:after="0" w:line="240" w:lineRule="auto"/>
        <w:ind w:firstLine="720"/>
        <w:jc w:val="both"/>
        <w:rPr>
          <w:rFonts w:ascii="Times New Roman" w:hAnsi="Times New Roman"/>
          <w:sz w:val="24"/>
          <w:szCs w:val="24"/>
        </w:rPr>
      </w:pPr>
      <w:r w:rsidRPr="0080737A">
        <w:rPr>
          <w:rFonts w:ascii="Times New Roman" w:hAnsi="Times New Roman"/>
          <w:sz w:val="24"/>
          <w:szCs w:val="24"/>
        </w:rPr>
        <w:t>Рублёвое денежное предложение характеризовалось положительной динамикой, его объём увеличился на 14,8% до 2 399,6 млн. руб. Определяющим фактором роста выступило существенное расширение объема наличных денег в обращении (+19,1%, до                     1 022,6 млн. руб.). Основным импульсом повышения стало погашение задолженности по заработной плате работникам бюджетной сферы, в результате чего в наличном сегменте было зафиксировано практически 43,0 % рублёвой денежной массы.</w:t>
      </w:r>
    </w:p>
    <w:p w:rsidR="00CF6691" w:rsidRPr="0080737A" w:rsidRDefault="00CF6691" w:rsidP="00CF6691">
      <w:pPr>
        <w:spacing w:after="0" w:line="240" w:lineRule="auto"/>
        <w:ind w:firstLine="720"/>
        <w:jc w:val="both"/>
        <w:rPr>
          <w:rFonts w:ascii="Times New Roman" w:hAnsi="Times New Roman"/>
          <w:sz w:val="24"/>
          <w:szCs w:val="24"/>
        </w:rPr>
      </w:pPr>
      <w:r w:rsidRPr="0080737A">
        <w:rPr>
          <w:rFonts w:ascii="Times New Roman" w:hAnsi="Times New Roman"/>
          <w:sz w:val="24"/>
          <w:szCs w:val="24"/>
        </w:rPr>
        <w:t>Объём безналичной составляющей денежного предложения увеличился на 11,8% (на 145,6 млн. руб.) до 1 337,0 млн. руб., что вызвано в первую очередь ростом остатков средств как на текущих счетах юридических лиц, так и на депозитах до востребования физических лиц.</w:t>
      </w:r>
    </w:p>
    <w:p w:rsidR="00285C9F" w:rsidRPr="0080737A" w:rsidRDefault="00285C9F" w:rsidP="00CF6691">
      <w:pPr>
        <w:spacing w:after="0" w:line="240" w:lineRule="auto"/>
        <w:ind w:firstLine="720"/>
        <w:jc w:val="both"/>
        <w:rPr>
          <w:rFonts w:ascii="Times New Roman" w:hAnsi="Times New Roman"/>
          <w:sz w:val="24"/>
          <w:szCs w:val="24"/>
        </w:rPr>
      </w:pPr>
    </w:p>
    <w:p w:rsidR="00CF6691" w:rsidRPr="0080737A" w:rsidRDefault="00CF6691" w:rsidP="00CF6691">
      <w:pPr>
        <w:spacing w:line="240" w:lineRule="auto"/>
        <w:contextualSpacing/>
        <w:jc w:val="right"/>
        <w:rPr>
          <w:rFonts w:ascii="Times New Roman" w:hAnsi="Times New Roman"/>
          <w:sz w:val="24"/>
          <w:szCs w:val="24"/>
        </w:rPr>
      </w:pPr>
      <w:r w:rsidRPr="0080737A">
        <w:rPr>
          <w:rFonts w:ascii="Times New Roman" w:hAnsi="Times New Roman"/>
          <w:sz w:val="24"/>
          <w:szCs w:val="24"/>
        </w:rPr>
        <w:t>Таблица №2</w:t>
      </w:r>
    </w:p>
    <w:p w:rsidR="00CF6691" w:rsidRPr="0080737A" w:rsidRDefault="00CF6691" w:rsidP="00CF6691">
      <w:pPr>
        <w:spacing w:before="120" w:after="120" w:line="240" w:lineRule="auto"/>
        <w:jc w:val="center"/>
        <w:rPr>
          <w:rFonts w:ascii="Times New Roman" w:hAnsi="Times New Roman"/>
          <w:b/>
          <w:color w:val="000000"/>
          <w:sz w:val="24"/>
          <w:szCs w:val="24"/>
        </w:rPr>
      </w:pPr>
      <w:bookmarkStart w:id="0" w:name="OLE_LINK10"/>
      <w:r w:rsidRPr="0080737A">
        <w:rPr>
          <w:rFonts w:ascii="Times New Roman" w:hAnsi="Times New Roman"/>
          <w:b/>
          <w:color w:val="000000"/>
          <w:sz w:val="24"/>
          <w:szCs w:val="24"/>
        </w:rPr>
        <w:t xml:space="preserve">Структура и динамика денежного предложения </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7"/>
        <w:gridCol w:w="1125"/>
        <w:gridCol w:w="1126"/>
        <w:gridCol w:w="1126"/>
        <w:gridCol w:w="1126"/>
        <w:gridCol w:w="991"/>
      </w:tblGrid>
      <w:tr w:rsidR="00CF6691" w:rsidRPr="0080737A" w:rsidTr="006F4E1E">
        <w:trPr>
          <w:cantSplit/>
          <w:trHeight w:val="75"/>
        </w:trPr>
        <w:tc>
          <w:tcPr>
            <w:tcW w:w="4137" w:type="dxa"/>
            <w:vMerge w:val="restart"/>
            <w:shd w:val="clear" w:color="auto" w:fill="C0C0C0"/>
          </w:tcPr>
          <w:p w:rsidR="00CF6691" w:rsidRPr="0080737A" w:rsidRDefault="00CF6691" w:rsidP="006F4E1E">
            <w:pPr>
              <w:spacing w:after="0" w:line="240" w:lineRule="auto"/>
              <w:ind w:right="-1"/>
              <w:jc w:val="both"/>
              <w:rPr>
                <w:rFonts w:ascii="Times New Roman" w:hAnsi="Times New Roman"/>
                <w:color w:val="000000"/>
                <w:sz w:val="20"/>
                <w:szCs w:val="20"/>
              </w:rPr>
            </w:pPr>
            <w:bookmarkStart w:id="1" w:name="OLE_LINK4"/>
            <w:bookmarkStart w:id="2" w:name="OLE_LINK7"/>
          </w:p>
        </w:tc>
        <w:tc>
          <w:tcPr>
            <w:tcW w:w="2251" w:type="dxa"/>
            <w:gridSpan w:val="2"/>
            <w:shd w:val="clear" w:color="auto" w:fill="C0C0C0"/>
            <w:vAlign w:val="center"/>
          </w:tcPr>
          <w:p w:rsidR="00CF6691" w:rsidRPr="0080737A" w:rsidRDefault="00CF6691" w:rsidP="006F4E1E">
            <w:pPr>
              <w:spacing w:after="0" w:line="240" w:lineRule="auto"/>
              <w:jc w:val="center"/>
              <w:rPr>
                <w:rFonts w:ascii="Times New Roman" w:hAnsi="Times New Roman"/>
                <w:color w:val="000000"/>
                <w:sz w:val="20"/>
                <w:szCs w:val="20"/>
              </w:rPr>
            </w:pPr>
            <w:r w:rsidRPr="0080737A">
              <w:rPr>
                <w:rFonts w:ascii="Times New Roman" w:hAnsi="Times New Roman"/>
                <w:color w:val="000000"/>
                <w:sz w:val="20"/>
                <w:szCs w:val="20"/>
              </w:rPr>
              <w:t>на 01.01.2016 г.</w:t>
            </w:r>
          </w:p>
        </w:tc>
        <w:tc>
          <w:tcPr>
            <w:tcW w:w="2252" w:type="dxa"/>
            <w:gridSpan w:val="2"/>
            <w:shd w:val="clear" w:color="auto" w:fill="C0C0C0"/>
            <w:vAlign w:val="center"/>
          </w:tcPr>
          <w:p w:rsidR="00CF6691" w:rsidRPr="0080737A" w:rsidRDefault="00CF6691" w:rsidP="006F4E1E">
            <w:pPr>
              <w:spacing w:after="0" w:line="240" w:lineRule="auto"/>
              <w:jc w:val="center"/>
              <w:rPr>
                <w:rFonts w:ascii="Times New Roman" w:hAnsi="Times New Roman"/>
                <w:color w:val="000000"/>
                <w:sz w:val="20"/>
                <w:szCs w:val="20"/>
              </w:rPr>
            </w:pPr>
            <w:r w:rsidRPr="0080737A">
              <w:rPr>
                <w:rFonts w:ascii="Times New Roman" w:hAnsi="Times New Roman"/>
                <w:color w:val="000000"/>
                <w:sz w:val="20"/>
                <w:szCs w:val="20"/>
              </w:rPr>
              <w:t>на 01.07.2016 г.</w:t>
            </w:r>
          </w:p>
        </w:tc>
        <w:tc>
          <w:tcPr>
            <w:tcW w:w="991" w:type="dxa"/>
            <w:vMerge w:val="restart"/>
            <w:shd w:val="clear" w:color="auto" w:fill="C0C0C0"/>
          </w:tcPr>
          <w:p w:rsidR="00CF6691" w:rsidRPr="0080737A" w:rsidRDefault="00CF6691" w:rsidP="006F4E1E">
            <w:pPr>
              <w:spacing w:after="0" w:line="240" w:lineRule="auto"/>
              <w:ind w:left="-108" w:right="-108"/>
              <w:jc w:val="center"/>
              <w:rPr>
                <w:rFonts w:ascii="Times New Roman" w:hAnsi="Times New Roman"/>
                <w:color w:val="000000"/>
                <w:sz w:val="20"/>
                <w:szCs w:val="20"/>
              </w:rPr>
            </w:pPr>
            <w:r w:rsidRPr="0080737A">
              <w:rPr>
                <w:rFonts w:ascii="Times New Roman" w:hAnsi="Times New Roman"/>
                <w:color w:val="000000"/>
                <w:sz w:val="20"/>
                <w:szCs w:val="20"/>
              </w:rPr>
              <w:t>темп</w:t>
            </w:r>
          </w:p>
          <w:p w:rsidR="00CF6691" w:rsidRPr="0080737A" w:rsidRDefault="00CF6691" w:rsidP="006F4E1E">
            <w:pPr>
              <w:spacing w:after="0" w:line="240" w:lineRule="auto"/>
              <w:ind w:left="-108" w:right="-108"/>
              <w:jc w:val="center"/>
              <w:rPr>
                <w:rFonts w:ascii="Times New Roman" w:hAnsi="Times New Roman"/>
                <w:color w:val="000000"/>
                <w:sz w:val="20"/>
                <w:szCs w:val="20"/>
              </w:rPr>
            </w:pPr>
            <w:r w:rsidRPr="0080737A">
              <w:rPr>
                <w:rFonts w:ascii="Times New Roman" w:hAnsi="Times New Roman"/>
                <w:color w:val="000000"/>
                <w:sz w:val="20"/>
                <w:szCs w:val="20"/>
              </w:rPr>
              <w:t>роста, %</w:t>
            </w:r>
          </w:p>
        </w:tc>
      </w:tr>
      <w:tr w:rsidR="00CF6691" w:rsidRPr="0080737A" w:rsidTr="006F4E1E">
        <w:trPr>
          <w:cantSplit/>
          <w:trHeight w:val="70"/>
        </w:trPr>
        <w:tc>
          <w:tcPr>
            <w:tcW w:w="4137" w:type="dxa"/>
            <w:vMerge/>
          </w:tcPr>
          <w:p w:rsidR="00CF6691" w:rsidRPr="0080737A" w:rsidRDefault="00CF6691" w:rsidP="006F4E1E">
            <w:pPr>
              <w:spacing w:after="0" w:line="240" w:lineRule="auto"/>
              <w:ind w:right="-1"/>
              <w:jc w:val="both"/>
              <w:rPr>
                <w:rFonts w:ascii="Times New Roman" w:hAnsi="Times New Roman"/>
                <w:color w:val="000000"/>
                <w:sz w:val="20"/>
                <w:szCs w:val="20"/>
              </w:rPr>
            </w:pPr>
          </w:p>
        </w:tc>
        <w:tc>
          <w:tcPr>
            <w:tcW w:w="1125" w:type="dxa"/>
            <w:shd w:val="clear" w:color="auto" w:fill="C0C0C0"/>
          </w:tcPr>
          <w:p w:rsidR="00CF6691" w:rsidRPr="0080737A" w:rsidRDefault="00CF6691" w:rsidP="006F4E1E">
            <w:pPr>
              <w:spacing w:after="0" w:line="240" w:lineRule="auto"/>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26" w:type="dxa"/>
            <w:shd w:val="clear" w:color="auto" w:fill="C0C0C0"/>
          </w:tcPr>
          <w:p w:rsidR="00CF6691" w:rsidRPr="0080737A" w:rsidRDefault="00CF6691" w:rsidP="006F4E1E">
            <w:pPr>
              <w:keepNext/>
              <w:spacing w:after="0" w:line="240" w:lineRule="auto"/>
              <w:ind w:left="-117" w:right="-108"/>
              <w:jc w:val="center"/>
              <w:outlineLvl w:val="2"/>
              <w:rPr>
                <w:rFonts w:ascii="Times New Roman" w:hAnsi="Times New Roman" w:cs="Arial"/>
                <w:bCs/>
                <w:color w:val="000000"/>
                <w:sz w:val="20"/>
                <w:szCs w:val="20"/>
              </w:rPr>
            </w:pPr>
            <w:proofErr w:type="spellStart"/>
            <w:r w:rsidRPr="0080737A">
              <w:rPr>
                <w:rFonts w:ascii="Times New Roman" w:hAnsi="Times New Roman" w:cs="Arial"/>
                <w:bCs/>
                <w:color w:val="000000"/>
                <w:sz w:val="20"/>
                <w:szCs w:val="20"/>
              </w:rPr>
              <w:t>уд</w:t>
            </w:r>
            <w:proofErr w:type="gramStart"/>
            <w:r w:rsidRPr="0080737A">
              <w:rPr>
                <w:rFonts w:ascii="Times New Roman" w:hAnsi="Times New Roman" w:cs="Arial"/>
                <w:bCs/>
                <w:color w:val="000000"/>
                <w:sz w:val="20"/>
                <w:szCs w:val="20"/>
              </w:rPr>
              <w:t>.в</w:t>
            </w:r>
            <w:proofErr w:type="gramEnd"/>
            <w:r w:rsidRPr="0080737A">
              <w:rPr>
                <w:rFonts w:ascii="Times New Roman" w:hAnsi="Times New Roman" w:cs="Arial"/>
                <w:bCs/>
                <w:color w:val="000000"/>
                <w:sz w:val="20"/>
                <w:szCs w:val="20"/>
              </w:rPr>
              <w:t>ес</w:t>
            </w:r>
            <w:proofErr w:type="spellEnd"/>
            <w:r w:rsidRPr="0080737A">
              <w:rPr>
                <w:rFonts w:ascii="Times New Roman" w:hAnsi="Times New Roman" w:cs="Arial"/>
                <w:bCs/>
                <w:color w:val="000000"/>
                <w:sz w:val="20"/>
                <w:szCs w:val="20"/>
              </w:rPr>
              <w:t>, %</w:t>
            </w:r>
          </w:p>
        </w:tc>
        <w:tc>
          <w:tcPr>
            <w:tcW w:w="1126" w:type="dxa"/>
            <w:tcBorders>
              <w:bottom w:val="double" w:sz="4" w:space="0" w:color="auto"/>
            </w:tcBorders>
            <w:shd w:val="clear" w:color="auto" w:fill="C0C0C0"/>
          </w:tcPr>
          <w:p w:rsidR="00CF6691" w:rsidRPr="0080737A" w:rsidRDefault="00CF6691" w:rsidP="006F4E1E">
            <w:pPr>
              <w:spacing w:after="0" w:line="240" w:lineRule="auto"/>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26" w:type="dxa"/>
            <w:shd w:val="clear" w:color="auto" w:fill="C0C0C0"/>
          </w:tcPr>
          <w:p w:rsidR="00CF6691" w:rsidRPr="0080737A" w:rsidRDefault="00CF6691" w:rsidP="006F4E1E">
            <w:pPr>
              <w:keepNext/>
              <w:spacing w:after="0" w:line="240" w:lineRule="auto"/>
              <w:ind w:left="-117" w:right="-108"/>
              <w:jc w:val="center"/>
              <w:outlineLvl w:val="2"/>
              <w:rPr>
                <w:rFonts w:ascii="Times New Roman" w:hAnsi="Times New Roman" w:cs="Arial"/>
                <w:bCs/>
                <w:color w:val="000000"/>
                <w:sz w:val="20"/>
                <w:szCs w:val="20"/>
              </w:rPr>
            </w:pPr>
            <w:proofErr w:type="spellStart"/>
            <w:r w:rsidRPr="0080737A">
              <w:rPr>
                <w:rFonts w:ascii="Times New Roman" w:hAnsi="Times New Roman" w:cs="Arial"/>
                <w:bCs/>
                <w:color w:val="000000"/>
                <w:sz w:val="20"/>
                <w:szCs w:val="20"/>
              </w:rPr>
              <w:t>уд</w:t>
            </w:r>
            <w:proofErr w:type="gramStart"/>
            <w:r w:rsidRPr="0080737A">
              <w:rPr>
                <w:rFonts w:ascii="Times New Roman" w:hAnsi="Times New Roman" w:cs="Arial"/>
                <w:bCs/>
                <w:color w:val="000000"/>
                <w:sz w:val="20"/>
                <w:szCs w:val="20"/>
              </w:rPr>
              <w:t>.в</w:t>
            </w:r>
            <w:proofErr w:type="gramEnd"/>
            <w:r w:rsidRPr="0080737A">
              <w:rPr>
                <w:rFonts w:ascii="Times New Roman" w:hAnsi="Times New Roman" w:cs="Arial"/>
                <w:bCs/>
                <w:color w:val="000000"/>
                <w:sz w:val="20"/>
                <w:szCs w:val="20"/>
              </w:rPr>
              <w:t>ес</w:t>
            </w:r>
            <w:proofErr w:type="spellEnd"/>
            <w:r w:rsidRPr="0080737A">
              <w:rPr>
                <w:rFonts w:ascii="Times New Roman" w:hAnsi="Times New Roman" w:cs="Arial"/>
                <w:bCs/>
                <w:color w:val="000000"/>
                <w:sz w:val="20"/>
                <w:szCs w:val="20"/>
              </w:rPr>
              <w:t>, %</w:t>
            </w:r>
          </w:p>
        </w:tc>
        <w:tc>
          <w:tcPr>
            <w:tcW w:w="991" w:type="dxa"/>
            <w:vMerge/>
            <w:shd w:val="clear" w:color="auto" w:fill="C0C0C0"/>
          </w:tcPr>
          <w:p w:rsidR="00CF6691" w:rsidRPr="0080737A" w:rsidRDefault="00CF6691" w:rsidP="006F4E1E">
            <w:pPr>
              <w:keepNext/>
              <w:spacing w:after="0" w:line="240" w:lineRule="auto"/>
              <w:ind w:left="-91" w:right="-94"/>
              <w:outlineLvl w:val="2"/>
              <w:rPr>
                <w:rFonts w:ascii="Times New Roman" w:hAnsi="Times New Roman" w:cs="Arial"/>
                <w:bCs/>
                <w:color w:val="000000"/>
                <w:sz w:val="20"/>
                <w:szCs w:val="20"/>
              </w:rPr>
            </w:pPr>
          </w:p>
        </w:tc>
      </w:tr>
      <w:tr w:rsidR="00CF6691" w:rsidRPr="0080737A" w:rsidTr="006F4E1E">
        <w:trPr>
          <w:cantSplit/>
          <w:trHeight w:val="50"/>
        </w:trPr>
        <w:tc>
          <w:tcPr>
            <w:tcW w:w="4137" w:type="dxa"/>
            <w:tcBorders>
              <w:top w:val="double" w:sz="4" w:space="0" w:color="auto"/>
              <w:bottom w:val="single" w:sz="4" w:space="0" w:color="auto"/>
            </w:tcBorders>
            <w:shd w:val="clear" w:color="auto" w:fill="E6E6E6"/>
          </w:tcPr>
          <w:p w:rsidR="00CF6691" w:rsidRPr="0080737A" w:rsidRDefault="00CF6691" w:rsidP="006F4E1E">
            <w:pPr>
              <w:keepNext/>
              <w:spacing w:after="0" w:line="240" w:lineRule="auto"/>
              <w:ind w:right="-1"/>
              <w:outlineLvl w:val="2"/>
              <w:rPr>
                <w:rFonts w:ascii="Times New Roman" w:hAnsi="Times New Roman" w:cs="Arial"/>
                <w:bCs/>
                <w:color w:val="000000"/>
                <w:sz w:val="20"/>
                <w:szCs w:val="20"/>
              </w:rPr>
            </w:pPr>
            <w:r w:rsidRPr="0080737A">
              <w:rPr>
                <w:rFonts w:ascii="Times New Roman" w:hAnsi="Times New Roman" w:cs="Arial"/>
                <w:bCs/>
                <w:color w:val="000000"/>
                <w:sz w:val="20"/>
                <w:szCs w:val="20"/>
              </w:rPr>
              <w:t>Полная денежная масса (М3)</w:t>
            </w:r>
          </w:p>
        </w:tc>
        <w:tc>
          <w:tcPr>
            <w:tcW w:w="1125" w:type="dxa"/>
            <w:tcBorders>
              <w:top w:val="double" w:sz="4" w:space="0" w:color="auto"/>
              <w:bottom w:val="single" w:sz="4" w:space="0" w:color="auto"/>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5 395,7</w:t>
            </w:r>
          </w:p>
        </w:tc>
        <w:tc>
          <w:tcPr>
            <w:tcW w:w="1126" w:type="dxa"/>
            <w:tcBorders>
              <w:top w:val="double" w:sz="4" w:space="0" w:color="auto"/>
              <w:bottom w:val="single" w:sz="4" w:space="0" w:color="auto"/>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100,0</w:t>
            </w:r>
          </w:p>
        </w:tc>
        <w:tc>
          <w:tcPr>
            <w:tcW w:w="1126" w:type="dxa"/>
            <w:tcBorders>
              <w:top w:val="double" w:sz="4" w:space="0" w:color="auto"/>
              <w:bottom w:val="single" w:sz="4" w:space="0" w:color="auto"/>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5 523,5</w:t>
            </w:r>
          </w:p>
        </w:tc>
        <w:tc>
          <w:tcPr>
            <w:tcW w:w="1126" w:type="dxa"/>
            <w:tcBorders>
              <w:top w:val="double" w:sz="4" w:space="0" w:color="auto"/>
              <w:bottom w:val="single" w:sz="4" w:space="0" w:color="auto"/>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100,0</w:t>
            </w:r>
          </w:p>
        </w:tc>
        <w:tc>
          <w:tcPr>
            <w:tcW w:w="991" w:type="dxa"/>
            <w:tcBorders>
              <w:top w:val="double" w:sz="4" w:space="0" w:color="auto"/>
              <w:bottom w:val="single" w:sz="4" w:space="0" w:color="auto"/>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102,4</w:t>
            </w:r>
          </w:p>
        </w:tc>
      </w:tr>
      <w:tr w:rsidR="00CF6691" w:rsidRPr="0080737A" w:rsidTr="006F4E1E">
        <w:trPr>
          <w:cantSplit/>
          <w:trHeight w:val="50"/>
        </w:trPr>
        <w:tc>
          <w:tcPr>
            <w:tcW w:w="4137" w:type="dxa"/>
            <w:tcBorders>
              <w:top w:val="single" w:sz="4" w:space="0" w:color="auto"/>
              <w:bottom w:val="nil"/>
            </w:tcBorders>
            <w:shd w:val="clear" w:color="auto" w:fill="E6E6E6"/>
          </w:tcPr>
          <w:p w:rsidR="00CF6691" w:rsidRPr="0080737A" w:rsidRDefault="00CF6691" w:rsidP="006F4E1E">
            <w:pPr>
              <w:keepNext/>
              <w:spacing w:after="0" w:line="240" w:lineRule="auto"/>
              <w:ind w:left="32" w:right="-1" w:firstLine="112"/>
              <w:outlineLvl w:val="2"/>
              <w:rPr>
                <w:rFonts w:ascii="Times New Roman" w:hAnsi="Times New Roman" w:cs="Arial"/>
                <w:bCs/>
                <w:color w:val="000000"/>
                <w:sz w:val="20"/>
                <w:szCs w:val="20"/>
              </w:rPr>
            </w:pPr>
            <w:r w:rsidRPr="0080737A">
              <w:rPr>
                <w:rFonts w:ascii="Times New Roman" w:hAnsi="Times New Roman" w:cs="Arial"/>
                <w:bCs/>
                <w:color w:val="000000"/>
                <w:sz w:val="20"/>
                <w:szCs w:val="20"/>
              </w:rPr>
              <w:t>в том числе:</w:t>
            </w:r>
          </w:p>
        </w:tc>
        <w:tc>
          <w:tcPr>
            <w:tcW w:w="1125" w:type="dxa"/>
            <w:tcBorders>
              <w:top w:val="single" w:sz="4" w:space="0" w:color="auto"/>
              <w:bottom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c>
          <w:tcPr>
            <w:tcW w:w="1126" w:type="dxa"/>
            <w:tcBorders>
              <w:top w:val="single" w:sz="4" w:space="0" w:color="auto"/>
              <w:bottom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c>
          <w:tcPr>
            <w:tcW w:w="1126" w:type="dxa"/>
            <w:tcBorders>
              <w:top w:val="single" w:sz="4" w:space="0" w:color="auto"/>
              <w:bottom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c>
          <w:tcPr>
            <w:tcW w:w="1126" w:type="dxa"/>
            <w:tcBorders>
              <w:top w:val="single" w:sz="4" w:space="0" w:color="auto"/>
              <w:bottom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c>
          <w:tcPr>
            <w:tcW w:w="991" w:type="dxa"/>
            <w:tcBorders>
              <w:top w:val="single" w:sz="4" w:space="0" w:color="auto"/>
              <w:bottom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r>
      <w:tr w:rsidR="00CF6691" w:rsidRPr="0080737A" w:rsidTr="006F4E1E">
        <w:trPr>
          <w:cantSplit/>
          <w:trHeight w:val="77"/>
        </w:trPr>
        <w:tc>
          <w:tcPr>
            <w:tcW w:w="4137" w:type="dxa"/>
            <w:tcBorders>
              <w:top w:val="nil"/>
            </w:tcBorders>
            <w:shd w:val="clear" w:color="auto" w:fill="E6E6E6"/>
          </w:tcPr>
          <w:p w:rsidR="00CF6691" w:rsidRPr="0080737A" w:rsidRDefault="00CF6691" w:rsidP="006F4E1E">
            <w:pPr>
              <w:keepNext/>
              <w:spacing w:after="0" w:line="240" w:lineRule="auto"/>
              <w:ind w:left="116" w:right="-108" w:firstLine="12"/>
              <w:outlineLvl w:val="2"/>
              <w:rPr>
                <w:rFonts w:ascii="Times New Roman" w:hAnsi="Times New Roman" w:cs="Arial"/>
                <w:bCs/>
                <w:color w:val="000000"/>
                <w:sz w:val="20"/>
                <w:szCs w:val="20"/>
              </w:rPr>
            </w:pPr>
            <w:r w:rsidRPr="0080737A">
              <w:rPr>
                <w:rFonts w:ascii="Times New Roman" w:hAnsi="Times New Roman" w:cs="Arial"/>
                <w:bCs/>
                <w:color w:val="000000"/>
                <w:sz w:val="20"/>
                <w:szCs w:val="20"/>
              </w:rPr>
              <w:t>Национальная денежная масса (</w:t>
            </w:r>
            <w:bookmarkStart w:id="3" w:name="OLE_LINK5"/>
            <w:r w:rsidRPr="0080737A">
              <w:rPr>
                <w:rFonts w:ascii="Times New Roman" w:hAnsi="Times New Roman" w:cs="Arial"/>
                <w:bCs/>
                <w:color w:val="000000"/>
                <w:sz w:val="20"/>
                <w:szCs w:val="20"/>
              </w:rPr>
              <w:t>М2х</w:t>
            </w:r>
            <w:bookmarkEnd w:id="3"/>
            <w:r w:rsidRPr="0080737A">
              <w:rPr>
                <w:rFonts w:ascii="Times New Roman" w:hAnsi="Times New Roman" w:cs="Arial"/>
                <w:bCs/>
                <w:color w:val="000000"/>
                <w:sz w:val="20"/>
                <w:szCs w:val="20"/>
              </w:rPr>
              <w:t>)</w:t>
            </w:r>
          </w:p>
        </w:tc>
        <w:tc>
          <w:tcPr>
            <w:tcW w:w="1125" w:type="dxa"/>
            <w:tcBorders>
              <w:top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2 089,9</w:t>
            </w:r>
          </w:p>
        </w:tc>
        <w:tc>
          <w:tcPr>
            <w:tcW w:w="1126" w:type="dxa"/>
            <w:tcBorders>
              <w:top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38,7</w:t>
            </w:r>
          </w:p>
        </w:tc>
        <w:tc>
          <w:tcPr>
            <w:tcW w:w="1126" w:type="dxa"/>
            <w:tcBorders>
              <w:top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2 399,6</w:t>
            </w:r>
          </w:p>
        </w:tc>
        <w:tc>
          <w:tcPr>
            <w:tcW w:w="1126" w:type="dxa"/>
            <w:tcBorders>
              <w:top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43,4</w:t>
            </w:r>
          </w:p>
        </w:tc>
        <w:tc>
          <w:tcPr>
            <w:tcW w:w="991" w:type="dxa"/>
            <w:tcBorders>
              <w:top w:val="nil"/>
            </w:tcBorders>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114,8</w:t>
            </w:r>
          </w:p>
        </w:tc>
      </w:tr>
      <w:tr w:rsidR="00CF6691" w:rsidRPr="0080737A" w:rsidTr="006F4E1E">
        <w:trPr>
          <w:cantSplit/>
          <w:trHeight w:val="183"/>
        </w:trPr>
        <w:tc>
          <w:tcPr>
            <w:tcW w:w="4137" w:type="dxa"/>
            <w:tcBorders>
              <w:bottom w:val="single" w:sz="4" w:space="0" w:color="FFFFFF"/>
            </w:tcBorders>
          </w:tcPr>
          <w:p w:rsidR="00CF6691" w:rsidRPr="0080737A" w:rsidRDefault="00CF6691" w:rsidP="006F4E1E">
            <w:pPr>
              <w:keepNext/>
              <w:tabs>
                <w:tab w:val="left" w:pos="612"/>
              </w:tabs>
              <w:spacing w:after="0" w:line="240" w:lineRule="auto"/>
              <w:ind w:left="252" w:right="-108" w:firstLine="46"/>
              <w:outlineLvl w:val="2"/>
              <w:rPr>
                <w:rFonts w:ascii="Times New Roman" w:hAnsi="Times New Roman" w:cs="Arial"/>
                <w:bCs/>
                <w:color w:val="000000"/>
                <w:sz w:val="20"/>
                <w:szCs w:val="20"/>
              </w:rPr>
            </w:pPr>
            <w:r w:rsidRPr="0080737A">
              <w:rPr>
                <w:rFonts w:ascii="Times New Roman" w:hAnsi="Times New Roman" w:cs="Arial"/>
                <w:bCs/>
                <w:color w:val="000000"/>
                <w:sz w:val="20"/>
                <w:szCs w:val="20"/>
              </w:rPr>
              <w:t>в том числе</w:t>
            </w:r>
            <w:r w:rsidRPr="0080737A">
              <w:rPr>
                <w:rFonts w:ascii="Times New Roman" w:hAnsi="Times New Roman" w:cs="Arial"/>
                <w:bCs/>
                <w:color w:val="000000"/>
                <w:sz w:val="20"/>
                <w:szCs w:val="20"/>
                <w:lang w:val="en-US"/>
              </w:rPr>
              <w:t>:</w:t>
            </w:r>
          </w:p>
        </w:tc>
        <w:tc>
          <w:tcPr>
            <w:tcW w:w="1125" w:type="dxa"/>
            <w:tcBorders>
              <w:bottom w:val="single" w:sz="4" w:space="0" w:color="FFFFFF"/>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c>
          <w:tcPr>
            <w:tcW w:w="1126" w:type="dxa"/>
            <w:tcBorders>
              <w:bottom w:val="single" w:sz="4" w:space="0" w:color="FFFFFF"/>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c>
          <w:tcPr>
            <w:tcW w:w="1126" w:type="dxa"/>
            <w:tcBorders>
              <w:bottom w:val="single" w:sz="4" w:space="0" w:color="FFFFFF"/>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c>
          <w:tcPr>
            <w:tcW w:w="1126" w:type="dxa"/>
            <w:tcBorders>
              <w:bottom w:val="single" w:sz="4" w:space="0" w:color="FFFFFF"/>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c>
          <w:tcPr>
            <w:tcW w:w="991" w:type="dxa"/>
            <w:tcBorders>
              <w:bottom w:val="single" w:sz="4" w:space="0" w:color="FFFFFF"/>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p>
        </w:tc>
      </w:tr>
      <w:tr w:rsidR="00CF6691" w:rsidRPr="0080737A" w:rsidTr="006F4E1E">
        <w:trPr>
          <w:cantSplit/>
          <w:trHeight w:val="193"/>
        </w:trPr>
        <w:tc>
          <w:tcPr>
            <w:tcW w:w="4137" w:type="dxa"/>
            <w:tcBorders>
              <w:top w:val="single" w:sz="4" w:space="0" w:color="FFFFFF"/>
              <w:bottom w:val="single" w:sz="4" w:space="0" w:color="auto"/>
            </w:tcBorders>
          </w:tcPr>
          <w:p w:rsidR="00CF6691" w:rsidRPr="0080737A" w:rsidRDefault="00CF6691" w:rsidP="006F4E1E">
            <w:pPr>
              <w:keepNext/>
              <w:tabs>
                <w:tab w:val="left" w:pos="176"/>
                <w:tab w:val="left" w:pos="612"/>
              </w:tabs>
              <w:spacing w:after="0" w:line="240" w:lineRule="auto"/>
              <w:ind w:left="252" w:right="-108" w:firstLine="46"/>
              <w:outlineLvl w:val="2"/>
              <w:rPr>
                <w:rFonts w:ascii="Times New Roman" w:hAnsi="Times New Roman" w:cs="Arial"/>
                <w:bCs/>
                <w:color w:val="000000"/>
                <w:sz w:val="20"/>
                <w:szCs w:val="20"/>
              </w:rPr>
            </w:pPr>
            <w:r w:rsidRPr="0080737A">
              <w:rPr>
                <w:rFonts w:ascii="Times New Roman" w:hAnsi="Times New Roman" w:cs="Arial"/>
                <w:bCs/>
                <w:color w:val="000000"/>
                <w:sz w:val="20"/>
                <w:szCs w:val="20"/>
              </w:rPr>
              <w:t>- наличные деньги в обращении</w:t>
            </w:r>
          </w:p>
        </w:tc>
        <w:tc>
          <w:tcPr>
            <w:tcW w:w="1125"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858,5</w:t>
            </w:r>
          </w:p>
        </w:tc>
        <w:tc>
          <w:tcPr>
            <w:tcW w:w="1126"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15,9</w:t>
            </w:r>
          </w:p>
        </w:tc>
        <w:tc>
          <w:tcPr>
            <w:tcW w:w="1126"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1 022,6</w:t>
            </w:r>
          </w:p>
        </w:tc>
        <w:tc>
          <w:tcPr>
            <w:tcW w:w="1126"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18,5</w:t>
            </w:r>
          </w:p>
        </w:tc>
        <w:tc>
          <w:tcPr>
            <w:tcW w:w="991"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119,1</w:t>
            </w:r>
          </w:p>
        </w:tc>
      </w:tr>
      <w:tr w:rsidR="00CF6691" w:rsidRPr="0080737A" w:rsidTr="006F4E1E">
        <w:trPr>
          <w:cantSplit/>
          <w:trHeight w:val="193"/>
        </w:trPr>
        <w:tc>
          <w:tcPr>
            <w:tcW w:w="4137" w:type="dxa"/>
            <w:tcBorders>
              <w:top w:val="single" w:sz="4" w:space="0" w:color="FFFFFF"/>
              <w:bottom w:val="single" w:sz="4" w:space="0" w:color="auto"/>
            </w:tcBorders>
          </w:tcPr>
          <w:p w:rsidR="00CF6691" w:rsidRPr="0080737A" w:rsidRDefault="00CF6691" w:rsidP="006F4E1E">
            <w:pPr>
              <w:keepNext/>
              <w:tabs>
                <w:tab w:val="left" w:pos="176"/>
                <w:tab w:val="left" w:pos="612"/>
              </w:tabs>
              <w:spacing w:after="0" w:line="240" w:lineRule="auto"/>
              <w:ind w:left="252" w:right="-108" w:firstLine="46"/>
              <w:outlineLvl w:val="2"/>
              <w:rPr>
                <w:rFonts w:ascii="Times New Roman" w:hAnsi="Times New Roman" w:cs="Arial"/>
                <w:bCs/>
                <w:color w:val="000000"/>
                <w:sz w:val="20"/>
                <w:szCs w:val="20"/>
              </w:rPr>
            </w:pPr>
            <w:r w:rsidRPr="0080737A">
              <w:rPr>
                <w:rFonts w:ascii="Times New Roman" w:hAnsi="Times New Roman" w:cs="Arial"/>
                <w:bCs/>
                <w:color w:val="000000"/>
                <w:sz w:val="20"/>
                <w:szCs w:val="20"/>
                <w:lang w:val="en-US"/>
              </w:rPr>
              <w:t>-</w:t>
            </w:r>
            <w:r w:rsidRPr="0080737A">
              <w:rPr>
                <w:rFonts w:ascii="Times New Roman" w:hAnsi="Times New Roman" w:cs="Arial"/>
                <w:bCs/>
                <w:color w:val="000000"/>
                <w:sz w:val="20"/>
                <w:szCs w:val="20"/>
              </w:rPr>
              <w:t xml:space="preserve"> безналичные денежные средства</w:t>
            </w:r>
          </w:p>
        </w:tc>
        <w:tc>
          <w:tcPr>
            <w:tcW w:w="1125"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1 231,4</w:t>
            </w:r>
          </w:p>
        </w:tc>
        <w:tc>
          <w:tcPr>
            <w:tcW w:w="1126"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22,8</w:t>
            </w:r>
          </w:p>
        </w:tc>
        <w:tc>
          <w:tcPr>
            <w:tcW w:w="1126"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1 377,0</w:t>
            </w:r>
          </w:p>
        </w:tc>
        <w:tc>
          <w:tcPr>
            <w:tcW w:w="1126"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24,9</w:t>
            </w:r>
          </w:p>
        </w:tc>
        <w:tc>
          <w:tcPr>
            <w:tcW w:w="991" w:type="dxa"/>
            <w:tcBorders>
              <w:top w:val="single" w:sz="4" w:space="0" w:color="FFFFFF"/>
              <w:bottom w:val="single" w:sz="4" w:space="0" w:color="auto"/>
            </w:tcBorders>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111,8</w:t>
            </w:r>
          </w:p>
        </w:tc>
      </w:tr>
      <w:tr w:rsidR="00CF6691" w:rsidRPr="0080737A" w:rsidTr="006F4E1E">
        <w:trPr>
          <w:trHeight w:val="170"/>
        </w:trPr>
        <w:tc>
          <w:tcPr>
            <w:tcW w:w="4137" w:type="dxa"/>
            <w:shd w:val="clear" w:color="auto" w:fill="E6E6E6"/>
          </w:tcPr>
          <w:p w:rsidR="00CF6691" w:rsidRPr="0080737A" w:rsidRDefault="00CF6691" w:rsidP="006F4E1E">
            <w:pPr>
              <w:tabs>
                <w:tab w:val="left" w:pos="0"/>
                <w:tab w:val="left" w:pos="612"/>
              </w:tabs>
              <w:spacing w:after="0" w:line="240" w:lineRule="auto"/>
              <w:ind w:left="144" w:right="-1"/>
              <w:rPr>
                <w:rFonts w:ascii="Times New Roman" w:hAnsi="Times New Roman"/>
                <w:color w:val="000000"/>
                <w:sz w:val="20"/>
                <w:szCs w:val="20"/>
              </w:rPr>
            </w:pPr>
            <w:r w:rsidRPr="0080737A">
              <w:rPr>
                <w:rFonts w:ascii="Times New Roman" w:hAnsi="Times New Roman"/>
                <w:color w:val="000000"/>
                <w:sz w:val="20"/>
                <w:szCs w:val="20"/>
              </w:rPr>
              <w:t>Денежная масса в иностранной валюте</w:t>
            </w:r>
          </w:p>
        </w:tc>
        <w:tc>
          <w:tcPr>
            <w:tcW w:w="1125" w:type="dxa"/>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3 305,8</w:t>
            </w:r>
          </w:p>
        </w:tc>
        <w:tc>
          <w:tcPr>
            <w:tcW w:w="1126" w:type="dxa"/>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61,3</w:t>
            </w:r>
          </w:p>
        </w:tc>
        <w:tc>
          <w:tcPr>
            <w:tcW w:w="1126" w:type="dxa"/>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3 123,9</w:t>
            </w:r>
          </w:p>
        </w:tc>
        <w:tc>
          <w:tcPr>
            <w:tcW w:w="1126" w:type="dxa"/>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56,6</w:t>
            </w:r>
          </w:p>
        </w:tc>
        <w:tc>
          <w:tcPr>
            <w:tcW w:w="991" w:type="dxa"/>
            <w:shd w:val="clear" w:color="auto" w:fill="E6E6E6"/>
            <w:vAlign w:val="bottom"/>
          </w:tcPr>
          <w:p w:rsidR="00CF6691" w:rsidRPr="0080737A" w:rsidRDefault="00CF6691" w:rsidP="006F4E1E">
            <w:pPr>
              <w:spacing w:after="0" w:line="240" w:lineRule="auto"/>
              <w:ind w:right="89"/>
              <w:jc w:val="right"/>
              <w:rPr>
                <w:rFonts w:ascii="Times New Roman" w:hAnsi="Times New Roman" w:cs="Arial CYR"/>
                <w:sz w:val="20"/>
                <w:szCs w:val="20"/>
              </w:rPr>
            </w:pPr>
            <w:r w:rsidRPr="0080737A">
              <w:rPr>
                <w:rFonts w:ascii="Times New Roman" w:hAnsi="Times New Roman" w:cs="Arial CYR"/>
                <w:sz w:val="20"/>
                <w:szCs w:val="20"/>
              </w:rPr>
              <w:t>94,5</w:t>
            </w:r>
          </w:p>
        </w:tc>
      </w:tr>
      <w:bookmarkEnd w:id="0"/>
      <w:bookmarkEnd w:id="1"/>
      <w:bookmarkEnd w:id="2"/>
    </w:tbl>
    <w:p w:rsidR="00285C9F" w:rsidRPr="0080737A" w:rsidRDefault="00285C9F" w:rsidP="00CF6691">
      <w:pPr>
        <w:spacing w:before="120" w:after="0" w:line="240" w:lineRule="auto"/>
        <w:ind w:firstLine="709"/>
        <w:jc w:val="both"/>
        <w:rPr>
          <w:rFonts w:ascii="Times New Roman" w:hAnsi="Times New Roman"/>
          <w:sz w:val="24"/>
        </w:rPr>
      </w:pPr>
    </w:p>
    <w:p w:rsidR="00CF6691" w:rsidRPr="0080737A" w:rsidRDefault="00CF6691" w:rsidP="00CF6691">
      <w:pPr>
        <w:spacing w:before="120" w:after="0" w:line="240" w:lineRule="auto"/>
        <w:ind w:firstLine="709"/>
        <w:jc w:val="both"/>
        <w:rPr>
          <w:rFonts w:ascii="Times New Roman" w:hAnsi="Times New Roman"/>
          <w:sz w:val="24"/>
        </w:rPr>
      </w:pPr>
      <w:r w:rsidRPr="0080737A">
        <w:rPr>
          <w:rFonts w:ascii="Times New Roman" w:hAnsi="Times New Roman"/>
          <w:sz w:val="24"/>
        </w:rPr>
        <w:t xml:space="preserve">В отличие от динамики рублёвого предложения, величина денежной массы в иностранной валюте за анализируемый период сократилась на 5,5% (на                            181,8 млн. руб.) до 3 123,9 млн. руб. Снижение отмечалось в разрезе большей части структурных компонент. </w:t>
      </w:r>
      <w:proofErr w:type="gramStart"/>
      <w:r w:rsidRPr="0080737A">
        <w:rPr>
          <w:rFonts w:ascii="Times New Roman" w:hAnsi="Times New Roman"/>
          <w:sz w:val="24"/>
        </w:rPr>
        <w:t>Объём наличной валюты в кассах банков сократился на 85,0 млн. руб. («-»24,0%) до 268,6 млн. руб., остатки на срочных депозитах – на 56,4 млн. руб.</w:t>
      </w:r>
      <w:r w:rsidR="00F167DC" w:rsidRPr="0080737A">
        <w:rPr>
          <w:rFonts w:ascii="Times New Roman" w:hAnsi="Times New Roman"/>
          <w:sz w:val="24"/>
        </w:rPr>
        <w:t xml:space="preserve">                    </w:t>
      </w:r>
      <w:r w:rsidRPr="0080737A">
        <w:rPr>
          <w:rFonts w:ascii="Times New Roman" w:hAnsi="Times New Roman"/>
          <w:sz w:val="24"/>
        </w:rPr>
        <w:t xml:space="preserve">(«-»2,7%) до 2 072,3 млн. руб. Заметным уменьшением характеризовались суммы, </w:t>
      </w:r>
      <w:r w:rsidRPr="0080737A">
        <w:rPr>
          <w:rFonts w:ascii="Times New Roman" w:hAnsi="Times New Roman"/>
          <w:sz w:val="24"/>
        </w:rPr>
        <w:lastRenderedPageBreak/>
        <w:t>задействованные в операциях с ценными бумагами: на 147,8 млн. руб. (в 2,8 раза) до          230,8 млн. руб. Вместе с тем объём валютных средств на текущих счетах</w:t>
      </w:r>
      <w:proofErr w:type="gramEnd"/>
      <w:r w:rsidRPr="0080737A">
        <w:rPr>
          <w:rFonts w:ascii="Times New Roman" w:hAnsi="Times New Roman"/>
          <w:sz w:val="24"/>
        </w:rPr>
        <w:t xml:space="preserve"> превысил уровень начала отчётного периода на 24,2% (на 107,4 млн. руб.), составив на 1 июля 2016 года 552,2 млн. руб.</w:t>
      </w:r>
    </w:p>
    <w:p w:rsidR="00285C9F" w:rsidRPr="0080737A" w:rsidRDefault="00285C9F" w:rsidP="00CF6691">
      <w:pPr>
        <w:spacing w:before="120" w:after="0" w:line="240" w:lineRule="auto"/>
        <w:ind w:firstLine="709"/>
        <w:jc w:val="both"/>
        <w:rPr>
          <w:rFonts w:ascii="Times New Roman" w:hAnsi="Times New Roman"/>
          <w:sz w:val="24"/>
        </w:rPr>
      </w:pPr>
    </w:p>
    <w:p w:rsidR="00CF6691" w:rsidRPr="0080737A" w:rsidRDefault="00CF6691" w:rsidP="00CF6691">
      <w:pPr>
        <w:widowControl w:val="0"/>
        <w:spacing w:after="0" w:line="240" w:lineRule="auto"/>
        <w:jc w:val="right"/>
        <w:rPr>
          <w:rFonts w:ascii="Times New Roman" w:hAnsi="Times New Roman"/>
          <w:bCs/>
          <w:iCs/>
          <w:sz w:val="24"/>
          <w:szCs w:val="24"/>
        </w:rPr>
      </w:pPr>
      <w:r w:rsidRPr="0080737A">
        <w:rPr>
          <w:rFonts w:ascii="Times New Roman" w:hAnsi="Times New Roman"/>
          <w:bCs/>
          <w:iCs/>
          <w:sz w:val="24"/>
          <w:szCs w:val="24"/>
        </w:rPr>
        <w:t>Таблица №3</w:t>
      </w:r>
    </w:p>
    <w:p w:rsidR="00CF6691" w:rsidRPr="0080737A" w:rsidRDefault="00CF6691" w:rsidP="00CF6691">
      <w:pPr>
        <w:spacing w:after="0" w:line="240" w:lineRule="auto"/>
        <w:jc w:val="center"/>
        <w:rPr>
          <w:rFonts w:ascii="Times New Roman" w:hAnsi="Times New Roman"/>
          <w:b/>
          <w:color w:val="000000"/>
          <w:sz w:val="24"/>
          <w:szCs w:val="24"/>
        </w:rPr>
      </w:pPr>
      <w:r w:rsidRPr="0080737A">
        <w:rPr>
          <w:rFonts w:ascii="Times New Roman" w:hAnsi="Times New Roman"/>
          <w:b/>
          <w:color w:val="000000"/>
          <w:sz w:val="24"/>
          <w:szCs w:val="24"/>
        </w:rPr>
        <w:t xml:space="preserve">Структура и динамика денежной базы </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240"/>
        <w:gridCol w:w="1240"/>
        <w:gridCol w:w="1240"/>
        <w:gridCol w:w="1241"/>
        <w:gridCol w:w="1126"/>
      </w:tblGrid>
      <w:tr w:rsidR="00CF6691" w:rsidRPr="0080737A" w:rsidTr="006F4E1E">
        <w:trPr>
          <w:cantSplit/>
          <w:trHeight w:val="151"/>
        </w:trPr>
        <w:tc>
          <w:tcPr>
            <w:tcW w:w="3544" w:type="dxa"/>
            <w:vMerge w:val="restart"/>
            <w:shd w:val="clear" w:color="auto" w:fill="CCCCCC"/>
          </w:tcPr>
          <w:p w:rsidR="00CF6691" w:rsidRPr="0080737A" w:rsidRDefault="00CF6691" w:rsidP="006F4E1E">
            <w:pPr>
              <w:spacing w:after="0" w:line="240" w:lineRule="auto"/>
              <w:ind w:left="-108"/>
              <w:jc w:val="both"/>
              <w:rPr>
                <w:rFonts w:ascii="Times New Roman" w:hAnsi="Times New Roman"/>
                <w:color w:val="000000"/>
                <w:sz w:val="20"/>
                <w:szCs w:val="20"/>
              </w:rPr>
            </w:pPr>
          </w:p>
        </w:tc>
        <w:tc>
          <w:tcPr>
            <w:tcW w:w="2480" w:type="dxa"/>
            <w:gridSpan w:val="2"/>
            <w:shd w:val="clear" w:color="auto" w:fill="CCCCCC"/>
            <w:vAlign w:val="bottom"/>
          </w:tcPr>
          <w:p w:rsidR="00CF6691" w:rsidRPr="0080737A" w:rsidRDefault="00CF6691" w:rsidP="006F4E1E">
            <w:pPr>
              <w:spacing w:after="0" w:line="240" w:lineRule="auto"/>
              <w:ind w:left="-107" w:right="-111"/>
              <w:jc w:val="center"/>
              <w:rPr>
                <w:rFonts w:ascii="Times New Roman" w:hAnsi="Times New Roman"/>
                <w:sz w:val="20"/>
                <w:szCs w:val="20"/>
              </w:rPr>
            </w:pPr>
            <w:r w:rsidRPr="0080737A">
              <w:rPr>
                <w:rFonts w:ascii="Times New Roman" w:hAnsi="Times New Roman"/>
                <w:sz w:val="20"/>
                <w:szCs w:val="20"/>
              </w:rPr>
              <w:t>на 01.01.2016 г.</w:t>
            </w:r>
          </w:p>
        </w:tc>
        <w:tc>
          <w:tcPr>
            <w:tcW w:w="2481" w:type="dxa"/>
            <w:gridSpan w:val="2"/>
            <w:shd w:val="clear" w:color="auto" w:fill="CCCCCC"/>
            <w:vAlign w:val="bottom"/>
          </w:tcPr>
          <w:p w:rsidR="00CF6691" w:rsidRPr="0080737A" w:rsidRDefault="00CF6691" w:rsidP="006F4E1E">
            <w:pPr>
              <w:spacing w:after="0" w:line="240" w:lineRule="auto"/>
              <w:ind w:left="-107" w:right="-111"/>
              <w:jc w:val="center"/>
              <w:rPr>
                <w:rFonts w:ascii="Times New Roman" w:hAnsi="Times New Roman"/>
                <w:sz w:val="20"/>
                <w:szCs w:val="20"/>
              </w:rPr>
            </w:pPr>
            <w:r w:rsidRPr="0080737A">
              <w:rPr>
                <w:rFonts w:ascii="Times New Roman" w:hAnsi="Times New Roman"/>
                <w:sz w:val="20"/>
                <w:szCs w:val="20"/>
              </w:rPr>
              <w:t>на 01.07.2016 г.</w:t>
            </w:r>
          </w:p>
        </w:tc>
        <w:tc>
          <w:tcPr>
            <w:tcW w:w="1126" w:type="dxa"/>
            <w:vMerge w:val="restart"/>
            <w:shd w:val="clear" w:color="auto" w:fill="CCCCCC"/>
            <w:vAlign w:val="center"/>
          </w:tcPr>
          <w:p w:rsidR="00CF6691" w:rsidRPr="0080737A" w:rsidRDefault="00CF6691" w:rsidP="006F4E1E">
            <w:pPr>
              <w:spacing w:after="0" w:line="240" w:lineRule="auto"/>
              <w:jc w:val="center"/>
              <w:rPr>
                <w:rFonts w:ascii="Times New Roman" w:hAnsi="Times New Roman"/>
                <w:color w:val="000000"/>
                <w:sz w:val="20"/>
                <w:szCs w:val="20"/>
              </w:rPr>
            </w:pPr>
            <w:r w:rsidRPr="0080737A">
              <w:rPr>
                <w:rFonts w:ascii="Times New Roman" w:hAnsi="Times New Roman"/>
                <w:color w:val="000000"/>
                <w:sz w:val="20"/>
                <w:szCs w:val="20"/>
              </w:rPr>
              <w:t>темп роста, %</w:t>
            </w:r>
          </w:p>
        </w:tc>
      </w:tr>
      <w:tr w:rsidR="00CF6691" w:rsidRPr="0080737A" w:rsidTr="006F4E1E">
        <w:trPr>
          <w:cantSplit/>
          <w:trHeight w:val="117"/>
        </w:trPr>
        <w:tc>
          <w:tcPr>
            <w:tcW w:w="3544" w:type="dxa"/>
            <w:vMerge/>
            <w:tcBorders>
              <w:bottom w:val="double" w:sz="4" w:space="0" w:color="auto"/>
            </w:tcBorders>
          </w:tcPr>
          <w:p w:rsidR="00CF6691" w:rsidRPr="0080737A" w:rsidRDefault="00CF6691" w:rsidP="006F4E1E">
            <w:pPr>
              <w:spacing w:after="0" w:line="240" w:lineRule="auto"/>
              <w:ind w:left="-108"/>
              <w:jc w:val="both"/>
              <w:rPr>
                <w:rFonts w:ascii="Times New Roman" w:hAnsi="Times New Roman"/>
                <w:color w:val="000000"/>
                <w:sz w:val="20"/>
                <w:szCs w:val="20"/>
              </w:rPr>
            </w:pPr>
          </w:p>
        </w:tc>
        <w:tc>
          <w:tcPr>
            <w:tcW w:w="1240" w:type="dxa"/>
            <w:tcBorders>
              <w:bottom w:val="double" w:sz="4" w:space="0" w:color="auto"/>
            </w:tcBorders>
            <w:shd w:val="clear" w:color="auto" w:fill="CCCCCC"/>
            <w:vAlign w:val="center"/>
          </w:tcPr>
          <w:p w:rsidR="00CF6691" w:rsidRPr="0080737A" w:rsidRDefault="00CF6691" w:rsidP="006F4E1E">
            <w:pPr>
              <w:spacing w:after="0" w:line="240" w:lineRule="auto"/>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240" w:type="dxa"/>
            <w:tcBorders>
              <w:bottom w:val="double" w:sz="4" w:space="0" w:color="auto"/>
            </w:tcBorders>
            <w:shd w:val="clear" w:color="auto" w:fill="CCCCCC"/>
            <w:vAlign w:val="center"/>
          </w:tcPr>
          <w:p w:rsidR="00CF6691" w:rsidRPr="0080737A" w:rsidRDefault="00CF6691" w:rsidP="006F4E1E">
            <w:pPr>
              <w:spacing w:after="0" w:line="240" w:lineRule="auto"/>
              <w:jc w:val="center"/>
              <w:rPr>
                <w:rFonts w:ascii="Times New Roman" w:hAnsi="Times New Roman"/>
                <w:color w:val="000000"/>
                <w:sz w:val="20"/>
                <w:szCs w:val="20"/>
              </w:rPr>
            </w:pPr>
            <w:proofErr w:type="spellStart"/>
            <w:r w:rsidRPr="0080737A">
              <w:rPr>
                <w:rFonts w:ascii="Times New Roman" w:hAnsi="Times New Roman"/>
                <w:color w:val="000000"/>
                <w:sz w:val="20"/>
                <w:szCs w:val="20"/>
              </w:rPr>
              <w:t>уд</w:t>
            </w:r>
            <w:proofErr w:type="gramStart"/>
            <w:r w:rsidRPr="0080737A">
              <w:rPr>
                <w:rFonts w:ascii="Times New Roman" w:hAnsi="Times New Roman"/>
                <w:color w:val="000000"/>
                <w:sz w:val="20"/>
                <w:szCs w:val="20"/>
              </w:rPr>
              <w:t>.в</w:t>
            </w:r>
            <w:proofErr w:type="gramEnd"/>
            <w:r w:rsidRPr="0080737A">
              <w:rPr>
                <w:rFonts w:ascii="Times New Roman" w:hAnsi="Times New Roman"/>
                <w:color w:val="000000"/>
                <w:sz w:val="20"/>
                <w:szCs w:val="20"/>
              </w:rPr>
              <w:t>ес</w:t>
            </w:r>
            <w:proofErr w:type="spellEnd"/>
            <w:r w:rsidRPr="0080737A">
              <w:rPr>
                <w:rFonts w:ascii="Times New Roman" w:hAnsi="Times New Roman"/>
                <w:color w:val="000000"/>
                <w:sz w:val="20"/>
                <w:szCs w:val="20"/>
              </w:rPr>
              <w:t>, %</w:t>
            </w:r>
          </w:p>
        </w:tc>
        <w:tc>
          <w:tcPr>
            <w:tcW w:w="1240" w:type="dxa"/>
            <w:tcBorders>
              <w:bottom w:val="double" w:sz="4" w:space="0" w:color="auto"/>
            </w:tcBorders>
            <w:shd w:val="clear" w:color="auto" w:fill="CCCCCC"/>
            <w:vAlign w:val="center"/>
          </w:tcPr>
          <w:p w:rsidR="00CF6691" w:rsidRPr="0080737A" w:rsidRDefault="00CF6691" w:rsidP="006F4E1E">
            <w:pPr>
              <w:spacing w:after="0" w:line="240" w:lineRule="auto"/>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241" w:type="dxa"/>
            <w:tcBorders>
              <w:bottom w:val="double" w:sz="4" w:space="0" w:color="auto"/>
            </w:tcBorders>
            <w:shd w:val="clear" w:color="auto" w:fill="CCCCCC"/>
            <w:vAlign w:val="center"/>
          </w:tcPr>
          <w:p w:rsidR="00CF6691" w:rsidRPr="0080737A" w:rsidRDefault="00CF6691" w:rsidP="006F4E1E">
            <w:pPr>
              <w:spacing w:after="0" w:line="240" w:lineRule="auto"/>
              <w:jc w:val="center"/>
              <w:rPr>
                <w:rFonts w:ascii="Times New Roman" w:hAnsi="Times New Roman"/>
                <w:color w:val="000000"/>
                <w:sz w:val="20"/>
                <w:szCs w:val="20"/>
              </w:rPr>
            </w:pPr>
            <w:proofErr w:type="spellStart"/>
            <w:r w:rsidRPr="0080737A">
              <w:rPr>
                <w:rFonts w:ascii="Times New Roman" w:hAnsi="Times New Roman"/>
                <w:color w:val="000000"/>
                <w:sz w:val="20"/>
                <w:szCs w:val="20"/>
              </w:rPr>
              <w:t>уд</w:t>
            </w:r>
            <w:proofErr w:type="gramStart"/>
            <w:r w:rsidRPr="0080737A">
              <w:rPr>
                <w:rFonts w:ascii="Times New Roman" w:hAnsi="Times New Roman"/>
                <w:color w:val="000000"/>
                <w:sz w:val="20"/>
                <w:szCs w:val="20"/>
              </w:rPr>
              <w:t>.в</w:t>
            </w:r>
            <w:proofErr w:type="gramEnd"/>
            <w:r w:rsidRPr="0080737A">
              <w:rPr>
                <w:rFonts w:ascii="Times New Roman" w:hAnsi="Times New Roman"/>
                <w:color w:val="000000"/>
                <w:sz w:val="20"/>
                <w:szCs w:val="20"/>
              </w:rPr>
              <w:t>ес</w:t>
            </w:r>
            <w:proofErr w:type="spellEnd"/>
            <w:r w:rsidRPr="0080737A">
              <w:rPr>
                <w:rFonts w:ascii="Times New Roman" w:hAnsi="Times New Roman"/>
                <w:color w:val="000000"/>
                <w:sz w:val="20"/>
                <w:szCs w:val="20"/>
              </w:rPr>
              <w:t>, %</w:t>
            </w:r>
          </w:p>
        </w:tc>
        <w:tc>
          <w:tcPr>
            <w:tcW w:w="1126" w:type="dxa"/>
            <w:vMerge/>
            <w:tcBorders>
              <w:bottom w:val="double" w:sz="4" w:space="0" w:color="auto"/>
            </w:tcBorders>
            <w:vAlign w:val="center"/>
          </w:tcPr>
          <w:p w:rsidR="00CF6691" w:rsidRPr="0080737A" w:rsidRDefault="00CF6691" w:rsidP="006F4E1E">
            <w:pPr>
              <w:spacing w:after="0" w:line="240" w:lineRule="auto"/>
              <w:jc w:val="both"/>
              <w:rPr>
                <w:rFonts w:ascii="Times New Roman" w:hAnsi="Times New Roman"/>
                <w:color w:val="000000"/>
                <w:sz w:val="20"/>
                <w:szCs w:val="20"/>
              </w:rPr>
            </w:pPr>
          </w:p>
        </w:tc>
      </w:tr>
      <w:tr w:rsidR="00CF6691" w:rsidRPr="0080737A" w:rsidTr="006F4E1E">
        <w:trPr>
          <w:trHeight w:val="221"/>
        </w:trPr>
        <w:tc>
          <w:tcPr>
            <w:tcW w:w="3544" w:type="dxa"/>
            <w:tcBorders>
              <w:top w:val="double" w:sz="4" w:space="0" w:color="auto"/>
            </w:tcBorders>
            <w:shd w:val="clear" w:color="auto" w:fill="E0E0E0"/>
            <w:vAlign w:val="center"/>
          </w:tcPr>
          <w:p w:rsidR="00CF6691" w:rsidRPr="0080737A" w:rsidRDefault="00CF6691" w:rsidP="006F4E1E">
            <w:pPr>
              <w:spacing w:after="0" w:line="240" w:lineRule="auto"/>
              <w:rPr>
                <w:rFonts w:ascii="Times New Roman" w:hAnsi="Times New Roman"/>
                <w:color w:val="000000"/>
                <w:sz w:val="20"/>
                <w:szCs w:val="20"/>
              </w:rPr>
            </w:pPr>
            <w:r w:rsidRPr="0080737A">
              <w:rPr>
                <w:rFonts w:ascii="Times New Roman" w:hAnsi="Times New Roman"/>
                <w:color w:val="000000"/>
                <w:sz w:val="20"/>
                <w:szCs w:val="20"/>
              </w:rPr>
              <w:t>Денежная база</w:t>
            </w:r>
          </w:p>
        </w:tc>
        <w:tc>
          <w:tcPr>
            <w:tcW w:w="1240" w:type="dxa"/>
            <w:tcBorders>
              <w:top w:val="double" w:sz="4" w:space="0" w:color="auto"/>
            </w:tcBorders>
            <w:shd w:val="clear" w:color="auto" w:fill="E0E0E0"/>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1 818,0</w:t>
            </w:r>
          </w:p>
        </w:tc>
        <w:tc>
          <w:tcPr>
            <w:tcW w:w="1240" w:type="dxa"/>
            <w:tcBorders>
              <w:top w:val="double" w:sz="4" w:space="0" w:color="auto"/>
            </w:tcBorders>
            <w:shd w:val="clear" w:color="auto" w:fill="E0E0E0"/>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100,0</w:t>
            </w:r>
          </w:p>
        </w:tc>
        <w:tc>
          <w:tcPr>
            <w:tcW w:w="1240" w:type="dxa"/>
            <w:tcBorders>
              <w:top w:val="double" w:sz="4" w:space="0" w:color="auto"/>
            </w:tcBorders>
            <w:shd w:val="clear" w:color="auto" w:fill="E0E0E0"/>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1 585,9</w:t>
            </w:r>
          </w:p>
        </w:tc>
        <w:tc>
          <w:tcPr>
            <w:tcW w:w="1241" w:type="dxa"/>
            <w:tcBorders>
              <w:top w:val="double" w:sz="4" w:space="0" w:color="auto"/>
            </w:tcBorders>
            <w:shd w:val="clear" w:color="auto" w:fill="E0E0E0"/>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100,0</w:t>
            </w:r>
          </w:p>
        </w:tc>
        <w:tc>
          <w:tcPr>
            <w:tcW w:w="1126" w:type="dxa"/>
            <w:tcBorders>
              <w:top w:val="double" w:sz="4" w:space="0" w:color="auto"/>
            </w:tcBorders>
            <w:shd w:val="clear" w:color="auto" w:fill="E0E0E0"/>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87,2</w:t>
            </w:r>
          </w:p>
        </w:tc>
      </w:tr>
      <w:tr w:rsidR="00CF6691" w:rsidRPr="0080737A" w:rsidTr="006F4E1E">
        <w:trPr>
          <w:trHeight w:val="140"/>
        </w:trPr>
        <w:tc>
          <w:tcPr>
            <w:tcW w:w="3544" w:type="dxa"/>
            <w:tcBorders>
              <w:bottom w:val="nil"/>
            </w:tcBorders>
            <w:vAlign w:val="center"/>
          </w:tcPr>
          <w:p w:rsidR="00CF6691" w:rsidRPr="0080737A" w:rsidRDefault="00CF6691" w:rsidP="006F4E1E">
            <w:pPr>
              <w:spacing w:after="0" w:line="240" w:lineRule="auto"/>
              <w:ind w:left="74" w:firstLine="102"/>
              <w:rPr>
                <w:rFonts w:ascii="Times New Roman" w:hAnsi="Times New Roman"/>
                <w:color w:val="000000"/>
                <w:sz w:val="20"/>
                <w:szCs w:val="20"/>
              </w:rPr>
            </w:pPr>
            <w:r w:rsidRPr="0080737A">
              <w:rPr>
                <w:rFonts w:ascii="Times New Roman" w:hAnsi="Times New Roman"/>
                <w:color w:val="000000"/>
                <w:sz w:val="20"/>
                <w:szCs w:val="20"/>
              </w:rPr>
              <w:t>в том числе:</w:t>
            </w:r>
          </w:p>
        </w:tc>
        <w:tc>
          <w:tcPr>
            <w:tcW w:w="1240" w:type="dxa"/>
            <w:tcBorders>
              <w:bottom w:val="nil"/>
            </w:tcBorders>
            <w:vAlign w:val="bottom"/>
          </w:tcPr>
          <w:p w:rsidR="00CF6691" w:rsidRPr="0080737A" w:rsidRDefault="00CF6691" w:rsidP="006F4E1E">
            <w:pPr>
              <w:spacing w:after="0" w:line="240" w:lineRule="auto"/>
              <w:ind w:right="176"/>
              <w:rPr>
                <w:rFonts w:ascii="Times New Roman" w:hAnsi="Times New Roman" w:cs="Arial CYR"/>
                <w:sz w:val="20"/>
                <w:szCs w:val="20"/>
              </w:rPr>
            </w:pPr>
            <w:r w:rsidRPr="0080737A">
              <w:rPr>
                <w:rFonts w:ascii="Times New Roman" w:hAnsi="Times New Roman" w:cs="Arial CYR"/>
                <w:sz w:val="20"/>
                <w:szCs w:val="20"/>
              </w:rPr>
              <w:t> </w:t>
            </w:r>
          </w:p>
        </w:tc>
        <w:tc>
          <w:tcPr>
            <w:tcW w:w="1240" w:type="dxa"/>
            <w:tcBorders>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 </w:t>
            </w:r>
          </w:p>
        </w:tc>
        <w:tc>
          <w:tcPr>
            <w:tcW w:w="1240" w:type="dxa"/>
            <w:tcBorders>
              <w:bottom w:val="nil"/>
            </w:tcBorders>
            <w:vAlign w:val="bottom"/>
          </w:tcPr>
          <w:p w:rsidR="00CF6691" w:rsidRPr="0080737A" w:rsidRDefault="00CF6691" w:rsidP="006F4E1E">
            <w:pPr>
              <w:spacing w:after="0" w:line="240" w:lineRule="auto"/>
              <w:ind w:right="176"/>
              <w:rPr>
                <w:rFonts w:ascii="Times New Roman" w:hAnsi="Times New Roman" w:cs="Arial CYR"/>
                <w:sz w:val="20"/>
                <w:szCs w:val="20"/>
              </w:rPr>
            </w:pPr>
            <w:r w:rsidRPr="0080737A">
              <w:rPr>
                <w:rFonts w:ascii="Times New Roman" w:hAnsi="Times New Roman" w:cs="Arial CYR"/>
                <w:sz w:val="20"/>
                <w:szCs w:val="20"/>
              </w:rPr>
              <w:t> </w:t>
            </w:r>
          </w:p>
        </w:tc>
        <w:tc>
          <w:tcPr>
            <w:tcW w:w="1241" w:type="dxa"/>
            <w:tcBorders>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 </w:t>
            </w:r>
          </w:p>
        </w:tc>
        <w:tc>
          <w:tcPr>
            <w:tcW w:w="1126" w:type="dxa"/>
            <w:tcBorders>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 </w:t>
            </w:r>
          </w:p>
        </w:tc>
      </w:tr>
      <w:tr w:rsidR="00CF6691" w:rsidRPr="0080737A" w:rsidTr="006F4E1E">
        <w:tc>
          <w:tcPr>
            <w:tcW w:w="3544" w:type="dxa"/>
            <w:tcBorders>
              <w:top w:val="nil"/>
              <w:bottom w:val="nil"/>
            </w:tcBorders>
            <w:vAlign w:val="center"/>
          </w:tcPr>
          <w:p w:rsidR="00CF6691" w:rsidRPr="0080737A" w:rsidRDefault="00CF6691" w:rsidP="006F4E1E">
            <w:pPr>
              <w:spacing w:after="0" w:line="240" w:lineRule="auto"/>
              <w:ind w:left="176"/>
              <w:rPr>
                <w:rFonts w:ascii="Times New Roman" w:hAnsi="Times New Roman"/>
                <w:color w:val="000000"/>
                <w:sz w:val="20"/>
                <w:szCs w:val="20"/>
              </w:rPr>
            </w:pPr>
            <w:r w:rsidRPr="0080737A">
              <w:rPr>
                <w:rFonts w:ascii="Times New Roman" w:hAnsi="Times New Roman"/>
                <w:color w:val="000000"/>
                <w:sz w:val="20"/>
                <w:szCs w:val="20"/>
              </w:rPr>
              <w:t>- наличные деньги в обращении</w:t>
            </w:r>
          </w:p>
        </w:tc>
        <w:tc>
          <w:tcPr>
            <w:tcW w:w="1240"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858,5</w:t>
            </w:r>
          </w:p>
        </w:tc>
        <w:tc>
          <w:tcPr>
            <w:tcW w:w="1240"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47,2</w:t>
            </w:r>
          </w:p>
        </w:tc>
        <w:tc>
          <w:tcPr>
            <w:tcW w:w="1240"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1 022,6</w:t>
            </w:r>
          </w:p>
        </w:tc>
        <w:tc>
          <w:tcPr>
            <w:tcW w:w="1241"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64,5</w:t>
            </w:r>
          </w:p>
        </w:tc>
        <w:tc>
          <w:tcPr>
            <w:tcW w:w="1126"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119,1</w:t>
            </w:r>
          </w:p>
        </w:tc>
      </w:tr>
      <w:tr w:rsidR="00CF6691" w:rsidRPr="0080737A" w:rsidTr="006F4E1E">
        <w:tc>
          <w:tcPr>
            <w:tcW w:w="3544" w:type="dxa"/>
            <w:tcBorders>
              <w:top w:val="nil"/>
              <w:bottom w:val="nil"/>
            </w:tcBorders>
            <w:vAlign w:val="center"/>
          </w:tcPr>
          <w:p w:rsidR="00CF6691" w:rsidRPr="0080737A" w:rsidRDefault="00CF6691" w:rsidP="006F4E1E">
            <w:pPr>
              <w:spacing w:after="0" w:line="240" w:lineRule="auto"/>
              <w:ind w:left="74" w:firstLine="102"/>
              <w:rPr>
                <w:rFonts w:ascii="Times New Roman" w:hAnsi="Times New Roman"/>
                <w:color w:val="000000"/>
                <w:sz w:val="20"/>
                <w:szCs w:val="20"/>
              </w:rPr>
            </w:pPr>
            <w:r w:rsidRPr="0080737A">
              <w:rPr>
                <w:rFonts w:ascii="Times New Roman" w:hAnsi="Times New Roman"/>
                <w:color w:val="000000"/>
                <w:sz w:val="20"/>
                <w:szCs w:val="20"/>
              </w:rPr>
              <w:t>- средства в кассах банков</w:t>
            </w:r>
          </w:p>
        </w:tc>
        <w:tc>
          <w:tcPr>
            <w:tcW w:w="1240"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232,8</w:t>
            </w:r>
          </w:p>
        </w:tc>
        <w:tc>
          <w:tcPr>
            <w:tcW w:w="1240"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12,8</w:t>
            </w:r>
          </w:p>
        </w:tc>
        <w:tc>
          <w:tcPr>
            <w:tcW w:w="1240"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146,7</w:t>
            </w:r>
          </w:p>
        </w:tc>
        <w:tc>
          <w:tcPr>
            <w:tcW w:w="1241"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9,2</w:t>
            </w:r>
          </w:p>
        </w:tc>
        <w:tc>
          <w:tcPr>
            <w:tcW w:w="1126" w:type="dxa"/>
            <w:tcBorders>
              <w:top w:val="nil"/>
              <w:bottom w:val="nil"/>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63,0</w:t>
            </w:r>
          </w:p>
        </w:tc>
      </w:tr>
      <w:tr w:rsidR="00CF6691" w:rsidRPr="0080737A" w:rsidTr="006F4E1E">
        <w:tc>
          <w:tcPr>
            <w:tcW w:w="3544" w:type="dxa"/>
            <w:tcBorders>
              <w:top w:val="nil"/>
              <w:bottom w:val="single" w:sz="4" w:space="0" w:color="auto"/>
            </w:tcBorders>
            <w:vAlign w:val="center"/>
          </w:tcPr>
          <w:p w:rsidR="00CF6691" w:rsidRPr="0080737A" w:rsidRDefault="00CF6691" w:rsidP="006F4E1E">
            <w:pPr>
              <w:spacing w:after="0" w:line="240" w:lineRule="auto"/>
              <w:ind w:left="312" w:hanging="136"/>
              <w:rPr>
                <w:rFonts w:ascii="Times New Roman" w:hAnsi="Times New Roman"/>
                <w:color w:val="000000"/>
                <w:sz w:val="20"/>
                <w:szCs w:val="20"/>
              </w:rPr>
            </w:pPr>
            <w:r w:rsidRPr="0080737A">
              <w:rPr>
                <w:rFonts w:ascii="Times New Roman" w:hAnsi="Times New Roman"/>
                <w:color w:val="000000"/>
                <w:sz w:val="20"/>
                <w:szCs w:val="20"/>
              </w:rPr>
              <w:t>- корреспондентские счета коммерческих банков</w:t>
            </w:r>
          </w:p>
        </w:tc>
        <w:tc>
          <w:tcPr>
            <w:tcW w:w="1240" w:type="dxa"/>
            <w:tcBorders>
              <w:top w:val="nil"/>
              <w:bottom w:val="single" w:sz="4" w:space="0" w:color="auto"/>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726,7</w:t>
            </w:r>
          </w:p>
        </w:tc>
        <w:tc>
          <w:tcPr>
            <w:tcW w:w="1240" w:type="dxa"/>
            <w:tcBorders>
              <w:top w:val="nil"/>
              <w:bottom w:val="single" w:sz="4" w:space="0" w:color="auto"/>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40,0</w:t>
            </w:r>
          </w:p>
        </w:tc>
        <w:tc>
          <w:tcPr>
            <w:tcW w:w="1240" w:type="dxa"/>
            <w:tcBorders>
              <w:top w:val="nil"/>
              <w:bottom w:val="single" w:sz="4" w:space="0" w:color="auto"/>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416,6</w:t>
            </w:r>
          </w:p>
        </w:tc>
        <w:tc>
          <w:tcPr>
            <w:tcW w:w="1241" w:type="dxa"/>
            <w:tcBorders>
              <w:top w:val="nil"/>
              <w:bottom w:val="single" w:sz="4" w:space="0" w:color="auto"/>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26,3</w:t>
            </w:r>
          </w:p>
        </w:tc>
        <w:tc>
          <w:tcPr>
            <w:tcW w:w="1126" w:type="dxa"/>
            <w:tcBorders>
              <w:top w:val="nil"/>
              <w:bottom w:val="single" w:sz="4" w:space="0" w:color="auto"/>
            </w:tcBorders>
            <w:vAlign w:val="bottom"/>
          </w:tcPr>
          <w:p w:rsidR="00CF6691" w:rsidRPr="0080737A" w:rsidRDefault="00CF6691" w:rsidP="006F4E1E">
            <w:pPr>
              <w:spacing w:after="0" w:line="240" w:lineRule="auto"/>
              <w:ind w:right="176"/>
              <w:jc w:val="right"/>
              <w:rPr>
                <w:rFonts w:ascii="Times New Roman" w:hAnsi="Times New Roman" w:cs="Arial CYR"/>
                <w:color w:val="000000"/>
                <w:sz w:val="20"/>
                <w:szCs w:val="20"/>
              </w:rPr>
            </w:pPr>
            <w:r w:rsidRPr="0080737A">
              <w:rPr>
                <w:rFonts w:ascii="Times New Roman" w:hAnsi="Times New Roman" w:cs="Arial CYR"/>
                <w:color w:val="000000"/>
                <w:sz w:val="20"/>
                <w:szCs w:val="20"/>
              </w:rPr>
              <w:t>57,3</w:t>
            </w:r>
          </w:p>
        </w:tc>
      </w:tr>
    </w:tbl>
    <w:p w:rsidR="00CF6691" w:rsidRPr="0080737A" w:rsidRDefault="00CF6691" w:rsidP="00CF6691">
      <w:pPr>
        <w:spacing w:after="0" w:line="240" w:lineRule="auto"/>
        <w:ind w:firstLine="709"/>
        <w:jc w:val="both"/>
        <w:rPr>
          <w:rFonts w:ascii="Times New Roman" w:hAnsi="Times New Roman"/>
          <w:color w:val="000000"/>
          <w:sz w:val="24"/>
          <w:szCs w:val="24"/>
        </w:rPr>
      </w:pPr>
    </w:p>
    <w:p w:rsidR="00CF6691" w:rsidRPr="0080737A" w:rsidRDefault="00CF6691" w:rsidP="00CF6691">
      <w:pPr>
        <w:spacing w:after="0" w:line="240" w:lineRule="auto"/>
        <w:ind w:firstLine="709"/>
        <w:jc w:val="both"/>
        <w:rPr>
          <w:rFonts w:ascii="Times New Roman" w:hAnsi="Times New Roman"/>
          <w:color w:val="000000"/>
          <w:sz w:val="24"/>
          <w:szCs w:val="24"/>
        </w:rPr>
      </w:pPr>
      <w:proofErr w:type="gramStart"/>
      <w:r w:rsidRPr="0080737A">
        <w:rPr>
          <w:rFonts w:ascii="Times New Roman" w:hAnsi="Times New Roman"/>
          <w:color w:val="000000"/>
          <w:sz w:val="24"/>
          <w:szCs w:val="24"/>
        </w:rPr>
        <w:t xml:space="preserve">Рублёвая денежная база за </w:t>
      </w:r>
      <w:r w:rsidRPr="0080737A">
        <w:rPr>
          <w:rFonts w:ascii="Times New Roman" w:hAnsi="Times New Roman"/>
          <w:color w:val="000000"/>
          <w:sz w:val="24"/>
          <w:szCs w:val="24"/>
          <w:lang w:val="en-US"/>
        </w:rPr>
        <w:t>I</w:t>
      </w:r>
      <w:r w:rsidRPr="0080737A">
        <w:rPr>
          <w:rFonts w:ascii="Times New Roman" w:hAnsi="Times New Roman"/>
          <w:color w:val="000000"/>
          <w:sz w:val="24"/>
          <w:szCs w:val="24"/>
        </w:rPr>
        <w:t xml:space="preserve"> полугодие 2016 года сократилась на 12,8%, составив в абсолютном выражении 1 585,9 млн. руб. Определяющим фактором зафиксированной динамики выступило сжатие безналичной составляющей, а именно остатков на корреспондентских счетах коммерческих банков в 1,7 раза (на 310,1 млн. руб.) до                       416,6 млн. руб., что в основном было связано с предоставлением займа юридическим лицом Правительству Приднестровской Молдавской Республики</w:t>
      </w:r>
      <w:proofErr w:type="gramEnd"/>
      <w:r w:rsidRPr="0080737A">
        <w:rPr>
          <w:rFonts w:ascii="Times New Roman" w:hAnsi="Times New Roman"/>
          <w:color w:val="000000"/>
          <w:sz w:val="24"/>
          <w:szCs w:val="24"/>
        </w:rPr>
        <w:t xml:space="preserve"> для погашения задолженности по заработной плате перед работниками бюджетной сферы. </w:t>
      </w:r>
    </w:p>
    <w:p w:rsidR="00CF6691" w:rsidRPr="0080737A" w:rsidRDefault="00CF6691" w:rsidP="00CF6691">
      <w:pPr>
        <w:spacing w:after="0" w:line="240" w:lineRule="auto"/>
        <w:ind w:firstLine="709"/>
        <w:jc w:val="both"/>
        <w:rPr>
          <w:rFonts w:ascii="Times New Roman" w:hAnsi="Times New Roman"/>
          <w:color w:val="000000"/>
          <w:sz w:val="24"/>
          <w:szCs w:val="24"/>
        </w:rPr>
      </w:pPr>
      <w:proofErr w:type="gramStart"/>
      <w:r w:rsidRPr="0080737A">
        <w:rPr>
          <w:rFonts w:ascii="Times New Roman" w:hAnsi="Times New Roman"/>
          <w:color w:val="000000"/>
          <w:sz w:val="24"/>
          <w:szCs w:val="24"/>
        </w:rPr>
        <w:t xml:space="preserve">Объём обязательств центрального банка по выпущенным наличным денежным средствам вырос на 7,1% до 1 169,3 млн. руб. Из общего объёма 146,7 млн. руб. находилось в кассах банков, что на 37,0% ниже уровня начала года в связи с частичным </w:t>
      </w:r>
      <w:proofErr w:type="spellStart"/>
      <w:r w:rsidRPr="0080737A">
        <w:rPr>
          <w:rFonts w:ascii="Times New Roman" w:hAnsi="Times New Roman"/>
          <w:color w:val="000000"/>
          <w:sz w:val="24"/>
          <w:szCs w:val="24"/>
        </w:rPr>
        <w:t>перетоком</w:t>
      </w:r>
      <w:proofErr w:type="spellEnd"/>
      <w:r w:rsidRPr="0080737A">
        <w:rPr>
          <w:rFonts w:ascii="Times New Roman" w:hAnsi="Times New Roman"/>
          <w:color w:val="000000"/>
          <w:sz w:val="24"/>
          <w:szCs w:val="24"/>
        </w:rPr>
        <w:t xml:space="preserve"> наличности в сферу обращения.</w:t>
      </w:r>
      <w:proofErr w:type="gramEnd"/>
      <w:r w:rsidRPr="0080737A">
        <w:rPr>
          <w:rFonts w:ascii="Times New Roman" w:hAnsi="Times New Roman"/>
          <w:color w:val="000000"/>
          <w:sz w:val="24"/>
          <w:szCs w:val="24"/>
        </w:rPr>
        <w:t xml:space="preserve"> Таким образом, доля наличной составляющей в структуре денежной базы повысилась с 60,0% на начало 2016 года до 73,7% на 1 июля 2016 года.</w:t>
      </w:r>
    </w:p>
    <w:p w:rsidR="00CF6691" w:rsidRPr="0080737A" w:rsidRDefault="00CF6691" w:rsidP="00CF6691">
      <w:pPr>
        <w:spacing w:after="0" w:line="240" w:lineRule="auto"/>
        <w:ind w:firstLine="709"/>
        <w:jc w:val="both"/>
        <w:rPr>
          <w:rFonts w:ascii="Times New Roman" w:hAnsi="Times New Roman"/>
          <w:color w:val="000000"/>
          <w:sz w:val="24"/>
          <w:szCs w:val="24"/>
        </w:rPr>
      </w:pPr>
      <w:r w:rsidRPr="0080737A">
        <w:rPr>
          <w:rFonts w:ascii="Times New Roman" w:hAnsi="Times New Roman"/>
          <w:color w:val="000000"/>
          <w:sz w:val="24"/>
          <w:szCs w:val="24"/>
        </w:rPr>
        <w:t>Результатом активного расширения национальной денежной массы по итогам отчётного периода стал рост денежного мультипликатора с 1,15 до 1,51.</w:t>
      </w:r>
    </w:p>
    <w:p w:rsidR="00CF6691" w:rsidRPr="0080737A" w:rsidRDefault="00CF6691" w:rsidP="00CF6691">
      <w:pPr>
        <w:widowControl w:val="0"/>
        <w:spacing w:after="0" w:line="240" w:lineRule="auto"/>
        <w:ind w:firstLine="709"/>
        <w:jc w:val="both"/>
        <w:rPr>
          <w:rFonts w:ascii="Times New Roman" w:hAnsi="Times New Roman"/>
          <w:b/>
          <w:i/>
          <w:color w:val="000000"/>
          <w:sz w:val="24"/>
          <w:szCs w:val="24"/>
        </w:rPr>
      </w:pPr>
    </w:p>
    <w:p w:rsidR="00CF6691" w:rsidRPr="0080737A" w:rsidRDefault="00CF6691" w:rsidP="00CF6691">
      <w:pPr>
        <w:widowControl w:val="0"/>
        <w:spacing w:after="0" w:line="240" w:lineRule="auto"/>
        <w:ind w:firstLine="709"/>
        <w:jc w:val="both"/>
        <w:rPr>
          <w:rFonts w:ascii="Times New Roman" w:hAnsi="Times New Roman"/>
          <w:b/>
          <w:i/>
          <w:color w:val="000000"/>
          <w:sz w:val="24"/>
          <w:szCs w:val="24"/>
        </w:rPr>
      </w:pPr>
      <w:r w:rsidRPr="0080737A">
        <w:rPr>
          <w:rFonts w:ascii="Times New Roman" w:hAnsi="Times New Roman"/>
          <w:b/>
          <w:i/>
          <w:color w:val="000000"/>
          <w:sz w:val="24"/>
          <w:szCs w:val="24"/>
        </w:rPr>
        <w:t>Валютная сфера</w:t>
      </w:r>
    </w:p>
    <w:p w:rsidR="00CF6691" w:rsidRPr="0080737A" w:rsidRDefault="00CF6691" w:rsidP="00CF6691">
      <w:pPr>
        <w:widowControl w:val="0"/>
        <w:shd w:val="clear" w:color="auto" w:fill="FFFFFF"/>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Сложная внешнеполитическая и экономическая обстановка негативно сказалась на динамике объёмов валютно-обменных сделок в республике. Основное давление на курс приднестровского рубля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оказывал дисбаланс спроса и предложения на наличном сегменте, где на фоне значительного сокращения объёмов продаж иностранной валюты потребность в ней сохранялась на высоком уровне. В результате величина нетто-покупки гражданами наличной валюты достигла беспрецедентного уровня – 25,1 млн. долл. (в январе-июне 2015 года чистая продажа 0,9 млн. долл.). Следует отметить, что данный показатель практически соответствует значению, сформированному за весь 2015 год. Традиционно большая его часть стала следствием операций с долларом США, нетто-спрос на который достиг 28,8 млн. долл. («+»23,6%). Существенное отрицательное воздействие оказало также формирование чистой покупки по евро («-»1,3 млн. долл.), тогда как в прошлом году граждане преимущественно продавали европейскую валюту (5,3 млн. долл.).</w:t>
      </w:r>
    </w:p>
    <w:p w:rsidR="00CF6691" w:rsidRPr="0080737A" w:rsidRDefault="00CF6691" w:rsidP="00CF6691">
      <w:pPr>
        <w:widowControl w:val="0"/>
        <w:shd w:val="clear" w:color="auto" w:fill="FFFFFF"/>
        <w:spacing w:after="0" w:line="240" w:lineRule="auto"/>
        <w:ind w:firstLine="709"/>
        <w:jc w:val="both"/>
        <w:rPr>
          <w:rFonts w:ascii="Times New Roman" w:hAnsi="Times New Roman"/>
          <w:sz w:val="24"/>
          <w:szCs w:val="24"/>
        </w:rPr>
      </w:pPr>
      <w:r w:rsidRPr="0080737A">
        <w:rPr>
          <w:rFonts w:ascii="Times New Roman" w:hAnsi="Times New Roman"/>
          <w:sz w:val="24"/>
          <w:szCs w:val="24"/>
        </w:rPr>
        <w:t>На безналичном сегменте также фиксировался спад объёмов конверсионных операций – падение оборота по операциям на внутреннем валютном аукционе банков составило 21,0% (до 415,9 млн. долл.). Однако их итогом стала нетто-продажа клиентами иностранной валюты кредитным организациям в размере 21,0 млн. долл., что в 1,6 раза ниже базисной отметки.</w:t>
      </w:r>
    </w:p>
    <w:p w:rsidR="00CF6691" w:rsidRPr="0080737A" w:rsidRDefault="00CF6691" w:rsidP="00CF6691">
      <w:pPr>
        <w:widowControl w:val="0"/>
        <w:shd w:val="clear" w:color="auto" w:fill="FFFFFF"/>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Приднестровский республиканский банк в I полугодии 2016 года удовлетворил потребность хозяйствующих субъектов и населения в иностранной валюте на сумму 65,3 млн. долл., из них путём продажи на валютном аукционе – 52,4 млн. долл., в рамках </w:t>
      </w:r>
      <w:r w:rsidRPr="0080737A">
        <w:rPr>
          <w:rFonts w:ascii="Times New Roman" w:hAnsi="Times New Roman"/>
          <w:sz w:val="24"/>
          <w:szCs w:val="24"/>
        </w:rPr>
        <w:lastRenderedPageBreak/>
        <w:t>наличных валютных интервенций через обменные пункты кредитны</w:t>
      </w:r>
      <w:r w:rsidR="00F167DC" w:rsidRPr="0080737A">
        <w:rPr>
          <w:rFonts w:ascii="Times New Roman" w:hAnsi="Times New Roman"/>
          <w:sz w:val="24"/>
          <w:szCs w:val="24"/>
        </w:rPr>
        <w:t xml:space="preserve">х организаций – </w:t>
      </w:r>
      <w:r w:rsidR="005C2655" w:rsidRPr="0080737A">
        <w:rPr>
          <w:rFonts w:ascii="Times New Roman" w:hAnsi="Times New Roman"/>
          <w:sz w:val="24"/>
          <w:szCs w:val="24"/>
        </w:rPr>
        <w:t xml:space="preserve">            </w:t>
      </w:r>
      <w:r w:rsidR="00F167DC" w:rsidRPr="0080737A">
        <w:rPr>
          <w:rFonts w:ascii="Times New Roman" w:hAnsi="Times New Roman"/>
          <w:sz w:val="24"/>
          <w:szCs w:val="24"/>
        </w:rPr>
        <w:t>12,9 млн. долл.</w:t>
      </w:r>
    </w:p>
    <w:p w:rsidR="00F167DC" w:rsidRPr="0080737A" w:rsidRDefault="00F167DC" w:rsidP="00CF6691">
      <w:pPr>
        <w:widowControl w:val="0"/>
        <w:shd w:val="clear" w:color="auto" w:fill="FFFFFF"/>
        <w:spacing w:after="0" w:line="240" w:lineRule="auto"/>
        <w:ind w:firstLine="709"/>
        <w:jc w:val="both"/>
        <w:rPr>
          <w:rFonts w:ascii="Times New Roman" w:hAnsi="Times New Roman"/>
          <w:sz w:val="24"/>
          <w:szCs w:val="24"/>
        </w:rPr>
      </w:pPr>
    </w:p>
    <w:p w:rsidR="00CF6691" w:rsidRPr="0080737A" w:rsidRDefault="00CF6691" w:rsidP="00CF6691">
      <w:pPr>
        <w:widowControl w:val="0"/>
        <w:spacing w:after="0" w:line="240" w:lineRule="auto"/>
        <w:ind w:firstLine="709"/>
        <w:jc w:val="both"/>
        <w:rPr>
          <w:rFonts w:ascii="Times New Roman" w:hAnsi="Times New Roman"/>
          <w:b/>
          <w:bCs/>
          <w:i/>
          <w:iCs/>
          <w:sz w:val="24"/>
          <w:szCs w:val="24"/>
        </w:rPr>
      </w:pPr>
      <w:r w:rsidRPr="0080737A">
        <w:rPr>
          <w:rFonts w:ascii="Times New Roman" w:hAnsi="Times New Roman"/>
          <w:b/>
          <w:bCs/>
          <w:i/>
          <w:iCs/>
          <w:sz w:val="24"/>
          <w:szCs w:val="24"/>
        </w:rPr>
        <w:t>Кредитная деятельность ПРБ</w:t>
      </w:r>
    </w:p>
    <w:p w:rsidR="00CF6691" w:rsidRPr="0080737A" w:rsidRDefault="00CF6691" w:rsidP="00CF6691">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По состоянию на 1 июля 2016 года совокупная задолженность коммерческих банков перед Приднестровским республиканским банком составила 775,2 млн. руб., в том числе по кредитам – 114,2 млн. руб., по депозитам – 661,0 млн. руб. </w:t>
      </w:r>
    </w:p>
    <w:p w:rsidR="00CF6691" w:rsidRPr="0080737A" w:rsidRDefault="00CF6691" w:rsidP="00CF6691">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Задолженность государства по кредитам перед Приднестровским республиканским банком осталась на прежнем уровне – 119,8 млн. руб. В отчётном периоде Приднестровский республиканский банк не осуществлял операции с государственными ценными бумагами. По состоянию на 1 июля 2016 года в портфеле центрального банка находятся долгосрочные государственные облигации на общую сумму 296,6 млн. руб. </w:t>
      </w:r>
    </w:p>
    <w:p w:rsidR="00CF6691" w:rsidRPr="0080737A" w:rsidRDefault="00CF6691" w:rsidP="00CF6691">
      <w:pPr>
        <w:spacing w:after="0" w:line="240" w:lineRule="auto"/>
        <w:ind w:firstLine="709"/>
        <w:contextualSpacing/>
        <w:jc w:val="both"/>
        <w:rPr>
          <w:rFonts w:ascii="Times New Roman" w:hAnsi="Times New Roman"/>
          <w:sz w:val="24"/>
          <w:szCs w:val="24"/>
        </w:rPr>
      </w:pPr>
    </w:p>
    <w:p w:rsidR="00CF6691" w:rsidRPr="0080737A" w:rsidRDefault="00CF6691" w:rsidP="00CF6691">
      <w:pPr>
        <w:widowControl w:val="0"/>
        <w:spacing w:after="0" w:line="240" w:lineRule="auto"/>
        <w:ind w:firstLine="709"/>
        <w:jc w:val="both"/>
        <w:rPr>
          <w:rFonts w:ascii="Times New Roman" w:hAnsi="Times New Roman"/>
          <w:b/>
          <w:bCs/>
          <w:i/>
          <w:iCs/>
          <w:sz w:val="24"/>
          <w:szCs w:val="24"/>
        </w:rPr>
      </w:pPr>
      <w:bookmarkStart w:id="4" w:name="OLE_LINK11"/>
      <w:bookmarkStart w:id="5" w:name="OLE_LINK12"/>
      <w:r w:rsidRPr="0080737A">
        <w:rPr>
          <w:rFonts w:ascii="Times New Roman" w:hAnsi="Times New Roman"/>
          <w:b/>
          <w:bCs/>
          <w:i/>
          <w:iCs/>
          <w:sz w:val="24"/>
          <w:szCs w:val="24"/>
        </w:rPr>
        <w:t>Кредитование экономики коммерческими банками</w:t>
      </w:r>
    </w:p>
    <w:p w:rsidR="00CF6691" w:rsidRPr="0080737A" w:rsidRDefault="00CF6691" w:rsidP="00CF6691">
      <w:pPr>
        <w:spacing w:after="0" w:line="240" w:lineRule="auto"/>
        <w:ind w:firstLine="709"/>
        <w:jc w:val="both"/>
        <w:rPr>
          <w:rFonts w:ascii="Times New Roman" w:hAnsi="Times New Roman"/>
          <w:color w:val="000000"/>
          <w:sz w:val="24"/>
          <w:szCs w:val="24"/>
        </w:rPr>
      </w:pPr>
      <w:r w:rsidRPr="0080737A">
        <w:rPr>
          <w:rFonts w:ascii="Times New Roman" w:hAnsi="Times New Roman"/>
          <w:color w:val="000000"/>
          <w:sz w:val="24"/>
          <w:szCs w:val="24"/>
        </w:rPr>
        <w:t xml:space="preserve">За отчётный период задолженность по кредитам корпоративных клиентов и населения выросла на 15,8% или на 589,3 млн. руб., составив в абсолютном выражении                 4 318,3 млн. руб. </w:t>
      </w:r>
    </w:p>
    <w:p w:rsidR="00CF6691" w:rsidRPr="0080737A" w:rsidRDefault="00CF6691" w:rsidP="00CF6691">
      <w:pPr>
        <w:spacing w:after="0" w:line="240" w:lineRule="auto"/>
        <w:ind w:firstLine="709"/>
        <w:jc w:val="both"/>
        <w:rPr>
          <w:rFonts w:ascii="Times New Roman" w:hAnsi="Times New Roman"/>
          <w:color w:val="000000"/>
          <w:sz w:val="24"/>
          <w:szCs w:val="24"/>
        </w:rPr>
      </w:pPr>
      <w:proofErr w:type="gramStart"/>
      <w:r w:rsidRPr="0080737A">
        <w:rPr>
          <w:rFonts w:ascii="Times New Roman" w:hAnsi="Times New Roman"/>
          <w:color w:val="000000"/>
          <w:sz w:val="24"/>
          <w:szCs w:val="24"/>
        </w:rPr>
        <w:t xml:space="preserve">Необходимо отметить, что реструктуризация кредитного портфеля в части изменения валюты заимствований в одном из банков повлекла трансформацию совокупного показателя в сторону увеличения валютных кредитов в 1,6 раза до 1 948,6 млн. руб. при сокращении рублёвых ссуд на 2,1% до 1 548,6 млн. руб. Таким образом, степень </w:t>
      </w:r>
      <w:proofErr w:type="spellStart"/>
      <w:r w:rsidRPr="0080737A">
        <w:rPr>
          <w:rFonts w:ascii="Times New Roman" w:hAnsi="Times New Roman"/>
          <w:color w:val="000000"/>
          <w:sz w:val="24"/>
          <w:szCs w:val="24"/>
        </w:rPr>
        <w:t>валютизации</w:t>
      </w:r>
      <w:proofErr w:type="spellEnd"/>
      <w:r w:rsidRPr="0080737A">
        <w:rPr>
          <w:rFonts w:ascii="Times New Roman" w:hAnsi="Times New Roman"/>
          <w:color w:val="000000"/>
          <w:sz w:val="24"/>
          <w:szCs w:val="24"/>
        </w:rPr>
        <w:t xml:space="preserve"> ссудной задолженности предприятий реального сектора сложилась на уровне 55,7%, что на 12,5 процентных</w:t>
      </w:r>
      <w:proofErr w:type="gramEnd"/>
      <w:r w:rsidRPr="0080737A">
        <w:rPr>
          <w:rFonts w:ascii="Times New Roman" w:hAnsi="Times New Roman"/>
          <w:color w:val="000000"/>
          <w:sz w:val="24"/>
          <w:szCs w:val="24"/>
        </w:rPr>
        <w:t xml:space="preserve"> пункта выше значения на 1 января 2016 года. В результате, на 1 рубль ссуд, номинированных в приднестровских рублях, приходилось 1,26 рубля кредитов, выданных в иностранной валюте, тогда как на начало отчётного периода это соотношение составляло 1:0,76.</w:t>
      </w:r>
    </w:p>
    <w:p w:rsidR="00CF6691" w:rsidRPr="0080737A" w:rsidRDefault="00CF6691" w:rsidP="00CF6691">
      <w:pPr>
        <w:spacing w:after="0" w:line="240" w:lineRule="auto"/>
        <w:ind w:firstLine="709"/>
        <w:jc w:val="both"/>
        <w:rPr>
          <w:rFonts w:ascii="Times New Roman" w:hAnsi="Times New Roman"/>
          <w:color w:val="000000"/>
          <w:sz w:val="24"/>
          <w:szCs w:val="24"/>
        </w:rPr>
      </w:pPr>
      <w:r w:rsidRPr="0080737A">
        <w:rPr>
          <w:rFonts w:ascii="Times New Roman" w:hAnsi="Times New Roman"/>
          <w:color w:val="000000"/>
          <w:sz w:val="24"/>
          <w:szCs w:val="24"/>
        </w:rPr>
        <w:t xml:space="preserve">Наибольший объём задолженности по кредитам принадлежал индустриальному комплексу – 36,9% совокупного показателя или 1 290,1 млн. руб. (+179,2 млн. руб. к уровню на начало года). Долг агрофирм за </w:t>
      </w:r>
      <w:r w:rsidRPr="0080737A">
        <w:rPr>
          <w:rFonts w:ascii="Times New Roman" w:hAnsi="Times New Roman"/>
          <w:color w:val="000000"/>
          <w:sz w:val="24"/>
          <w:szCs w:val="24"/>
          <w:lang w:val="en-US"/>
        </w:rPr>
        <w:t>I</w:t>
      </w:r>
      <w:r w:rsidRPr="0080737A">
        <w:rPr>
          <w:rFonts w:ascii="Times New Roman" w:hAnsi="Times New Roman"/>
          <w:color w:val="000000"/>
          <w:sz w:val="24"/>
          <w:szCs w:val="24"/>
        </w:rPr>
        <w:t xml:space="preserve"> полугодие текущего года вырос на 11,5% и на 1 июля 2016 года составил 682,3 млн. руб., что соответствует 19,5% общей задолженности реального сектора. В то же время существенными темпами расширения характеризовались масштабы кредитования торгово-посреднической сети - рост в 2,2 раза, до 935,3 млн. руб., или 26,7% совокупного показателя, что большей частью связано с операциями одного из банков. Объём задолженности Правительства и бюджетных организаций по итогам отчётного периода сложился на уровне 98,2 млн. руб., превысив значение начала 2016 года в 6,1 раза, что обусловлено привлечением кредитных ресурсов у одного из коммерческих банков в связи с необходимостью исполнения текущих обязательств бюджета. Долги строительных предприятий перед коммерческими банками увеличились в 1,5 раза (на 9,8 млн. руб.) до 31,0 млн. руб.</w:t>
      </w:r>
    </w:p>
    <w:p w:rsidR="00CF6691" w:rsidRPr="0080737A" w:rsidRDefault="00CF6691" w:rsidP="00CF6691">
      <w:pPr>
        <w:spacing w:after="0" w:line="240" w:lineRule="auto"/>
        <w:ind w:firstLine="709"/>
        <w:jc w:val="both"/>
        <w:rPr>
          <w:rFonts w:ascii="Times New Roman" w:hAnsi="Times New Roman"/>
          <w:color w:val="000000"/>
          <w:sz w:val="24"/>
          <w:szCs w:val="24"/>
        </w:rPr>
      </w:pPr>
      <w:r w:rsidRPr="0080737A">
        <w:rPr>
          <w:rFonts w:ascii="Times New Roman" w:hAnsi="Times New Roman"/>
          <w:color w:val="000000"/>
          <w:sz w:val="24"/>
          <w:szCs w:val="24"/>
        </w:rPr>
        <w:t xml:space="preserve">Сегмент потребительского кредитования характеризовался понижательной динамикой. По итогам </w:t>
      </w:r>
      <w:r w:rsidRPr="0080737A">
        <w:rPr>
          <w:rFonts w:ascii="Times New Roman" w:hAnsi="Times New Roman"/>
          <w:color w:val="000000"/>
          <w:sz w:val="24"/>
          <w:szCs w:val="24"/>
          <w:lang w:val="en-US"/>
        </w:rPr>
        <w:t>I</w:t>
      </w:r>
      <w:r w:rsidRPr="0080737A">
        <w:rPr>
          <w:rFonts w:ascii="Times New Roman" w:hAnsi="Times New Roman"/>
          <w:color w:val="000000"/>
          <w:sz w:val="24"/>
          <w:szCs w:val="24"/>
        </w:rPr>
        <w:t xml:space="preserve"> полугодия 2016 года объём выданных кредитов населению сократился на 13,3% или на 126,0 млн. руб., до 821,0 млн. руб., что соответствует 19,0% кредитов нефинансовому сектору. В условиях нестабильной экономической ситуации в республике фиксируется рост просроченной задолженности по кредитам на 24,5% до 283,7 млн. руб., что соответствует 6,6% совокупных займов нефинансового сектора.</w:t>
      </w:r>
    </w:p>
    <w:bookmarkEnd w:id="4"/>
    <w:bookmarkEnd w:id="5"/>
    <w:p w:rsidR="00CF6691" w:rsidRPr="0080737A" w:rsidRDefault="00CF6691" w:rsidP="00CF6691">
      <w:pPr>
        <w:widowControl w:val="0"/>
        <w:spacing w:after="0" w:line="240" w:lineRule="auto"/>
        <w:ind w:firstLine="709"/>
        <w:jc w:val="both"/>
        <w:rPr>
          <w:rFonts w:ascii="Times New Roman" w:hAnsi="Times New Roman"/>
          <w:b/>
          <w:bCs/>
          <w:i/>
          <w:iCs/>
          <w:sz w:val="24"/>
          <w:szCs w:val="24"/>
        </w:rPr>
      </w:pPr>
    </w:p>
    <w:p w:rsidR="00CF6691" w:rsidRPr="0080737A" w:rsidRDefault="00CF6691" w:rsidP="00CF6691">
      <w:pPr>
        <w:widowControl w:val="0"/>
        <w:spacing w:after="0" w:line="240" w:lineRule="auto"/>
        <w:ind w:firstLine="709"/>
        <w:jc w:val="both"/>
        <w:rPr>
          <w:rFonts w:ascii="Times New Roman" w:hAnsi="Times New Roman"/>
          <w:b/>
          <w:bCs/>
          <w:i/>
          <w:iCs/>
          <w:sz w:val="24"/>
          <w:szCs w:val="24"/>
        </w:rPr>
      </w:pPr>
      <w:r w:rsidRPr="0080737A">
        <w:rPr>
          <w:rFonts w:ascii="Times New Roman" w:hAnsi="Times New Roman"/>
          <w:b/>
          <w:bCs/>
          <w:i/>
          <w:iCs/>
          <w:sz w:val="24"/>
          <w:szCs w:val="24"/>
        </w:rPr>
        <w:t xml:space="preserve">Инструменты денежно-кредитного регулирования </w:t>
      </w:r>
    </w:p>
    <w:p w:rsidR="00CF6691" w:rsidRPr="0080737A" w:rsidRDefault="00CF6691" w:rsidP="00CF6691">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складывающихся макроэкономических условиях применяемые инструменты денежно-кредитного регулирования корректировались исходя из приоритета снижения давления на внутреннем валютном рынке и сдерживания развития инфляционных тенденций. В этих целях принимались решения о повышении нормативов обязательных резервов и ставки страховых взносов, как по рублёвым, так и по валютным обязательствам кредитных организаций. При этом ставка рефинансирования </w:t>
      </w:r>
      <w:r w:rsidRPr="0080737A">
        <w:rPr>
          <w:rFonts w:ascii="Times New Roman" w:hAnsi="Times New Roman"/>
          <w:sz w:val="24"/>
          <w:szCs w:val="24"/>
        </w:rPr>
        <w:lastRenderedPageBreak/>
        <w:t xml:space="preserve">Приднестровского республиканского банка, установленная с 11 августа 2014 года в размере 3,5% </w:t>
      </w:r>
      <w:proofErr w:type="gramStart"/>
      <w:r w:rsidRPr="0080737A">
        <w:rPr>
          <w:rFonts w:ascii="Times New Roman" w:hAnsi="Times New Roman"/>
          <w:sz w:val="24"/>
          <w:szCs w:val="24"/>
        </w:rPr>
        <w:t>годовых</w:t>
      </w:r>
      <w:proofErr w:type="gramEnd"/>
      <w:r w:rsidRPr="0080737A">
        <w:rPr>
          <w:rFonts w:ascii="Times New Roman" w:hAnsi="Times New Roman"/>
          <w:sz w:val="24"/>
          <w:szCs w:val="24"/>
        </w:rPr>
        <w:t>, в отчётном периоде не изменилась.</w:t>
      </w:r>
    </w:p>
    <w:p w:rsidR="00CF6691" w:rsidRPr="0080737A" w:rsidRDefault="00CF6691" w:rsidP="00CF6691">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течение января-апреля 2016 года норматив обязательных резервов сохранялся на уровне 10% от обязательств кредитных организаций перед юридическими лицами, как в рублях, так и в иностранной валюте, </w:t>
      </w:r>
      <w:proofErr w:type="gramStart"/>
      <w:r w:rsidRPr="0080737A">
        <w:rPr>
          <w:rFonts w:ascii="Times New Roman" w:hAnsi="Times New Roman"/>
          <w:sz w:val="24"/>
          <w:szCs w:val="24"/>
        </w:rPr>
        <w:t>увеличение</w:t>
      </w:r>
      <w:proofErr w:type="gramEnd"/>
      <w:r w:rsidRPr="0080737A">
        <w:rPr>
          <w:rFonts w:ascii="Times New Roman" w:hAnsi="Times New Roman"/>
          <w:sz w:val="24"/>
          <w:szCs w:val="24"/>
        </w:rPr>
        <w:t xml:space="preserve"> которого продолжилось до конца отчетного периода. С целью недопущения давления на валютный рынок, в условиях избыточной рублёвой ликвидности, к обязательствам кредитных организаций перед юридическими лицами в рублёвом эквиваленте применялся следующий норматив резервирования: с 1 мая 2016 года в размере 12%, с 1 июля - 14% от рублёвых обязательств банков и 12% – от обязательств в валюте. </w:t>
      </w:r>
    </w:p>
    <w:p w:rsidR="00CF6691" w:rsidRPr="0080737A" w:rsidRDefault="00CF6691" w:rsidP="00CF6691">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На 1 июля 2016 года общий объём средств, аккумулированных в центральном банке в качестве обязательных резервов, составил по </w:t>
      </w:r>
      <w:proofErr w:type="gramStart"/>
      <w:r w:rsidRPr="0080737A">
        <w:rPr>
          <w:rFonts w:ascii="Times New Roman" w:hAnsi="Times New Roman"/>
          <w:sz w:val="24"/>
          <w:szCs w:val="24"/>
        </w:rPr>
        <w:t>действующим</w:t>
      </w:r>
      <w:proofErr w:type="gramEnd"/>
      <w:r w:rsidRPr="0080737A">
        <w:rPr>
          <w:rFonts w:ascii="Times New Roman" w:hAnsi="Times New Roman"/>
          <w:sz w:val="24"/>
          <w:szCs w:val="24"/>
        </w:rPr>
        <w:t xml:space="preserve"> кредитным организациям138,9 млн. руб. При этом депонирование осуществлялось исключительно в национальной валюте. </w:t>
      </w:r>
    </w:p>
    <w:p w:rsidR="00CF6691" w:rsidRPr="0080737A" w:rsidRDefault="00CF6691" w:rsidP="00CF6691">
      <w:pPr>
        <w:widowControl w:val="0"/>
        <w:spacing w:after="0" w:line="240" w:lineRule="auto"/>
        <w:ind w:firstLine="709"/>
        <w:jc w:val="both"/>
        <w:rPr>
          <w:rFonts w:ascii="Times New Roman" w:hAnsi="Times New Roman"/>
          <w:b/>
          <w:bCs/>
          <w:i/>
          <w:iCs/>
          <w:sz w:val="24"/>
          <w:szCs w:val="24"/>
        </w:rPr>
      </w:pPr>
    </w:p>
    <w:p w:rsidR="00CF6691" w:rsidRPr="0080737A" w:rsidRDefault="00CF6691" w:rsidP="00CF6691">
      <w:pPr>
        <w:widowControl w:val="0"/>
        <w:spacing w:after="0" w:line="240" w:lineRule="auto"/>
        <w:ind w:firstLine="709"/>
        <w:contextualSpacing/>
        <w:jc w:val="both"/>
        <w:rPr>
          <w:rFonts w:ascii="Times New Roman" w:hAnsi="Times New Roman"/>
          <w:b/>
          <w:bCs/>
          <w:i/>
          <w:iCs/>
          <w:sz w:val="24"/>
          <w:szCs w:val="24"/>
        </w:rPr>
      </w:pPr>
      <w:r w:rsidRPr="0080737A">
        <w:rPr>
          <w:rFonts w:ascii="Times New Roman" w:hAnsi="Times New Roman"/>
          <w:b/>
          <w:bCs/>
          <w:i/>
          <w:iCs/>
          <w:sz w:val="24"/>
          <w:szCs w:val="24"/>
        </w:rPr>
        <w:t>Противодействие легализации (отмыванию) доходов, полученных преступным путем</w:t>
      </w:r>
    </w:p>
    <w:p w:rsidR="00CF6691" w:rsidRPr="0080737A" w:rsidRDefault="00CF6691" w:rsidP="00CF6691">
      <w:pPr>
        <w:tabs>
          <w:tab w:val="left" w:pos="720"/>
        </w:tabs>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В рамках реализации функций, установленных статьей 12 Закона Приднестровской Молдавской Республики от 6 апреля 2009 года №704-З-IV «О противодействии легализации (отмыванию) доходов, полученных преступным путём, и финансированию терроризма» осуществлялись мероприятия, направленные на операции с денежными средствами, в отношении которых имелись достаточные основания полагать, что они связаны с легализацией (отмыванием) доходов, полученных преступным путём, и финансированием терроризма.</w:t>
      </w:r>
      <w:proofErr w:type="gramEnd"/>
    </w:p>
    <w:p w:rsidR="00CF6691" w:rsidRPr="0080737A" w:rsidRDefault="00CF6691" w:rsidP="00A6315E">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продолжилось совершенствование нормативно-правовой базы в данной сфере, а также в рамках корреспондентских отношений в адрес банков Российской Федерации были подготовлены и направлены документы, затрагивающие вопросы </w:t>
      </w:r>
      <w:proofErr w:type="gramStart"/>
      <w:r w:rsidRPr="0080737A">
        <w:rPr>
          <w:rFonts w:ascii="Times New Roman" w:hAnsi="Times New Roman"/>
          <w:sz w:val="24"/>
          <w:szCs w:val="24"/>
        </w:rPr>
        <w:t>касаемо</w:t>
      </w:r>
      <w:proofErr w:type="gramEnd"/>
      <w:r w:rsidR="00EF7D3C" w:rsidRPr="0080737A">
        <w:rPr>
          <w:rFonts w:ascii="Times New Roman" w:hAnsi="Times New Roman"/>
          <w:sz w:val="24"/>
          <w:szCs w:val="24"/>
        </w:rPr>
        <w:t xml:space="preserve"> </w:t>
      </w:r>
      <w:proofErr w:type="gramStart"/>
      <w:r w:rsidRPr="0080737A">
        <w:rPr>
          <w:rFonts w:ascii="Times New Roman" w:hAnsi="Times New Roman"/>
          <w:sz w:val="24"/>
          <w:szCs w:val="24"/>
        </w:rPr>
        <w:t>противодействии</w:t>
      </w:r>
      <w:proofErr w:type="gramEnd"/>
      <w:r w:rsidRPr="0080737A">
        <w:rPr>
          <w:rFonts w:ascii="Times New Roman" w:hAnsi="Times New Roman"/>
          <w:sz w:val="24"/>
          <w:szCs w:val="24"/>
        </w:rPr>
        <w:t xml:space="preserve"> легализации (отмыванию) доходов, полученных преступным путём, и финансированию терроризма.</w:t>
      </w:r>
    </w:p>
    <w:p w:rsidR="00CF6691" w:rsidRPr="0080737A" w:rsidRDefault="00CF6691" w:rsidP="003F67B2">
      <w:pPr>
        <w:spacing w:after="0" w:line="240" w:lineRule="auto"/>
        <w:ind w:firstLine="720"/>
        <w:contextualSpacing/>
        <w:jc w:val="both"/>
        <w:rPr>
          <w:rFonts w:ascii="Times New Roman" w:hAnsi="Times New Roman"/>
          <w:sz w:val="24"/>
          <w:szCs w:val="24"/>
        </w:rPr>
      </w:pPr>
    </w:p>
    <w:p w:rsidR="00335844" w:rsidRPr="0080737A" w:rsidRDefault="00335844" w:rsidP="00335844">
      <w:pPr>
        <w:widowControl w:val="0"/>
        <w:tabs>
          <w:tab w:val="left" w:pos="630"/>
        </w:tabs>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t>Исполнение Консолидированного бюджета</w:t>
      </w:r>
    </w:p>
    <w:p w:rsidR="00335844" w:rsidRPr="0080737A" w:rsidRDefault="00335844" w:rsidP="00335844">
      <w:pPr>
        <w:widowControl w:val="0"/>
        <w:tabs>
          <w:tab w:val="left" w:pos="630"/>
        </w:tabs>
        <w:autoSpaceDE w:val="0"/>
        <w:autoSpaceDN w:val="0"/>
        <w:adjustRightInd w:val="0"/>
        <w:spacing w:after="0" w:line="240" w:lineRule="auto"/>
        <w:ind w:firstLine="720"/>
        <w:jc w:val="both"/>
        <w:rPr>
          <w:rFonts w:ascii="Times New Roman" w:eastAsia="Calibri" w:hAnsi="Times New Roman"/>
          <w:bCs/>
          <w:sz w:val="24"/>
          <w:szCs w:val="24"/>
        </w:rPr>
      </w:pPr>
    </w:p>
    <w:p w:rsidR="00A82107" w:rsidRPr="0080737A" w:rsidRDefault="00A82107" w:rsidP="00A82107">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В доходную часть консолидированного бюджета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поступило средств на сумму 1 144 420 840 руб. (с учетом поступлений в Социальный стабилизационный фонд Приднестровской Молдавской Республики и гуманитарной помощи Российской Федерации), что составляет </w:t>
      </w:r>
      <w:r w:rsidRPr="0080737A">
        <w:rPr>
          <w:rFonts w:ascii="Times New Roman" w:hAnsi="Times New Roman"/>
          <w:bCs/>
          <w:sz w:val="24"/>
          <w:szCs w:val="24"/>
        </w:rPr>
        <w:t>72,0</w:t>
      </w:r>
      <w:r w:rsidRPr="0080737A">
        <w:rPr>
          <w:rFonts w:ascii="Times New Roman" w:hAnsi="Times New Roman"/>
          <w:sz w:val="24"/>
          <w:szCs w:val="24"/>
        </w:rPr>
        <w:t>% от запланированного объема (1 588 800 873 руб. ПМР), или 106,9% по отношению</w:t>
      </w:r>
      <w:r w:rsidR="00EF7D3C" w:rsidRPr="0080737A">
        <w:rPr>
          <w:rFonts w:ascii="Times New Roman" w:hAnsi="Times New Roman"/>
          <w:sz w:val="24"/>
          <w:szCs w:val="24"/>
        </w:rPr>
        <w:t xml:space="preserve"> </w:t>
      </w:r>
      <w:r w:rsidRPr="0080737A">
        <w:rPr>
          <w:rFonts w:ascii="Times New Roman" w:hAnsi="Times New Roman"/>
          <w:sz w:val="24"/>
          <w:szCs w:val="24"/>
        </w:rPr>
        <w:t>к соответствующему периоду прошлого года.</w:t>
      </w:r>
      <w:proofErr w:type="gramEnd"/>
      <w:r w:rsidRPr="0080737A">
        <w:rPr>
          <w:rFonts w:ascii="Times New Roman" w:hAnsi="Times New Roman"/>
          <w:sz w:val="24"/>
          <w:szCs w:val="24"/>
        </w:rPr>
        <w:t xml:space="preserve"> В целом, в I полугодии 2016 года обеспечена отрицательная динамика доходов консолидированного бюджета к плановым показателям, однако в сравнении с базовым показателем минувшего года – динамика положительная.</w:t>
      </w:r>
    </w:p>
    <w:p w:rsidR="00A82107" w:rsidRPr="0080737A" w:rsidRDefault="00A82107" w:rsidP="00F167DC">
      <w:pPr>
        <w:spacing w:after="0" w:line="240" w:lineRule="auto"/>
        <w:ind w:firstLine="709"/>
        <w:jc w:val="right"/>
        <w:rPr>
          <w:rFonts w:ascii="Times New Roman" w:hAnsi="Times New Roman"/>
          <w:sz w:val="24"/>
          <w:szCs w:val="24"/>
        </w:rPr>
      </w:pPr>
      <w:r w:rsidRPr="0080737A">
        <w:rPr>
          <w:rFonts w:ascii="Times New Roman" w:hAnsi="Times New Roman"/>
          <w:sz w:val="24"/>
          <w:szCs w:val="24"/>
        </w:rPr>
        <w:t>Таблица №</w:t>
      </w:r>
      <w:r w:rsidR="005C2655" w:rsidRPr="0080737A">
        <w:rPr>
          <w:rFonts w:ascii="Times New Roman" w:hAnsi="Times New Roman"/>
          <w:sz w:val="24"/>
          <w:szCs w:val="24"/>
        </w:rPr>
        <w:t>4</w:t>
      </w:r>
    </w:p>
    <w:p w:rsidR="00A82107" w:rsidRPr="0080737A" w:rsidRDefault="00A82107" w:rsidP="00A82107">
      <w:pPr>
        <w:pStyle w:val="a9"/>
        <w:keepNext/>
        <w:spacing w:after="0"/>
        <w:contextualSpacing/>
        <w:jc w:val="center"/>
        <w:rPr>
          <w:rFonts w:ascii="Times New Roman" w:hAnsi="Times New Roman"/>
          <w:color w:val="auto"/>
          <w:sz w:val="24"/>
          <w:szCs w:val="24"/>
        </w:rPr>
      </w:pPr>
      <w:r w:rsidRPr="0080737A">
        <w:rPr>
          <w:rFonts w:ascii="Times New Roman" w:hAnsi="Times New Roman"/>
          <w:color w:val="auto"/>
          <w:sz w:val="24"/>
          <w:szCs w:val="24"/>
        </w:rPr>
        <w:t>Структура исполнения доходной части консолидированного</w:t>
      </w:r>
    </w:p>
    <w:p w:rsidR="00A82107" w:rsidRPr="0080737A" w:rsidRDefault="00A82107" w:rsidP="00A82107">
      <w:pPr>
        <w:pStyle w:val="a9"/>
        <w:keepNext/>
        <w:spacing w:after="0"/>
        <w:contextualSpacing/>
        <w:jc w:val="center"/>
        <w:rPr>
          <w:rFonts w:ascii="Times New Roman" w:hAnsi="Times New Roman"/>
          <w:color w:val="auto"/>
          <w:sz w:val="24"/>
          <w:szCs w:val="24"/>
        </w:rPr>
      </w:pPr>
      <w:r w:rsidRPr="0080737A">
        <w:rPr>
          <w:rFonts w:ascii="Times New Roman" w:hAnsi="Times New Roman"/>
          <w:color w:val="auto"/>
          <w:sz w:val="24"/>
          <w:szCs w:val="24"/>
        </w:rPr>
        <w:t xml:space="preserve">бюджета за </w:t>
      </w:r>
      <w:r w:rsidRPr="0080737A">
        <w:rPr>
          <w:rFonts w:ascii="Times New Roman" w:hAnsi="Times New Roman"/>
          <w:color w:val="auto"/>
          <w:sz w:val="24"/>
          <w:szCs w:val="24"/>
          <w:lang w:val="en-US"/>
        </w:rPr>
        <w:t>I</w:t>
      </w:r>
      <w:r w:rsidRPr="0080737A">
        <w:rPr>
          <w:rFonts w:ascii="Times New Roman" w:hAnsi="Times New Roman"/>
          <w:color w:val="auto"/>
          <w:sz w:val="24"/>
          <w:szCs w:val="24"/>
        </w:rPr>
        <w:t xml:space="preserve"> полугодие 2016 года</w:t>
      </w:r>
    </w:p>
    <w:tbl>
      <w:tblPr>
        <w:tblW w:w="9294" w:type="dxa"/>
        <w:jc w:val="center"/>
        <w:tblLook w:val="0000"/>
      </w:tblPr>
      <w:tblGrid>
        <w:gridCol w:w="2675"/>
        <w:gridCol w:w="1592"/>
        <w:gridCol w:w="1559"/>
        <w:gridCol w:w="1276"/>
        <w:gridCol w:w="2192"/>
      </w:tblGrid>
      <w:tr w:rsidR="00A82107" w:rsidRPr="0080737A" w:rsidTr="00F167DC">
        <w:trPr>
          <w:trHeight w:val="70"/>
          <w:jc w:val="center"/>
        </w:trPr>
        <w:tc>
          <w:tcPr>
            <w:tcW w:w="2675" w:type="dxa"/>
            <w:tcBorders>
              <w:top w:val="single" w:sz="4" w:space="0" w:color="auto"/>
              <w:left w:val="single" w:sz="8" w:space="0" w:color="auto"/>
              <w:bottom w:val="nil"/>
              <w:right w:val="nil"/>
            </w:tcBorders>
            <w:noWrap/>
            <w:vAlign w:val="center"/>
          </w:tcPr>
          <w:p w:rsidR="00A82107" w:rsidRPr="0080737A" w:rsidRDefault="00A82107" w:rsidP="00F167DC">
            <w:pPr>
              <w:spacing w:after="0" w:line="240" w:lineRule="auto"/>
              <w:jc w:val="center"/>
              <w:rPr>
                <w:rFonts w:ascii="Times New Roman" w:hAnsi="Times New Roman"/>
                <w:b/>
                <w:bCs/>
              </w:rPr>
            </w:pPr>
          </w:p>
        </w:tc>
        <w:tc>
          <w:tcPr>
            <w:tcW w:w="1592" w:type="dxa"/>
            <w:vMerge w:val="restart"/>
            <w:tcBorders>
              <w:top w:val="single" w:sz="4" w:space="0" w:color="auto"/>
              <w:left w:val="single" w:sz="8" w:space="0" w:color="auto"/>
              <w:bottom w:val="single" w:sz="8" w:space="0" w:color="000000"/>
              <w:right w:val="single" w:sz="8" w:space="0" w:color="auto"/>
            </w:tcBorders>
            <w:noWrap/>
            <w:vAlign w:val="center"/>
          </w:tcPr>
          <w:p w:rsidR="00A82107" w:rsidRPr="0080737A" w:rsidRDefault="00A82107" w:rsidP="00F167DC">
            <w:pPr>
              <w:spacing w:after="0" w:line="240" w:lineRule="auto"/>
              <w:jc w:val="center"/>
              <w:rPr>
                <w:rFonts w:ascii="Times New Roman" w:hAnsi="Times New Roman"/>
                <w:b/>
                <w:bCs/>
              </w:rPr>
            </w:pPr>
            <w:r w:rsidRPr="0080737A">
              <w:rPr>
                <w:rFonts w:ascii="Times New Roman" w:hAnsi="Times New Roman"/>
                <w:b/>
                <w:bCs/>
              </w:rPr>
              <w:t>План</w:t>
            </w:r>
          </w:p>
        </w:tc>
        <w:tc>
          <w:tcPr>
            <w:tcW w:w="1559" w:type="dxa"/>
            <w:vMerge w:val="restart"/>
            <w:tcBorders>
              <w:top w:val="single" w:sz="4" w:space="0" w:color="auto"/>
              <w:left w:val="single" w:sz="8" w:space="0" w:color="auto"/>
              <w:bottom w:val="single" w:sz="8" w:space="0" w:color="000000"/>
              <w:right w:val="single" w:sz="8" w:space="0" w:color="auto"/>
            </w:tcBorders>
            <w:noWrap/>
            <w:vAlign w:val="center"/>
          </w:tcPr>
          <w:p w:rsidR="00A82107" w:rsidRPr="0080737A" w:rsidRDefault="00A82107" w:rsidP="00F167DC">
            <w:pPr>
              <w:spacing w:after="0" w:line="240" w:lineRule="auto"/>
              <w:jc w:val="center"/>
              <w:rPr>
                <w:rFonts w:ascii="Times New Roman" w:hAnsi="Times New Roman"/>
                <w:b/>
                <w:bCs/>
              </w:rPr>
            </w:pPr>
            <w:r w:rsidRPr="0080737A">
              <w:rPr>
                <w:rFonts w:ascii="Times New Roman" w:hAnsi="Times New Roman"/>
                <w:b/>
                <w:bCs/>
              </w:rPr>
              <w:t>Факт</w:t>
            </w:r>
          </w:p>
        </w:tc>
        <w:tc>
          <w:tcPr>
            <w:tcW w:w="1276" w:type="dxa"/>
            <w:vMerge w:val="restart"/>
            <w:tcBorders>
              <w:top w:val="single" w:sz="4" w:space="0" w:color="auto"/>
              <w:left w:val="nil"/>
              <w:right w:val="single" w:sz="8" w:space="0" w:color="auto"/>
            </w:tcBorders>
            <w:noWrap/>
            <w:vAlign w:val="center"/>
          </w:tcPr>
          <w:p w:rsidR="00A82107" w:rsidRPr="0080737A" w:rsidRDefault="00A82107" w:rsidP="00F167DC">
            <w:pPr>
              <w:spacing w:after="0" w:line="240" w:lineRule="auto"/>
              <w:jc w:val="center"/>
              <w:rPr>
                <w:rFonts w:ascii="Times New Roman" w:hAnsi="Times New Roman"/>
                <w:b/>
                <w:bCs/>
              </w:rPr>
            </w:pPr>
            <w:r w:rsidRPr="0080737A">
              <w:rPr>
                <w:rFonts w:ascii="Times New Roman" w:hAnsi="Times New Roman"/>
                <w:b/>
                <w:bCs/>
              </w:rPr>
              <w:t>%</w:t>
            </w:r>
          </w:p>
          <w:p w:rsidR="00A82107" w:rsidRPr="0080737A" w:rsidRDefault="00A82107" w:rsidP="00F167DC">
            <w:pPr>
              <w:spacing w:after="0" w:line="240" w:lineRule="auto"/>
              <w:jc w:val="center"/>
              <w:rPr>
                <w:rFonts w:ascii="Times New Roman" w:hAnsi="Times New Roman"/>
                <w:b/>
                <w:bCs/>
              </w:rPr>
            </w:pPr>
            <w:proofErr w:type="spellStart"/>
            <w:r w:rsidRPr="0080737A">
              <w:rPr>
                <w:rFonts w:ascii="Times New Roman" w:hAnsi="Times New Roman"/>
                <w:b/>
                <w:bCs/>
              </w:rPr>
              <w:t>исполн</w:t>
            </w:r>
            <w:proofErr w:type="spellEnd"/>
            <w:r w:rsidRPr="0080737A">
              <w:rPr>
                <w:rFonts w:ascii="Times New Roman" w:hAnsi="Times New Roman"/>
                <w:b/>
                <w:bCs/>
              </w:rPr>
              <w:t>.</w:t>
            </w:r>
          </w:p>
        </w:tc>
        <w:tc>
          <w:tcPr>
            <w:tcW w:w="2192" w:type="dxa"/>
            <w:vMerge w:val="restart"/>
            <w:tcBorders>
              <w:top w:val="single" w:sz="4" w:space="0" w:color="auto"/>
              <w:left w:val="nil"/>
              <w:right w:val="single" w:sz="8" w:space="0" w:color="auto"/>
            </w:tcBorders>
            <w:vAlign w:val="center"/>
          </w:tcPr>
          <w:p w:rsidR="00A82107" w:rsidRPr="0080737A" w:rsidRDefault="00A82107" w:rsidP="00F167DC">
            <w:pPr>
              <w:spacing w:after="0" w:line="240" w:lineRule="auto"/>
              <w:jc w:val="center"/>
              <w:rPr>
                <w:rFonts w:ascii="Times New Roman" w:hAnsi="Times New Roman"/>
                <w:b/>
                <w:bCs/>
              </w:rPr>
            </w:pPr>
            <w:r w:rsidRPr="0080737A">
              <w:rPr>
                <w:rFonts w:ascii="Times New Roman" w:hAnsi="Times New Roman"/>
                <w:b/>
                <w:bCs/>
              </w:rPr>
              <w:t>Темп роста 2016 года к 2015 году, %</w:t>
            </w:r>
          </w:p>
        </w:tc>
      </w:tr>
      <w:tr w:rsidR="00A82107" w:rsidRPr="0080737A" w:rsidTr="00F167DC">
        <w:trPr>
          <w:trHeight w:val="303"/>
          <w:jc w:val="center"/>
        </w:trPr>
        <w:tc>
          <w:tcPr>
            <w:tcW w:w="2675" w:type="dxa"/>
            <w:tcBorders>
              <w:top w:val="nil"/>
              <w:left w:val="single" w:sz="8" w:space="0" w:color="auto"/>
              <w:bottom w:val="single" w:sz="8" w:space="0" w:color="auto"/>
              <w:right w:val="nil"/>
            </w:tcBorders>
            <w:noWrap/>
            <w:vAlign w:val="center"/>
          </w:tcPr>
          <w:p w:rsidR="00A82107" w:rsidRPr="0080737A" w:rsidRDefault="00A82107" w:rsidP="00F167DC">
            <w:pPr>
              <w:spacing w:after="0" w:line="240" w:lineRule="auto"/>
              <w:jc w:val="center"/>
              <w:rPr>
                <w:rFonts w:ascii="Times New Roman" w:hAnsi="Times New Roman"/>
                <w:b/>
                <w:bCs/>
              </w:rPr>
            </w:pPr>
          </w:p>
        </w:tc>
        <w:tc>
          <w:tcPr>
            <w:tcW w:w="1592" w:type="dxa"/>
            <w:vMerge/>
            <w:tcBorders>
              <w:top w:val="single" w:sz="4" w:space="0" w:color="auto"/>
              <w:left w:val="single" w:sz="8" w:space="0" w:color="auto"/>
              <w:bottom w:val="single" w:sz="8" w:space="0" w:color="000000"/>
              <w:right w:val="single" w:sz="8" w:space="0" w:color="auto"/>
            </w:tcBorders>
            <w:vAlign w:val="center"/>
          </w:tcPr>
          <w:p w:rsidR="00A82107" w:rsidRPr="0080737A" w:rsidRDefault="00A82107" w:rsidP="00F167DC">
            <w:pPr>
              <w:spacing w:after="0" w:line="240" w:lineRule="auto"/>
              <w:jc w:val="center"/>
              <w:rPr>
                <w:rFonts w:ascii="Times New Roman" w:hAnsi="Times New Roman"/>
                <w:b/>
                <w:bCs/>
              </w:rPr>
            </w:pPr>
          </w:p>
        </w:tc>
        <w:tc>
          <w:tcPr>
            <w:tcW w:w="1559" w:type="dxa"/>
            <w:vMerge/>
            <w:tcBorders>
              <w:top w:val="single" w:sz="4" w:space="0" w:color="auto"/>
              <w:left w:val="single" w:sz="8" w:space="0" w:color="auto"/>
              <w:bottom w:val="single" w:sz="8" w:space="0" w:color="000000"/>
              <w:right w:val="single" w:sz="8" w:space="0" w:color="auto"/>
            </w:tcBorders>
            <w:vAlign w:val="center"/>
          </w:tcPr>
          <w:p w:rsidR="00A82107" w:rsidRPr="0080737A" w:rsidRDefault="00A82107" w:rsidP="00F167DC">
            <w:pPr>
              <w:spacing w:after="0" w:line="240" w:lineRule="auto"/>
              <w:jc w:val="center"/>
              <w:rPr>
                <w:rFonts w:ascii="Times New Roman" w:hAnsi="Times New Roman"/>
                <w:b/>
                <w:bCs/>
              </w:rPr>
            </w:pPr>
          </w:p>
        </w:tc>
        <w:tc>
          <w:tcPr>
            <w:tcW w:w="1276" w:type="dxa"/>
            <w:vMerge/>
            <w:tcBorders>
              <w:left w:val="nil"/>
              <w:bottom w:val="single" w:sz="8" w:space="0" w:color="auto"/>
              <w:right w:val="single" w:sz="8" w:space="0" w:color="auto"/>
            </w:tcBorders>
            <w:noWrap/>
            <w:vAlign w:val="center"/>
          </w:tcPr>
          <w:p w:rsidR="00A82107" w:rsidRPr="0080737A" w:rsidRDefault="00A82107" w:rsidP="00F167DC">
            <w:pPr>
              <w:spacing w:after="0" w:line="240" w:lineRule="auto"/>
              <w:jc w:val="center"/>
              <w:rPr>
                <w:rFonts w:ascii="Times New Roman" w:hAnsi="Times New Roman"/>
                <w:b/>
                <w:bCs/>
              </w:rPr>
            </w:pPr>
          </w:p>
        </w:tc>
        <w:tc>
          <w:tcPr>
            <w:tcW w:w="2192" w:type="dxa"/>
            <w:vMerge/>
            <w:tcBorders>
              <w:left w:val="nil"/>
              <w:bottom w:val="single" w:sz="8" w:space="0" w:color="auto"/>
              <w:right w:val="single" w:sz="8" w:space="0" w:color="auto"/>
            </w:tcBorders>
            <w:vAlign w:val="center"/>
          </w:tcPr>
          <w:p w:rsidR="00A82107" w:rsidRPr="0080737A" w:rsidRDefault="00A82107" w:rsidP="00F167DC">
            <w:pPr>
              <w:spacing w:after="0" w:line="240" w:lineRule="auto"/>
              <w:jc w:val="center"/>
              <w:rPr>
                <w:rFonts w:ascii="Times New Roman" w:hAnsi="Times New Roman"/>
                <w:b/>
                <w:bCs/>
              </w:rPr>
            </w:pPr>
          </w:p>
        </w:tc>
      </w:tr>
      <w:tr w:rsidR="00A82107" w:rsidRPr="0080737A" w:rsidTr="00F167DC">
        <w:trPr>
          <w:trHeight w:val="562"/>
          <w:jc w:val="center"/>
        </w:trPr>
        <w:tc>
          <w:tcPr>
            <w:tcW w:w="2675" w:type="dxa"/>
            <w:tcBorders>
              <w:top w:val="nil"/>
              <w:left w:val="single" w:sz="8" w:space="0" w:color="auto"/>
              <w:bottom w:val="nil"/>
              <w:right w:val="nil"/>
            </w:tcBorders>
            <w:noWrap/>
            <w:vAlign w:val="center"/>
          </w:tcPr>
          <w:p w:rsidR="00A82107" w:rsidRPr="0080737A" w:rsidRDefault="00A82107" w:rsidP="00F167DC">
            <w:pPr>
              <w:spacing w:after="0" w:line="240" w:lineRule="auto"/>
              <w:ind w:left="-56"/>
              <w:rPr>
                <w:rFonts w:ascii="Times New Roman" w:hAnsi="Times New Roman"/>
                <w:b/>
                <w:bCs/>
              </w:rPr>
            </w:pPr>
            <w:r w:rsidRPr="0080737A">
              <w:rPr>
                <w:rFonts w:ascii="Times New Roman" w:hAnsi="Times New Roman"/>
                <w:b/>
                <w:bCs/>
              </w:rPr>
              <w:t>Консолидированный бюджет, в т.ч.:</w:t>
            </w:r>
          </w:p>
        </w:tc>
        <w:tc>
          <w:tcPr>
            <w:tcW w:w="1592" w:type="dxa"/>
            <w:tcBorders>
              <w:top w:val="nil"/>
              <w:left w:val="single" w:sz="8" w:space="0" w:color="auto"/>
              <w:bottom w:val="single" w:sz="4" w:space="0" w:color="000000"/>
              <w:right w:val="single" w:sz="8" w:space="0" w:color="auto"/>
            </w:tcBorders>
            <w:noWrap/>
            <w:vAlign w:val="center"/>
          </w:tcPr>
          <w:p w:rsidR="00A82107" w:rsidRPr="0080737A" w:rsidRDefault="00A82107" w:rsidP="00F167DC">
            <w:pPr>
              <w:spacing w:after="0" w:line="240" w:lineRule="auto"/>
              <w:ind w:left="-123" w:right="-61"/>
              <w:jc w:val="center"/>
              <w:rPr>
                <w:rFonts w:ascii="Times New Roman" w:hAnsi="Times New Roman"/>
                <w:b/>
                <w:bCs/>
              </w:rPr>
            </w:pPr>
            <w:r w:rsidRPr="0080737A">
              <w:rPr>
                <w:rFonts w:ascii="Times New Roman" w:hAnsi="Times New Roman"/>
                <w:b/>
                <w:bCs/>
              </w:rPr>
              <w:t xml:space="preserve">1 588 800 873 </w:t>
            </w:r>
          </w:p>
        </w:tc>
        <w:tc>
          <w:tcPr>
            <w:tcW w:w="1559" w:type="dxa"/>
            <w:tcBorders>
              <w:top w:val="nil"/>
              <w:left w:val="single" w:sz="8" w:space="0" w:color="auto"/>
              <w:bottom w:val="nil"/>
              <w:right w:val="single" w:sz="8" w:space="0" w:color="auto"/>
            </w:tcBorders>
            <w:noWrap/>
            <w:vAlign w:val="center"/>
          </w:tcPr>
          <w:p w:rsidR="00A82107" w:rsidRPr="0080737A" w:rsidRDefault="00A82107" w:rsidP="00F167DC">
            <w:pPr>
              <w:spacing w:after="0" w:line="240" w:lineRule="auto"/>
              <w:ind w:left="-155" w:right="-190"/>
              <w:jc w:val="center"/>
              <w:rPr>
                <w:rFonts w:ascii="Times New Roman" w:hAnsi="Times New Roman"/>
                <w:b/>
                <w:bCs/>
              </w:rPr>
            </w:pPr>
            <w:r w:rsidRPr="0080737A">
              <w:rPr>
                <w:rFonts w:ascii="Times New Roman" w:hAnsi="Times New Roman"/>
                <w:b/>
                <w:bCs/>
              </w:rPr>
              <w:t xml:space="preserve">1 144 420 840 </w:t>
            </w:r>
          </w:p>
        </w:tc>
        <w:tc>
          <w:tcPr>
            <w:tcW w:w="1276" w:type="dxa"/>
            <w:tcBorders>
              <w:top w:val="nil"/>
              <w:left w:val="single" w:sz="8" w:space="0" w:color="auto"/>
              <w:bottom w:val="single" w:sz="4" w:space="0" w:color="000000"/>
              <w:right w:val="single" w:sz="8" w:space="0" w:color="auto"/>
            </w:tcBorders>
            <w:noWrap/>
            <w:vAlign w:val="center"/>
          </w:tcPr>
          <w:p w:rsidR="00A82107" w:rsidRPr="0080737A" w:rsidRDefault="00A82107" w:rsidP="00F167DC">
            <w:pPr>
              <w:spacing w:after="0" w:line="240" w:lineRule="auto"/>
              <w:jc w:val="center"/>
              <w:rPr>
                <w:rFonts w:ascii="Times New Roman" w:hAnsi="Times New Roman"/>
                <w:b/>
                <w:bCs/>
              </w:rPr>
            </w:pPr>
            <w:r w:rsidRPr="0080737A">
              <w:rPr>
                <w:rFonts w:ascii="Times New Roman" w:hAnsi="Times New Roman"/>
                <w:b/>
                <w:bCs/>
              </w:rPr>
              <w:t>72,0</w:t>
            </w:r>
          </w:p>
        </w:tc>
        <w:tc>
          <w:tcPr>
            <w:tcW w:w="2192" w:type="dxa"/>
            <w:tcBorders>
              <w:top w:val="nil"/>
              <w:left w:val="single" w:sz="8" w:space="0" w:color="auto"/>
              <w:bottom w:val="single" w:sz="4" w:space="0" w:color="000000"/>
              <w:right w:val="single" w:sz="8" w:space="0" w:color="auto"/>
            </w:tcBorders>
            <w:vAlign w:val="center"/>
          </w:tcPr>
          <w:p w:rsidR="00A82107" w:rsidRPr="0080737A" w:rsidRDefault="00A82107" w:rsidP="00F167DC">
            <w:pPr>
              <w:spacing w:after="0" w:line="240" w:lineRule="auto"/>
              <w:jc w:val="center"/>
              <w:rPr>
                <w:rFonts w:ascii="Times New Roman" w:hAnsi="Times New Roman"/>
                <w:b/>
                <w:bCs/>
              </w:rPr>
            </w:pPr>
            <w:r w:rsidRPr="0080737A">
              <w:rPr>
                <w:rFonts w:ascii="Times New Roman" w:hAnsi="Times New Roman"/>
                <w:b/>
                <w:bCs/>
              </w:rPr>
              <w:t>106,9</w:t>
            </w:r>
          </w:p>
        </w:tc>
      </w:tr>
      <w:tr w:rsidR="00A82107" w:rsidRPr="0080737A" w:rsidTr="00F167DC">
        <w:trPr>
          <w:trHeight w:val="411"/>
          <w:jc w:val="center"/>
        </w:trPr>
        <w:tc>
          <w:tcPr>
            <w:tcW w:w="2675" w:type="dxa"/>
            <w:tcBorders>
              <w:top w:val="single" w:sz="4" w:space="0" w:color="auto"/>
              <w:left w:val="single" w:sz="8" w:space="0" w:color="auto"/>
              <w:bottom w:val="single" w:sz="4" w:space="0" w:color="auto"/>
              <w:right w:val="nil"/>
            </w:tcBorders>
            <w:noWrap/>
            <w:vAlign w:val="center"/>
          </w:tcPr>
          <w:p w:rsidR="00A82107" w:rsidRPr="0080737A" w:rsidRDefault="00A82107" w:rsidP="00F167DC">
            <w:pPr>
              <w:spacing w:after="0" w:line="240" w:lineRule="auto"/>
              <w:ind w:left="-56"/>
              <w:rPr>
                <w:rFonts w:ascii="Times New Roman" w:hAnsi="Times New Roman"/>
                <w:bCs/>
              </w:rPr>
            </w:pPr>
            <w:r w:rsidRPr="0080737A">
              <w:rPr>
                <w:rFonts w:ascii="Times New Roman" w:hAnsi="Times New Roman"/>
                <w:bCs/>
              </w:rPr>
              <w:t>Республиканский бюджет</w:t>
            </w:r>
          </w:p>
        </w:tc>
        <w:tc>
          <w:tcPr>
            <w:tcW w:w="1592" w:type="dxa"/>
            <w:tcBorders>
              <w:top w:val="nil"/>
              <w:left w:val="single" w:sz="8" w:space="0" w:color="auto"/>
              <w:bottom w:val="single" w:sz="4" w:space="0" w:color="auto"/>
              <w:right w:val="single" w:sz="8" w:space="0" w:color="auto"/>
            </w:tcBorders>
            <w:noWrap/>
            <w:vAlign w:val="center"/>
          </w:tcPr>
          <w:p w:rsidR="00A82107" w:rsidRPr="0080737A" w:rsidRDefault="00A82107" w:rsidP="00F167DC">
            <w:pPr>
              <w:spacing w:after="0" w:line="240" w:lineRule="auto"/>
              <w:jc w:val="center"/>
              <w:rPr>
                <w:rFonts w:ascii="Times New Roman" w:hAnsi="Times New Roman"/>
                <w:bCs/>
              </w:rPr>
            </w:pPr>
            <w:r w:rsidRPr="0080737A">
              <w:rPr>
                <w:rFonts w:ascii="Times New Roman" w:hAnsi="Times New Roman"/>
                <w:bCs/>
              </w:rPr>
              <w:t xml:space="preserve">1 182 068 513 </w:t>
            </w:r>
          </w:p>
        </w:tc>
        <w:tc>
          <w:tcPr>
            <w:tcW w:w="1559" w:type="dxa"/>
            <w:tcBorders>
              <w:top w:val="single" w:sz="4" w:space="0" w:color="auto"/>
              <w:left w:val="nil"/>
              <w:bottom w:val="single" w:sz="4" w:space="0" w:color="auto"/>
              <w:right w:val="single" w:sz="8" w:space="0" w:color="auto"/>
            </w:tcBorders>
            <w:noWrap/>
            <w:vAlign w:val="center"/>
          </w:tcPr>
          <w:p w:rsidR="00A82107" w:rsidRPr="0080737A" w:rsidRDefault="00A82107" w:rsidP="00F167DC">
            <w:pPr>
              <w:spacing w:after="0" w:line="240" w:lineRule="auto"/>
              <w:jc w:val="center"/>
              <w:rPr>
                <w:rFonts w:ascii="Times New Roman" w:hAnsi="Times New Roman"/>
                <w:bCs/>
              </w:rPr>
            </w:pPr>
            <w:r w:rsidRPr="0080737A">
              <w:rPr>
                <w:rFonts w:ascii="Times New Roman" w:hAnsi="Times New Roman"/>
                <w:bCs/>
              </w:rPr>
              <w:t xml:space="preserve">767 753 783 </w:t>
            </w:r>
          </w:p>
        </w:tc>
        <w:tc>
          <w:tcPr>
            <w:tcW w:w="1276" w:type="dxa"/>
            <w:tcBorders>
              <w:top w:val="nil"/>
              <w:left w:val="nil"/>
              <w:bottom w:val="single" w:sz="4" w:space="0" w:color="auto"/>
              <w:right w:val="single" w:sz="8" w:space="0" w:color="auto"/>
            </w:tcBorders>
            <w:noWrap/>
            <w:vAlign w:val="center"/>
          </w:tcPr>
          <w:p w:rsidR="00A82107" w:rsidRPr="0080737A" w:rsidRDefault="00A82107" w:rsidP="00F167DC">
            <w:pPr>
              <w:spacing w:after="0" w:line="240" w:lineRule="auto"/>
              <w:jc w:val="center"/>
              <w:rPr>
                <w:rFonts w:ascii="Times New Roman" w:hAnsi="Times New Roman"/>
                <w:bCs/>
              </w:rPr>
            </w:pPr>
            <w:r w:rsidRPr="0080737A">
              <w:rPr>
                <w:rFonts w:ascii="Times New Roman" w:hAnsi="Times New Roman"/>
                <w:bCs/>
              </w:rPr>
              <w:t>65,0</w:t>
            </w:r>
          </w:p>
        </w:tc>
        <w:tc>
          <w:tcPr>
            <w:tcW w:w="2192" w:type="dxa"/>
            <w:tcBorders>
              <w:top w:val="nil"/>
              <w:left w:val="nil"/>
              <w:bottom w:val="single" w:sz="4" w:space="0" w:color="auto"/>
              <w:right w:val="single" w:sz="8" w:space="0" w:color="auto"/>
            </w:tcBorders>
            <w:vAlign w:val="center"/>
          </w:tcPr>
          <w:p w:rsidR="00A82107" w:rsidRPr="0080737A" w:rsidRDefault="00A82107" w:rsidP="00F167DC">
            <w:pPr>
              <w:spacing w:after="0" w:line="240" w:lineRule="auto"/>
              <w:jc w:val="center"/>
              <w:rPr>
                <w:rFonts w:ascii="Times New Roman" w:hAnsi="Times New Roman"/>
                <w:bCs/>
              </w:rPr>
            </w:pPr>
            <w:r w:rsidRPr="0080737A">
              <w:rPr>
                <w:rFonts w:ascii="Times New Roman" w:hAnsi="Times New Roman"/>
                <w:bCs/>
              </w:rPr>
              <w:t>112,7</w:t>
            </w:r>
          </w:p>
        </w:tc>
      </w:tr>
      <w:tr w:rsidR="00A82107" w:rsidRPr="0080737A" w:rsidTr="00F167DC">
        <w:trPr>
          <w:trHeight w:val="417"/>
          <w:jc w:val="center"/>
        </w:trPr>
        <w:tc>
          <w:tcPr>
            <w:tcW w:w="2675" w:type="dxa"/>
            <w:tcBorders>
              <w:top w:val="nil"/>
              <w:left w:val="single" w:sz="8" w:space="0" w:color="auto"/>
              <w:bottom w:val="single" w:sz="4" w:space="0" w:color="auto"/>
              <w:right w:val="nil"/>
            </w:tcBorders>
            <w:shd w:val="clear" w:color="auto" w:fill="auto"/>
            <w:noWrap/>
            <w:vAlign w:val="center"/>
          </w:tcPr>
          <w:p w:rsidR="00A82107" w:rsidRPr="0080737A" w:rsidRDefault="00A82107" w:rsidP="00F167DC">
            <w:pPr>
              <w:spacing w:after="0" w:line="240" w:lineRule="auto"/>
              <w:ind w:left="-56"/>
              <w:rPr>
                <w:rFonts w:ascii="Times New Roman" w:hAnsi="Times New Roman"/>
                <w:bCs/>
              </w:rPr>
            </w:pPr>
            <w:r w:rsidRPr="0080737A">
              <w:rPr>
                <w:rFonts w:ascii="Times New Roman" w:hAnsi="Times New Roman"/>
                <w:bCs/>
              </w:rPr>
              <w:t>Местные бюджеты</w:t>
            </w:r>
          </w:p>
        </w:tc>
        <w:tc>
          <w:tcPr>
            <w:tcW w:w="1592" w:type="dxa"/>
            <w:tcBorders>
              <w:top w:val="nil"/>
              <w:left w:val="single" w:sz="8" w:space="0" w:color="auto"/>
              <w:bottom w:val="single" w:sz="4" w:space="0" w:color="auto"/>
              <w:right w:val="single" w:sz="8" w:space="0" w:color="auto"/>
            </w:tcBorders>
            <w:shd w:val="clear" w:color="auto" w:fill="auto"/>
            <w:noWrap/>
            <w:vAlign w:val="center"/>
          </w:tcPr>
          <w:p w:rsidR="00A82107" w:rsidRPr="0080737A" w:rsidRDefault="00A82107" w:rsidP="00F167DC">
            <w:pPr>
              <w:spacing w:after="0" w:line="240" w:lineRule="auto"/>
              <w:jc w:val="center"/>
              <w:rPr>
                <w:rFonts w:ascii="Times New Roman" w:hAnsi="Times New Roman"/>
                <w:bCs/>
              </w:rPr>
            </w:pPr>
            <w:r w:rsidRPr="0080737A">
              <w:rPr>
                <w:rFonts w:ascii="Times New Roman" w:hAnsi="Times New Roman"/>
                <w:bCs/>
              </w:rPr>
              <w:t xml:space="preserve">406 732 360 </w:t>
            </w:r>
          </w:p>
        </w:tc>
        <w:tc>
          <w:tcPr>
            <w:tcW w:w="1559" w:type="dxa"/>
            <w:tcBorders>
              <w:top w:val="nil"/>
              <w:left w:val="nil"/>
              <w:bottom w:val="single" w:sz="4" w:space="0" w:color="auto"/>
              <w:right w:val="single" w:sz="8" w:space="0" w:color="auto"/>
            </w:tcBorders>
            <w:shd w:val="clear" w:color="auto" w:fill="auto"/>
            <w:noWrap/>
            <w:vAlign w:val="center"/>
          </w:tcPr>
          <w:p w:rsidR="00A82107" w:rsidRPr="0080737A" w:rsidRDefault="00A82107" w:rsidP="00F167DC">
            <w:pPr>
              <w:spacing w:after="0" w:line="240" w:lineRule="auto"/>
              <w:jc w:val="center"/>
              <w:rPr>
                <w:rFonts w:ascii="Times New Roman" w:hAnsi="Times New Roman"/>
                <w:bCs/>
              </w:rPr>
            </w:pPr>
            <w:r w:rsidRPr="0080737A">
              <w:rPr>
                <w:rFonts w:ascii="Times New Roman" w:hAnsi="Times New Roman"/>
                <w:bCs/>
              </w:rPr>
              <w:t xml:space="preserve">376 667 057 </w:t>
            </w:r>
          </w:p>
        </w:tc>
        <w:tc>
          <w:tcPr>
            <w:tcW w:w="1276" w:type="dxa"/>
            <w:tcBorders>
              <w:top w:val="nil"/>
              <w:left w:val="nil"/>
              <w:bottom w:val="single" w:sz="4" w:space="0" w:color="auto"/>
              <w:right w:val="single" w:sz="8" w:space="0" w:color="auto"/>
            </w:tcBorders>
            <w:shd w:val="clear" w:color="auto" w:fill="auto"/>
            <w:noWrap/>
            <w:vAlign w:val="center"/>
          </w:tcPr>
          <w:p w:rsidR="00A82107" w:rsidRPr="0080737A" w:rsidRDefault="00A82107" w:rsidP="00F167DC">
            <w:pPr>
              <w:spacing w:after="0" w:line="240" w:lineRule="auto"/>
              <w:jc w:val="center"/>
              <w:rPr>
                <w:rFonts w:ascii="Times New Roman" w:hAnsi="Times New Roman"/>
                <w:bCs/>
              </w:rPr>
            </w:pPr>
            <w:r w:rsidRPr="0080737A">
              <w:rPr>
                <w:rFonts w:ascii="Times New Roman" w:hAnsi="Times New Roman"/>
                <w:bCs/>
              </w:rPr>
              <w:t>92,6</w:t>
            </w:r>
          </w:p>
        </w:tc>
        <w:tc>
          <w:tcPr>
            <w:tcW w:w="2192" w:type="dxa"/>
            <w:tcBorders>
              <w:top w:val="nil"/>
              <w:left w:val="nil"/>
              <w:bottom w:val="single" w:sz="4" w:space="0" w:color="auto"/>
              <w:right w:val="single" w:sz="8" w:space="0" w:color="auto"/>
            </w:tcBorders>
            <w:shd w:val="clear" w:color="auto" w:fill="auto"/>
            <w:vAlign w:val="center"/>
          </w:tcPr>
          <w:p w:rsidR="00A82107" w:rsidRPr="0080737A" w:rsidRDefault="00A82107" w:rsidP="00F167DC">
            <w:pPr>
              <w:spacing w:after="0" w:line="240" w:lineRule="auto"/>
              <w:jc w:val="center"/>
              <w:rPr>
                <w:rFonts w:ascii="Times New Roman" w:hAnsi="Times New Roman"/>
                <w:bCs/>
              </w:rPr>
            </w:pPr>
            <w:r w:rsidRPr="0080737A">
              <w:rPr>
                <w:rFonts w:ascii="Times New Roman" w:hAnsi="Times New Roman"/>
                <w:bCs/>
              </w:rPr>
              <w:t>96,8</w:t>
            </w:r>
          </w:p>
        </w:tc>
      </w:tr>
    </w:tbl>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noProof/>
          <w:sz w:val="24"/>
          <w:szCs w:val="24"/>
        </w:rPr>
        <w:lastRenderedPageBreak/>
        <w:drawing>
          <wp:anchor distT="0" distB="0" distL="114300" distR="114300" simplePos="0" relativeHeight="251662336" behindDoc="0" locked="0" layoutInCell="1" allowOverlap="1">
            <wp:simplePos x="0" y="0"/>
            <wp:positionH relativeFrom="margin">
              <wp:posOffset>5715</wp:posOffset>
            </wp:positionH>
            <wp:positionV relativeFrom="margin">
              <wp:posOffset>-16510</wp:posOffset>
            </wp:positionV>
            <wp:extent cx="2295525" cy="2743200"/>
            <wp:effectExtent l="0" t="0" r="0" b="0"/>
            <wp:wrapSquare wrapText="bothSides"/>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80737A">
        <w:rPr>
          <w:rFonts w:ascii="Times New Roman" w:hAnsi="Times New Roman"/>
          <w:sz w:val="24"/>
          <w:szCs w:val="24"/>
        </w:rPr>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отмечены незначительные изменения в формировании консолидированного бюджета. Так, доходы республиканского бюджета составили 767 753 783 руб. (67,1% в сумме доходов консолидированного бюджета), что ниже на 3,4 процентных пункта аналогичного периода 2015 года, при соответствующем сокращении долевого участия поступлений местных бюджетов, доля которых составила 32,9% (</w:t>
      </w:r>
      <w:r w:rsidRPr="0080737A">
        <w:rPr>
          <w:rFonts w:ascii="Times New Roman" w:hAnsi="Times New Roman"/>
          <w:bCs/>
          <w:sz w:val="24"/>
          <w:szCs w:val="24"/>
        </w:rPr>
        <w:t>376 667 057 руб</w:t>
      </w:r>
      <w:r w:rsidRPr="0080737A">
        <w:rPr>
          <w:rFonts w:ascii="Times New Roman" w:hAnsi="Times New Roman"/>
          <w:sz w:val="24"/>
          <w:szCs w:val="24"/>
        </w:rPr>
        <w:t>.), в январе – июне 2015 года – 36,3%.</w:t>
      </w:r>
    </w:p>
    <w:p w:rsidR="00932EF0" w:rsidRPr="0080737A" w:rsidRDefault="00932EF0" w:rsidP="00932EF0">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Удельный вес доходной части консолидированного бюджета в </w:t>
      </w:r>
      <w:proofErr w:type="spellStart"/>
      <w:r w:rsidRPr="0080737A">
        <w:rPr>
          <w:rFonts w:ascii="Times New Roman" w:hAnsi="Times New Roman"/>
          <w:sz w:val="24"/>
          <w:szCs w:val="24"/>
        </w:rPr>
        <w:t>ВВПза</w:t>
      </w:r>
      <w:proofErr w:type="spellEnd"/>
      <w:r w:rsidRPr="0080737A">
        <w:rPr>
          <w:rFonts w:ascii="Times New Roman" w:hAnsi="Times New Roman"/>
          <w:sz w:val="24"/>
          <w:szCs w:val="24"/>
        </w:rPr>
        <w:t xml:space="preserve">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 2016 года вырос незначительно («+»0,44%) по отношению к базовому периоду прошлого года и составил 28,97%.</w:t>
      </w:r>
    </w:p>
    <w:p w:rsidR="00A82107" w:rsidRPr="0080737A" w:rsidRDefault="00A82107" w:rsidP="00A82107">
      <w:pPr>
        <w:spacing w:after="0" w:line="240" w:lineRule="auto"/>
        <w:jc w:val="right"/>
        <w:rPr>
          <w:rFonts w:ascii="Times New Roman" w:hAnsi="Times New Roman"/>
          <w:sz w:val="28"/>
          <w:szCs w:val="28"/>
        </w:rPr>
      </w:pPr>
      <w:r w:rsidRPr="0080737A">
        <w:rPr>
          <w:rFonts w:ascii="Times New Roman" w:hAnsi="Times New Roman"/>
          <w:sz w:val="24"/>
          <w:szCs w:val="24"/>
        </w:rPr>
        <w:t>Таблица №</w:t>
      </w:r>
      <w:r w:rsidR="005C2655" w:rsidRPr="0080737A">
        <w:rPr>
          <w:rFonts w:ascii="Times New Roman" w:hAnsi="Times New Roman"/>
          <w:sz w:val="24"/>
          <w:szCs w:val="24"/>
        </w:rPr>
        <w:t>5</w:t>
      </w:r>
    </w:p>
    <w:p w:rsidR="00A82107" w:rsidRPr="0080737A" w:rsidRDefault="00A82107" w:rsidP="00A82107">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 xml:space="preserve">Структура поступлений в доходную часть </w:t>
      </w:r>
    </w:p>
    <w:p w:rsidR="00A82107" w:rsidRPr="0080737A" w:rsidRDefault="00A82107" w:rsidP="00A82107">
      <w:pPr>
        <w:tabs>
          <w:tab w:val="left" w:pos="4914"/>
        </w:tabs>
        <w:spacing w:after="0" w:line="240" w:lineRule="auto"/>
        <w:ind w:left="-567" w:firstLine="1287"/>
        <w:jc w:val="center"/>
        <w:rPr>
          <w:rFonts w:ascii="Times New Roman" w:hAnsi="Times New Roman"/>
          <w:b/>
          <w:sz w:val="24"/>
          <w:szCs w:val="24"/>
        </w:rPr>
      </w:pPr>
      <w:r w:rsidRPr="0080737A">
        <w:rPr>
          <w:rFonts w:ascii="Times New Roman" w:hAnsi="Times New Roman"/>
          <w:b/>
          <w:sz w:val="24"/>
          <w:szCs w:val="24"/>
        </w:rPr>
        <w:t>Консолидированного бюджета (руб.)</w:t>
      </w:r>
    </w:p>
    <w:tbl>
      <w:tblPr>
        <w:tblW w:w="9215" w:type="dxa"/>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6"/>
        <w:gridCol w:w="1494"/>
        <w:gridCol w:w="862"/>
        <w:gridCol w:w="1550"/>
        <w:gridCol w:w="862"/>
        <w:gridCol w:w="1381"/>
      </w:tblGrid>
      <w:tr w:rsidR="00A82107" w:rsidRPr="0080737A" w:rsidTr="00047DAA">
        <w:trPr>
          <w:trHeight w:val="224"/>
          <w:jc w:val="center"/>
        </w:trPr>
        <w:tc>
          <w:tcPr>
            <w:tcW w:w="3223" w:type="dxa"/>
            <w:vMerge w:val="restart"/>
            <w:vAlign w:val="center"/>
          </w:tcPr>
          <w:p w:rsidR="00A82107" w:rsidRPr="0080737A" w:rsidRDefault="00A82107" w:rsidP="00047DAA">
            <w:pPr>
              <w:spacing w:after="0" w:line="240" w:lineRule="auto"/>
              <w:contextualSpacing/>
              <w:jc w:val="center"/>
              <w:rPr>
                <w:rFonts w:ascii="Times New Roman" w:hAnsi="Times New Roman"/>
                <w:b/>
              </w:rPr>
            </w:pPr>
            <w:r w:rsidRPr="0080737A">
              <w:rPr>
                <w:rFonts w:ascii="Times New Roman" w:hAnsi="Times New Roman"/>
                <w:b/>
              </w:rPr>
              <w:t>Вид платежа</w:t>
            </w:r>
          </w:p>
        </w:tc>
        <w:tc>
          <w:tcPr>
            <w:tcW w:w="2240" w:type="dxa"/>
            <w:gridSpan w:val="2"/>
            <w:vAlign w:val="center"/>
          </w:tcPr>
          <w:p w:rsidR="00A82107" w:rsidRPr="0080737A" w:rsidRDefault="00A82107" w:rsidP="00047DAA">
            <w:pPr>
              <w:spacing w:after="0" w:line="240" w:lineRule="auto"/>
              <w:ind w:left="-148" w:right="-156"/>
              <w:contextualSpacing/>
              <w:jc w:val="center"/>
              <w:rPr>
                <w:rFonts w:ascii="Times New Roman" w:hAnsi="Times New Roman"/>
                <w:b/>
              </w:rPr>
            </w:pPr>
            <w:r w:rsidRPr="0080737A">
              <w:rPr>
                <w:rFonts w:ascii="Times New Roman" w:hAnsi="Times New Roman"/>
                <w:b/>
                <w:lang w:val="en-US"/>
              </w:rPr>
              <w:t>I</w:t>
            </w:r>
            <w:r w:rsidRPr="0080737A">
              <w:rPr>
                <w:rFonts w:ascii="Times New Roman" w:hAnsi="Times New Roman"/>
                <w:b/>
              </w:rPr>
              <w:t xml:space="preserve"> полугодие 2015 года</w:t>
            </w:r>
          </w:p>
        </w:tc>
        <w:tc>
          <w:tcPr>
            <w:tcW w:w="2371" w:type="dxa"/>
            <w:gridSpan w:val="2"/>
            <w:vAlign w:val="center"/>
          </w:tcPr>
          <w:p w:rsidR="00A82107" w:rsidRPr="0080737A" w:rsidRDefault="00A82107" w:rsidP="00047DAA">
            <w:pPr>
              <w:spacing w:after="0" w:line="240" w:lineRule="auto"/>
              <w:ind w:left="-60"/>
              <w:contextualSpacing/>
              <w:jc w:val="center"/>
              <w:rPr>
                <w:rFonts w:ascii="Times New Roman" w:hAnsi="Times New Roman"/>
                <w:b/>
              </w:rPr>
            </w:pPr>
            <w:r w:rsidRPr="0080737A">
              <w:rPr>
                <w:rFonts w:ascii="Times New Roman" w:hAnsi="Times New Roman"/>
                <w:b/>
                <w:lang w:val="en-US"/>
              </w:rPr>
              <w:t xml:space="preserve">I </w:t>
            </w:r>
            <w:proofErr w:type="spellStart"/>
            <w:r w:rsidRPr="0080737A">
              <w:rPr>
                <w:rFonts w:ascii="Times New Roman" w:hAnsi="Times New Roman"/>
                <w:b/>
                <w:lang w:val="en-US"/>
              </w:rPr>
              <w:t>полугодие</w:t>
            </w:r>
            <w:proofErr w:type="spellEnd"/>
            <w:r w:rsidR="00EF7D3C" w:rsidRPr="0080737A">
              <w:rPr>
                <w:rFonts w:ascii="Times New Roman" w:hAnsi="Times New Roman"/>
                <w:b/>
              </w:rPr>
              <w:t xml:space="preserve"> </w:t>
            </w:r>
            <w:r w:rsidRPr="0080737A">
              <w:rPr>
                <w:rFonts w:ascii="Times New Roman" w:hAnsi="Times New Roman"/>
                <w:b/>
              </w:rPr>
              <w:t>2016 года</w:t>
            </w:r>
          </w:p>
        </w:tc>
        <w:tc>
          <w:tcPr>
            <w:tcW w:w="1381" w:type="dxa"/>
            <w:vMerge w:val="restart"/>
            <w:vAlign w:val="center"/>
          </w:tcPr>
          <w:p w:rsidR="00A82107" w:rsidRPr="0080737A" w:rsidRDefault="00A82107" w:rsidP="00047DAA">
            <w:pPr>
              <w:spacing w:after="0" w:line="240" w:lineRule="auto"/>
              <w:contextualSpacing/>
              <w:jc w:val="center"/>
              <w:rPr>
                <w:rFonts w:ascii="Times New Roman" w:hAnsi="Times New Roman"/>
                <w:b/>
              </w:rPr>
            </w:pPr>
            <w:r w:rsidRPr="0080737A">
              <w:rPr>
                <w:rFonts w:ascii="Times New Roman" w:hAnsi="Times New Roman"/>
                <w:b/>
              </w:rPr>
              <w:t>Темп роста/спада  2016 г. к 2015 г, %</w:t>
            </w:r>
          </w:p>
        </w:tc>
      </w:tr>
      <w:tr w:rsidR="00A82107" w:rsidRPr="0080737A" w:rsidTr="00047DAA">
        <w:trPr>
          <w:trHeight w:val="593"/>
          <w:jc w:val="center"/>
        </w:trPr>
        <w:tc>
          <w:tcPr>
            <w:tcW w:w="3223" w:type="dxa"/>
            <w:vMerge/>
            <w:vAlign w:val="center"/>
          </w:tcPr>
          <w:p w:rsidR="00A82107" w:rsidRPr="0080737A" w:rsidRDefault="00A82107" w:rsidP="00047DAA">
            <w:pPr>
              <w:spacing w:after="0" w:line="240" w:lineRule="auto"/>
              <w:contextualSpacing/>
              <w:jc w:val="center"/>
              <w:rPr>
                <w:rFonts w:ascii="Times New Roman" w:hAnsi="Times New Roman"/>
                <w:b/>
              </w:rPr>
            </w:pPr>
          </w:p>
        </w:tc>
        <w:tc>
          <w:tcPr>
            <w:tcW w:w="1529" w:type="dxa"/>
            <w:vAlign w:val="center"/>
          </w:tcPr>
          <w:p w:rsidR="00A82107" w:rsidRPr="0080737A" w:rsidRDefault="00A82107" w:rsidP="00047DAA">
            <w:pPr>
              <w:spacing w:after="0" w:line="240" w:lineRule="auto"/>
              <w:contextualSpacing/>
              <w:jc w:val="center"/>
              <w:rPr>
                <w:rFonts w:ascii="Times New Roman" w:hAnsi="Times New Roman"/>
                <w:b/>
              </w:rPr>
            </w:pPr>
            <w:r w:rsidRPr="0080737A">
              <w:rPr>
                <w:rFonts w:ascii="Times New Roman" w:hAnsi="Times New Roman"/>
                <w:b/>
              </w:rPr>
              <w:t>факт</w:t>
            </w:r>
          </w:p>
        </w:tc>
        <w:tc>
          <w:tcPr>
            <w:tcW w:w="711" w:type="dxa"/>
            <w:vAlign w:val="center"/>
          </w:tcPr>
          <w:p w:rsidR="00A82107" w:rsidRPr="0080737A" w:rsidRDefault="00A82107" w:rsidP="00047DAA">
            <w:pPr>
              <w:spacing w:after="0" w:line="240" w:lineRule="auto"/>
              <w:contextualSpacing/>
              <w:jc w:val="center"/>
              <w:rPr>
                <w:rFonts w:ascii="Times New Roman" w:hAnsi="Times New Roman"/>
                <w:b/>
              </w:rPr>
            </w:pPr>
            <w:proofErr w:type="spellStart"/>
            <w:r w:rsidRPr="0080737A">
              <w:rPr>
                <w:rFonts w:ascii="Times New Roman" w:hAnsi="Times New Roman"/>
                <w:b/>
              </w:rPr>
              <w:t>уд</w:t>
            </w:r>
            <w:proofErr w:type="gramStart"/>
            <w:r w:rsidRPr="0080737A">
              <w:rPr>
                <w:rFonts w:ascii="Times New Roman" w:hAnsi="Times New Roman"/>
                <w:b/>
              </w:rPr>
              <w:t>.в</w:t>
            </w:r>
            <w:proofErr w:type="gramEnd"/>
            <w:r w:rsidRPr="0080737A">
              <w:rPr>
                <w:rFonts w:ascii="Times New Roman" w:hAnsi="Times New Roman"/>
                <w:b/>
              </w:rPr>
              <w:t>ес</w:t>
            </w:r>
            <w:proofErr w:type="spellEnd"/>
            <w:r w:rsidRPr="0080737A">
              <w:rPr>
                <w:rFonts w:ascii="Times New Roman" w:hAnsi="Times New Roman"/>
                <w:b/>
              </w:rPr>
              <w:t>, %</w:t>
            </w:r>
          </w:p>
        </w:tc>
        <w:tc>
          <w:tcPr>
            <w:tcW w:w="1563" w:type="dxa"/>
            <w:vAlign w:val="center"/>
          </w:tcPr>
          <w:p w:rsidR="00A82107" w:rsidRPr="0080737A" w:rsidRDefault="00A82107" w:rsidP="00047DAA">
            <w:pPr>
              <w:spacing w:after="0" w:line="240" w:lineRule="auto"/>
              <w:contextualSpacing/>
              <w:jc w:val="center"/>
              <w:rPr>
                <w:rFonts w:ascii="Times New Roman" w:hAnsi="Times New Roman"/>
                <w:b/>
              </w:rPr>
            </w:pPr>
            <w:r w:rsidRPr="0080737A">
              <w:rPr>
                <w:rFonts w:ascii="Times New Roman" w:hAnsi="Times New Roman"/>
                <w:b/>
              </w:rPr>
              <w:t>факт</w:t>
            </w:r>
          </w:p>
        </w:tc>
        <w:tc>
          <w:tcPr>
            <w:tcW w:w="808" w:type="dxa"/>
            <w:shd w:val="clear" w:color="auto" w:fill="auto"/>
            <w:vAlign w:val="center"/>
          </w:tcPr>
          <w:p w:rsidR="00A82107" w:rsidRPr="0080737A" w:rsidRDefault="00A82107" w:rsidP="00047DAA">
            <w:pPr>
              <w:spacing w:after="0" w:line="240" w:lineRule="auto"/>
              <w:contextualSpacing/>
              <w:jc w:val="center"/>
              <w:rPr>
                <w:rFonts w:ascii="Times New Roman" w:hAnsi="Times New Roman"/>
                <w:b/>
              </w:rPr>
            </w:pPr>
            <w:proofErr w:type="spellStart"/>
            <w:r w:rsidRPr="0080737A">
              <w:rPr>
                <w:rFonts w:ascii="Times New Roman" w:hAnsi="Times New Roman"/>
                <w:b/>
              </w:rPr>
              <w:t>уд</w:t>
            </w:r>
            <w:proofErr w:type="gramStart"/>
            <w:r w:rsidRPr="0080737A">
              <w:rPr>
                <w:rFonts w:ascii="Times New Roman" w:hAnsi="Times New Roman"/>
                <w:b/>
              </w:rPr>
              <w:t>.в</w:t>
            </w:r>
            <w:proofErr w:type="gramEnd"/>
            <w:r w:rsidRPr="0080737A">
              <w:rPr>
                <w:rFonts w:ascii="Times New Roman" w:hAnsi="Times New Roman"/>
                <w:b/>
              </w:rPr>
              <w:t>ес</w:t>
            </w:r>
            <w:proofErr w:type="spellEnd"/>
            <w:r w:rsidRPr="0080737A">
              <w:rPr>
                <w:rFonts w:ascii="Times New Roman" w:hAnsi="Times New Roman"/>
                <w:b/>
              </w:rPr>
              <w:t>, %</w:t>
            </w:r>
          </w:p>
        </w:tc>
        <w:tc>
          <w:tcPr>
            <w:tcW w:w="1381" w:type="dxa"/>
            <w:vMerge/>
            <w:shd w:val="clear" w:color="auto" w:fill="auto"/>
            <w:vAlign w:val="center"/>
          </w:tcPr>
          <w:p w:rsidR="00A82107" w:rsidRPr="0080737A" w:rsidRDefault="00A82107" w:rsidP="00047DAA">
            <w:pPr>
              <w:spacing w:after="0" w:line="240" w:lineRule="auto"/>
              <w:ind w:left="-213" w:hanging="9"/>
              <w:contextualSpacing/>
              <w:jc w:val="center"/>
              <w:rPr>
                <w:rFonts w:ascii="Times New Roman" w:hAnsi="Times New Roman"/>
                <w:b/>
              </w:rPr>
            </w:pPr>
          </w:p>
        </w:tc>
      </w:tr>
      <w:tr w:rsidR="00A82107" w:rsidRPr="0080737A" w:rsidTr="00047DAA">
        <w:trPr>
          <w:trHeight w:val="245"/>
          <w:jc w:val="center"/>
        </w:trPr>
        <w:tc>
          <w:tcPr>
            <w:tcW w:w="3223" w:type="dxa"/>
            <w:vAlign w:val="center"/>
          </w:tcPr>
          <w:p w:rsidR="00A82107" w:rsidRPr="0080737A" w:rsidRDefault="00A82107" w:rsidP="00047DAA">
            <w:pPr>
              <w:spacing w:after="0" w:line="240" w:lineRule="auto"/>
              <w:ind w:left="-54" w:firstLine="14"/>
              <w:contextualSpacing/>
              <w:rPr>
                <w:rFonts w:ascii="Times New Roman" w:hAnsi="Times New Roman"/>
                <w:b/>
                <w:bCs/>
              </w:rPr>
            </w:pPr>
            <w:r w:rsidRPr="0080737A">
              <w:rPr>
                <w:rFonts w:ascii="Times New Roman" w:hAnsi="Times New Roman"/>
                <w:b/>
                <w:bCs/>
              </w:rPr>
              <w:t>Доходы всего, в т.ч.</w:t>
            </w:r>
          </w:p>
        </w:tc>
        <w:tc>
          <w:tcPr>
            <w:tcW w:w="1529" w:type="dxa"/>
            <w:vAlign w:val="bottom"/>
          </w:tcPr>
          <w:p w:rsidR="00A82107" w:rsidRPr="0080737A" w:rsidRDefault="00A82107" w:rsidP="00047DAA">
            <w:pPr>
              <w:spacing w:after="0" w:line="240" w:lineRule="auto"/>
              <w:contextualSpacing/>
              <w:jc w:val="right"/>
              <w:rPr>
                <w:rFonts w:ascii="Times New Roman" w:hAnsi="Times New Roman"/>
                <w:b/>
                <w:bCs/>
              </w:rPr>
            </w:pPr>
            <w:r w:rsidRPr="0080737A">
              <w:rPr>
                <w:rFonts w:ascii="Times New Roman" w:hAnsi="Times New Roman"/>
                <w:b/>
                <w:bCs/>
              </w:rPr>
              <w:t>1 070 626 827</w:t>
            </w:r>
          </w:p>
        </w:tc>
        <w:tc>
          <w:tcPr>
            <w:tcW w:w="711" w:type="dxa"/>
            <w:vAlign w:val="bottom"/>
          </w:tcPr>
          <w:p w:rsidR="00A82107" w:rsidRPr="0080737A" w:rsidRDefault="00A82107" w:rsidP="00047DAA">
            <w:pPr>
              <w:spacing w:after="0" w:line="240" w:lineRule="auto"/>
              <w:contextualSpacing/>
              <w:jc w:val="right"/>
              <w:rPr>
                <w:rFonts w:ascii="Times New Roman" w:hAnsi="Times New Roman"/>
                <w:b/>
                <w:bCs/>
              </w:rPr>
            </w:pPr>
            <w:r w:rsidRPr="0080737A">
              <w:rPr>
                <w:rFonts w:ascii="Times New Roman" w:hAnsi="Times New Roman"/>
                <w:b/>
                <w:bCs/>
              </w:rPr>
              <w:t>100,0</w:t>
            </w:r>
          </w:p>
        </w:tc>
        <w:tc>
          <w:tcPr>
            <w:tcW w:w="1563" w:type="dxa"/>
            <w:vAlign w:val="bottom"/>
          </w:tcPr>
          <w:p w:rsidR="00A82107" w:rsidRPr="0080737A" w:rsidRDefault="00A82107" w:rsidP="00047DAA">
            <w:pPr>
              <w:spacing w:after="0" w:line="240" w:lineRule="auto"/>
              <w:contextualSpacing/>
              <w:jc w:val="right"/>
              <w:rPr>
                <w:rFonts w:ascii="Times New Roman" w:hAnsi="Times New Roman"/>
                <w:b/>
                <w:bCs/>
              </w:rPr>
            </w:pPr>
            <w:r w:rsidRPr="0080737A">
              <w:rPr>
                <w:rFonts w:ascii="Times New Roman" w:hAnsi="Times New Roman"/>
                <w:b/>
                <w:bCs/>
              </w:rPr>
              <w:t>1 144 420 840</w:t>
            </w:r>
          </w:p>
        </w:tc>
        <w:tc>
          <w:tcPr>
            <w:tcW w:w="808" w:type="dxa"/>
            <w:vAlign w:val="bottom"/>
          </w:tcPr>
          <w:p w:rsidR="00A82107" w:rsidRPr="0080737A" w:rsidRDefault="00A82107" w:rsidP="00047DAA">
            <w:pPr>
              <w:spacing w:after="0" w:line="240" w:lineRule="auto"/>
              <w:contextualSpacing/>
              <w:jc w:val="right"/>
              <w:rPr>
                <w:rFonts w:ascii="Times New Roman" w:hAnsi="Times New Roman"/>
                <w:b/>
                <w:bCs/>
              </w:rPr>
            </w:pPr>
            <w:r w:rsidRPr="0080737A">
              <w:rPr>
                <w:rFonts w:ascii="Times New Roman" w:hAnsi="Times New Roman"/>
                <w:b/>
                <w:bCs/>
              </w:rPr>
              <w:t>100,0</w:t>
            </w:r>
          </w:p>
        </w:tc>
        <w:tc>
          <w:tcPr>
            <w:tcW w:w="1381" w:type="dxa"/>
            <w:vAlign w:val="bottom"/>
          </w:tcPr>
          <w:p w:rsidR="00A82107" w:rsidRPr="0080737A" w:rsidRDefault="00A82107" w:rsidP="00047DAA">
            <w:pPr>
              <w:spacing w:after="0" w:line="240" w:lineRule="auto"/>
              <w:contextualSpacing/>
              <w:jc w:val="right"/>
              <w:rPr>
                <w:rFonts w:ascii="Times New Roman" w:hAnsi="Times New Roman"/>
                <w:b/>
              </w:rPr>
            </w:pPr>
            <w:r w:rsidRPr="0080737A">
              <w:rPr>
                <w:rFonts w:ascii="Times New Roman" w:hAnsi="Times New Roman"/>
                <w:b/>
              </w:rPr>
              <w:t>106,9</w:t>
            </w:r>
          </w:p>
        </w:tc>
      </w:tr>
      <w:tr w:rsidR="00A82107" w:rsidRPr="0080737A" w:rsidTr="00047DAA">
        <w:trPr>
          <w:trHeight w:val="242"/>
          <w:jc w:val="center"/>
        </w:trPr>
        <w:tc>
          <w:tcPr>
            <w:tcW w:w="3223" w:type="dxa"/>
          </w:tcPr>
          <w:p w:rsidR="00A82107" w:rsidRPr="0080737A" w:rsidRDefault="00A82107" w:rsidP="00047DAA">
            <w:pPr>
              <w:spacing w:after="0" w:line="240" w:lineRule="auto"/>
              <w:ind w:left="-54" w:firstLine="14"/>
              <w:contextualSpacing/>
              <w:rPr>
                <w:rFonts w:ascii="Times New Roman" w:hAnsi="Times New Roman"/>
              </w:rPr>
            </w:pPr>
            <w:r w:rsidRPr="0080737A">
              <w:rPr>
                <w:rFonts w:ascii="Times New Roman" w:hAnsi="Times New Roman"/>
              </w:rPr>
              <w:t>Налоговые платежи</w:t>
            </w:r>
          </w:p>
        </w:tc>
        <w:tc>
          <w:tcPr>
            <w:tcW w:w="1529"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 xml:space="preserve">828 932 153 </w:t>
            </w:r>
          </w:p>
        </w:tc>
        <w:tc>
          <w:tcPr>
            <w:tcW w:w="71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77,4</w:t>
            </w:r>
          </w:p>
        </w:tc>
        <w:tc>
          <w:tcPr>
            <w:tcW w:w="1563"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 xml:space="preserve">748 203 458 </w:t>
            </w:r>
          </w:p>
        </w:tc>
        <w:tc>
          <w:tcPr>
            <w:tcW w:w="808"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65,4</w:t>
            </w:r>
          </w:p>
        </w:tc>
        <w:tc>
          <w:tcPr>
            <w:tcW w:w="138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90,3</w:t>
            </w:r>
          </w:p>
        </w:tc>
      </w:tr>
      <w:tr w:rsidR="00A82107" w:rsidRPr="0080737A" w:rsidTr="00047DAA">
        <w:trPr>
          <w:trHeight w:val="195"/>
          <w:jc w:val="center"/>
        </w:trPr>
        <w:tc>
          <w:tcPr>
            <w:tcW w:w="3223" w:type="dxa"/>
          </w:tcPr>
          <w:p w:rsidR="00A82107" w:rsidRPr="0080737A" w:rsidRDefault="00A82107" w:rsidP="00047DAA">
            <w:pPr>
              <w:spacing w:after="0" w:line="240" w:lineRule="auto"/>
              <w:ind w:left="-54" w:firstLine="14"/>
              <w:contextualSpacing/>
              <w:rPr>
                <w:rFonts w:ascii="Times New Roman" w:hAnsi="Times New Roman"/>
              </w:rPr>
            </w:pPr>
            <w:r w:rsidRPr="0080737A">
              <w:rPr>
                <w:rFonts w:ascii="Times New Roman" w:hAnsi="Times New Roman"/>
              </w:rPr>
              <w:t>Неналоговые платежи, всего</w:t>
            </w:r>
          </w:p>
        </w:tc>
        <w:tc>
          <w:tcPr>
            <w:tcW w:w="1529"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 xml:space="preserve">25 919 185 </w:t>
            </w:r>
          </w:p>
        </w:tc>
        <w:tc>
          <w:tcPr>
            <w:tcW w:w="71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2,4</w:t>
            </w:r>
          </w:p>
        </w:tc>
        <w:tc>
          <w:tcPr>
            <w:tcW w:w="1563"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 xml:space="preserve">27 638 848 </w:t>
            </w:r>
          </w:p>
        </w:tc>
        <w:tc>
          <w:tcPr>
            <w:tcW w:w="808"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2,4</w:t>
            </w:r>
          </w:p>
        </w:tc>
        <w:tc>
          <w:tcPr>
            <w:tcW w:w="138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106,6</w:t>
            </w:r>
          </w:p>
        </w:tc>
      </w:tr>
      <w:tr w:rsidR="00A82107" w:rsidRPr="0080737A" w:rsidTr="00047DAA">
        <w:trPr>
          <w:trHeight w:val="535"/>
          <w:jc w:val="center"/>
        </w:trPr>
        <w:tc>
          <w:tcPr>
            <w:tcW w:w="3223" w:type="dxa"/>
          </w:tcPr>
          <w:p w:rsidR="00A82107" w:rsidRPr="0080737A" w:rsidRDefault="00A82107" w:rsidP="00047DAA">
            <w:pPr>
              <w:spacing w:after="0" w:line="240" w:lineRule="auto"/>
              <w:ind w:left="-54" w:firstLine="14"/>
              <w:contextualSpacing/>
              <w:rPr>
                <w:rFonts w:ascii="Times New Roman" w:hAnsi="Times New Roman"/>
                <w:i/>
              </w:rPr>
            </w:pPr>
            <w:r w:rsidRPr="0080737A">
              <w:rPr>
                <w:rFonts w:ascii="Times New Roman" w:hAnsi="Times New Roman"/>
                <w:i/>
              </w:rPr>
              <w:t>в т.ч. погашение налоговых и иных видов кредитов</w:t>
            </w:r>
          </w:p>
        </w:tc>
        <w:tc>
          <w:tcPr>
            <w:tcW w:w="1529" w:type="dxa"/>
            <w:vAlign w:val="bottom"/>
          </w:tcPr>
          <w:p w:rsidR="00A82107" w:rsidRPr="0080737A" w:rsidRDefault="00A82107" w:rsidP="00047DAA">
            <w:pPr>
              <w:spacing w:after="0" w:line="240" w:lineRule="auto"/>
              <w:contextualSpacing/>
              <w:jc w:val="right"/>
              <w:rPr>
                <w:rFonts w:ascii="Times New Roman" w:hAnsi="Times New Roman"/>
                <w:i/>
              </w:rPr>
            </w:pPr>
            <w:r w:rsidRPr="0080737A">
              <w:rPr>
                <w:rFonts w:ascii="Times New Roman" w:hAnsi="Times New Roman"/>
                <w:i/>
              </w:rPr>
              <w:t>2 156 843</w:t>
            </w:r>
          </w:p>
        </w:tc>
        <w:tc>
          <w:tcPr>
            <w:tcW w:w="711" w:type="dxa"/>
            <w:vAlign w:val="bottom"/>
          </w:tcPr>
          <w:p w:rsidR="00A82107" w:rsidRPr="0080737A" w:rsidRDefault="00A82107" w:rsidP="00047DAA">
            <w:pPr>
              <w:spacing w:after="0" w:line="240" w:lineRule="auto"/>
              <w:contextualSpacing/>
              <w:jc w:val="right"/>
              <w:rPr>
                <w:rFonts w:ascii="Times New Roman" w:hAnsi="Times New Roman"/>
                <w:i/>
              </w:rPr>
            </w:pPr>
            <w:r w:rsidRPr="0080737A">
              <w:rPr>
                <w:rFonts w:ascii="Times New Roman" w:hAnsi="Times New Roman"/>
                <w:i/>
              </w:rPr>
              <w:t>0,2</w:t>
            </w:r>
          </w:p>
        </w:tc>
        <w:tc>
          <w:tcPr>
            <w:tcW w:w="1563" w:type="dxa"/>
            <w:vAlign w:val="bottom"/>
          </w:tcPr>
          <w:p w:rsidR="00A82107" w:rsidRPr="0080737A" w:rsidRDefault="00A82107" w:rsidP="00047DAA">
            <w:pPr>
              <w:spacing w:after="0" w:line="240" w:lineRule="auto"/>
              <w:contextualSpacing/>
              <w:jc w:val="right"/>
              <w:rPr>
                <w:rFonts w:ascii="Times New Roman" w:hAnsi="Times New Roman"/>
                <w:i/>
              </w:rPr>
            </w:pPr>
            <w:r w:rsidRPr="0080737A">
              <w:rPr>
                <w:rFonts w:ascii="Times New Roman" w:hAnsi="Times New Roman"/>
                <w:i/>
              </w:rPr>
              <w:t xml:space="preserve">1 630 973 </w:t>
            </w:r>
          </w:p>
        </w:tc>
        <w:tc>
          <w:tcPr>
            <w:tcW w:w="808" w:type="dxa"/>
            <w:vAlign w:val="bottom"/>
          </w:tcPr>
          <w:p w:rsidR="00A82107" w:rsidRPr="0080737A" w:rsidRDefault="00A82107" w:rsidP="00047DAA">
            <w:pPr>
              <w:spacing w:after="0" w:line="240" w:lineRule="auto"/>
              <w:contextualSpacing/>
              <w:jc w:val="right"/>
              <w:rPr>
                <w:rFonts w:ascii="Times New Roman" w:hAnsi="Times New Roman"/>
                <w:i/>
              </w:rPr>
            </w:pPr>
            <w:r w:rsidRPr="0080737A">
              <w:rPr>
                <w:rFonts w:ascii="Times New Roman" w:hAnsi="Times New Roman"/>
                <w:i/>
              </w:rPr>
              <w:t>0,1</w:t>
            </w:r>
          </w:p>
        </w:tc>
        <w:tc>
          <w:tcPr>
            <w:tcW w:w="1381" w:type="dxa"/>
            <w:vAlign w:val="bottom"/>
          </w:tcPr>
          <w:p w:rsidR="00A82107" w:rsidRPr="0080737A" w:rsidRDefault="00A82107" w:rsidP="00047DAA">
            <w:pPr>
              <w:spacing w:after="0" w:line="240" w:lineRule="auto"/>
              <w:contextualSpacing/>
              <w:jc w:val="right"/>
              <w:rPr>
                <w:rFonts w:ascii="Times New Roman" w:hAnsi="Times New Roman"/>
                <w:i/>
              </w:rPr>
            </w:pPr>
            <w:r w:rsidRPr="0080737A">
              <w:rPr>
                <w:rFonts w:ascii="Times New Roman" w:hAnsi="Times New Roman"/>
                <w:i/>
              </w:rPr>
              <w:t>75,6</w:t>
            </w:r>
          </w:p>
        </w:tc>
      </w:tr>
      <w:tr w:rsidR="00A82107" w:rsidRPr="0080737A" w:rsidTr="00047DAA">
        <w:trPr>
          <w:trHeight w:val="395"/>
          <w:jc w:val="center"/>
        </w:trPr>
        <w:tc>
          <w:tcPr>
            <w:tcW w:w="3223" w:type="dxa"/>
          </w:tcPr>
          <w:p w:rsidR="00A82107" w:rsidRPr="0080737A" w:rsidRDefault="00A82107" w:rsidP="00047DAA">
            <w:pPr>
              <w:spacing w:after="0" w:line="240" w:lineRule="auto"/>
              <w:ind w:left="-54" w:firstLine="14"/>
              <w:contextualSpacing/>
              <w:rPr>
                <w:rFonts w:ascii="Times New Roman" w:hAnsi="Times New Roman"/>
              </w:rPr>
            </w:pPr>
            <w:r w:rsidRPr="0080737A">
              <w:rPr>
                <w:rFonts w:ascii="Times New Roman" w:hAnsi="Times New Roman"/>
              </w:rPr>
              <w:t>Доходы целевых бюджетных фондов</w:t>
            </w:r>
          </w:p>
        </w:tc>
        <w:tc>
          <w:tcPr>
            <w:tcW w:w="1529"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101 431 831</w:t>
            </w:r>
          </w:p>
        </w:tc>
        <w:tc>
          <w:tcPr>
            <w:tcW w:w="71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9,5</w:t>
            </w:r>
          </w:p>
        </w:tc>
        <w:tc>
          <w:tcPr>
            <w:tcW w:w="1563"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 xml:space="preserve">89 571 724 </w:t>
            </w:r>
          </w:p>
        </w:tc>
        <w:tc>
          <w:tcPr>
            <w:tcW w:w="808"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7,8</w:t>
            </w:r>
          </w:p>
        </w:tc>
        <w:tc>
          <w:tcPr>
            <w:tcW w:w="138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88,3</w:t>
            </w:r>
          </w:p>
        </w:tc>
      </w:tr>
      <w:tr w:rsidR="00A82107" w:rsidRPr="0080737A" w:rsidTr="00047DAA">
        <w:trPr>
          <w:trHeight w:val="274"/>
          <w:jc w:val="center"/>
        </w:trPr>
        <w:tc>
          <w:tcPr>
            <w:tcW w:w="3223" w:type="dxa"/>
          </w:tcPr>
          <w:p w:rsidR="00A82107" w:rsidRPr="0080737A" w:rsidRDefault="00A82107" w:rsidP="00047DAA">
            <w:pPr>
              <w:spacing w:after="0" w:line="240" w:lineRule="auto"/>
              <w:ind w:left="-54" w:firstLine="14"/>
              <w:contextualSpacing/>
              <w:rPr>
                <w:rFonts w:ascii="Times New Roman" w:hAnsi="Times New Roman"/>
              </w:rPr>
            </w:pPr>
            <w:r w:rsidRPr="0080737A">
              <w:rPr>
                <w:rFonts w:ascii="Times New Roman" w:hAnsi="Times New Roman"/>
              </w:rPr>
              <w:t>Доходы от предпринимательской и иной приносящей доход деятельности</w:t>
            </w:r>
          </w:p>
        </w:tc>
        <w:tc>
          <w:tcPr>
            <w:tcW w:w="1529"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 xml:space="preserve">112 333 457 </w:t>
            </w:r>
          </w:p>
        </w:tc>
        <w:tc>
          <w:tcPr>
            <w:tcW w:w="71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10,5</w:t>
            </w:r>
          </w:p>
        </w:tc>
        <w:tc>
          <w:tcPr>
            <w:tcW w:w="1563"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 xml:space="preserve">112 274 162 </w:t>
            </w:r>
          </w:p>
        </w:tc>
        <w:tc>
          <w:tcPr>
            <w:tcW w:w="808"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9,8</w:t>
            </w:r>
          </w:p>
        </w:tc>
        <w:tc>
          <w:tcPr>
            <w:tcW w:w="138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99,9</w:t>
            </w:r>
          </w:p>
        </w:tc>
      </w:tr>
      <w:tr w:rsidR="00A82107" w:rsidRPr="0080737A" w:rsidTr="00047DAA">
        <w:tblPrEx>
          <w:tblLook w:val="0000"/>
        </w:tblPrEx>
        <w:trPr>
          <w:trHeight w:val="278"/>
          <w:jc w:val="center"/>
        </w:trPr>
        <w:tc>
          <w:tcPr>
            <w:tcW w:w="3223" w:type="dxa"/>
          </w:tcPr>
          <w:p w:rsidR="00A82107" w:rsidRPr="0080737A" w:rsidRDefault="00A82107" w:rsidP="00047DAA">
            <w:pPr>
              <w:spacing w:after="0" w:line="240" w:lineRule="auto"/>
              <w:ind w:right="-146"/>
              <w:contextualSpacing/>
              <w:rPr>
                <w:rFonts w:ascii="Times New Roman" w:hAnsi="Times New Roman"/>
              </w:rPr>
            </w:pPr>
            <w:r w:rsidRPr="0080737A">
              <w:rPr>
                <w:rFonts w:ascii="Times New Roman" w:hAnsi="Times New Roman"/>
              </w:rPr>
              <w:t>Безвозмездные перечисления</w:t>
            </w:r>
          </w:p>
        </w:tc>
        <w:tc>
          <w:tcPr>
            <w:tcW w:w="1529" w:type="dxa"/>
            <w:vAlign w:val="center"/>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2 010 200</w:t>
            </w:r>
          </w:p>
        </w:tc>
        <w:tc>
          <w:tcPr>
            <w:tcW w:w="711" w:type="dxa"/>
            <w:vAlign w:val="center"/>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0,2</w:t>
            </w:r>
          </w:p>
        </w:tc>
        <w:tc>
          <w:tcPr>
            <w:tcW w:w="1563" w:type="dxa"/>
            <w:vAlign w:val="center"/>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 xml:space="preserve">1 269 180 </w:t>
            </w:r>
          </w:p>
        </w:tc>
        <w:tc>
          <w:tcPr>
            <w:tcW w:w="808" w:type="dxa"/>
            <w:vAlign w:val="center"/>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0,1</w:t>
            </w:r>
          </w:p>
        </w:tc>
        <w:tc>
          <w:tcPr>
            <w:tcW w:w="1381" w:type="dxa"/>
            <w:vAlign w:val="center"/>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63,1</w:t>
            </w:r>
          </w:p>
        </w:tc>
      </w:tr>
      <w:tr w:rsidR="00A82107" w:rsidRPr="0080737A" w:rsidTr="00047DAA">
        <w:tblPrEx>
          <w:tblLook w:val="0000"/>
        </w:tblPrEx>
        <w:trPr>
          <w:trHeight w:val="278"/>
          <w:jc w:val="center"/>
        </w:trPr>
        <w:tc>
          <w:tcPr>
            <w:tcW w:w="3223" w:type="dxa"/>
          </w:tcPr>
          <w:p w:rsidR="00A82107" w:rsidRPr="0080737A" w:rsidRDefault="00A82107" w:rsidP="00047DAA">
            <w:pPr>
              <w:spacing w:after="0" w:line="240" w:lineRule="auto"/>
              <w:ind w:right="-146"/>
              <w:contextualSpacing/>
              <w:rPr>
                <w:rFonts w:ascii="Times New Roman" w:hAnsi="Times New Roman"/>
              </w:rPr>
            </w:pPr>
            <w:r w:rsidRPr="0080737A">
              <w:rPr>
                <w:rFonts w:ascii="Times New Roman" w:hAnsi="Times New Roman"/>
              </w:rPr>
              <w:t>Социальный стабилизационный фонд (ССФ)</w:t>
            </w:r>
          </w:p>
        </w:tc>
        <w:tc>
          <w:tcPr>
            <w:tcW w:w="1529"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w:t>
            </w:r>
          </w:p>
        </w:tc>
        <w:tc>
          <w:tcPr>
            <w:tcW w:w="71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w:t>
            </w:r>
          </w:p>
        </w:tc>
        <w:tc>
          <w:tcPr>
            <w:tcW w:w="1563"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 xml:space="preserve">165 463 468 </w:t>
            </w:r>
          </w:p>
        </w:tc>
        <w:tc>
          <w:tcPr>
            <w:tcW w:w="808"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14,5</w:t>
            </w:r>
          </w:p>
        </w:tc>
        <w:tc>
          <w:tcPr>
            <w:tcW w:w="1381" w:type="dxa"/>
            <w:vAlign w:val="bottom"/>
          </w:tcPr>
          <w:p w:rsidR="00A82107" w:rsidRPr="0080737A" w:rsidRDefault="00A82107" w:rsidP="00047DAA">
            <w:pPr>
              <w:spacing w:after="0" w:line="240" w:lineRule="auto"/>
              <w:contextualSpacing/>
              <w:jc w:val="right"/>
              <w:rPr>
                <w:rFonts w:ascii="Times New Roman" w:hAnsi="Times New Roman"/>
              </w:rPr>
            </w:pPr>
            <w:r w:rsidRPr="0080737A">
              <w:rPr>
                <w:rFonts w:ascii="Times New Roman" w:hAnsi="Times New Roman"/>
              </w:rPr>
              <w:t>-</w:t>
            </w:r>
          </w:p>
        </w:tc>
      </w:tr>
    </w:tbl>
    <w:p w:rsidR="00A82107" w:rsidRPr="0080737A" w:rsidRDefault="00285C9F" w:rsidP="00285C9F">
      <w:pPr>
        <w:spacing w:after="0" w:line="240" w:lineRule="auto"/>
        <w:ind w:firstLine="709"/>
        <w:rPr>
          <w:rFonts w:ascii="Times New Roman" w:hAnsi="Times New Roman"/>
          <w:sz w:val="24"/>
          <w:szCs w:val="24"/>
        </w:rPr>
      </w:pPr>
      <w:r w:rsidRPr="0080737A">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386715</wp:posOffset>
            </wp:positionH>
            <wp:positionV relativeFrom="paragraph">
              <wp:posOffset>52070</wp:posOffset>
            </wp:positionV>
            <wp:extent cx="5172075" cy="2505075"/>
            <wp:effectExtent l="0" t="0" r="0" b="0"/>
            <wp:wrapSquare wrapText="bothSides"/>
            <wp:docPr id="2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A82107" w:rsidRPr="0080737A">
        <w:rPr>
          <w:rFonts w:ascii="Times New Roman" w:hAnsi="Times New Roman"/>
          <w:sz w:val="24"/>
          <w:szCs w:val="24"/>
        </w:rPr>
        <w:t xml:space="preserve">Наибольшая доля (65,4%) поступлений в доходную часть консолидированного бюджета принадлежит </w:t>
      </w:r>
      <w:r w:rsidR="00A82107" w:rsidRPr="0080737A">
        <w:rPr>
          <w:rFonts w:ascii="Times New Roman" w:hAnsi="Times New Roman"/>
          <w:b/>
          <w:sz w:val="24"/>
          <w:szCs w:val="24"/>
        </w:rPr>
        <w:t>налоговым платежам</w:t>
      </w:r>
      <w:r w:rsidR="00A82107" w:rsidRPr="0080737A">
        <w:rPr>
          <w:rFonts w:ascii="Times New Roman" w:hAnsi="Times New Roman"/>
          <w:sz w:val="24"/>
          <w:szCs w:val="24"/>
        </w:rPr>
        <w:t xml:space="preserve">, величина которых в январе-июне 2016 года </w:t>
      </w:r>
      <w:r w:rsidR="00A82107" w:rsidRPr="0080737A">
        <w:rPr>
          <w:rFonts w:ascii="Times New Roman" w:hAnsi="Times New Roman"/>
          <w:sz w:val="24"/>
          <w:szCs w:val="24"/>
        </w:rPr>
        <w:lastRenderedPageBreak/>
        <w:t>сократилась на 9,7% к базовому периоду прошлого года</w:t>
      </w:r>
      <w:r w:rsidR="00EF7D3C" w:rsidRPr="0080737A">
        <w:rPr>
          <w:rFonts w:ascii="Times New Roman" w:hAnsi="Times New Roman"/>
          <w:sz w:val="24"/>
          <w:szCs w:val="24"/>
        </w:rPr>
        <w:t xml:space="preserve"> </w:t>
      </w:r>
      <w:r w:rsidR="00A82107" w:rsidRPr="0080737A">
        <w:rPr>
          <w:rFonts w:ascii="Times New Roman" w:hAnsi="Times New Roman"/>
          <w:sz w:val="24"/>
          <w:szCs w:val="24"/>
        </w:rPr>
        <w:t>до 748 203 458 руб., что связано со спадом производства промышленной продукции, а также уменьшением внешнеэкономической активности хозяйствующих субъектов республики.</w:t>
      </w: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рассматриваемом периоде доходы Социального стабилизационного фонда Приднестровской Молдавской Республики составили 165 463 468 руб., сформировав 14,5% общих доходов консолидированного бюджета. Неналоговые поступления выросли на 6,6% по сравнению с аналогичным периодом 2015 года и сформировали порядка 2,4% всех поступлений консолидированного бюджета. При этом доля доходов целевых бюджетных фондов сократилась на 1,7 процентных пункта до 7,8%. Доходы от предпринимательской и иной приносящей доход деятельности остались на уровне базового периода минувшего года, сократив при этом свое долевое участие в доходную часть консолидированного бюджета на 0,7 процентных пункта до 9,8%.</w:t>
      </w:r>
    </w:p>
    <w:p w:rsidR="00A82107" w:rsidRPr="0080737A" w:rsidRDefault="00A82107" w:rsidP="00A82107">
      <w:pPr>
        <w:spacing w:after="0" w:line="240" w:lineRule="auto"/>
        <w:ind w:firstLine="709"/>
        <w:jc w:val="both"/>
        <w:rPr>
          <w:rFonts w:ascii="Times New Roman" w:hAnsi="Times New Roman"/>
          <w:b/>
          <w:sz w:val="24"/>
          <w:szCs w:val="24"/>
        </w:rPr>
      </w:pPr>
      <w:r w:rsidRPr="0080737A">
        <w:rPr>
          <w:rFonts w:ascii="Times New Roman" w:hAnsi="Times New Roman"/>
          <w:b/>
          <w:sz w:val="24"/>
          <w:szCs w:val="24"/>
        </w:rPr>
        <w:t>Налоговая нагрузка</w:t>
      </w:r>
      <w:r w:rsidRPr="0080737A">
        <w:rPr>
          <w:rFonts w:ascii="Times New Roman" w:hAnsi="Times New Roman"/>
          <w:sz w:val="24"/>
          <w:szCs w:val="24"/>
        </w:rPr>
        <w:t xml:space="preserve"> консолидированного бюджета в целом на экономику республики составила </w:t>
      </w:r>
      <w:r w:rsidRPr="0080737A">
        <w:rPr>
          <w:rFonts w:ascii="Times New Roman" w:hAnsi="Times New Roman"/>
          <w:b/>
          <w:sz w:val="24"/>
          <w:szCs w:val="24"/>
        </w:rPr>
        <w:t xml:space="preserve">17,2%, </w:t>
      </w:r>
      <w:r w:rsidRPr="0080737A">
        <w:rPr>
          <w:rFonts w:ascii="Times New Roman" w:hAnsi="Times New Roman"/>
          <w:sz w:val="24"/>
          <w:szCs w:val="24"/>
        </w:rPr>
        <w:t>незначительно</w:t>
      </w:r>
      <w:r w:rsidR="00EF7D3C" w:rsidRPr="0080737A">
        <w:rPr>
          <w:rFonts w:ascii="Times New Roman" w:hAnsi="Times New Roman"/>
          <w:sz w:val="24"/>
          <w:szCs w:val="24"/>
        </w:rPr>
        <w:t xml:space="preserve"> </w:t>
      </w:r>
      <w:r w:rsidRPr="0080737A">
        <w:rPr>
          <w:rFonts w:ascii="Times New Roman" w:hAnsi="Times New Roman"/>
          <w:sz w:val="24"/>
          <w:szCs w:val="24"/>
        </w:rPr>
        <w:t xml:space="preserve">увеличившись по сравнению с уровнем </w:t>
      </w:r>
      <w:r w:rsidR="00EF7D3C" w:rsidRPr="0080737A">
        <w:rPr>
          <w:rFonts w:ascii="Times New Roman" w:hAnsi="Times New Roman"/>
          <w:sz w:val="24"/>
          <w:szCs w:val="24"/>
        </w:rPr>
        <w:t xml:space="preserve">                     </w:t>
      </w:r>
      <w:r w:rsidRPr="0080737A">
        <w:rPr>
          <w:rFonts w:ascii="Times New Roman" w:hAnsi="Times New Roman"/>
          <w:sz w:val="24"/>
          <w:szCs w:val="24"/>
          <w:lang w:val="en-US"/>
        </w:rPr>
        <w:t>I</w:t>
      </w:r>
      <w:r w:rsidRPr="0080737A">
        <w:rPr>
          <w:rFonts w:ascii="Times New Roman" w:hAnsi="Times New Roman"/>
          <w:sz w:val="24"/>
          <w:szCs w:val="24"/>
        </w:rPr>
        <w:t xml:space="preserve"> полугодия 2015 года (</w:t>
      </w:r>
      <w:r w:rsidRPr="0080737A">
        <w:rPr>
          <w:rFonts w:ascii="Times New Roman" w:hAnsi="Times New Roman"/>
          <w:b/>
          <w:sz w:val="24"/>
          <w:szCs w:val="24"/>
        </w:rPr>
        <w:t>17,0%).</w:t>
      </w:r>
    </w:p>
    <w:p w:rsidR="00A82107" w:rsidRPr="0080737A" w:rsidRDefault="005C2655" w:rsidP="00A82107">
      <w:pPr>
        <w:spacing w:after="0" w:line="240" w:lineRule="auto"/>
        <w:jc w:val="right"/>
        <w:rPr>
          <w:rFonts w:ascii="Times New Roman" w:hAnsi="Times New Roman"/>
          <w:sz w:val="24"/>
          <w:szCs w:val="24"/>
        </w:rPr>
      </w:pPr>
      <w:r w:rsidRPr="0080737A">
        <w:rPr>
          <w:rFonts w:ascii="Times New Roman" w:hAnsi="Times New Roman"/>
          <w:sz w:val="24"/>
          <w:szCs w:val="24"/>
        </w:rPr>
        <w:t>Таблица №6</w:t>
      </w:r>
    </w:p>
    <w:p w:rsidR="00A82107" w:rsidRPr="0080737A" w:rsidRDefault="00A82107" w:rsidP="00A82107">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 xml:space="preserve">Структура налоговых поступлений в доходную часть </w:t>
      </w:r>
    </w:p>
    <w:p w:rsidR="00A82107" w:rsidRPr="0080737A" w:rsidRDefault="00A82107" w:rsidP="00A82107">
      <w:pPr>
        <w:spacing w:after="0" w:line="240" w:lineRule="auto"/>
        <w:ind w:left="142"/>
        <w:jc w:val="center"/>
        <w:rPr>
          <w:rFonts w:ascii="Times New Roman" w:hAnsi="Times New Roman"/>
          <w:b/>
          <w:sz w:val="24"/>
          <w:szCs w:val="24"/>
        </w:rPr>
      </w:pPr>
      <w:r w:rsidRPr="0080737A">
        <w:rPr>
          <w:rFonts w:ascii="Times New Roman" w:hAnsi="Times New Roman"/>
          <w:b/>
          <w:sz w:val="24"/>
          <w:szCs w:val="24"/>
        </w:rPr>
        <w:t>Консолидированного бюджета (руб.)</w:t>
      </w:r>
    </w:p>
    <w:tbl>
      <w:tblPr>
        <w:tblW w:w="9779" w:type="dxa"/>
        <w:jc w:val="center"/>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9"/>
        <w:gridCol w:w="1251"/>
        <w:gridCol w:w="690"/>
        <w:gridCol w:w="1255"/>
        <w:gridCol w:w="834"/>
        <w:gridCol w:w="695"/>
        <w:gridCol w:w="1325"/>
      </w:tblGrid>
      <w:tr w:rsidR="00A82107" w:rsidRPr="0080737A" w:rsidTr="00047DAA">
        <w:trPr>
          <w:trHeight w:val="840"/>
          <w:jc w:val="center"/>
        </w:trPr>
        <w:tc>
          <w:tcPr>
            <w:tcW w:w="3729" w:type="dxa"/>
            <w:vMerge w:val="restart"/>
            <w:vAlign w:val="center"/>
          </w:tcPr>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Вид платежа</w:t>
            </w:r>
          </w:p>
        </w:tc>
        <w:tc>
          <w:tcPr>
            <w:tcW w:w="1941" w:type="dxa"/>
            <w:gridSpan w:val="2"/>
            <w:vAlign w:val="center"/>
          </w:tcPr>
          <w:p w:rsidR="00A82107" w:rsidRPr="0080737A" w:rsidRDefault="00A82107" w:rsidP="00047DAA">
            <w:pPr>
              <w:spacing w:after="0" w:line="240" w:lineRule="auto"/>
              <w:ind w:left="-151" w:firstLine="151"/>
              <w:jc w:val="center"/>
              <w:rPr>
                <w:rFonts w:ascii="Times New Roman" w:hAnsi="Times New Roman"/>
                <w:b/>
                <w:sz w:val="24"/>
                <w:szCs w:val="24"/>
              </w:rPr>
            </w:pPr>
            <w:r w:rsidRPr="0080737A">
              <w:rPr>
                <w:rFonts w:ascii="Times New Roman" w:hAnsi="Times New Roman"/>
                <w:b/>
                <w:sz w:val="20"/>
                <w:szCs w:val="20"/>
              </w:rPr>
              <w:t>1 полугодие</w:t>
            </w:r>
          </w:p>
          <w:p w:rsidR="00A82107" w:rsidRPr="0080737A" w:rsidRDefault="00A82107" w:rsidP="00047DAA">
            <w:pPr>
              <w:spacing w:after="0" w:line="240" w:lineRule="auto"/>
              <w:ind w:left="-151" w:firstLine="151"/>
              <w:jc w:val="center"/>
              <w:rPr>
                <w:rFonts w:ascii="Times New Roman" w:hAnsi="Times New Roman"/>
                <w:b/>
                <w:sz w:val="20"/>
                <w:szCs w:val="20"/>
              </w:rPr>
            </w:pPr>
            <w:r w:rsidRPr="0080737A">
              <w:rPr>
                <w:rFonts w:ascii="Times New Roman" w:hAnsi="Times New Roman"/>
                <w:b/>
                <w:sz w:val="20"/>
                <w:szCs w:val="20"/>
              </w:rPr>
              <w:t>2015 года</w:t>
            </w:r>
          </w:p>
        </w:tc>
        <w:tc>
          <w:tcPr>
            <w:tcW w:w="2784" w:type="dxa"/>
            <w:gridSpan w:val="3"/>
            <w:vAlign w:val="center"/>
          </w:tcPr>
          <w:p w:rsidR="00A82107" w:rsidRPr="0080737A" w:rsidRDefault="00A82107" w:rsidP="00047DAA">
            <w:pPr>
              <w:spacing w:after="0" w:line="240" w:lineRule="auto"/>
              <w:jc w:val="center"/>
              <w:rPr>
                <w:rFonts w:ascii="Times New Roman" w:hAnsi="Times New Roman"/>
                <w:b/>
                <w:sz w:val="24"/>
                <w:szCs w:val="24"/>
              </w:rPr>
            </w:pPr>
            <w:r w:rsidRPr="0080737A">
              <w:rPr>
                <w:rFonts w:ascii="Times New Roman" w:hAnsi="Times New Roman"/>
                <w:b/>
                <w:sz w:val="20"/>
                <w:szCs w:val="20"/>
              </w:rPr>
              <w:t>1 полугодие</w:t>
            </w:r>
          </w:p>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2016 года</w:t>
            </w:r>
          </w:p>
        </w:tc>
        <w:tc>
          <w:tcPr>
            <w:tcW w:w="1325" w:type="dxa"/>
            <w:vMerge w:val="restart"/>
            <w:vAlign w:val="center"/>
          </w:tcPr>
          <w:p w:rsidR="00A82107" w:rsidRPr="0080737A" w:rsidRDefault="00A82107" w:rsidP="00047DAA">
            <w:pPr>
              <w:spacing w:after="0"/>
              <w:jc w:val="center"/>
              <w:rPr>
                <w:rFonts w:ascii="Times New Roman" w:hAnsi="Times New Roman"/>
                <w:b/>
                <w:sz w:val="20"/>
                <w:szCs w:val="20"/>
              </w:rPr>
            </w:pPr>
            <w:r w:rsidRPr="0080737A">
              <w:rPr>
                <w:rFonts w:ascii="Times New Roman" w:hAnsi="Times New Roman"/>
                <w:b/>
                <w:sz w:val="20"/>
                <w:szCs w:val="20"/>
              </w:rPr>
              <w:t xml:space="preserve">Темп роста/спада 2016 г. к 2015 г., % </w:t>
            </w:r>
          </w:p>
        </w:tc>
      </w:tr>
      <w:tr w:rsidR="00A82107" w:rsidRPr="0080737A" w:rsidTr="00047DAA">
        <w:trPr>
          <w:trHeight w:val="548"/>
          <w:jc w:val="center"/>
        </w:trPr>
        <w:tc>
          <w:tcPr>
            <w:tcW w:w="3729" w:type="dxa"/>
            <w:vMerge/>
            <w:vAlign w:val="center"/>
          </w:tcPr>
          <w:p w:rsidR="00A82107" w:rsidRPr="0080737A" w:rsidRDefault="00A82107" w:rsidP="00047DAA">
            <w:pPr>
              <w:spacing w:after="0" w:line="240" w:lineRule="auto"/>
              <w:jc w:val="center"/>
              <w:rPr>
                <w:rFonts w:ascii="Times New Roman" w:hAnsi="Times New Roman"/>
                <w:b/>
                <w:sz w:val="20"/>
                <w:szCs w:val="20"/>
              </w:rPr>
            </w:pPr>
          </w:p>
        </w:tc>
        <w:tc>
          <w:tcPr>
            <w:tcW w:w="1251" w:type="dxa"/>
            <w:vAlign w:val="center"/>
          </w:tcPr>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факт</w:t>
            </w:r>
          </w:p>
        </w:tc>
        <w:tc>
          <w:tcPr>
            <w:tcW w:w="690" w:type="dxa"/>
            <w:vAlign w:val="center"/>
          </w:tcPr>
          <w:p w:rsidR="00A82107" w:rsidRPr="0080737A" w:rsidRDefault="00A82107" w:rsidP="00047DAA">
            <w:pPr>
              <w:spacing w:after="0" w:line="240" w:lineRule="auto"/>
              <w:jc w:val="center"/>
              <w:rPr>
                <w:rFonts w:ascii="Times New Roman" w:hAnsi="Times New Roman"/>
                <w:b/>
                <w:sz w:val="20"/>
                <w:szCs w:val="20"/>
              </w:rPr>
            </w:pPr>
            <w:proofErr w:type="spellStart"/>
            <w:r w:rsidRPr="0080737A">
              <w:rPr>
                <w:rFonts w:ascii="Times New Roman" w:hAnsi="Times New Roman"/>
                <w:b/>
                <w:sz w:val="20"/>
                <w:szCs w:val="20"/>
              </w:rPr>
              <w:t>уд</w:t>
            </w:r>
            <w:proofErr w:type="gramStart"/>
            <w:r w:rsidRPr="0080737A">
              <w:rPr>
                <w:rFonts w:ascii="Times New Roman" w:hAnsi="Times New Roman"/>
                <w:b/>
                <w:sz w:val="20"/>
                <w:szCs w:val="20"/>
              </w:rPr>
              <w:t>.в</w:t>
            </w:r>
            <w:proofErr w:type="gramEnd"/>
            <w:r w:rsidRPr="0080737A">
              <w:rPr>
                <w:rFonts w:ascii="Times New Roman" w:hAnsi="Times New Roman"/>
                <w:b/>
                <w:sz w:val="20"/>
                <w:szCs w:val="20"/>
              </w:rPr>
              <w:t>ес</w:t>
            </w:r>
            <w:proofErr w:type="spellEnd"/>
            <w:r w:rsidRPr="0080737A">
              <w:rPr>
                <w:rFonts w:ascii="Times New Roman" w:hAnsi="Times New Roman"/>
                <w:b/>
                <w:sz w:val="20"/>
                <w:szCs w:val="20"/>
              </w:rPr>
              <w:t>, %</w:t>
            </w:r>
          </w:p>
        </w:tc>
        <w:tc>
          <w:tcPr>
            <w:tcW w:w="1255" w:type="dxa"/>
            <w:vAlign w:val="center"/>
          </w:tcPr>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факт</w:t>
            </w:r>
          </w:p>
        </w:tc>
        <w:tc>
          <w:tcPr>
            <w:tcW w:w="834" w:type="dxa"/>
            <w:vAlign w:val="center"/>
          </w:tcPr>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 исп. плана</w:t>
            </w:r>
          </w:p>
        </w:tc>
        <w:tc>
          <w:tcPr>
            <w:tcW w:w="695" w:type="dxa"/>
            <w:shd w:val="clear" w:color="auto" w:fill="auto"/>
            <w:vAlign w:val="center"/>
          </w:tcPr>
          <w:p w:rsidR="00A82107" w:rsidRPr="0080737A" w:rsidRDefault="00A82107" w:rsidP="00047DAA">
            <w:pPr>
              <w:spacing w:after="0" w:line="240" w:lineRule="auto"/>
              <w:jc w:val="center"/>
              <w:rPr>
                <w:rFonts w:ascii="Times New Roman" w:hAnsi="Times New Roman"/>
                <w:b/>
                <w:sz w:val="20"/>
                <w:szCs w:val="20"/>
              </w:rPr>
            </w:pPr>
            <w:proofErr w:type="spellStart"/>
            <w:r w:rsidRPr="0080737A">
              <w:rPr>
                <w:rFonts w:ascii="Times New Roman" w:hAnsi="Times New Roman"/>
                <w:b/>
                <w:sz w:val="20"/>
                <w:szCs w:val="20"/>
              </w:rPr>
              <w:t>уд</w:t>
            </w:r>
            <w:proofErr w:type="gramStart"/>
            <w:r w:rsidRPr="0080737A">
              <w:rPr>
                <w:rFonts w:ascii="Times New Roman" w:hAnsi="Times New Roman"/>
                <w:b/>
                <w:sz w:val="20"/>
                <w:szCs w:val="20"/>
              </w:rPr>
              <w:t>.в</w:t>
            </w:r>
            <w:proofErr w:type="gramEnd"/>
            <w:r w:rsidRPr="0080737A">
              <w:rPr>
                <w:rFonts w:ascii="Times New Roman" w:hAnsi="Times New Roman"/>
                <w:b/>
                <w:sz w:val="20"/>
                <w:szCs w:val="20"/>
              </w:rPr>
              <w:t>ес</w:t>
            </w:r>
            <w:proofErr w:type="spellEnd"/>
            <w:r w:rsidRPr="0080737A">
              <w:rPr>
                <w:rFonts w:ascii="Times New Roman" w:hAnsi="Times New Roman"/>
                <w:b/>
                <w:sz w:val="20"/>
                <w:szCs w:val="20"/>
              </w:rPr>
              <w:t>, %</w:t>
            </w:r>
          </w:p>
        </w:tc>
        <w:tc>
          <w:tcPr>
            <w:tcW w:w="1325" w:type="dxa"/>
            <w:vMerge/>
            <w:vAlign w:val="center"/>
          </w:tcPr>
          <w:p w:rsidR="00A82107" w:rsidRPr="0080737A" w:rsidRDefault="00A82107" w:rsidP="00047DAA">
            <w:pPr>
              <w:spacing w:after="0" w:line="240" w:lineRule="auto"/>
              <w:jc w:val="center"/>
              <w:rPr>
                <w:rFonts w:ascii="Times New Roman" w:hAnsi="Times New Roman"/>
                <w:b/>
                <w:sz w:val="20"/>
                <w:szCs w:val="20"/>
              </w:rPr>
            </w:pPr>
          </w:p>
        </w:tc>
      </w:tr>
      <w:tr w:rsidR="00A82107" w:rsidRPr="0080737A" w:rsidTr="00047DAA">
        <w:trPr>
          <w:trHeight w:val="491"/>
          <w:jc w:val="center"/>
        </w:trPr>
        <w:tc>
          <w:tcPr>
            <w:tcW w:w="3729" w:type="dxa"/>
          </w:tcPr>
          <w:p w:rsidR="00A82107" w:rsidRPr="0080737A" w:rsidRDefault="00A82107" w:rsidP="00047DAA">
            <w:pPr>
              <w:spacing w:after="0" w:line="240" w:lineRule="auto"/>
              <w:ind w:left="-91" w:right="-170"/>
              <w:rPr>
                <w:rFonts w:ascii="Times New Roman" w:hAnsi="Times New Roman"/>
                <w:sz w:val="20"/>
                <w:szCs w:val="20"/>
              </w:rPr>
            </w:pPr>
            <w:r w:rsidRPr="0080737A">
              <w:rPr>
                <w:rFonts w:ascii="Times New Roman" w:hAnsi="Times New Roman"/>
                <w:sz w:val="20"/>
                <w:szCs w:val="20"/>
              </w:rPr>
              <w:t>Налог на доходы организаций по отрасли (</w:t>
            </w:r>
            <w:proofErr w:type="spellStart"/>
            <w:r w:rsidRPr="0080737A">
              <w:rPr>
                <w:rFonts w:ascii="Times New Roman" w:hAnsi="Times New Roman"/>
                <w:sz w:val="20"/>
                <w:szCs w:val="20"/>
              </w:rPr>
              <w:t>подотрасли</w:t>
            </w:r>
            <w:proofErr w:type="spellEnd"/>
            <w:r w:rsidRPr="0080737A">
              <w:rPr>
                <w:rFonts w:ascii="Times New Roman" w:hAnsi="Times New Roman"/>
                <w:sz w:val="20"/>
                <w:szCs w:val="20"/>
              </w:rPr>
              <w:t>, виду деятельности)</w:t>
            </w:r>
          </w:p>
        </w:tc>
        <w:tc>
          <w:tcPr>
            <w:tcW w:w="1251" w:type="dxa"/>
            <w:vAlign w:val="center"/>
          </w:tcPr>
          <w:p w:rsidR="00A82107" w:rsidRPr="0080737A" w:rsidRDefault="00A82107" w:rsidP="00047DAA">
            <w:pPr>
              <w:jc w:val="center"/>
              <w:rPr>
                <w:rFonts w:ascii="Times New Roman" w:hAnsi="Times New Roman"/>
                <w:bCs/>
                <w:sz w:val="20"/>
                <w:szCs w:val="20"/>
              </w:rPr>
            </w:pPr>
            <w:r w:rsidRPr="0080737A">
              <w:rPr>
                <w:rFonts w:ascii="Times New Roman" w:hAnsi="Times New Roman"/>
                <w:bCs/>
                <w:sz w:val="20"/>
                <w:szCs w:val="20"/>
              </w:rPr>
              <w:t>368 454 132</w:t>
            </w:r>
          </w:p>
        </w:tc>
        <w:tc>
          <w:tcPr>
            <w:tcW w:w="690" w:type="dxa"/>
            <w:vAlign w:val="center"/>
          </w:tcPr>
          <w:p w:rsidR="00A82107" w:rsidRPr="0080737A" w:rsidRDefault="00A82107" w:rsidP="00047DAA">
            <w:pPr>
              <w:jc w:val="center"/>
              <w:rPr>
                <w:rFonts w:ascii="Times New Roman" w:hAnsi="Times New Roman"/>
                <w:bCs/>
                <w:sz w:val="20"/>
                <w:szCs w:val="20"/>
              </w:rPr>
            </w:pPr>
            <w:r w:rsidRPr="0080737A">
              <w:rPr>
                <w:rFonts w:ascii="Times New Roman" w:hAnsi="Times New Roman"/>
                <w:bCs/>
                <w:sz w:val="20"/>
                <w:szCs w:val="20"/>
              </w:rPr>
              <w:t>44,45</w:t>
            </w:r>
          </w:p>
        </w:tc>
        <w:tc>
          <w:tcPr>
            <w:tcW w:w="1255" w:type="dxa"/>
            <w:vAlign w:val="center"/>
          </w:tcPr>
          <w:p w:rsidR="00A82107" w:rsidRPr="0080737A" w:rsidRDefault="00A82107" w:rsidP="00047DAA">
            <w:pPr>
              <w:jc w:val="center"/>
              <w:rPr>
                <w:rFonts w:ascii="Times New Roman" w:hAnsi="Times New Roman"/>
                <w:bCs/>
                <w:sz w:val="20"/>
                <w:szCs w:val="20"/>
              </w:rPr>
            </w:pPr>
            <w:r w:rsidRPr="0080737A">
              <w:rPr>
                <w:rFonts w:ascii="Times New Roman" w:hAnsi="Times New Roman"/>
                <w:bCs/>
                <w:sz w:val="20"/>
                <w:szCs w:val="20"/>
              </w:rPr>
              <w:t xml:space="preserve">320 682 594 </w:t>
            </w:r>
          </w:p>
        </w:tc>
        <w:tc>
          <w:tcPr>
            <w:tcW w:w="834" w:type="dxa"/>
            <w:vAlign w:val="center"/>
          </w:tcPr>
          <w:p w:rsidR="00A82107" w:rsidRPr="0080737A" w:rsidRDefault="00A82107" w:rsidP="00047DAA">
            <w:pPr>
              <w:jc w:val="center"/>
              <w:rPr>
                <w:rFonts w:ascii="Times New Roman" w:hAnsi="Times New Roman"/>
                <w:bCs/>
                <w:sz w:val="20"/>
                <w:szCs w:val="20"/>
              </w:rPr>
            </w:pPr>
            <w:r w:rsidRPr="0080737A">
              <w:rPr>
                <w:rFonts w:ascii="Times New Roman" w:hAnsi="Times New Roman"/>
                <w:bCs/>
                <w:sz w:val="20"/>
                <w:szCs w:val="20"/>
              </w:rPr>
              <w:t>88,12</w:t>
            </w:r>
          </w:p>
        </w:tc>
        <w:tc>
          <w:tcPr>
            <w:tcW w:w="695" w:type="dxa"/>
            <w:vAlign w:val="center"/>
          </w:tcPr>
          <w:p w:rsidR="00A82107" w:rsidRPr="0080737A" w:rsidRDefault="00A82107" w:rsidP="00047DAA">
            <w:pPr>
              <w:jc w:val="center"/>
              <w:rPr>
                <w:rFonts w:ascii="Times New Roman" w:hAnsi="Times New Roman"/>
                <w:bCs/>
                <w:sz w:val="20"/>
                <w:szCs w:val="20"/>
              </w:rPr>
            </w:pPr>
            <w:r w:rsidRPr="0080737A">
              <w:rPr>
                <w:rFonts w:ascii="Times New Roman" w:hAnsi="Times New Roman"/>
                <w:bCs/>
                <w:sz w:val="20"/>
                <w:szCs w:val="20"/>
              </w:rPr>
              <w:t>42,86</w:t>
            </w:r>
          </w:p>
        </w:tc>
        <w:tc>
          <w:tcPr>
            <w:tcW w:w="132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87,0</w:t>
            </w:r>
          </w:p>
        </w:tc>
      </w:tr>
      <w:tr w:rsidR="00A82107" w:rsidRPr="0080737A" w:rsidTr="00047DAA">
        <w:trPr>
          <w:trHeight w:val="271"/>
          <w:jc w:val="center"/>
        </w:trPr>
        <w:tc>
          <w:tcPr>
            <w:tcW w:w="3729" w:type="dxa"/>
          </w:tcPr>
          <w:p w:rsidR="00A82107" w:rsidRPr="0080737A" w:rsidRDefault="00A82107" w:rsidP="00047DAA">
            <w:pPr>
              <w:spacing w:after="0" w:line="240" w:lineRule="auto"/>
              <w:ind w:left="-76"/>
              <w:rPr>
                <w:rFonts w:ascii="Times New Roman" w:hAnsi="Times New Roman"/>
                <w:sz w:val="20"/>
                <w:szCs w:val="20"/>
              </w:rPr>
            </w:pPr>
            <w:r w:rsidRPr="0080737A">
              <w:rPr>
                <w:rFonts w:ascii="Times New Roman" w:hAnsi="Times New Roman"/>
                <w:sz w:val="20"/>
                <w:szCs w:val="20"/>
              </w:rPr>
              <w:t>Подоходный налог с физических лиц</w:t>
            </w:r>
          </w:p>
        </w:tc>
        <w:tc>
          <w:tcPr>
            <w:tcW w:w="1251" w:type="dxa"/>
            <w:vAlign w:val="center"/>
          </w:tcPr>
          <w:p w:rsidR="00A82107" w:rsidRPr="0080737A" w:rsidRDefault="00A82107" w:rsidP="00047DAA">
            <w:pPr>
              <w:spacing w:after="0"/>
              <w:jc w:val="center"/>
              <w:rPr>
                <w:rFonts w:ascii="Times New Roman" w:hAnsi="Times New Roman"/>
                <w:bCs/>
                <w:sz w:val="20"/>
                <w:szCs w:val="20"/>
              </w:rPr>
            </w:pPr>
            <w:r w:rsidRPr="0080737A">
              <w:rPr>
                <w:rFonts w:ascii="Times New Roman" w:hAnsi="Times New Roman"/>
                <w:bCs/>
                <w:sz w:val="20"/>
                <w:szCs w:val="20"/>
              </w:rPr>
              <w:t>167 805 880</w:t>
            </w:r>
          </w:p>
        </w:tc>
        <w:tc>
          <w:tcPr>
            <w:tcW w:w="690" w:type="dxa"/>
            <w:vAlign w:val="center"/>
          </w:tcPr>
          <w:p w:rsidR="00A82107" w:rsidRPr="0080737A" w:rsidRDefault="00A82107" w:rsidP="00047DAA">
            <w:pPr>
              <w:spacing w:after="0"/>
              <w:jc w:val="center"/>
              <w:rPr>
                <w:rFonts w:ascii="Times New Roman" w:hAnsi="Times New Roman"/>
                <w:bCs/>
                <w:sz w:val="20"/>
                <w:szCs w:val="20"/>
              </w:rPr>
            </w:pPr>
            <w:r w:rsidRPr="0080737A">
              <w:rPr>
                <w:rFonts w:ascii="Times New Roman" w:hAnsi="Times New Roman"/>
                <w:bCs/>
                <w:sz w:val="20"/>
                <w:szCs w:val="20"/>
              </w:rPr>
              <w:t>20,24</w:t>
            </w:r>
          </w:p>
        </w:tc>
        <w:tc>
          <w:tcPr>
            <w:tcW w:w="1255" w:type="dxa"/>
            <w:vAlign w:val="center"/>
          </w:tcPr>
          <w:p w:rsidR="00A82107" w:rsidRPr="0080737A" w:rsidRDefault="00A82107" w:rsidP="00047DAA">
            <w:pPr>
              <w:spacing w:after="0"/>
              <w:jc w:val="center"/>
              <w:rPr>
                <w:rFonts w:ascii="Times New Roman" w:hAnsi="Times New Roman"/>
                <w:bCs/>
                <w:sz w:val="20"/>
                <w:szCs w:val="20"/>
              </w:rPr>
            </w:pPr>
            <w:r w:rsidRPr="0080737A">
              <w:rPr>
                <w:rFonts w:ascii="Times New Roman" w:hAnsi="Times New Roman"/>
                <w:bCs/>
                <w:sz w:val="20"/>
                <w:szCs w:val="20"/>
              </w:rPr>
              <w:t xml:space="preserve">171 480 617 </w:t>
            </w:r>
          </w:p>
        </w:tc>
        <w:tc>
          <w:tcPr>
            <w:tcW w:w="834" w:type="dxa"/>
            <w:vAlign w:val="center"/>
          </w:tcPr>
          <w:p w:rsidR="00A82107" w:rsidRPr="0080737A" w:rsidRDefault="00A82107" w:rsidP="00047DAA">
            <w:pPr>
              <w:spacing w:after="0"/>
              <w:jc w:val="center"/>
              <w:rPr>
                <w:rFonts w:ascii="Times New Roman" w:hAnsi="Times New Roman"/>
                <w:bCs/>
                <w:sz w:val="20"/>
                <w:szCs w:val="20"/>
              </w:rPr>
            </w:pPr>
            <w:r w:rsidRPr="0080737A">
              <w:rPr>
                <w:rFonts w:ascii="Times New Roman" w:hAnsi="Times New Roman"/>
                <w:bCs/>
                <w:sz w:val="20"/>
                <w:szCs w:val="20"/>
              </w:rPr>
              <w:t>87,90</w:t>
            </w:r>
          </w:p>
        </w:tc>
        <w:tc>
          <w:tcPr>
            <w:tcW w:w="695" w:type="dxa"/>
            <w:vAlign w:val="center"/>
          </w:tcPr>
          <w:p w:rsidR="00A82107" w:rsidRPr="0080737A" w:rsidRDefault="00A82107" w:rsidP="00047DAA">
            <w:pPr>
              <w:spacing w:after="0"/>
              <w:jc w:val="center"/>
              <w:rPr>
                <w:rFonts w:ascii="Times New Roman" w:hAnsi="Times New Roman"/>
                <w:bCs/>
                <w:sz w:val="20"/>
                <w:szCs w:val="20"/>
              </w:rPr>
            </w:pPr>
            <w:r w:rsidRPr="0080737A">
              <w:rPr>
                <w:rFonts w:ascii="Times New Roman" w:hAnsi="Times New Roman"/>
                <w:bCs/>
                <w:sz w:val="20"/>
                <w:szCs w:val="20"/>
              </w:rPr>
              <w:t>22,92</w:t>
            </w:r>
          </w:p>
        </w:tc>
        <w:tc>
          <w:tcPr>
            <w:tcW w:w="1325" w:type="dxa"/>
            <w:vAlign w:val="center"/>
          </w:tcPr>
          <w:p w:rsidR="00A82107" w:rsidRPr="0080737A" w:rsidRDefault="00A82107" w:rsidP="00047DAA">
            <w:pPr>
              <w:spacing w:after="0"/>
              <w:jc w:val="center"/>
              <w:rPr>
                <w:rFonts w:ascii="Times New Roman" w:hAnsi="Times New Roman"/>
                <w:sz w:val="20"/>
                <w:szCs w:val="20"/>
              </w:rPr>
            </w:pPr>
            <w:r w:rsidRPr="0080737A">
              <w:rPr>
                <w:rFonts w:ascii="Times New Roman" w:hAnsi="Times New Roman"/>
                <w:sz w:val="20"/>
                <w:szCs w:val="20"/>
              </w:rPr>
              <w:t>102,2</w:t>
            </w:r>
          </w:p>
        </w:tc>
      </w:tr>
      <w:tr w:rsidR="00A82107" w:rsidRPr="0080737A" w:rsidTr="00047DAA">
        <w:trPr>
          <w:trHeight w:val="363"/>
          <w:jc w:val="center"/>
        </w:trPr>
        <w:tc>
          <w:tcPr>
            <w:tcW w:w="3729" w:type="dxa"/>
          </w:tcPr>
          <w:p w:rsidR="00A82107" w:rsidRPr="0080737A" w:rsidRDefault="00A82107" w:rsidP="00047DAA">
            <w:pPr>
              <w:spacing w:after="0" w:line="240" w:lineRule="auto"/>
              <w:ind w:left="-91" w:right="-170"/>
              <w:rPr>
                <w:rFonts w:ascii="Times New Roman" w:hAnsi="Times New Roman"/>
                <w:sz w:val="20"/>
                <w:szCs w:val="20"/>
              </w:rPr>
            </w:pPr>
            <w:r w:rsidRPr="0080737A">
              <w:rPr>
                <w:rFonts w:ascii="Times New Roman" w:hAnsi="Times New Roman"/>
                <w:sz w:val="20"/>
                <w:szCs w:val="20"/>
              </w:rPr>
              <w:t>Налоги на товары и услуги, лицензионные и регистрационные сборы</w:t>
            </w:r>
          </w:p>
        </w:tc>
        <w:tc>
          <w:tcPr>
            <w:tcW w:w="1251"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63 720 338</w:t>
            </w:r>
          </w:p>
        </w:tc>
        <w:tc>
          <w:tcPr>
            <w:tcW w:w="690"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7,69</w:t>
            </w:r>
          </w:p>
        </w:tc>
        <w:tc>
          <w:tcPr>
            <w:tcW w:w="125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 xml:space="preserve">46 229 519 </w:t>
            </w:r>
          </w:p>
        </w:tc>
        <w:tc>
          <w:tcPr>
            <w:tcW w:w="834"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54,85</w:t>
            </w:r>
          </w:p>
        </w:tc>
        <w:tc>
          <w:tcPr>
            <w:tcW w:w="69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6,18</w:t>
            </w:r>
          </w:p>
        </w:tc>
        <w:tc>
          <w:tcPr>
            <w:tcW w:w="132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72,6</w:t>
            </w:r>
          </w:p>
        </w:tc>
      </w:tr>
      <w:tr w:rsidR="00A82107" w:rsidRPr="0080737A" w:rsidTr="00047DAA">
        <w:trPr>
          <w:trHeight w:val="224"/>
          <w:jc w:val="center"/>
        </w:trPr>
        <w:tc>
          <w:tcPr>
            <w:tcW w:w="3729" w:type="dxa"/>
          </w:tcPr>
          <w:p w:rsidR="00A82107" w:rsidRPr="0080737A" w:rsidRDefault="00A82107" w:rsidP="00047DAA">
            <w:pPr>
              <w:spacing w:after="0" w:line="240" w:lineRule="auto"/>
              <w:ind w:left="-91" w:right="-170"/>
              <w:rPr>
                <w:rFonts w:ascii="Times New Roman" w:hAnsi="Times New Roman"/>
                <w:sz w:val="20"/>
                <w:szCs w:val="20"/>
              </w:rPr>
            </w:pPr>
            <w:r w:rsidRPr="0080737A">
              <w:rPr>
                <w:rFonts w:ascii="Times New Roman" w:hAnsi="Times New Roman"/>
                <w:sz w:val="20"/>
                <w:szCs w:val="20"/>
              </w:rPr>
              <w:t>Налог на игорную деятельность</w:t>
            </w:r>
          </w:p>
        </w:tc>
        <w:tc>
          <w:tcPr>
            <w:tcW w:w="1251" w:type="dxa"/>
            <w:vAlign w:val="center"/>
          </w:tcPr>
          <w:p w:rsidR="00A82107" w:rsidRPr="0080737A" w:rsidRDefault="00A82107" w:rsidP="00047DAA">
            <w:pPr>
              <w:spacing w:after="0"/>
              <w:jc w:val="center"/>
              <w:rPr>
                <w:rFonts w:ascii="Times New Roman" w:hAnsi="Times New Roman"/>
                <w:sz w:val="20"/>
                <w:szCs w:val="20"/>
              </w:rPr>
            </w:pPr>
            <w:r w:rsidRPr="0080737A">
              <w:rPr>
                <w:rFonts w:ascii="Times New Roman" w:hAnsi="Times New Roman"/>
                <w:sz w:val="20"/>
                <w:szCs w:val="20"/>
              </w:rPr>
              <w:t>5 065 229</w:t>
            </w:r>
          </w:p>
        </w:tc>
        <w:tc>
          <w:tcPr>
            <w:tcW w:w="690" w:type="dxa"/>
            <w:vAlign w:val="center"/>
          </w:tcPr>
          <w:p w:rsidR="00A82107" w:rsidRPr="0080737A" w:rsidRDefault="00A82107" w:rsidP="00047DAA">
            <w:pPr>
              <w:spacing w:after="0"/>
              <w:jc w:val="center"/>
              <w:rPr>
                <w:rFonts w:ascii="Times New Roman" w:hAnsi="Times New Roman"/>
                <w:sz w:val="20"/>
                <w:szCs w:val="20"/>
              </w:rPr>
            </w:pPr>
            <w:r w:rsidRPr="0080737A">
              <w:rPr>
                <w:rFonts w:ascii="Times New Roman" w:hAnsi="Times New Roman"/>
                <w:sz w:val="20"/>
                <w:szCs w:val="20"/>
              </w:rPr>
              <w:t>0,61</w:t>
            </w:r>
          </w:p>
        </w:tc>
        <w:tc>
          <w:tcPr>
            <w:tcW w:w="1255" w:type="dxa"/>
            <w:vAlign w:val="center"/>
          </w:tcPr>
          <w:p w:rsidR="00A82107" w:rsidRPr="0080737A" w:rsidRDefault="00A82107" w:rsidP="00047DAA">
            <w:pPr>
              <w:spacing w:after="0"/>
              <w:jc w:val="center"/>
              <w:rPr>
                <w:rFonts w:ascii="Times New Roman" w:hAnsi="Times New Roman"/>
                <w:sz w:val="20"/>
                <w:szCs w:val="20"/>
              </w:rPr>
            </w:pPr>
            <w:r w:rsidRPr="0080737A">
              <w:rPr>
                <w:rFonts w:ascii="Times New Roman" w:hAnsi="Times New Roman"/>
                <w:sz w:val="20"/>
                <w:szCs w:val="20"/>
              </w:rPr>
              <w:t xml:space="preserve">4 791 385 </w:t>
            </w:r>
          </w:p>
        </w:tc>
        <w:tc>
          <w:tcPr>
            <w:tcW w:w="834" w:type="dxa"/>
            <w:vAlign w:val="center"/>
          </w:tcPr>
          <w:p w:rsidR="00A82107" w:rsidRPr="0080737A" w:rsidRDefault="00A82107" w:rsidP="00047DAA">
            <w:pPr>
              <w:spacing w:after="0"/>
              <w:jc w:val="center"/>
              <w:rPr>
                <w:rFonts w:ascii="Times New Roman" w:hAnsi="Times New Roman"/>
                <w:sz w:val="20"/>
                <w:szCs w:val="20"/>
              </w:rPr>
            </w:pPr>
            <w:r w:rsidRPr="0080737A">
              <w:rPr>
                <w:rFonts w:ascii="Times New Roman" w:hAnsi="Times New Roman"/>
                <w:sz w:val="20"/>
                <w:szCs w:val="20"/>
              </w:rPr>
              <w:t>96,27</w:t>
            </w:r>
          </w:p>
        </w:tc>
        <w:tc>
          <w:tcPr>
            <w:tcW w:w="695" w:type="dxa"/>
            <w:vAlign w:val="center"/>
          </w:tcPr>
          <w:p w:rsidR="00A82107" w:rsidRPr="0080737A" w:rsidRDefault="00A82107" w:rsidP="00047DAA">
            <w:pPr>
              <w:spacing w:after="0"/>
              <w:jc w:val="center"/>
              <w:rPr>
                <w:rFonts w:ascii="Times New Roman" w:hAnsi="Times New Roman"/>
                <w:sz w:val="20"/>
                <w:szCs w:val="20"/>
              </w:rPr>
            </w:pPr>
            <w:r w:rsidRPr="0080737A">
              <w:rPr>
                <w:rFonts w:ascii="Times New Roman" w:hAnsi="Times New Roman"/>
                <w:sz w:val="20"/>
                <w:szCs w:val="20"/>
              </w:rPr>
              <w:t>0,64</w:t>
            </w:r>
          </w:p>
        </w:tc>
        <w:tc>
          <w:tcPr>
            <w:tcW w:w="1325" w:type="dxa"/>
            <w:vAlign w:val="center"/>
          </w:tcPr>
          <w:p w:rsidR="00A82107" w:rsidRPr="0080737A" w:rsidRDefault="00A82107" w:rsidP="00047DAA">
            <w:pPr>
              <w:spacing w:after="0"/>
              <w:jc w:val="center"/>
              <w:rPr>
                <w:rFonts w:ascii="Times New Roman" w:hAnsi="Times New Roman"/>
                <w:sz w:val="20"/>
                <w:szCs w:val="20"/>
              </w:rPr>
            </w:pPr>
            <w:r w:rsidRPr="0080737A">
              <w:rPr>
                <w:rFonts w:ascii="Times New Roman" w:hAnsi="Times New Roman"/>
                <w:sz w:val="20"/>
                <w:szCs w:val="20"/>
              </w:rPr>
              <w:t>94,6</w:t>
            </w:r>
          </w:p>
        </w:tc>
      </w:tr>
      <w:tr w:rsidR="00A82107" w:rsidRPr="0080737A" w:rsidTr="00047DAA">
        <w:trPr>
          <w:trHeight w:val="387"/>
          <w:jc w:val="center"/>
        </w:trPr>
        <w:tc>
          <w:tcPr>
            <w:tcW w:w="3729" w:type="dxa"/>
          </w:tcPr>
          <w:p w:rsidR="00A82107" w:rsidRPr="0080737A" w:rsidRDefault="00A82107" w:rsidP="00047DAA">
            <w:pPr>
              <w:spacing w:after="0" w:line="240" w:lineRule="auto"/>
              <w:ind w:left="-91" w:right="-170"/>
              <w:rPr>
                <w:rFonts w:ascii="Times New Roman" w:hAnsi="Times New Roman"/>
                <w:sz w:val="20"/>
                <w:szCs w:val="20"/>
              </w:rPr>
            </w:pPr>
            <w:r w:rsidRPr="0080737A">
              <w:rPr>
                <w:rFonts w:ascii="Times New Roman" w:hAnsi="Times New Roman"/>
                <w:sz w:val="20"/>
                <w:szCs w:val="20"/>
              </w:rPr>
              <w:t>Платежи за пользование природными ресурсами</w:t>
            </w:r>
          </w:p>
        </w:tc>
        <w:tc>
          <w:tcPr>
            <w:tcW w:w="1251"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30 915 258</w:t>
            </w:r>
          </w:p>
        </w:tc>
        <w:tc>
          <w:tcPr>
            <w:tcW w:w="690"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3,73</w:t>
            </w:r>
          </w:p>
        </w:tc>
        <w:tc>
          <w:tcPr>
            <w:tcW w:w="125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 xml:space="preserve">32 448 610 </w:t>
            </w:r>
          </w:p>
        </w:tc>
        <w:tc>
          <w:tcPr>
            <w:tcW w:w="834"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96,58</w:t>
            </w:r>
          </w:p>
        </w:tc>
        <w:tc>
          <w:tcPr>
            <w:tcW w:w="69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4,34</w:t>
            </w:r>
          </w:p>
        </w:tc>
        <w:tc>
          <w:tcPr>
            <w:tcW w:w="132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105,0</w:t>
            </w:r>
          </w:p>
        </w:tc>
      </w:tr>
      <w:tr w:rsidR="00A82107" w:rsidRPr="0080737A" w:rsidTr="00047DAA">
        <w:trPr>
          <w:trHeight w:val="532"/>
          <w:jc w:val="center"/>
        </w:trPr>
        <w:tc>
          <w:tcPr>
            <w:tcW w:w="3729" w:type="dxa"/>
          </w:tcPr>
          <w:p w:rsidR="00A82107" w:rsidRPr="0080737A" w:rsidRDefault="00A82107" w:rsidP="00047DAA">
            <w:pPr>
              <w:spacing w:after="0" w:line="240" w:lineRule="auto"/>
              <w:ind w:left="-91" w:right="-170"/>
              <w:rPr>
                <w:rFonts w:ascii="Times New Roman" w:hAnsi="Times New Roman"/>
                <w:sz w:val="20"/>
                <w:szCs w:val="20"/>
              </w:rPr>
            </w:pPr>
            <w:r w:rsidRPr="0080737A">
              <w:rPr>
                <w:rFonts w:ascii="Times New Roman" w:hAnsi="Times New Roman"/>
                <w:sz w:val="20"/>
                <w:szCs w:val="20"/>
              </w:rPr>
              <w:t>Налоги на внешнюю торговлю и внешнеэкономические операции</w:t>
            </w:r>
          </w:p>
        </w:tc>
        <w:tc>
          <w:tcPr>
            <w:tcW w:w="1251"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136 580 213</w:t>
            </w:r>
          </w:p>
        </w:tc>
        <w:tc>
          <w:tcPr>
            <w:tcW w:w="690"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16,48</w:t>
            </w:r>
          </w:p>
        </w:tc>
        <w:tc>
          <w:tcPr>
            <w:tcW w:w="125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 xml:space="preserve">120 451 900 </w:t>
            </w:r>
          </w:p>
        </w:tc>
        <w:tc>
          <w:tcPr>
            <w:tcW w:w="834"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41,91</w:t>
            </w:r>
          </w:p>
        </w:tc>
        <w:tc>
          <w:tcPr>
            <w:tcW w:w="69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16,10</w:t>
            </w:r>
          </w:p>
        </w:tc>
        <w:tc>
          <w:tcPr>
            <w:tcW w:w="1325" w:type="dxa"/>
            <w:vAlign w:val="center"/>
          </w:tcPr>
          <w:p w:rsidR="00A82107" w:rsidRPr="0080737A" w:rsidRDefault="00A82107" w:rsidP="00047DAA">
            <w:pPr>
              <w:jc w:val="center"/>
              <w:rPr>
                <w:rFonts w:ascii="Times New Roman" w:hAnsi="Times New Roman"/>
                <w:sz w:val="20"/>
                <w:szCs w:val="20"/>
              </w:rPr>
            </w:pPr>
            <w:r w:rsidRPr="0080737A">
              <w:rPr>
                <w:rFonts w:ascii="Times New Roman" w:hAnsi="Times New Roman"/>
                <w:sz w:val="20"/>
                <w:szCs w:val="20"/>
              </w:rPr>
              <w:t>88,2</w:t>
            </w:r>
          </w:p>
        </w:tc>
      </w:tr>
      <w:tr w:rsidR="00A82107" w:rsidRPr="0080737A" w:rsidTr="00047DAA">
        <w:trPr>
          <w:trHeight w:val="303"/>
          <w:jc w:val="center"/>
        </w:trPr>
        <w:tc>
          <w:tcPr>
            <w:tcW w:w="3729" w:type="dxa"/>
          </w:tcPr>
          <w:p w:rsidR="00A82107" w:rsidRPr="0080737A" w:rsidRDefault="00A82107" w:rsidP="00047DAA">
            <w:pPr>
              <w:spacing w:after="0" w:line="240" w:lineRule="auto"/>
              <w:ind w:left="-91" w:right="-170"/>
              <w:rPr>
                <w:rFonts w:ascii="Times New Roman" w:hAnsi="Times New Roman"/>
                <w:sz w:val="20"/>
                <w:szCs w:val="20"/>
              </w:rPr>
            </w:pPr>
            <w:r w:rsidRPr="0080737A">
              <w:rPr>
                <w:rFonts w:ascii="Times New Roman" w:hAnsi="Times New Roman"/>
                <w:sz w:val="20"/>
                <w:szCs w:val="20"/>
              </w:rPr>
              <w:t>Прочие налоги, пошлины и сборы</w:t>
            </w:r>
          </w:p>
        </w:tc>
        <w:tc>
          <w:tcPr>
            <w:tcW w:w="1251" w:type="dxa"/>
          </w:tcPr>
          <w:p w:rsidR="00A82107" w:rsidRPr="0080737A" w:rsidRDefault="00A82107" w:rsidP="00047DAA">
            <w:pPr>
              <w:spacing w:after="0"/>
              <w:ind w:right="-130"/>
              <w:jc w:val="center"/>
              <w:rPr>
                <w:rFonts w:ascii="Times New Roman" w:hAnsi="Times New Roman"/>
                <w:sz w:val="20"/>
                <w:szCs w:val="20"/>
              </w:rPr>
            </w:pPr>
            <w:r w:rsidRPr="0080737A">
              <w:rPr>
                <w:rFonts w:ascii="Times New Roman" w:hAnsi="Times New Roman"/>
                <w:sz w:val="20"/>
                <w:szCs w:val="20"/>
              </w:rPr>
              <w:t>48 168 344</w:t>
            </w:r>
          </w:p>
        </w:tc>
        <w:tc>
          <w:tcPr>
            <w:tcW w:w="690" w:type="dxa"/>
          </w:tcPr>
          <w:p w:rsidR="00A82107" w:rsidRPr="0080737A" w:rsidRDefault="00A82107" w:rsidP="00047DAA">
            <w:pPr>
              <w:spacing w:after="0"/>
              <w:ind w:right="-160"/>
              <w:jc w:val="center"/>
              <w:rPr>
                <w:rFonts w:ascii="Times New Roman" w:hAnsi="Times New Roman"/>
                <w:sz w:val="20"/>
                <w:szCs w:val="20"/>
              </w:rPr>
            </w:pPr>
            <w:r w:rsidRPr="0080737A">
              <w:rPr>
                <w:rFonts w:ascii="Times New Roman" w:hAnsi="Times New Roman"/>
                <w:sz w:val="20"/>
                <w:szCs w:val="20"/>
              </w:rPr>
              <w:t>5,81</w:t>
            </w:r>
          </w:p>
        </w:tc>
        <w:tc>
          <w:tcPr>
            <w:tcW w:w="1255" w:type="dxa"/>
          </w:tcPr>
          <w:p w:rsidR="00A82107" w:rsidRPr="0080737A" w:rsidRDefault="00A82107" w:rsidP="00047DAA">
            <w:pPr>
              <w:spacing w:after="0"/>
              <w:ind w:right="-130"/>
              <w:jc w:val="center"/>
              <w:rPr>
                <w:rFonts w:ascii="Times New Roman" w:hAnsi="Times New Roman"/>
                <w:sz w:val="20"/>
                <w:szCs w:val="20"/>
              </w:rPr>
            </w:pPr>
            <w:r w:rsidRPr="0080737A">
              <w:rPr>
                <w:rFonts w:ascii="Times New Roman" w:hAnsi="Times New Roman"/>
                <w:sz w:val="20"/>
                <w:szCs w:val="20"/>
              </w:rPr>
              <w:t xml:space="preserve">42 521 958 </w:t>
            </w:r>
          </w:p>
        </w:tc>
        <w:tc>
          <w:tcPr>
            <w:tcW w:w="834" w:type="dxa"/>
          </w:tcPr>
          <w:p w:rsidR="00A82107" w:rsidRPr="0080737A" w:rsidRDefault="00A82107" w:rsidP="00047DAA">
            <w:pPr>
              <w:spacing w:after="0"/>
              <w:jc w:val="center"/>
              <w:rPr>
                <w:rFonts w:ascii="Times New Roman" w:hAnsi="Times New Roman"/>
                <w:sz w:val="20"/>
                <w:szCs w:val="20"/>
              </w:rPr>
            </w:pPr>
            <w:r w:rsidRPr="0080737A">
              <w:rPr>
                <w:rFonts w:ascii="Times New Roman" w:hAnsi="Times New Roman"/>
                <w:sz w:val="20"/>
                <w:szCs w:val="20"/>
              </w:rPr>
              <w:t>89,22</w:t>
            </w:r>
          </w:p>
        </w:tc>
        <w:tc>
          <w:tcPr>
            <w:tcW w:w="695" w:type="dxa"/>
          </w:tcPr>
          <w:p w:rsidR="00A82107" w:rsidRPr="0080737A" w:rsidRDefault="00A82107" w:rsidP="00047DAA">
            <w:pPr>
              <w:spacing w:after="0"/>
              <w:ind w:right="-160"/>
              <w:jc w:val="center"/>
              <w:rPr>
                <w:rFonts w:ascii="Times New Roman" w:hAnsi="Times New Roman"/>
                <w:sz w:val="20"/>
                <w:szCs w:val="20"/>
              </w:rPr>
            </w:pPr>
            <w:r w:rsidRPr="0080737A">
              <w:rPr>
                <w:rFonts w:ascii="Times New Roman" w:hAnsi="Times New Roman"/>
                <w:sz w:val="20"/>
                <w:szCs w:val="20"/>
              </w:rPr>
              <w:t>5,68</w:t>
            </w:r>
          </w:p>
        </w:tc>
        <w:tc>
          <w:tcPr>
            <w:tcW w:w="1325" w:type="dxa"/>
          </w:tcPr>
          <w:p w:rsidR="00A82107" w:rsidRPr="0080737A" w:rsidRDefault="00A82107" w:rsidP="00047DAA">
            <w:pPr>
              <w:spacing w:after="0"/>
              <w:jc w:val="center"/>
              <w:rPr>
                <w:rFonts w:ascii="Times New Roman" w:hAnsi="Times New Roman"/>
                <w:sz w:val="20"/>
                <w:szCs w:val="20"/>
              </w:rPr>
            </w:pPr>
            <w:r w:rsidRPr="0080737A">
              <w:rPr>
                <w:rFonts w:ascii="Times New Roman" w:hAnsi="Times New Roman"/>
                <w:sz w:val="20"/>
                <w:szCs w:val="20"/>
              </w:rPr>
              <w:t>88,3</w:t>
            </w:r>
          </w:p>
        </w:tc>
      </w:tr>
    </w:tbl>
    <w:p w:rsidR="00A82107" w:rsidRPr="0080737A" w:rsidRDefault="00A82107" w:rsidP="00A82107">
      <w:pPr>
        <w:spacing w:after="0" w:line="240" w:lineRule="auto"/>
        <w:ind w:hanging="284"/>
        <w:rPr>
          <w:rFonts w:ascii="Times New Roman" w:hAnsi="Times New Roman"/>
          <w:sz w:val="20"/>
          <w:szCs w:val="20"/>
        </w:rPr>
      </w:pPr>
      <w:r w:rsidRPr="0080737A">
        <w:rPr>
          <w:rFonts w:ascii="Times New Roman" w:hAnsi="Times New Roman"/>
          <w:noProof/>
          <w:sz w:val="20"/>
          <w:szCs w:val="20"/>
        </w:rPr>
        <w:drawing>
          <wp:anchor distT="0" distB="0" distL="114300" distR="114300" simplePos="0" relativeHeight="251668480" behindDoc="1" locked="0" layoutInCell="1" allowOverlap="1">
            <wp:simplePos x="0" y="0"/>
            <wp:positionH relativeFrom="column">
              <wp:posOffset>-184785</wp:posOffset>
            </wp:positionH>
            <wp:positionV relativeFrom="paragraph">
              <wp:posOffset>3810</wp:posOffset>
            </wp:positionV>
            <wp:extent cx="6267450" cy="2914650"/>
            <wp:effectExtent l="0" t="0" r="0" b="0"/>
            <wp:wrapTight wrapText="bothSides">
              <wp:wrapPolygon edited="0">
                <wp:start x="14378" y="141"/>
                <wp:lineTo x="131" y="706"/>
                <wp:lineTo x="0" y="1412"/>
                <wp:lineTo x="2429" y="2400"/>
                <wp:lineTo x="0" y="2824"/>
                <wp:lineTo x="66" y="3671"/>
                <wp:lineTo x="10176" y="4659"/>
                <wp:lineTo x="66" y="4941"/>
                <wp:lineTo x="66" y="5788"/>
                <wp:lineTo x="14247" y="6918"/>
                <wp:lineTo x="66" y="7200"/>
                <wp:lineTo x="66" y="8188"/>
                <wp:lineTo x="14969" y="9176"/>
                <wp:lineTo x="66" y="9318"/>
                <wp:lineTo x="0" y="13694"/>
                <wp:lineTo x="263" y="15953"/>
                <wp:lineTo x="460" y="19906"/>
                <wp:lineTo x="3939" y="20471"/>
                <wp:lineTo x="15691" y="20471"/>
                <wp:lineTo x="15691" y="20612"/>
                <wp:lineTo x="16019" y="20612"/>
                <wp:lineTo x="16085" y="20612"/>
                <wp:lineTo x="16019" y="20471"/>
                <wp:lineTo x="15954" y="20471"/>
                <wp:lineTo x="20550" y="19765"/>
                <wp:lineTo x="20418" y="18635"/>
                <wp:lineTo x="17267" y="18212"/>
                <wp:lineTo x="21469" y="17365"/>
                <wp:lineTo x="21469" y="15812"/>
                <wp:lineTo x="19827" y="13694"/>
                <wp:lineTo x="20024" y="12565"/>
                <wp:lineTo x="18974" y="12282"/>
                <wp:lineTo x="11161" y="11435"/>
                <wp:lineTo x="21206" y="10024"/>
                <wp:lineTo x="21403" y="9318"/>
                <wp:lineTo x="19959" y="9176"/>
                <wp:lineTo x="19827" y="7482"/>
                <wp:lineTo x="18252" y="6918"/>
                <wp:lineTo x="19105" y="6918"/>
                <wp:lineTo x="18908" y="6212"/>
                <wp:lineTo x="15888" y="4659"/>
                <wp:lineTo x="21403" y="3953"/>
                <wp:lineTo x="21469" y="3388"/>
                <wp:lineTo x="17923" y="2400"/>
                <wp:lineTo x="20878" y="2118"/>
                <wp:lineTo x="21469" y="282"/>
                <wp:lineTo x="20878" y="141"/>
                <wp:lineTo x="14378" y="141"/>
              </wp:wrapPolygon>
            </wp:wrapTight>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A82107" w:rsidRPr="0080737A" w:rsidRDefault="00A82107" w:rsidP="00A82107">
      <w:pPr>
        <w:spacing w:after="0" w:line="240" w:lineRule="auto"/>
        <w:rPr>
          <w:rFonts w:ascii="Times New Roman" w:hAnsi="Times New Roman"/>
          <w:sz w:val="20"/>
          <w:szCs w:val="20"/>
        </w:rPr>
      </w:pPr>
      <w:r w:rsidRPr="0080737A">
        <w:rPr>
          <w:rFonts w:ascii="Times New Roman" w:hAnsi="Times New Roman"/>
          <w:sz w:val="20"/>
          <w:szCs w:val="20"/>
        </w:rPr>
        <w:t>* - темп роста/спада к предыдущему году</w:t>
      </w:r>
    </w:p>
    <w:p w:rsidR="00A82107" w:rsidRPr="0080737A" w:rsidRDefault="00A82107" w:rsidP="00A82107">
      <w:pPr>
        <w:spacing w:after="0" w:line="240" w:lineRule="auto"/>
        <w:ind w:firstLine="709"/>
        <w:jc w:val="both"/>
        <w:rPr>
          <w:rFonts w:ascii="Times New Roman" w:hAnsi="Times New Roman"/>
          <w:sz w:val="24"/>
          <w:szCs w:val="24"/>
        </w:rPr>
      </w:pP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t>Наибольшую долю (42,9%) в налоговых поступлениях занимают платежи</w:t>
      </w:r>
      <w:r w:rsidRPr="0080737A">
        <w:rPr>
          <w:rFonts w:ascii="Times New Roman" w:hAnsi="Times New Roman"/>
          <w:b/>
          <w:sz w:val="24"/>
          <w:szCs w:val="24"/>
        </w:rPr>
        <w:t xml:space="preserve"> по налогу на доходы организаций</w:t>
      </w:r>
      <w:r w:rsidRPr="0080737A">
        <w:rPr>
          <w:rFonts w:ascii="Times New Roman" w:hAnsi="Times New Roman"/>
          <w:sz w:val="24"/>
          <w:szCs w:val="24"/>
        </w:rPr>
        <w:t xml:space="preserve">, которые уменьшились на 13,0% по сравнению с </w:t>
      </w:r>
      <w:r w:rsidRPr="0080737A">
        <w:rPr>
          <w:rFonts w:ascii="Times New Roman" w:hAnsi="Times New Roman"/>
          <w:sz w:val="24"/>
          <w:szCs w:val="24"/>
        </w:rPr>
        <w:lastRenderedPageBreak/>
        <w:t xml:space="preserve">аналогичным показателем минувшего года. Главной причиной сокращения поступлений стало падение производства продукции на 54 предприятиях, что составляет 60% от их общего числа. На фоне сокращения поступлений по данному виду платежей, их удельный вес по сравнению с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полугодием 2015 года также сократился на 1,6 процентных пункта до 42,9%. </w:t>
      </w: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Поступления </w:t>
      </w:r>
      <w:r w:rsidRPr="0080737A">
        <w:rPr>
          <w:rFonts w:ascii="Times New Roman" w:hAnsi="Times New Roman"/>
          <w:b/>
          <w:sz w:val="24"/>
          <w:szCs w:val="24"/>
        </w:rPr>
        <w:t>по подоходному налогу с физических лиц</w:t>
      </w:r>
      <w:r w:rsidRPr="0080737A">
        <w:rPr>
          <w:rFonts w:ascii="Times New Roman" w:hAnsi="Times New Roman"/>
          <w:sz w:val="24"/>
          <w:szCs w:val="24"/>
        </w:rPr>
        <w:t xml:space="preserve"> увеличились по сравнению с соответствующим периодом прошлого года на 2,2%, при этом их удельный вес в налоговых платежах вырос на 2,7 процентных пункта и составил 22,9%.</w:t>
      </w:r>
    </w:p>
    <w:p w:rsidR="00A82107" w:rsidRPr="0080737A" w:rsidRDefault="00A82107" w:rsidP="00A82107">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Платежи</w:t>
      </w:r>
      <w:r w:rsidRPr="0080737A">
        <w:rPr>
          <w:rFonts w:ascii="Times New Roman" w:hAnsi="Times New Roman"/>
          <w:b/>
          <w:sz w:val="24"/>
          <w:szCs w:val="24"/>
        </w:rPr>
        <w:t xml:space="preserve"> по налогам на внешнюю торговлю и внешнеэкономические операции</w:t>
      </w:r>
      <w:r w:rsidRPr="0080737A">
        <w:rPr>
          <w:rFonts w:ascii="Times New Roman" w:hAnsi="Times New Roman"/>
          <w:sz w:val="24"/>
          <w:szCs w:val="24"/>
        </w:rPr>
        <w:t xml:space="preserve"> на фоне продолжающейся нестабильной внешнеполитической и экономической конъюнктурной ситуацией в сопредельных государствах, а также установленными со стороны Украины ограничениями по перемещению определенных категорий товаров сократились на 11,8% по сравнению с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полугодием 2015 года, сократив также долевое участие в налоговых платежах консолидированного бюджета на 0,4 процентных пункта до 16,1%.</w:t>
      </w:r>
      <w:proofErr w:type="gramEnd"/>
    </w:p>
    <w:p w:rsidR="00A82107" w:rsidRPr="0080737A" w:rsidRDefault="00A82107" w:rsidP="00A82107">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Поступления по</w:t>
      </w:r>
      <w:r w:rsidRPr="0080737A">
        <w:rPr>
          <w:rFonts w:ascii="Times New Roman" w:hAnsi="Times New Roman"/>
          <w:b/>
          <w:sz w:val="24"/>
          <w:szCs w:val="24"/>
        </w:rPr>
        <w:t xml:space="preserve"> налогам на товары и услуги, лицензионные регистрационные сборы</w:t>
      </w:r>
      <w:r w:rsidRPr="0080737A">
        <w:rPr>
          <w:rFonts w:ascii="Times New Roman" w:hAnsi="Times New Roman"/>
          <w:sz w:val="24"/>
          <w:szCs w:val="24"/>
        </w:rPr>
        <w:t xml:space="preserve">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уменьшились на 27,4% по сравнению с соответствующим периодом прошлого года, сузив при этом свой удельный вес в налоговых платежах на 1,5 процентных пункта до 6,2%, что связано с отсутствием в рассматриваемом периоде поступлений в консолидированный бюджет средств по ценным бумагам (Государственным казначейским обязательствам, Государственным облигациям</w:t>
      </w:r>
      <w:proofErr w:type="gramEnd"/>
      <w:r w:rsidRPr="0080737A">
        <w:rPr>
          <w:rFonts w:ascii="Times New Roman" w:hAnsi="Times New Roman"/>
          <w:sz w:val="24"/>
          <w:szCs w:val="24"/>
        </w:rPr>
        <w:t>, векселям).</w:t>
      </w:r>
    </w:p>
    <w:p w:rsidR="00A82107" w:rsidRPr="0080737A" w:rsidRDefault="00A82107" w:rsidP="00A82107">
      <w:pPr>
        <w:autoSpaceDE w:val="0"/>
        <w:autoSpaceDN w:val="0"/>
        <w:adjustRightInd w:val="0"/>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Поступления </w:t>
      </w:r>
      <w:r w:rsidRPr="0080737A">
        <w:rPr>
          <w:rFonts w:ascii="Times New Roman" w:hAnsi="Times New Roman"/>
          <w:b/>
          <w:sz w:val="24"/>
          <w:szCs w:val="24"/>
        </w:rPr>
        <w:t>платежей за пользование природными ресурсами</w:t>
      </w:r>
      <w:r w:rsidRPr="0080737A">
        <w:rPr>
          <w:rFonts w:ascii="Times New Roman" w:hAnsi="Times New Roman"/>
          <w:sz w:val="24"/>
          <w:szCs w:val="24"/>
        </w:rPr>
        <w:t xml:space="preserve"> за январь – июнь 2016 года выросли на 5,0% по сравнению с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полугодием 2015 года, что обусловлено поступлениями сумм земельного налога на земли сельскохозяйственного назначения в виде недоимки, сложившейся в предыдущий налоговый период. При этом их удельный вес в налоговых платежах вырос на 0,6 процентных пункта до 4,3%. </w:t>
      </w: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январе – июне 2016 года</w:t>
      </w:r>
      <w:r w:rsidRPr="0080737A">
        <w:rPr>
          <w:rFonts w:ascii="Times New Roman" w:hAnsi="Times New Roman"/>
          <w:b/>
          <w:sz w:val="24"/>
          <w:szCs w:val="24"/>
        </w:rPr>
        <w:t xml:space="preserve"> неналоговые поступления</w:t>
      </w:r>
      <w:r w:rsidRPr="0080737A">
        <w:rPr>
          <w:rFonts w:ascii="Times New Roman" w:hAnsi="Times New Roman"/>
          <w:sz w:val="24"/>
          <w:szCs w:val="24"/>
        </w:rPr>
        <w:t xml:space="preserve"> сложились в сумме </w:t>
      </w:r>
      <w:r w:rsidRPr="0080737A">
        <w:rPr>
          <w:rFonts w:ascii="Times New Roman" w:hAnsi="Times New Roman"/>
        </w:rPr>
        <w:t>27 638 848 руб</w:t>
      </w:r>
      <w:r w:rsidRPr="0080737A">
        <w:rPr>
          <w:rFonts w:ascii="Times New Roman" w:hAnsi="Times New Roman"/>
          <w:sz w:val="24"/>
          <w:szCs w:val="24"/>
        </w:rPr>
        <w:t>., что составило 2,4% общих доходов консолидированного бюджета, увеличившись на 6,6% по сравнению с аналогичным периодом прошлого года.</w:t>
      </w:r>
    </w:p>
    <w:p w:rsidR="00DE0C53" w:rsidRPr="0080737A" w:rsidRDefault="00DE0C53" w:rsidP="00A82107">
      <w:pPr>
        <w:spacing w:after="0" w:line="240" w:lineRule="auto"/>
        <w:jc w:val="right"/>
        <w:rPr>
          <w:rFonts w:ascii="Times New Roman" w:hAnsi="Times New Roman"/>
          <w:sz w:val="24"/>
          <w:szCs w:val="24"/>
        </w:rPr>
      </w:pPr>
    </w:p>
    <w:p w:rsidR="00A82107" w:rsidRPr="0080737A" w:rsidRDefault="00A82107" w:rsidP="00A82107">
      <w:pPr>
        <w:spacing w:after="0" w:line="240" w:lineRule="auto"/>
        <w:jc w:val="right"/>
        <w:rPr>
          <w:rFonts w:ascii="Times New Roman" w:hAnsi="Times New Roman"/>
          <w:sz w:val="28"/>
          <w:szCs w:val="28"/>
        </w:rPr>
      </w:pPr>
      <w:r w:rsidRPr="0080737A">
        <w:rPr>
          <w:rFonts w:ascii="Times New Roman" w:hAnsi="Times New Roman"/>
          <w:sz w:val="24"/>
          <w:szCs w:val="24"/>
        </w:rPr>
        <w:t>Таблица №</w:t>
      </w:r>
      <w:r w:rsidR="005C2655" w:rsidRPr="0080737A">
        <w:rPr>
          <w:rFonts w:ascii="Times New Roman" w:hAnsi="Times New Roman"/>
          <w:sz w:val="24"/>
          <w:szCs w:val="24"/>
        </w:rPr>
        <w:t>7</w:t>
      </w:r>
    </w:p>
    <w:p w:rsidR="00A82107" w:rsidRPr="0080737A" w:rsidRDefault="00A82107" w:rsidP="00A82107">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 xml:space="preserve">Структура неналоговых поступлений в доходную часть </w:t>
      </w:r>
    </w:p>
    <w:p w:rsidR="00A82107" w:rsidRPr="0080737A" w:rsidRDefault="00A82107" w:rsidP="00A82107">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Консолидированного бюджета (в руб.)</w:t>
      </w:r>
    </w:p>
    <w:tbl>
      <w:tblPr>
        <w:tblW w:w="8695" w:type="dxa"/>
        <w:jc w:val="center"/>
        <w:tblInd w:w="-2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1"/>
        <w:gridCol w:w="1122"/>
        <w:gridCol w:w="803"/>
        <w:gridCol w:w="1381"/>
        <w:gridCol w:w="803"/>
        <w:gridCol w:w="1275"/>
      </w:tblGrid>
      <w:tr w:rsidR="00A82107" w:rsidRPr="0080737A" w:rsidTr="00047DAA">
        <w:trPr>
          <w:trHeight w:val="307"/>
          <w:jc w:val="center"/>
        </w:trPr>
        <w:tc>
          <w:tcPr>
            <w:tcW w:w="3561" w:type="dxa"/>
            <w:vMerge w:val="restart"/>
            <w:vAlign w:val="center"/>
          </w:tcPr>
          <w:p w:rsidR="00A82107" w:rsidRPr="0080737A" w:rsidRDefault="00A82107" w:rsidP="00047DAA">
            <w:pPr>
              <w:spacing w:after="0" w:line="240" w:lineRule="auto"/>
              <w:jc w:val="center"/>
              <w:rPr>
                <w:rFonts w:ascii="Times New Roman" w:hAnsi="Times New Roman"/>
                <w:b/>
                <w:sz w:val="20"/>
                <w:szCs w:val="20"/>
              </w:rPr>
            </w:pPr>
          </w:p>
        </w:tc>
        <w:tc>
          <w:tcPr>
            <w:tcW w:w="1753" w:type="dxa"/>
            <w:gridSpan w:val="2"/>
            <w:vAlign w:val="center"/>
          </w:tcPr>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1 полугодие2015 года</w:t>
            </w:r>
          </w:p>
        </w:tc>
        <w:tc>
          <w:tcPr>
            <w:tcW w:w="2106" w:type="dxa"/>
            <w:gridSpan w:val="2"/>
            <w:vAlign w:val="center"/>
          </w:tcPr>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 xml:space="preserve">1 полугодие2016 </w:t>
            </w:r>
          </w:p>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года</w:t>
            </w:r>
          </w:p>
        </w:tc>
        <w:tc>
          <w:tcPr>
            <w:tcW w:w="1275" w:type="dxa"/>
            <w:vMerge w:val="restart"/>
            <w:vAlign w:val="center"/>
          </w:tcPr>
          <w:p w:rsidR="00A82107" w:rsidRPr="0080737A" w:rsidRDefault="00A82107" w:rsidP="00047DAA">
            <w:pPr>
              <w:spacing w:after="0"/>
              <w:jc w:val="center"/>
              <w:rPr>
                <w:rFonts w:ascii="Times New Roman" w:hAnsi="Times New Roman"/>
                <w:b/>
                <w:sz w:val="20"/>
                <w:szCs w:val="20"/>
              </w:rPr>
            </w:pPr>
            <w:r w:rsidRPr="0080737A">
              <w:rPr>
                <w:rFonts w:ascii="Times New Roman" w:hAnsi="Times New Roman"/>
                <w:b/>
                <w:sz w:val="20"/>
                <w:szCs w:val="20"/>
              </w:rPr>
              <w:t>Темп роста/спада</w:t>
            </w:r>
          </w:p>
          <w:p w:rsidR="00A82107" w:rsidRPr="0080737A" w:rsidRDefault="00A82107" w:rsidP="00047DAA">
            <w:pPr>
              <w:spacing w:after="0"/>
              <w:jc w:val="center"/>
              <w:rPr>
                <w:rFonts w:ascii="Times New Roman" w:hAnsi="Times New Roman"/>
                <w:b/>
                <w:sz w:val="20"/>
                <w:szCs w:val="20"/>
              </w:rPr>
            </w:pPr>
            <w:r w:rsidRPr="0080737A">
              <w:rPr>
                <w:rFonts w:ascii="Times New Roman" w:hAnsi="Times New Roman"/>
                <w:b/>
                <w:sz w:val="20"/>
                <w:szCs w:val="20"/>
              </w:rPr>
              <w:t xml:space="preserve">2016 г. </w:t>
            </w:r>
            <w:proofErr w:type="gramStart"/>
            <w:r w:rsidRPr="0080737A">
              <w:rPr>
                <w:rFonts w:ascii="Times New Roman" w:hAnsi="Times New Roman"/>
                <w:b/>
                <w:sz w:val="20"/>
                <w:szCs w:val="20"/>
              </w:rPr>
              <w:t>к</w:t>
            </w:r>
            <w:proofErr w:type="gramEnd"/>
            <w:r w:rsidRPr="0080737A">
              <w:rPr>
                <w:rFonts w:ascii="Times New Roman" w:hAnsi="Times New Roman"/>
                <w:b/>
                <w:sz w:val="20"/>
                <w:szCs w:val="20"/>
              </w:rPr>
              <w:t xml:space="preserve"> </w:t>
            </w:r>
          </w:p>
          <w:p w:rsidR="00A82107" w:rsidRPr="0080737A" w:rsidRDefault="00A82107" w:rsidP="00047DAA">
            <w:pPr>
              <w:spacing w:after="0"/>
              <w:jc w:val="center"/>
              <w:rPr>
                <w:rFonts w:ascii="Times New Roman" w:hAnsi="Times New Roman"/>
                <w:b/>
                <w:sz w:val="20"/>
                <w:szCs w:val="20"/>
              </w:rPr>
            </w:pPr>
            <w:r w:rsidRPr="0080737A">
              <w:rPr>
                <w:rFonts w:ascii="Times New Roman" w:hAnsi="Times New Roman"/>
                <w:b/>
                <w:sz w:val="20"/>
                <w:szCs w:val="20"/>
              </w:rPr>
              <w:t>2015 г., %</w:t>
            </w:r>
          </w:p>
        </w:tc>
      </w:tr>
      <w:tr w:rsidR="00A82107" w:rsidRPr="0080737A" w:rsidTr="00047DAA">
        <w:trPr>
          <w:trHeight w:val="715"/>
          <w:jc w:val="center"/>
        </w:trPr>
        <w:tc>
          <w:tcPr>
            <w:tcW w:w="3561" w:type="dxa"/>
            <w:vMerge/>
            <w:vAlign w:val="center"/>
          </w:tcPr>
          <w:p w:rsidR="00A82107" w:rsidRPr="0080737A" w:rsidRDefault="00A82107" w:rsidP="00047DAA">
            <w:pPr>
              <w:spacing w:after="0" w:line="240" w:lineRule="auto"/>
              <w:jc w:val="center"/>
              <w:rPr>
                <w:rFonts w:ascii="Times New Roman" w:hAnsi="Times New Roman"/>
                <w:b/>
                <w:sz w:val="20"/>
                <w:szCs w:val="20"/>
              </w:rPr>
            </w:pPr>
          </w:p>
        </w:tc>
        <w:tc>
          <w:tcPr>
            <w:tcW w:w="1143" w:type="dxa"/>
            <w:vAlign w:val="center"/>
          </w:tcPr>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факт</w:t>
            </w:r>
          </w:p>
        </w:tc>
        <w:tc>
          <w:tcPr>
            <w:tcW w:w="610" w:type="dxa"/>
            <w:vAlign w:val="center"/>
          </w:tcPr>
          <w:p w:rsidR="00A82107" w:rsidRPr="0080737A" w:rsidRDefault="00A82107" w:rsidP="00047DAA">
            <w:pPr>
              <w:spacing w:after="0" w:line="240" w:lineRule="auto"/>
              <w:jc w:val="center"/>
              <w:rPr>
                <w:rFonts w:ascii="Times New Roman" w:hAnsi="Times New Roman"/>
                <w:b/>
                <w:sz w:val="20"/>
                <w:szCs w:val="20"/>
              </w:rPr>
            </w:pPr>
            <w:proofErr w:type="spellStart"/>
            <w:r w:rsidRPr="0080737A">
              <w:rPr>
                <w:rFonts w:ascii="Times New Roman" w:hAnsi="Times New Roman"/>
                <w:b/>
                <w:sz w:val="20"/>
                <w:szCs w:val="20"/>
              </w:rPr>
              <w:t>уд</w:t>
            </w:r>
            <w:proofErr w:type="gramStart"/>
            <w:r w:rsidRPr="0080737A">
              <w:rPr>
                <w:rFonts w:ascii="Times New Roman" w:hAnsi="Times New Roman"/>
                <w:b/>
                <w:sz w:val="20"/>
                <w:szCs w:val="20"/>
              </w:rPr>
              <w:t>.в</w:t>
            </w:r>
            <w:proofErr w:type="gramEnd"/>
            <w:r w:rsidRPr="0080737A">
              <w:rPr>
                <w:rFonts w:ascii="Times New Roman" w:hAnsi="Times New Roman"/>
                <w:b/>
                <w:sz w:val="20"/>
                <w:szCs w:val="20"/>
              </w:rPr>
              <w:t>ес</w:t>
            </w:r>
            <w:proofErr w:type="spellEnd"/>
            <w:r w:rsidRPr="0080737A">
              <w:rPr>
                <w:rFonts w:ascii="Times New Roman" w:hAnsi="Times New Roman"/>
                <w:b/>
                <w:sz w:val="20"/>
                <w:szCs w:val="20"/>
              </w:rPr>
              <w:t>, %</w:t>
            </w:r>
          </w:p>
        </w:tc>
        <w:tc>
          <w:tcPr>
            <w:tcW w:w="1445" w:type="dxa"/>
            <w:vAlign w:val="center"/>
          </w:tcPr>
          <w:p w:rsidR="00A82107" w:rsidRPr="0080737A" w:rsidRDefault="00A82107" w:rsidP="00047DAA">
            <w:pPr>
              <w:spacing w:after="0" w:line="240" w:lineRule="auto"/>
              <w:jc w:val="center"/>
              <w:rPr>
                <w:rFonts w:ascii="Times New Roman" w:hAnsi="Times New Roman"/>
                <w:b/>
                <w:sz w:val="20"/>
                <w:szCs w:val="20"/>
              </w:rPr>
            </w:pPr>
            <w:r w:rsidRPr="0080737A">
              <w:rPr>
                <w:rFonts w:ascii="Times New Roman" w:hAnsi="Times New Roman"/>
                <w:b/>
                <w:sz w:val="20"/>
                <w:szCs w:val="20"/>
              </w:rPr>
              <w:t>факт</w:t>
            </w:r>
          </w:p>
        </w:tc>
        <w:tc>
          <w:tcPr>
            <w:tcW w:w="661" w:type="dxa"/>
            <w:shd w:val="clear" w:color="auto" w:fill="auto"/>
            <w:vAlign w:val="center"/>
          </w:tcPr>
          <w:p w:rsidR="00A82107" w:rsidRPr="0080737A" w:rsidRDefault="00A82107" w:rsidP="00047DAA">
            <w:pPr>
              <w:spacing w:after="0" w:line="240" w:lineRule="auto"/>
              <w:jc w:val="center"/>
              <w:rPr>
                <w:rFonts w:ascii="Times New Roman" w:hAnsi="Times New Roman"/>
                <w:b/>
                <w:sz w:val="20"/>
                <w:szCs w:val="20"/>
              </w:rPr>
            </w:pPr>
            <w:proofErr w:type="spellStart"/>
            <w:r w:rsidRPr="0080737A">
              <w:rPr>
                <w:rFonts w:ascii="Times New Roman" w:hAnsi="Times New Roman"/>
                <w:b/>
                <w:sz w:val="20"/>
                <w:szCs w:val="20"/>
              </w:rPr>
              <w:t>уд</w:t>
            </w:r>
            <w:proofErr w:type="gramStart"/>
            <w:r w:rsidRPr="0080737A">
              <w:rPr>
                <w:rFonts w:ascii="Times New Roman" w:hAnsi="Times New Roman"/>
                <w:b/>
                <w:sz w:val="20"/>
                <w:szCs w:val="20"/>
              </w:rPr>
              <w:t>.в</w:t>
            </w:r>
            <w:proofErr w:type="gramEnd"/>
            <w:r w:rsidRPr="0080737A">
              <w:rPr>
                <w:rFonts w:ascii="Times New Roman" w:hAnsi="Times New Roman"/>
                <w:b/>
                <w:sz w:val="20"/>
                <w:szCs w:val="20"/>
              </w:rPr>
              <w:t>ес</w:t>
            </w:r>
            <w:proofErr w:type="spellEnd"/>
            <w:r w:rsidRPr="0080737A">
              <w:rPr>
                <w:rFonts w:ascii="Times New Roman" w:hAnsi="Times New Roman"/>
                <w:b/>
                <w:sz w:val="20"/>
                <w:szCs w:val="20"/>
              </w:rPr>
              <w:t>, %</w:t>
            </w:r>
          </w:p>
        </w:tc>
        <w:tc>
          <w:tcPr>
            <w:tcW w:w="1275" w:type="dxa"/>
            <w:vMerge/>
            <w:vAlign w:val="center"/>
          </w:tcPr>
          <w:p w:rsidR="00A82107" w:rsidRPr="0080737A" w:rsidRDefault="00A82107" w:rsidP="00047DAA">
            <w:pPr>
              <w:spacing w:after="0" w:line="240" w:lineRule="auto"/>
              <w:jc w:val="center"/>
              <w:rPr>
                <w:rFonts w:ascii="Times New Roman" w:hAnsi="Times New Roman"/>
                <w:b/>
                <w:sz w:val="20"/>
                <w:szCs w:val="20"/>
              </w:rPr>
            </w:pPr>
          </w:p>
        </w:tc>
      </w:tr>
      <w:tr w:rsidR="00A82107" w:rsidRPr="0080737A" w:rsidTr="00047DAA">
        <w:trPr>
          <w:trHeight w:val="349"/>
          <w:jc w:val="center"/>
        </w:trPr>
        <w:tc>
          <w:tcPr>
            <w:tcW w:w="3561" w:type="dxa"/>
            <w:vAlign w:val="center"/>
          </w:tcPr>
          <w:p w:rsidR="00A82107" w:rsidRPr="0080737A" w:rsidRDefault="00A82107" w:rsidP="00047DAA">
            <w:pPr>
              <w:spacing w:after="0"/>
              <w:ind w:hanging="101"/>
              <w:rPr>
                <w:rFonts w:ascii="Times New Roman" w:hAnsi="Times New Roman"/>
                <w:b/>
                <w:sz w:val="20"/>
                <w:szCs w:val="20"/>
              </w:rPr>
            </w:pPr>
            <w:r w:rsidRPr="0080737A">
              <w:rPr>
                <w:rFonts w:ascii="Times New Roman" w:hAnsi="Times New Roman"/>
                <w:b/>
                <w:sz w:val="20"/>
                <w:szCs w:val="20"/>
              </w:rPr>
              <w:t>Неналоговые доходы</w:t>
            </w:r>
          </w:p>
        </w:tc>
        <w:tc>
          <w:tcPr>
            <w:tcW w:w="1143" w:type="dxa"/>
            <w:vAlign w:val="center"/>
          </w:tcPr>
          <w:p w:rsidR="00A82107" w:rsidRPr="0080737A" w:rsidRDefault="00A82107" w:rsidP="00047DAA">
            <w:pPr>
              <w:spacing w:after="0"/>
              <w:ind w:right="-120"/>
              <w:jc w:val="center"/>
              <w:rPr>
                <w:rFonts w:ascii="Times New Roman" w:hAnsi="Times New Roman"/>
                <w:b/>
                <w:sz w:val="20"/>
                <w:szCs w:val="20"/>
              </w:rPr>
            </w:pPr>
            <w:r w:rsidRPr="0080737A">
              <w:rPr>
                <w:rFonts w:ascii="Times New Roman" w:hAnsi="Times New Roman"/>
                <w:b/>
                <w:sz w:val="20"/>
                <w:szCs w:val="20"/>
              </w:rPr>
              <w:t>25 919 185</w:t>
            </w:r>
          </w:p>
        </w:tc>
        <w:tc>
          <w:tcPr>
            <w:tcW w:w="610" w:type="dxa"/>
            <w:vAlign w:val="center"/>
          </w:tcPr>
          <w:p w:rsidR="00A82107" w:rsidRPr="0080737A" w:rsidRDefault="00A82107" w:rsidP="00047DAA">
            <w:pPr>
              <w:spacing w:after="0"/>
              <w:ind w:left="-38" w:right="-120"/>
              <w:jc w:val="center"/>
              <w:rPr>
                <w:rFonts w:ascii="Times New Roman" w:hAnsi="Times New Roman"/>
                <w:b/>
                <w:sz w:val="20"/>
                <w:szCs w:val="20"/>
              </w:rPr>
            </w:pPr>
            <w:r w:rsidRPr="0080737A">
              <w:rPr>
                <w:rFonts w:ascii="Times New Roman" w:hAnsi="Times New Roman"/>
                <w:b/>
                <w:sz w:val="20"/>
                <w:szCs w:val="20"/>
              </w:rPr>
              <w:t>100,0</w:t>
            </w:r>
          </w:p>
        </w:tc>
        <w:tc>
          <w:tcPr>
            <w:tcW w:w="1445" w:type="dxa"/>
            <w:vAlign w:val="center"/>
          </w:tcPr>
          <w:p w:rsidR="00A82107" w:rsidRPr="0080737A" w:rsidRDefault="00A82107" w:rsidP="00047DAA">
            <w:pPr>
              <w:spacing w:after="0"/>
              <w:ind w:right="-120"/>
              <w:jc w:val="center"/>
              <w:rPr>
                <w:rFonts w:ascii="Times New Roman" w:hAnsi="Times New Roman"/>
                <w:b/>
                <w:sz w:val="20"/>
                <w:szCs w:val="20"/>
              </w:rPr>
            </w:pPr>
            <w:r w:rsidRPr="0080737A">
              <w:rPr>
                <w:rFonts w:ascii="Times New Roman" w:hAnsi="Times New Roman"/>
                <w:b/>
                <w:sz w:val="20"/>
                <w:szCs w:val="20"/>
              </w:rPr>
              <w:t xml:space="preserve">27 638 848 </w:t>
            </w:r>
          </w:p>
        </w:tc>
        <w:tc>
          <w:tcPr>
            <w:tcW w:w="661" w:type="dxa"/>
            <w:shd w:val="clear" w:color="auto" w:fill="auto"/>
            <w:vAlign w:val="center"/>
          </w:tcPr>
          <w:p w:rsidR="00A82107" w:rsidRPr="0080737A" w:rsidRDefault="00A82107" w:rsidP="00047DAA">
            <w:pPr>
              <w:spacing w:after="0"/>
              <w:ind w:left="-38" w:right="-120"/>
              <w:jc w:val="center"/>
              <w:rPr>
                <w:rFonts w:ascii="Times New Roman" w:hAnsi="Times New Roman"/>
                <w:b/>
                <w:sz w:val="20"/>
                <w:szCs w:val="20"/>
              </w:rPr>
            </w:pPr>
            <w:r w:rsidRPr="0080737A">
              <w:rPr>
                <w:rFonts w:ascii="Times New Roman" w:hAnsi="Times New Roman"/>
                <w:b/>
                <w:sz w:val="20"/>
                <w:szCs w:val="20"/>
              </w:rPr>
              <w:t>100,0</w:t>
            </w:r>
          </w:p>
        </w:tc>
        <w:tc>
          <w:tcPr>
            <w:tcW w:w="1275" w:type="dxa"/>
            <w:vAlign w:val="center"/>
          </w:tcPr>
          <w:p w:rsidR="00A82107" w:rsidRPr="0080737A" w:rsidRDefault="00A82107" w:rsidP="00047DAA">
            <w:pPr>
              <w:spacing w:after="0"/>
              <w:ind w:right="-120"/>
              <w:jc w:val="center"/>
              <w:rPr>
                <w:rFonts w:ascii="Times New Roman" w:hAnsi="Times New Roman"/>
                <w:b/>
                <w:sz w:val="20"/>
                <w:szCs w:val="20"/>
              </w:rPr>
            </w:pPr>
            <w:r w:rsidRPr="0080737A">
              <w:rPr>
                <w:rFonts w:ascii="Times New Roman" w:hAnsi="Times New Roman"/>
                <w:b/>
                <w:sz w:val="20"/>
                <w:szCs w:val="20"/>
              </w:rPr>
              <w:t>106,6</w:t>
            </w:r>
          </w:p>
        </w:tc>
      </w:tr>
      <w:tr w:rsidR="00A82107" w:rsidRPr="0080737A" w:rsidTr="00047DAA">
        <w:trPr>
          <w:trHeight w:val="375"/>
          <w:jc w:val="center"/>
        </w:trPr>
        <w:tc>
          <w:tcPr>
            <w:tcW w:w="3561" w:type="dxa"/>
          </w:tcPr>
          <w:p w:rsidR="00A82107" w:rsidRPr="0080737A" w:rsidRDefault="00A82107" w:rsidP="00047DAA">
            <w:pPr>
              <w:spacing w:after="0" w:line="240" w:lineRule="auto"/>
              <w:ind w:left="-91" w:right="-132"/>
              <w:rPr>
                <w:rFonts w:ascii="Times New Roman" w:hAnsi="Times New Roman"/>
                <w:b/>
                <w:sz w:val="20"/>
                <w:szCs w:val="20"/>
              </w:rPr>
            </w:pPr>
            <w:r w:rsidRPr="0080737A">
              <w:rPr>
                <w:rFonts w:ascii="Times New Roman" w:hAnsi="Times New Roman"/>
                <w:b/>
                <w:sz w:val="20"/>
                <w:szCs w:val="20"/>
              </w:rPr>
              <w:t xml:space="preserve">Доходы от имущества, </w:t>
            </w:r>
            <w:proofErr w:type="spellStart"/>
            <w:r w:rsidRPr="0080737A">
              <w:rPr>
                <w:rFonts w:ascii="Times New Roman" w:hAnsi="Times New Roman"/>
                <w:b/>
                <w:sz w:val="20"/>
                <w:szCs w:val="20"/>
              </w:rPr>
              <w:t>наход</w:t>
            </w:r>
            <w:proofErr w:type="spellEnd"/>
            <w:r w:rsidRPr="0080737A">
              <w:rPr>
                <w:rFonts w:ascii="Times New Roman" w:hAnsi="Times New Roman"/>
                <w:b/>
                <w:sz w:val="20"/>
                <w:szCs w:val="20"/>
              </w:rPr>
              <w:t xml:space="preserve">. в </w:t>
            </w:r>
            <w:proofErr w:type="spellStart"/>
            <w:r w:rsidRPr="0080737A">
              <w:rPr>
                <w:rFonts w:ascii="Times New Roman" w:hAnsi="Times New Roman"/>
                <w:b/>
                <w:sz w:val="20"/>
                <w:szCs w:val="20"/>
              </w:rPr>
              <w:t>гос</w:t>
            </w:r>
            <w:proofErr w:type="spellEnd"/>
            <w:r w:rsidRPr="0080737A">
              <w:rPr>
                <w:rFonts w:ascii="Times New Roman" w:hAnsi="Times New Roman"/>
                <w:b/>
                <w:sz w:val="20"/>
                <w:szCs w:val="20"/>
              </w:rPr>
              <w:t xml:space="preserve">. и </w:t>
            </w:r>
            <w:proofErr w:type="spellStart"/>
            <w:r w:rsidRPr="0080737A">
              <w:rPr>
                <w:rFonts w:ascii="Times New Roman" w:hAnsi="Times New Roman"/>
                <w:b/>
                <w:sz w:val="20"/>
                <w:szCs w:val="20"/>
              </w:rPr>
              <w:t>муницип</w:t>
            </w:r>
            <w:proofErr w:type="spellEnd"/>
            <w:r w:rsidRPr="0080737A">
              <w:rPr>
                <w:rFonts w:ascii="Times New Roman" w:hAnsi="Times New Roman"/>
                <w:b/>
                <w:sz w:val="20"/>
                <w:szCs w:val="20"/>
              </w:rPr>
              <w:t>. собственности, в том числе:</w:t>
            </w:r>
          </w:p>
        </w:tc>
        <w:tc>
          <w:tcPr>
            <w:tcW w:w="1143" w:type="dxa"/>
            <w:vAlign w:val="center"/>
          </w:tcPr>
          <w:p w:rsidR="00A82107" w:rsidRPr="0080737A" w:rsidRDefault="00A82107" w:rsidP="00047DAA">
            <w:pPr>
              <w:spacing w:after="0"/>
              <w:ind w:right="-120"/>
              <w:jc w:val="center"/>
              <w:rPr>
                <w:rFonts w:ascii="Times New Roman" w:hAnsi="Times New Roman"/>
                <w:bCs/>
                <w:sz w:val="20"/>
                <w:szCs w:val="20"/>
              </w:rPr>
            </w:pPr>
            <w:r w:rsidRPr="0080737A">
              <w:rPr>
                <w:rFonts w:ascii="Times New Roman" w:hAnsi="Times New Roman"/>
                <w:bCs/>
                <w:sz w:val="20"/>
                <w:szCs w:val="20"/>
              </w:rPr>
              <w:t>10 743 121</w:t>
            </w:r>
          </w:p>
        </w:tc>
        <w:tc>
          <w:tcPr>
            <w:tcW w:w="610" w:type="dxa"/>
            <w:vAlign w:val="center"/>
          </w:tcPr>
          <w:p w:rsidR="00A82107" w:rsidRPr="0080737A" w:rsidRDefault="00A82107" w:rsidP="00047DAA">
            <w:pPr>
              <w:spacing w:after="0"/>
              <w:ind w:right="-120"/>
              <w:jc w:val="center"/>
              <w:rPr>
                <w:rFonts w:ascii="Times New Roman" w:hAnsi="Times New Roman"/>
                <w:bCs/>
                <w:sz w:val="20"/>
                <w:szCs w:val="20"/>
              </w:rPr>
            </w:pPr>
            <w:r w:rsidRPr="0080737A">
              <w:rPr>
                <w:rFonts w:ascii="Times New Roman" w:hAnsi="Times New Roman"/>
                <w:bCs/>
                <w:sz w:val="20"/>
                <w:szCs w:val="20"/>
              </w:rPr>
              <w:t>41,45</w:t>
            </w:r>
          </w:p>
        </w:tc>
        <w:tc>
          <w:tcPr>
            <w:tcW w:w="1445" w:type="dxa"/>
            <w:vAlign w:val="center"/>
          </w:tcPr>
          <w:p w:rsidR="00A82107" w:rsidRPr="0080737A" w:rsidRDefault="00A82107" w:rsidP="00047DAA">
            <w:pPr>
              <w:spacing w:after="0"/>
              <w:ind w:right="-120"/>
              <w:jc w:val="center"/>
              <w:rPr>
                <w:rFonts w:ascii="Times New Roman" w:hAnsi="Times New Roman"/>
                <w:bCs/>
                <w:sz w:val="20"/>
                <w:szCs w:val="20"/>
              </w:rPr>
            </w:pPr>
            <w:r w:rsidRPr="0080737A">
              <w:rPr>
                <w:rFonts w:ascii="Times New Roman" w:hAnsi="Times New Roman"/>
                <w:bCs/>
                <w:sz w:val="20"/>
                <w:szCs w:val="20"/>
              </w:rPr>
              <w:t xml:space="preserve">13 454 508 </w:t>
            </w:r>
          </w:p>
        </w:tc>
        <w:tc>
          <w:tcPr>
            <w:tcW w:w="661" w:type="dxa"/>
            <w:vAlign w:val="center"/>
          </w:tcPr>
          <w:p w:rsidR="00A82107" w:rsidRPr="0080737A" w:rsidRDefault="00A82107" w:rsidP="00047DAA">
            <w:pPr>
              <w:spacing w:after="0"/>
              <w:ind w:right="-120"/>
              <w:jc w:val="center"/>
              <w:rPr>
                <w:rFonts w:ascii="Times New Roman" w:hAnsi="Times New Roman"/>
                <w:bCs/>
                <w:sz w:val="20"/>
                <w:szCs w:val="20"/>
              </w:rPr>
            </w:pPr>
            <w:r w:rsidRPr="0080737A">
              <w:rPr>
                <w:rFonts w:ascii="Times New Roman" w:hAnsi="Times New Roman"/>
                <w:bCs/>
                <w:sz w:val="20"/>
                <w:szCs w:val="20"/>
              </w:rPr>
              <w:t>48,68</w:t>
            </w:r>
          </w:p>
        </w:tc>
        <w:tc>
          <w:tcPr>
            <w:tcW w:w="127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125,2</w:t>
            </w:r>
          </w:p>
        </w:tc>
      </w:tr>
      <w:tr w:rsidR="00A82107" w:rsidRPr="0080737A" w:rsidTr="00047DAA">
        <w:trPr>
          <w:trHeight w:val="244"/>
          <w:jc w:val="center"/>
        </w:trPr>
        <w:tc>
          <w:tcPr>
            <w:tcW w:w="3561" w:type="dxa"/>
          </w:tcPr>
          <w:p w:rsidR="00A82107" w:rsidRPr="0080737A" w:rsidRDefault="00A82107" w:rsidP="00047DAA">
            <w:pPr>
              <w:spacing w:after="0" w:line="240" w:lineRule="auto"/>
              <w:ind w:left="-91" w:right="-132"/>
              <w:rPr>
                <w:rFonts w:ascii="Times New Roman" w:hAnsi="Times New Roman"/>
                <w:b/>
                <w:sz w:val="20"/>
                <w:szCs w:val="20"/>
              </w:rPr>
            </w:pPr>
            <w:r w:rsidRPr="0080737A">
              <w:rPr>
                <w:rFonts w:ascii="Times New Roman" w:hAnsi="Times New Roman"/>
                <w:sz w:val="20"/>
                <w:szCs w:val="20"/>
              </w:rPr>
              <w:t xml:space="preserve">Погашение </w:t>
            </w:r>
            <w:proofErr w:type="gramStart"/>
            <w:r w:rsidRPr="0080737A">
              <w:rPr>
                <w:rFonts w:ascii="Times New Roman" w:hAnsi="Times New Roman"/>
                <w:sz w:val="20"/>
                <w:szCs w:val="20"/>
              </w:rPr>
              <w:t>налогового</w:t>
            </w:r>
            <w:proofErr w:type="gramEnd"/>
            <w:r w:rsidRPr="0080737A">
              <w:rPr>
                <w:rFonts w:ascii="Times New Roman" w:hAnsi="Times New Roman"/>
                <w:sz w:val="20"/>
                <w:szCs w:val="20"/>
              </w:rPr>
              <w:t xml:space="preserve"> и иных видов кредитов</w:t>
            </w:r>
          </w:p>
        </w:tc>
        <w:tc>
          <w:tcPr>
            <w:tcW w:w="1143"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2 156 843</w:t>
            </w:r>
          </w:p>
        </w:tc>
        <w:tc>
          <w:tcPr>
            <w:tcW w:w="610"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8,32</w:t>
            </w:r>
          </w:p>
        </w:tc>
        <w:tc>
          <w:tcPr>
            <w:tcW w:w="144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 xml:space="preserve">1 630 973 </w:t>
            </w:r>
          </w:p>
        </w:tc>
        <w:tc>
          <w:tcPr>
            <w:tcW w:w="661"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5,90</w:t>
            </w:r>
          </w:p>
        </w:tc>
        <w:tc>
          <w:tcPr>
            <w:tcW w:w="127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75,6</w:t>
            </w:r>
          </w:p>
        </w:tc>
      </w:tr>
      <w:tr w:rsidR="00A82107" w:rsidRPr="0080737A" w:rsidTr="00047DAA">
        <w:trPr>
          <w:trHeight w:val="244"/>
          <w:jc w:val="center"/>
        </w:trPr>
        <w:tc>
          <w:tcPr>
            <w:tcW w:w="3561" w:type="dxa"/>
          </w:tcPr>
          <w:p w:rsidR="00A82107" w:rsidRPr="0080737A" w:rsidRDefault="00A82107" w:rsidP="00047DAA">
            <w:pPr>
              <w:spacing w:after="0" w:line="240" w:lineRule="auto"/>
              <w:ind w:left="-91" w:right="-132"/>
              <w:rPr>
                <w:rFonts w:ascii="Times New Roman" w:hAnsi="Times New Roman"/>
                <w:b/>
                <w:sz w:val="20"/>
                <w:szCs w:val="20"/>
              </w:rPr>
            </w:pPr>
            <w:r w:rsidRPr="0080737A">
              <w:rPr>
                <w:rFonts w:ascii="Times New Roman" w:hAnsi="Times New Roman"/>
                <w:b/>
                <w:sz w:val="20"/>
                <w:szCs w:val="20"/>
              </w:rPr>
              <w:t xml:space="preserve">Доходы от продажи имущества, </w:t>
            </w:r>
            <w:proofErr w:type="spellStart"/>
            <w:r w:rsidRPr="0080737A">
              <w:rPr>
                <w:rFonts w:ascii="Times New Roman" w:hAnsi="Times New Roman"/>
                <w:b/>
                <w:sz w:val="20"/>
                <w:szCs w:val="20"/>
              </w:rPr>
              <w:t>наход</w:t>
            </w:r>
            <w:proofErr w:type="spellEnd"/>
            <w:r w:rsidRPr="0080737A">
              <w:rPr>
                <w:rFonts w:ascii="Times New Roman" w:hAnsi="Times New Roman"/>
                <w:b/>
                <w:sz w:val="20"/>
                <w:szCs w:val="20"/>
              </w:rPr>
              <w:t xml:space="preserve">. в </w:t>
            </w:r>
            <w:proofErr w:type="spellStart"/>
            <w:r w:rsidRPr="0080737A">
              <w:rPr>
                <w:rFonts w:ascii="Times New Roman" w:hAnsi="Times New Roman"/>
                <w:b/>
                <w:sz w:val="20"/>
                <w:szCs w:val="20"/>
              </w:rPr>
              <w:t>гос</w:t>
            </w:r>
            <w:proofErr w:type="spellEnd"/>
            <w:r w:rsidRPr="0080737A">
              <w:rPr>
                <w:rFonts w:ascii="Times New Roman" w:hAnsi="Times New Roman"/>
                <w:b/>
                <w:sz w:val="20"/>
                <w:szCs w:val="20"/>
              </w:rPr>
              <w:t xml:space="preserve">. и </w:t>
            </w:r>
            <w:proofErr w:type="spellStart"/>
            <w:r w:rsidRPr="0080737A">
              <w:rPr>
                <w:rFonts w:ascii="Times New Roman" w:hAnsi="Times New Roman"/>
                <w:b/>
                <w:sz w:val="20"/>
                <w:szCs w:val="20"/>
              </w:rPr>
              <w:t>муницип</w:t>
            </w:r>
            <w:proofErr w:type="spellEnd"/>
            <w:r w:rsidRPr="0080737A">
              <w:rPr>
                <w:rFonts w:ascii="Times New Roman" w:hAnsi="Times New Roman"/>
                <w:b/>
                <w:sz w:val="20"/>
                <w:szCs w:val="20"/>
              </w:rPr>
              <w:t>. собственности</w:t>
            </w:r>
          </w:p>
        </w:tc>
        <w:tc>
          <w:tcPr>
            <w:tcW w:w="1143"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1 101 752</w:t>
            </w:r>
          </w:p>
        </w:tc>
        <w:tc>
          <w:tcPr>
            <w:tcW w:w="610"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4,25</w:t>
            </w:r>
          </w:p>
        </w:tc>
        <w:tc>
          <w:tcPr>
            <w:tcW w:w="144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 xml:space="preserve">1 404 780 </w:t>
            </w:r>
          </w:p>
        </w:tc>
        <w:tc>
          <w:tcPr>
            <w:tcW w:w="661"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5,07</w:t>
            </w:r>
          </w:p>
        </w:tc>
        <w:tc>
          <w:tcPr>
            <w:tcW w:w="127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127,5</w:t>
            </w:r>
          </w:p>
        </w:tc>
      </w:tr>
      <w:tr w:rsidR="00A82107" w:rsidRPr="0080737A" w:rsidTr="00047DAA">
        <w:trPr>
          <w:trHeight w:val="244"/>
          <w:jc w:val="center"/>
        </w:trPr>
        <w:tc>
          <w:tcPr>
            <w:tcW w:w="3561" w:type="dxa"/>
          </w:tcPr>
          <w:p w:rsidR="00A82107" w:rsidRPr="0080737A" w:rsidRDefault="00A82107" w:rsidP="00047DAA">
            <w:pPr>
              <w:spacing w:after="0" w:line="240" w:lineRule="auto"/>
              <w:ind w:left="-91" w:right="-132"/>
              <w:rPr>
                <w:rFonts w:ascii="Times New Roman" w:hAnsi="Times New Roman"/>
                <w:b/>
                <w:sz w:val="20"/>
                <w:szCs w:val="20"/>
              </w:rPr>
            </w:pPr>
            <w:r w:rsidRPr="0080737A">
              <w:rPr>
                <w:rFonts w:ascii="Times New Roman" w:hAnsi="Times New Roman"/>
                <w:b/>
                <w:sz w:val="20"/>
                <w:szCs w:val="20"/>
              </w:rPr>
              <w:t>Административные платежи и сборы</w:t>
            </w:r>
          </w:p>
        </w:tc>
        <w:tc>
          <w:tcPr>
            <w:tcW w:w="1143"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 xml:space="preserve">3 888 185 </w:t>
            </w:r>
          </w:p>
        </w:tc>
        <w:tc>
          <w:tcPr>
            <w:tcW w:w="610"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15,00</w:t>
            </w:r>
          </w:p>
        </w:tc>
        <w:tc>
          <w:tcPr>
            <w:tcW w:w="144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 xml:space="preserve">3 971 820 </w:t>
            </w:r>
          </w:p>
        </w:tc>
        <w:tc>
          <w:tcPr>
            <w:tcW w:w="661"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14,37</w:t>
            </w:r>
          </w:p>
        </w:tc>
        <w:tc>
          <w:tcPr>
            <w:tcW w:w="127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102,2</w:t>
            </w:r>
          </w:p>
        </w:tc>
      </w:tr>
      <w:tr w:rsidR="00A82107" w:rsidRPr="0080737A" w:rsidTr="00047DAA">
        <w:trPr>
          <w:trHeight w:val="276"/>
          <w:jc w:val="center"/>
        </w:trPr>
        <w:tc>
          <w:tcPr>
            <w:tcW w:w="3561" w:type="dxa"/>
          </w:tcPr>
          <w:p w:rsidR="00A82107" w:rsidRPr="0080737A" w:rsidRDefault="00A82107" w:rsidP="00047DAA">
            <w:pPr>
              <w:spacing w:after="0" w:line="240" w:lineRule="auto"/>
              <w:ind w:left="-91" w:right="-132"/>
              <w:rPr>
                <w:rFonts w:ascii="Times New Roman" w:hAnsi="Times New Roman"/>
                <w:b/>
                <w:sz w:val="20"/>
                <w:szCs w:val="20"/>
              </w:rPr>
            </w:pPr>
            <w:r w:rsidRPr="0080737A">
              <w:rPr>
                <w:rFonts w:ascii="Times New Roman" w:hAnsi="Times New Roman"/>
                <w:b/>
                <w:sz w:val="20"/>
                <w:szCs w:val="20"/>
              </w:rPr>
              <w:t>Штрафные санкции возмещение ущерба</w:t>
            </w:r>
          </w:p>
        </w:tc>
        <w:tc>
          <w:tcPr>
            <w:tcW w:w="1143"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10 169 004</w:t>
            </w:r>
          </w:p>
        </w:tc>
        <w:tc>
          <w:tcPr>
            <w:tcW w:w="610"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39,23</w:t>
            </w:r>
          </w:p>
        </w:tc>
        <w:tc>
          <w:tcPr>
            <w:tcW w:w="144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 xml:space="preserve">8 761 507 </w:t>
            </w:r>
          </w:p>
        </w:tc>
        <w:tc>
          <w:tcPr>
            <w:tcW w:w="661"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31,70</w:t>
            </w:r>
          </w:p>
        </w:tc>
        <w:tc>
          <w:tcPr>
            <w:tcW w:w="127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86,2</w:t>
            </w:r>
          </w:p>
        </w:tc>
      </w:tr>
      <w:tr w:rsidR="00A82107" w:rsidRPr="0080737A" w:rsidTr="00047DAA">
        <w:trPr>
          <w:trHeight w:val="457"/>
          <w:jc w:val="center"/>
        </w:trPr>
        <w:tc>
          <w:tcPr>
            <w:tcW w:w="3561" w:type="dxa"/>
            <w:vAlign w:val="center"/>
          </w:tcPr>
          <w:p w:rsidR="00A82107" w:rsidRPr="0080737A" w:rsidRDefault="00A82107" w:rsidP="00047DAA">
            <w:pPr>
              <w:spacing w:after="0" w:line="240" w:lineRule="auto"/>
              <w:ind w:left="-91" w:right="-132"/>
              <w:rPr>
                <w:rFonts w:ascii="Times New Roman" w:hAnsi="Times New Roman"/>
                <w:b/>
                <w:sz w:val="20"/>
                <w:szCs w:val="20"/>
              </w:rPr>
            </w:pPr>
            <w:r w:rsidRPr="0080737A">
              <w:rPr>
                <w:rFonts w:ascii="Times New Roman" w:hAnsi="Times New Roman"/>
                <w:b/>
                <w:sz w:val="20"/>
                <w:szCs w:val="20"/>
              </w:rPr>
              <w:t xml:space="preserve">Прочие неналоговые доходы </w:t>
            </w:r>
          </w:p>
        </w:tc>
        <w:tc>
          <w:tcPr>
            <w:tcW w:w="1143"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144 854</w:t>
            </w:r>
          </w:p>
        </w:tc>
        <w:tc>
          <w:tcPr>
            <w:tcW w:w="610"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w:t>
            </w:r>
          </w:p>
        </w:tc>
        <w:tc>
          <w:tcPr>
            <w:tcW w:w="144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144 854</w:t>
            </w:r>
          </w:p>
        </w:tc>
        <w:tc>
          <w:tcPr>
            <w:tcW w:w="661"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w:t>
            </w:r>
          </w:p>
        </w:tc>
        <w:tc>
          <w:tcPr>
            <w:tcW w:w="1275" w:type="dxa"/>
            <w:vAlign w:val="center"/>
          </w:tcPr>
          <w:p w:rsidR="00A82107" w:rsidRPr="0080737A" w:rsidRDefault="00A82107" w:rsidP="00047DAA">
            <w:pPr>
              <w:spacing w:after="0"/>
              <w:ind w:right="-120"/>
              <w:jc w:val="center"/>
              <w:rPr>
                <w:rFonts w:ascii="Times New Roman" w:hAnsi="Times New Roman"/>
                <w:sz w:val="20"/>
                <w:szCs w:val="20"/>
              </w:rPr>
            </w:pPr>
            <w:r w:rsidRPr="0080737A">
              <w:rPr>
                <w:rFonts w:ascii="Times New Roman" w:hAnsi="Times New Roman"/>
                <w:sz w:val="20"/>
                <w:szCs w:val="20"/>
              </w:rPr>
              <w:t>100,0</w:t>
            </w:r>
          </w:p>
        </w:tc>
      </w:tr>
    </w:tbl>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b/>
          <w:sz w:val="24"/>
          <w:szCs w:val="24"/>
        </w:rPr>
        <w:t>Доходы от имущества, находящегося в государственной и муниципальной собственности</w:t>
      </w:r>
      <w:r w:rsidRPr="0080737A">
        <w:rPr>
          <w:rFonts w:ascii="Times New Roman" w:hAnsi="Times New Roman"/>
          <w:sz w:val="24"/>
          <w:szCs w:val="24"/>
        </w:rPr>
        <w:t xml:space="preserve"> за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 2016 года увеличились на 25,2% по сравнению с </w:t>
      </w:r>
      <w:r w:rsidRPr="0080737A">
        <w:rPr>
          <w:rFonts w:ascii="Times New Roman" w:hAnsi="Times New Roman"/>
          <w:sz w:val="24"/>
          <w:szCs w:val="24"/>
        </w:rPr>
        <w:lastRenderedPageBreak/>
        <w:t xml:space="preserve">аналогичным периодом прошлого года до 13 454 508 руб., при этом их долевое участие в неналоговых поступлениях в консолидированный бюджет расширилось до 48,7%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2015 года – 41,5%).</w:t>
      </w: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Фактические суммы поступлений доходов </w:t>
      </w:r>
      <w:r w:rsidRPr="0080737A">
        <w:rPr>
          <w:rFonts w:ascii="Times New Roman" w:hAnsi="Times New Roman"/>
          <w:b/>
          <w:sz w:val="24"/>
          <w:szCs w:val="24"/>
        </w:rPr>
        <w:t>от продажи</w:t>
      </w:r>
      <w:r w:rsidR="00EF7D3C" w:rsidRPr="0080737A">
        <w:rPr>
          <w:rFonts w:ascii="Times New Roman" w:hAnsi="Times New Roman"/>
          <w:b/>
          <w:sz w:val="24"/>
          <w:szCs w:val="24"/>
        </w:rPr>
        <w:t xml:space="preserve"> </w:t>
      </w:r>
      <w:r w:rsidRPr="0080737A">
        <w:rPr>
          <w:rFonts w:ascii="Times New Roman" w:hAnsi="Times New Roman"/>
          <w:b/>
          <w:sz w:val="24"/>
          <w:szCs w:val="24"/>
        </w:rPr>
        <w:t xml:space="preserve">имущества, находящегося в государственной и муниципальной собственности </w:t>
      </w:r>
      <w:r w:rsidRPr="0080737A">
        <w:rPr>
          <w:rFonts w:ascii="Times New Roman" w:hAnsi="Times New Roman"/>
          <w:sz w:val="24"/>
          <w:szCs w:val="24"/>
        </w:rPr>
        <w:t>за январь – июнь 2015 года</w:t>
      </w:r>
      <w:r w:rsidR="00EF7D3C" w:rsidRPr="0080737A">
        <w:rPr>
          <w:rFonts w:ascii="Times New Roman" w:hAnsi="Times New Roman"/>
          <w:sz w:val="24"/>
          <w:szCs w:val="24"/>
        </w:rPr>
        <w:t xml:space="preserve"> </w:t>
      </w:r>
      <w:r w:rsidRPr="0080737A">
        <w:rPr>
          <w:rFonts w:ascii="Times New Roman" w:hAnsi="Times New Roman"/>
          <w:sz w:val="24"/>
          <w:szCs w:val="24"/>
        </w:rPr>
        <w:t>выросли на 27,5% по сравнению с базовым периодом прошлого года и составили 1 404 780 руб., при этом их удельный вес увеличился на 0,8 процентных пункта до 5,1%.</w:t>
      </w: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Также отмечен рост поступлений </w:t>
      </w:r>
      <w:r w:rsidRPr="0080737A">
        <w:rPr>
          <w:rFonts w:ascii="Times New Roman" w:hAnsi="Times New Roman"/>
          <w:b/>
          <w:sz w:val="24"/>
          <w:szCs w:val="24"/>
        </w:rPr>
        <w:t>от административных платежей и сборов</w:t>
      </w:r>
      <w:r w:rsidRPr="0080737A">
        <w:rPr>
          <w:rFonts w:ascii="Times New Roman" w:hAnsi="Times New Roman"/>
          <w:sz w:val="24"/>
          <w:szCs w:val="24"/>
        </w:rPr>
        <w:t xml:space="preserve"> на 2,2% по сравнению с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полугодием 2015 года, при этом на фоне более существенного роста других поступлений, их удельный вес в неналоговых платежах снизился на 0,6 процентных пункта до 14,4%.</w:t>
      </w: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Поступления </w:t>
      </w:r>
      <w:r w:rsidRPr="0080737A">
        <w:rPr>
          <w:rFonts w:ascii="Times New Roman" w:hAnsi="Times New Roman"/>
          <w:b/>
          <w:sz w:val="24"/>
          <w:szCs w:val="24"/>
        </w:rPr>
        <w:t>от штрафных санкций и возмещения ущерба</w:t>
      </w:r>
      <w:r w:rsidRPr="0080737A">
        <w:rPr>
          <w:rFonts w:ascii="Times New Roman" w:hAnsi="Times New Roman"/>
          <w:sz w:val="24"/>
          <w:szCs w:val="24"/>
        </w:rPr>
        <w:t xml:space="preserve"> за январь - июнь2016 года сократились на 13,8% по сравнению с аналогичным периодом прошлого года, их удельный вес в неналоговых платежах также сузился до 31,7% (или на 7,5 процентных пункта).</w:t>
      </w:r>
    </w:p>
    <w:p w:rsidR="00A82107" w:rsidRPr="0080737A" w:rsidRDefault="00A82107" w:rsidP="00A82107">
      <w:pPr>
        <w:spacing w:after="0" w:line="240" w:lineRule="auto"/>
        <w:jc w:val="both"/>
        <w:rPr>
          <w:rFonts w:ascii="Times New Roman" w:hAnsi="Times New Roman"/>
          <w:sz w:val="24"/>
          <w:szCs w:val="24"/>
        </w:rPr>
      </w:pPr>
      <w:r w:rsidRPr="0080737A">
        <w:rPr>
          <w:rFonts w:ascii="Times New Roman" w:hAnsi="Times New Roman"/>
          <w:noProof/>
          <w:sz w:val="24"/>
          <w:szCs w:val="24"/>
        </w:rPr>
        <w:drawing>
          <wp:inline distT="0" distB="0" distL="0" distR="0">
            <wp:extent cx="2809875" cy="2686050"/>
            <wp:effectExtent l="19050" t="0" r="0" b="0"/>
            <wp:docPr id="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80737A">
        <w:rPr>
          <w:rFonts w:ascii="Times New Roman" w:hAnsi="Times New Roman"/>
          <w:noProof/>
          <w:sz w:val="24"/>
          <w:szCs w:val="24"/>
        </w:rPr>
        <w:drawing>
          <wp:inline distT="0" distB="0" distL="0" distR="0">
            <wp:extent cx="2809875" cy="2686050"/>
            <wp:effectExtent l="19050" t="0" r="0" b="0"/>
            <wp:docPr id="2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2107" w:rsidRPr="0080737A" w:rsidRDefault="00A82107" w:rsidP="00A82107">
      <w:pPr>
        <w:spacing w:after="0" w:line="240" w:lineRule="auto"/>
        <w:ind w:firstLine="709"/>
        <w:jc w:val="both"/>
        <w:rPr>
          <w:rFonts w:ascii="Times New Roman" w:hAnsi="Times New Roman"/>
          <w:spacing w:val="-4"/>
          <w:sz w:val="24"/>
          <w:szCs w:val="24"/>
        </w:rPr>
      </w:pPr>
      <w:r w:rsidRPr="0080737A">
        <w:rPr>
          <w:rFonts w:ascii="Times New Roman" w:hAnsi="Times New Roman"/>
          <w:sz w:val="24"/>
          <w:szCs w:val="24"/>
        </w:rPr>
        <w:t xml:space="preserve">В январе – июне 2016 года доходы </w:t>
      </w:r>
      <w:r w:rsidRPr="0080737A">
        <w:rPr>
          <w:rFonts w:ascii="Times New Roman" w:hAnsi="Times New Roman"/>
          <w:b/>
          <w:sz w:val="24"/>
          <w:szCs w:val="24"/>
        </w:rPr>
        <w:t>целевых бюджетных фондов</w:t>
      </w:r>
      <w:r w:rsidR="00EF7D3C" w:rsidRPr="0080737A">
        <w:rPr>
          <w:rFonts w:ascii="Times New Roman" w:hAnsi="Times New Roman"/>
          <w:b/>
          <w:sz w:val="24"/>
          <w:szCs w:val="24"/>
        </w:rPr>
        <w:t xml:space="preserve"> </w:t>
      </w:r>
      <w:r w:rsidRPr="0080737A">
        <w:rPr>
          <w:rFonts w:ascii="Times New Roman" w:hAnsi="Times New Roman"/>
          <w:sz w:val="24"/>
          <w:szCs w:val="24"/>
        </w:rPr>
        <w:t xml:space="preserve">уменьшились на 11,7% к соответствующему периоду прошлого года. При этом произошло сокращение платежей в </w:t>
      </w:r>
      <w:r w:rsidRPr="0080737A">
        <w:rPr>
          <w:rFonts w:ascii="Times New Roman" w:hAnsi="Times New Roman"/>
          <w:b/>
          <w:sz w:val="24"/>
          <w:szCs w:val="24"/>
        </w:rPr>
        <w:t>дорожные фонды</w:t>
      </w:r>
      <w:r w:rsidRPr="0080737A">
        <w:rPr>
          <w:rFonts w:ascii="Times New Roman" w:hAnsi="Times New Roman"/>
          <w:sz w:val="24"/>
          <w:szCs w:val="24"/>
        </w:rPr>
        <w:t xml:space="preserve"> на 19,5%. В целевые бюджетные </w:t>
      </w:r>
      <w:r w:rsidRPr="0080737A">
        <w:rPr>
          <w:rFonts w:ascii="Times New Roman" w:hAnsi="Times New Roman"/>
          <w:b/>
          <w:sz w:val="24"/>
          <w:szCs w:val="24"/>
        </w:rPr>
        <w:t>экологические фонды</w:t>
      </w:r>
      <w:r w:rsidR="00EF7D3C" w:rsidRPr="0080737A">
        <w:rPr>
          <w:rFonts w:ascii="Times New Roman" w:hAnsi="Times New Roman"/>
          <w:b/>
          <w:sz w:val="24"/>
          <w:szCs w:val="24"/>
        </w:rPr>
        <w:t xml:space="preserve"> </w:t>
      </w:r>
      <w:r w:rsidRPr="0080737A">
        <w:rPr>
          <w:rFonts w:ascii="Times New Roman" w:hAnsi="Times New Roman"/>
          <w:sz w:val="24"/>
          <w:szCs w:val="24"/>
        </w:rPr>
        <w:t>поступило средств на 6,8% меньше чем в январе – июне 2015 года.</w:t>
      </w:r>
      <w:r w:rsidRPr="0080737A">
        <w:rPr>
          <w:rFonts w:ascii="Times New Roman" w:hAnsi="Times New Roman"/>
          <w:spacing w:val="-4"/>
          <w:sz w:val="24"/>
          <w:szCs w:val="24"/>
        </w:rPr>
        <w:t xml:space="preserve"> Д</w:t>
      </w:r>
      <w:r w:rsidRPr="0080737A">
        <w:rPr>
          <w:rFonts w:ascii="Times New Roman" w:hAnsi="Times New Roman"/>
          <w:b/>
          <w:spacing w:val="-4"/>
          <w:sz w:val="24"/>
          <w:szCs w:val="24"/>
        </w:rPr>
        <w:t>оходы от предпринимательской и иной приносящей доход деятельности</w:t>
      </w:r>
      <w:r w:rsidRPr="0080737A">
        <w:rPr>
          <w:rFonts w:ascii="Times New Roman" w:hAnsi="Times New Roman"/>
          <w:spacing w:val="-4"/>
          <w:sz w:val="24"/>
          <w:szCs w:val="24"/>
        </w:rPr>
        <w:t xml:space="preserve"> за </w:t>
      </w:r>
      <w:r w:rsidRPr="0080737A">
        <w:rPr>
          <w:rFonts w:ascii="Times New Roman" w:hAnsi="Times New Roman"/>
          <w:spacing w:val="-4"/>
          <w:sz w:val="24"/>
          <w:szCs w:val="24"/>
          <w:lang w:val="en-US"/>
        </w:rPr>
        <w:t>I</w:t>
      </w:r>
      <w:r w:rsidRPr="0080737A">
        <w:rPr>
          <w:rFonts w:ascii="Times New Roman" w:hAnsi="Times New Roman"/>
          <w:spacing w:val="-4"/>
          <w:sz w:val="24"/>
          <w:szCs w:val="24"/>
        </w:rPr>
        <w:t xml:space="preserve"> полугодие 2016 года остались на уровне прошлого года и составили 112 274 162 руб.</w:t>
      </w: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t>Поступления сре</w:t>
      </w:r>
      <w:proofErr w:type="gramStart"/>
      <w:r w:rsidRPr="0080737A">
        <w:rPr>
          <w:rFonts w:ascii="Times New Roman" w:hAnsi="Times New Roman"/>
          <w:sz w:val="24"/>
          <w:szCs w:val="24"/>
        </w:rPr>
        <w:t>дств в ц</w:t>
      </w:r>
      <w:proofErr w:type="gramEnd"/>
      <w:r w:rsidRPr="0080737A">
        <w:rPr>
          <w:rFonts w:ascii="Times New Roman" w:hAnsi="Times New Roman"/>
          <w:sz w:val="24"/>
          <w:szCs w:val="24"/>
        </w:rPr>
        <w:t xml:space="preserve">елевой </w:t>
      </w:r>
      <w:r w:rsidRPr="0080737A">
        <w:rPr>
          <w:rFonts w:ascii="Times New Roman" w:hAnsi="Times New Roman"/>
          <w:b/>
          <w:sz w:val="24"/>
          <w:szCs w:val="24"/>
        </w:rPr>
        <w:t>фонд Государственного таможенного комитета</w:t>
      </w:r>
      <w:r w:rsidRPr="0080737A">
        <w:rPr>
          <w:rFonts w:ascii="Times New Roman" w:hAnsi="Times New Roman"/>
          <w:sz w:val="24"/>
          <w:szCs w:val="24"/>
        </w:rPr>
        <w:t xml:space="preserve"> за январь-июнь 2016 года выросли на 14,8% по сравнению с базовым периодом минувшего года и составили 17 639 403 руб.</w:t>
      </w:r>
    </w:p>
    <w:p w:rsidR="00A82107" w:rsidRPr="0080737A" w:rsidRDefault="00A82107" w:rsidP="00A82107">
      <w:pPr>
        <w:spacing w:after="0" w:line="240" w:lineRule="auto"/>
        <w:ind w:firstLine="709"/>
        <w:jc w:val="both"/>
        <w:rPr>
          <w:rFonts w:ascii="Times New Roman" w:hAnsi="Times New Roman"/>
          <w:spacing w:val="-4"/>
          <w:sz w:val="24"/>
          <w:szCs w:val="24"/>
        </w:rPr>
      </w:pPr>
    </w:p>
    <w:p w:rsidR="00A82107" w:rsidRPr="0080737A" w:rsidRDefault="00A82107" w:rsidP="00A82107">
      <w:pPr>
        <w:spacing w:after="0" w:line="240" w:lineRule="auto"/>
        <w:ind w:firstLine="709"/>
        <w:jc w:val="both"/>
        <w:rPr>
          <w:rFonts w:ascii="Times New Roman" w:hAnsi="Times New Roman"/>
          <w:spacing w:val="-4"/>
          <w:sz w:val="24"/>
          <w:szCs w:val="24"/>
        </w:rPr>
      </w:pPr>
      <w:proofErr w:type="gramStart"/>
      <w:r w:rsidRPr="0080737A">
        <w:rPr>
          <w:rFonts w:ascii="Times New Roman" w:hAnsi="Times New Roman"/>
          <w:spacing w:val="-4"/>
          <w:sz w:val="24"/>
          <w:szCs w:val="24"/>
        </w:rPr>
        <w:t xml:space="preserve">Расходы консолидированного бюджета выросли по сравнению с </w:t>
      </w:r>
      <w:r w:rsidRPr="0080737A">
        <w:rPr>
          <w:rFonts w:ascii="Times New Roman" w:hAnsi="Times New Roman"/>
          <w:spacing w:val="-4"/>
          <w:sz w:val="24"/>
          <w:szCs w:val="24"/>
          <w:lang w:val="en-US"/>
        </w:rPr>
        <w:t>I</w:t>
      </w:r>
      <w:r w:rsidRPr="0080737A">
        <w:rPr>
          <w:rFonts w:ascii="Times New Roman" w:hAnsi="Times New Roman"/>
          <w:spacing w:val="-4"/>
          <w:sz w:val="24"/>
          <w:szCs w:val="24"/>
        </w:rPr>
        <w:t xml:space="preserve"> полугодием 2015 года на 36,9 % до 2 015 218 235 руб. При этом по местным бюджетам расходы увеличились на 26,6% по сравнению с январем – июнем 2015 года, а расходы республиканского бюджета - на 41,6%. Данный рост обусловлен в первую очередь выплатой в </w:t>
      </w:r>
      <w:r w:rsidRPr="0080737A">
        <w:rPr>
          <w:rFonts w:ascii="Times New Roman" w:hAnsi="Times New Roman"/>
          <w:spacing w:val="-4"/>
          <w:sz w:val="24"/>
          <w:szCs w:val="24"/>
          <w:lang w:val="en-US"/>
        </w:rPr>
        <w:t>I</w:t>
      </w:r>
      <w:r w:rsidRPr="0080737A">
        <w:rPr>
          <w:rFonts w:ascii="Times New Roman" w:hAnsi="Times New Roman"/>
          <w:spacing w:val="-4"/>
          <w:sz w:val="24"/>
          <w:szCs w:val="24"/>
        </w:rPr>
        <w:t xml:space="preserve"> полугодии 2016 года задолженности по заработной плате сотрудникам бюджетных организаций</w:t>
      </w:r>
      <w:proofErr w:type="gramEnd"/>
      <w:r w:rsidRPr="0080737A">
        <w:rPr>
          <w:rFonts w:ascii="Times New Roman" w:hAnsi="Times New Roman"/>
          <w:spacing w:val="-4"/>
          <w:sz w:val="24"/>
          <w:szCs w:val="24"/>
        </w:rPr>
        <w:t xml:space="preserve">, </w:t>
      </w:r>
      <w:proofErr w:type="gramStart"/>
      <w:r w:rsidRPr="0080737A">
        <w:rPr>
          <w:rFonts w:ascii="Times New Roman" w:hAnsi="Times New Roman"/>
          <w:spacing w:val="-4"/>
          <w:sz w:val="24"/>
          <w:szCs w:val="24"/>
        </w:rPr>
        <w:t>сформировавшейся</w:t>
      </w:r>
      <w:proofErr w:type="gramEnd"/>
      <w:r w:rsidRPr="0080737A">
        <w:rPr>
          <w:rFonts w:ascii="Times New Roman" w:hAnsi="Times New Roman"/>
          <w:spacing w:val="-4"/>
          <w:sz w:val="24"/>
          <w:szCs w:val="24"/>
        </w:rPr>
        <w:t xml:space="preserve"> по итогам 2015 года.</w:t>
      </w:r>
    </w:p>
    <w:p w:rsidR="00A82107" w:rsidRPr="0080737A" w:rsidRDefault="00A82107" w:rsidP="00A82107">
      <w:pPr>
        <w:spacing w:after="0" w:line="240" w:lineRule="auto"/>
        <w:ind w:firstLine="709"/>
        <w:jc w:val="both"/>
        <w:rPr>
          <w:rFonts w:ascii="Times New Roman" w:hAnsi="Times New Roman"/>
          <w:spacing w:val="-4"/>
          <w:sz w:val="24"/>
          <w:szCs w:val="24"/>
        </w:rPr>
      </w:pPr>
      <w:proofErr w:type="gramStart"/>
      <w:r w:rsidRPr="0080737A">
        <w:rPr>
          <w:rFonts w:ascii="Times New Roman" w:hAnsi="Times New Roman"/>
          <w:spacing w:val="-4"/>
          <w:sz w:val="24"/>
          <w:szCs w:val="24"/>
        </w:rPr>
        <w:t>На недостаточное финансирование расходов республиканского бюджета повлияло, в первую очередь, неисполнение доходной части бюджета в виду усугубления ситуации в реальном секторе экономики в совокупности с ухудшением ситуации во внешнеэкономической и внешнеполитической сферах в сопредельных государствах, что оказало негативное влияние на поступления в доходы бюджетов различных уровней, а также отсутствие иного реального источника финансирования дефицита бюджета.</w:t>
      </w:r>
      <w:proofErr w:type="gramEnd"/>
    </w:p>
    <w:p w:rsidR="00B638E6" w:rsidRPr="0080737A" w:rsidRDefault="00B638E6" w:rsidP="00460A09">
      <w:pPr>
        <w:spacing w:after="0" w:line="240" w:lineRule="auto"/>
        <w:jc w:val="right"/>
        <w:rPr>
          <w:rFonts w:ascii="Times New Roman" w:hAnsi="Times New Roman"/>
          <w:sz w:val="24"/>
          <w:szCs w:val="24"/>
        </w:rPr>
      </w:pPr>
    </w:p>
    <w:p w:rsidR="00A82107" w:rsidRPr="0080737A" w:rsidRDefault="00A82107" w:rsidP="00460A09">
      <w:pPr>
        <w:spacing w:after="0" w:line="240" w:lineRule="auto"/>
        <w:jc w:val="right"/>
        <w:rPr>
          <w:rFonts w:ascii="Times New Roman" w:hAnsi="Times New Roman"/>
          <w:sz w:val="24"/>
          <w:szCs w:val="24"/>
        </w:rPr>
      </w:pPr>
      <w:r w:rsidRPr="0080737A">
        <w:rPr>
          <w:rFonts w:ascii="Times New Roman" w:hAnsi="Times New Roman"/>
          <w:sz w:val="24"/>
          <w:szCs w:val="24"/>
        </w:rPr>
        <w:lastRenderedPageBreak/>
        <w:t>Таблица №</w:t>
      </w:r>
      <w:r w:rsidR="005C2655" w:rsidRPr="0080737A">
        <w:rPr>
          <w:rFonts w:ascii="Times New Roman" w:hAnsi="Times New Roman"/>
          <w:sz w:val="24"/>
          <w:szCs w:val="24"/>
        </w:rPr>
        <w:t>8</w:t>
      </w:r>
    </w:p>
    <w:p w:rsidR="00A82107" w:rsidRPr="0080737A" w:rsidRDefault="00A82107" w:rsidP="00A82107">
      <w:pPr>
        <w:spacing w:after="0" w:line="240" w:lineRule="auto"/>
        <w:contextualSpacing/>
        <w:jc w:val="center"/>
        <w:rPr>
          <w:rFonts w:ascii="Times New Roman" w:hAnsi="Times New Roman"/>
          <w:b/>
          <w:sz w:val="24"/>
          <w:szCs w:val="24"/>
        </w:rPr>
      </w:pPr>
      <w:r w:rsidRPr="0080737A">
        <w:rPr>
          <w:rFonts w:ascii="Times New Roman" w:hAnsi="Times New Roman"/>
          <w:b/>
          <w:sz w:val="24"/>
          <w:szCs w:val="24"/>
        </w:rPr>
        <w:t>Структура исполнения расходной части</w:t>
      </w:r>
    </w:p>
    <w:p w:rsidR="00A82107" w:rsidRPr="0080737A" w:rsidRDefault="00A82107" w:rsidP="00A82107">
      <w:pPr>
        <w:spacing w:after="0" w:line="240" w:lineRule="auto"/>
        <w:contextualSpacing/>
        <w:jc w:val="center"/>
        <w:rPr>
          <w:rFonts w:ascii="Times New Roman" w:hAnsi="Times New Roman"/>
          <w:b/>
          <w:sz w:val="24"/>
          <w:szCs w:val="24"/>
        </w:rPr>
      </w:pPr>
      <w:r w:rsidRPr="0080737A">
        <w:rPr>
          <w:rFonts w:ascii="Times New Roman" w:hAnsi="Times New Roman"/>
          <w:b/>
          <w:sz w:val="24"/>
          <w:szCs w:val="24"/>
        </w:rPr>
        <w:t>консолидированного бюджета за 1 полугодие 2016 года (руб.)</w:t>
      </w:r>
    </w:p>
    <w:tbl>
      <w:tblPr>
        <w:tblW w:w="8789" w:type="dxa"/>
        <w:tblInd w:w="817" w:type="dxa"/>
        <w:tblLayout w:type="fixed"/>
        <w:tblLook w:val="0000"/>
      </w:tblPr>
      <w:tblGrid>
        <w:gridCol w:w="2836"/>
        <w:gridCol w:w="1559"/>
        <w:gridCol w:w="1559"/>
        <w:gridCol w:w="1417"/>
        <w:gridCol w:w="1418"/>
      </w:tblGrid>
      <w:tr w:rsidR="00A82107" w:rsidRPr="0080737A" w:rsidTr="00B638E6">
        <w:trPr>
          <w:trHeight w:val="356"/>
        </w:trPr>
        <w:tc>
          <w:tcPr>
            <w:tcW w:w="2836" w:type="dxa"/>
            <w:tcBorders>
              <w:top w:val="single" w:sz="4" w:space="0" w:color="auto"/>
              <w:left w:val="single" w:sz="4" w:space="0" w:color="auto"/>
              <w:bottom w:val="single" w:sz="4" w:space="0" w:color="auto"/>
              <w:right w:val="single" w:sz="4" w:space="0" w:color="auto"/>
            </w:tcBorders>
            <w:noWrap/>
            <w:vAlign w:val="center"/>
          </w:tcPr>
          <w:p w:rsidR="00A82107" w:rsidRPr="0080737A" w:rsidRDefault="00A82107" w:rsidP="00047DAA">
            <w:pPr>
              <w:spacing w:after="0" w:line="240" w:lineRule="auto"/>
              <w:ind w:left="709"/>
              <w:contextualSpacing/>
              <w:rPr>
                <w:rFonts w:ascii="Times New Roman" w:hAnsi="Times New Roman"/>
                <w:b/>
              </w:rPr>
            </w:pPr>
          </w:p>
        </w:tc>
        <w:tc>
          <w:tcPr>
            <w:tcW w:w="1559" w:type="dxa"/>
            <w:tcBorders>
              <w:top w:val="single" w:sz="4" w:space="0" w:color="auto"/>
              <w:left w:val="nil"/>
              <w:bottom w:val="single" w:sz="4" w:space="0" w:color="auto"/>
              <w:right w:val="single" w:sz="4" w:space="0" w:color="auto"/>
            </w:tcBorders>
            <w:vAlign w:val="center"/>
          </w:tcPr>
          <w:p w:rsidR="00A82107" w:rsidRPr="0080737A" w:rsidRDefault="00A82107" w:rsidP="00047DAA">
            <w:pPr>
              <w:spacing w:after="0" w:line="240" w:lineRule="auto"/>
              <w:contextualSpacing/>
              <w:jc w:val="center"/>
              <w:rPr>
                <w:rFonts w:ascii="Times New Roman" w:hAnsi="Times New Roman"/>
                <w:b/>
              </w:rPr>
            </w:pPr>
            <w:r w:rsidRPr="0080737A">
              <w:rPr>
                <w:rFonts w:ascii="Times New Roman" w:hAnsi="Times New Roman"/>
                <w:b/>
              </w:rPr>
              <w:t>План</w:t>
            </w:r>
          </w:p>
        </w:tc>
        <w:tc>
          <w:tcPr>
            <w:tcW w:w="1559" w:type="dxa"/>
            <w:tcBorders>
              <w:top w:val="single" w:sz="4" w:space="0" w:color="auto"/>
              <w:left w:val="nil"/>
              <w:bottom w:val="single" w:sz="4" w:space="0" w:color="auto"/>
              <w:right w:val="single" w:sz="4" w:space="0" w:color="auto"/>
            </w:tcBorders>
            <w:vAlign w:val="center"/>
          </w:tcPr>
          <w:p w:rsidR="00A82107" w:rsidRPr="0080737A" w:rsidRDefault="00A82107" w:rsidP="00047DAA">
            <w:pPr>
              <w:spacing w:after="0" w:line="240" w:lineRule="auto"/>
              <w:contextualSpacing/>
              <w:jc w:val="center"/>
              <w:rPr>
                <w:rFonts w:ascii="Times New Roman" w:hAnsi="Times New Roman"/>
                <w:b/>
              </w:rPr>
            </w:pPr>
            <w:r w:rsidRPr="0080737A">
              <w:rPr>
                <w:rFonts w:ascii="Times New Roman" w:hAnsi="Times New Roman"/>
                <w:b/>
              </w:rPr>
              <w:t>Факт</w:t>
            </w:r>
          </w:p>
        </w:tc>
        <w:tc>
          <w:tcPr>
            <w:tcW w:w="1417" w:type="dxa"/>
            <w:tcBorders>
              <w:top w:val="single" w:sz="4" w:space="0" w:color="auto"/>
              <w:left w:val="nil"/>
              <w:bottom w:val="single" w:sz="4" w:space="0" w:color="auto"/>
              <w:right w:val="single" w:sz="4" w:space="0" w:color="auto"/>
            </w:tcBorders>
            <w:vAlign w:val="center"/>
          </w:tcPr>
          <w:p w:rsidR="00A82107" w:rsidRPr="0080737A" w:rsidRDefault="00A82107" w:rsidP="00047DAA">
            <w:pPr>
              <w:spacing w:after="0" w:line="240" w:lineRule="auto"/>
              <w:contextualSpacing/>
              <w:jc w:val="center"/>
              <w:rPr>
                <w:rFonts w:ascii="Times New Roman" w:hAnsi="Times New Roman"/>
                <w:b/>
              </w:rPr>
            </w:pPr>
            <w:r w:rsidRPr="0080737A">
              <w:rPr>
                <w:rFonts w:ascii="Times New Roman" w:hAnsi="Times New Roman"/>
                <w:b/>
              </w:rPr>
              <w:t>% исполнения</w:t>
            </w:r>
          </w:p>
        </w:tc>
        <w:tc>
          <w:tcPr>
            <w:tcW w:w="1418" w:type="dxa"/>
            <w:tcBorders>
              <w:top w:val="single" w:sz="4" w:space="0" w:color="auto"/>
              <w:left w:val="nil"/>
              <w:bottom w:val="single" w:sz="4" w:space="0" w:color="auto"/>
              <w:right w:val="single" w:sz="4" w:space="0" w:color="auto"/>
            </w:tcBorders>
          </w:tcPr>
          <w:p w:rsidR="00A82107" w:rsidRPr="0080737A" w:rsidRDefault="00A82107" w:rsidP="00047DAA">
            <w:pPr>
              <w:spacing w:after="0" w:line="240" w:lineRule="auto"/>
              <w:ind w:right="-73"/>
              <w:contextualSpacing/>
              <w:jc w:val="center"/>
              <w:rPr>
                <w:rFonts w:ascii="Times New Roman" w:hAnsi="Times New Roman"/>
                <w:b/>
              </w:rPr>
            </w:pPr>
            <w:r w:rsidRPr="0080737A">
              <w:rPr>
                <w:rFonts w:ascii="Times New Roman" w:hAnsi="Times New Roman"/>
                <w:b/>
              </w:rPr>
              <w:t>Темп роста 2016г. к 2015г., %</w:t>
            </w:r>
          </w:p>
        </w:tc>
      </w:tr>
      <w:tr w:rsidR="00A82107" w:rsidRPr="0080737A" w:rsidTr="00B638E6">
        <w:trPr>
          <w:trHeight w:val="80"/>
        </w:trPr>
        <w:tc>
          <w:tcPr>
            <w:tcW w:w="2836" w:type="dxa"/>
            <w:tcBorders>
              <w:top w:val="nil"/>
              <w:left w:val="single" w:sz="4" w:space="0" w:color="auto"/>
              <w:bottom w:val="single" w:sz="4" w:space="0" w:color="auto"/>
              <w:right w:val="single" w:sz="4" w:space="0" w:color="auto"/>
            </w:tcBorders>
            <w:noWrap/>
          </w:tcPr>
          <w:p w:rsidR="00A82107" w:rsidRPr="0080737A" w:rsidRDefault="00A82107" w:rsidP="00047DAA">
            <w:pPr>
              <w:spacing w:after="0" w:line="240" w:lineRule="auto"/>
              <w:contextualSpacing/>
              <w:rPr>
                <w:rFonts w:ascii="Times New Roman" w:hAnsi="Times New Roman"/>
                <w:b/>
                <w:bCs/>
              </w:rPr>
            </w:pPr>
            <w:r w:rsidRPr="0080737A">
              <w:rPr>
                <w:rFonts w:ascii="Times New Roman" w:hAnsi="Times New Roman"/>
                <w:b/>
                <w:bCs/>
              </w:rPr>
              <w:t>Консолидированный бюджет</w:t>
            </w:r>
          </w:p>
        </w:tc>
        <w:tc>
          <w:tcPr>
            <w:tcW w:w="1559" w:type="dxa"/>
            <w:tcBorders>
              <w:top w:val="nil"/>
              <w:left w:val="nil"/>
              <w:bottom w:val="single" w:sz="4" w:space="0" w:color="auto"/>
              <w:right w:val="single" w:sz="4" w:space="0" w:color="auto"/>
            </w:tcBorders>
            <w:noWrap/>
            <w:vAlign w:val="center"/>
          </w:tcPr>
          <w:p w:rsidR="00A82107" w:rsidRPr="0080737A" w:rsidRDefault="00A82107" w:rsidP="00047DAA">
            <w:pPr>
              <w:spacing w:after="0" w:line="240" w:lineRule="auto"/>
              <w:contextualSpacing/>
              <w:jc w:val="center"/>
              <w:rPr>
                <w:rFonts w:ascii="Times New Roman" w:hAnsi="Times New Roman"/>
                <w:b/>
                <w:bCs/>
              </w:rPr>
            </w:pPr>
            <w:r w:rsidRPr="0080737A">
              <w:rPr>
                <w:rFonts w:ascii="Times New Roman" w:hAnsi="Times New Roman"/>
                <w:b/>
                <w:bCs/>
              </w:rPr>
              <w:t xml:space="preserve">2 622 572 565 </w:t>
            </w:r>
          </w:p>
        </w:tc>
        <w:tc>
          <w:tcPr>
            <w:tcW w:w="1559" w:type="dxa"/>
            <w:tcBorders>
              <w:top w:val="nil"/>
              <w:left w:val="nil"/>
              <w:bottom w:val="single" w:sz="4" w:space="0" w:color="auto"/>
              <w:right w:val="single" w:sz="4" w:space="0" w:color="auto"/>
            </w:tcBorders>
            <w:noWrap/>
            <w:vAlign w:val="center"/>
          </w:tcPr>
          <w:p w:rsidR="00A82107" w:rsidRPr="0080737A" w:rsidRDefault="00A82107" w:rsidP="00047DAA">
            <w:pPr>
              <w:spacing w:after="0" w:line="240" w:lineRule="auto"/>
              <w:contextualSpacing/>
              <w:jc w:val="center"/>
              <w:rPr>
                <w:rFonts w:ascii="Times New Roman" w:hAnsi="Times New Roman"/>
                <w:b/>
                <w:bCs/>
              </w:rPr>
            </w:pPr>
            <w:r w:rsidRPr="0080737A">
              <w:rPr>
                <w:rFonts w:ascii="Times New Roman" w:hAnsi="Times New Roman"/>
                <w:b/>
                <w:bCs/>
              </w:rPr>
              <w:t xml:space="preserve">2 015 218 235 </w:t>
            </w:r>
          </w:p>
        </w:tc>
        <w:tc>
          <w:tcPr>
            <w:tcW w:w="1417" w:type="dxa"/>
            <w:tcBorders>
              <w:top w:val="nil"/>
              <w:left w:val="nil"/>
              <w:bottom w:val="single" w:sz="4" w:space="0" w:color="auto"/>
              <w:right w:val="single" w:sz="4" w:space="0" w:color="auto"/>
            </w:tcBorders>
            <w:noWrap/>
            <w:vAlign w:val="center"/>
          </w:tcPr>
          <w:p w:rsidR="00A82107" w:rsidRPr="0080737A" w:rsidRDefault="00A82107" w:rsidP="00047DAA">
            <w:pPr>
              <w:spacing w:after="0" w:line="240" w:lineRule="auto"/>
              <w:contextualSpacing/>
              <w:jc w:val="center"/>
              <w:rPr>
                <w:rFonts w:ascii="Times New Roman" w:hAnsi="Times New Roman"/>
                <w:b/>
                <w:bCs/>
              </w:rPr>
            </w:pPr>
            <w:r w:rsidRPr="0080737A">
              <w:rPr>
                <w:rFonts w:ascii="Times New Roman" w:hAnsi="Times New Roman"/>
                <w:b/>
                <w:bCs/>
              </w:rPr>
              <w:t>76,84</w:t>
            </w:r>
          </w:p>
        </w:tc>
        <w:tc>
          <w:tcPr>
            <w:tcW w:w="1418" w:type="dxa"/>
            <w:tcBorders>
              <w:top w:val="nil"/>
              <w:left w:val="nil"/>
              <w:bottom w:val="single" w:sz="4" w:space="0" w:color="auto"/>
              <w:right w:val="single" w:sz="4" w:space="0" w:color="auto"/>
            </w:tcBorders>
            <w:vAlign w:val="center"/>
          </w:tcPr>
          <w:p w:rsidR="00A82107" w:rsidRPr="0080737A" w:rsidRDefault="00A82107" w:rsidP="00047DAA">
            <w:pPr>
              <w:spacing w:after="0" w:line="240" w:lineRule="auto"/>
              <w:contextualSpacing/>
              <w:jc w:val="center"/>
              <w:rPr>
                <w:rFonts w:ascii="Times New Roman" w:hAnsi="Times New Roman"/>
                <w:b/>
                <w:bCs/>
              </w:rPr>
            </w:pPr>
            <w:r w:rsidRPr="0080737A">
              <w:rPr>
                <w:rFonts w:ascii="Times New Roman" w:hAnsi="Times New Roman"/>
                <w:b/>
                <w:bCs/>
              </w:rPr>
              <w:t>136,9</w:t>
            </w:r>
          </w:p>
        </w:tc>
      </w:tr>
      <w:tr w:rsidR="00A82107" w:rsidRPr="0080737A" w:rsidTr="00B638E6">
        <w:trPr>
          <w:trHeight w:val="313"/>
        </w:trPr>
        <w:tc>
          <w:tcPr>
            <w:tcW w:w="2836" w:type="dxa"/>
            <w:tcBorders>
              <w:top w:val="nil"/>
              <w:left w:val="single" w:sz="4" w:space="0" w:color="auto"/>
              <w:bottom w:val="single" w:sz="4" w:space="0" w:color="auto"/>
              <w:right w:val="single" w:sz="4" w:space="0" w:color="auto"/>
            </w:tcBorders>
            <w:noWrap/>
          </w:tcPr>
          <w:p w:rsidR="00A82107" w:rsidRPr="0080737A" w:rsidRDefault="00A82107" w:rsidP="00047DAA">
            <w:pPr>
              <w:spacing w:after="0" w:line="240" w:lineRule="auto"/>
              <w:contextualSpacing/>
              <w:rPr>
                <w:rFonts w:ascii="Times New Roman" w:hAnsi="Times New Roman"/>
                <w:bCs/>
              </w:rPr>
            </w:pPr>
            <w:r w:rsidRPr="0080737A">
              <w:rPr>
                <w:rFonts w:ascii="Times New Roman" w:hAnsi="Times New Roman"/>
                <w:bCs/>
              </w:rPr>
              <w:t>Республиканский бюджет</w:t>
            </w:r>
          </w:p>
        </w:tc>
        <w:tc>
          <w:tcPr>
            <w:tcW w:w="1559" w:type="dxa"/>
            <w:tcBorders>
              <w:top w:val="nil"/>
              <w:left w:val="nil"/>
              <w:bottom w:val="single" w:sz="4" w:space="0" w:color="auto"/>
              <w:right w:val="single" w:sz="4" w:space="0" w:color="auto"/>
            </w:tcBorders>
            <w:noWrap/>
            <w:vAlign w:val="center"/>
          </w:tcPr>
          <w:p w:rsidR="00A82107" w:rsidRPr="0080737A" w:rsidRDefault="00A82107" w:rsidP="00047DAA">
            <w:pPr>
              <w:spacing w:after="0" w:line="240" w:lineRule="auto"/>
              <w:contextualSpacing/>
              <w:jc w:val="center"/>
              <w:rPr>
                <w:rFonts w:ascii="Times New Roman" w:hAnsi="Times New Roman"/>
                <w:bCs/>
              </w:rPr>
            </w:pPr>
            <w:r w:rsidRPr="0080737A">
              <w:rPr>
                <w:rFonts w:ascii="Times New Roman" w:hAnsi="Times New Roman"/>
                <w:bCs/>
              </w:rPr>
              <w:t xml:space="preserve">1 825 245 751 </w:t>
            </w:r>
          </w:p>
        </w:tc>
        <w:tc>
          <w:tcPr>
            <w:tcW w:w="1559" w:type="dxa"/>
            <w:tcBorders>
              <w:top w:val="nil"/>
              <w:left w:val="nil"/>
              <w:bottom w:val="single" w:sz="4" w:space="0" w:color="auto"/>
              <w:right w:val="single" w:sz="4" w:space="0" w:color="auto"/>
            </w:tcBorders>
            <w:noWrap/>
            <w:vAlign w:val="center"/>
          </w:tcPr>
          <w:p w:rsidR="00A82107" w:rsidRPr="0080737A" w:rsidRDefault="00A82107" w:rsidP="00047DAA">
            <w:pPr>
              <w:spacing w:after="0" w:line="240" w:lineRule="auto"/>
              <w:contextualSpacing/>
              <w:jc w:val="center"/>
              <w:rPr>
                <w:rFonts w:ascii="Times New Roman" w:hAnsi="Times New Roman"/>
                <w:bCs/>
              </w:rPr>
            </w:pPr>
            <w:r w:rsidRPr="0080737A">
              <w:rPr>
                <w:rFonts w:ascii="Times New Roman" w:hAnsi="Times New Roman"/>
                <w:bCs/>
              </w:rPr>
              <w:t xml:space="preserve">1 427 595 318 </w:t>
            </w:r>
          </w:p>
        </w:tc>
        <w:tc>
          <w:tcPr>
            <w:tcW w:w="1417" w:type="dxa"/>
            <w:tcBorders>
              <w:top w:val="nil"/>
              <w:left w:val="nil"/>
              <w:bottom w:val="single" w:sz="4" w:space="0" w:color="auto"/>
              <w:right w:val="single" w:sz="4" w:space="0" w:color="auto"/>
            </w:tcBorders>
            <w:noWrap/>
            <w:vAlign w:val="center"/>
          </w:tcPr>
          <w:p w:rsidR="00A82107" w:rsidRPr="0080737A" w:rsidRDefault="00A82107" w:rsidP="00047DAA">
            <w:pPr>
              <w:spacing w:after="0" w:line="240" w:lineRule="auto"/>
              <w:contextualSpacing/>
              <w:jc w:val="center"/>
              <w:rPr>
                <w:rFonts w:ascii="Times New Roman" w:hAnsi="Times New Roman"/>
                <w:bCs/>
              </w:rPr>
            </w:pPr>
            <w:r w:rsidRPr="0080737A">
              <w:rPr>
                <w:rFonts w:ascii="Times New Roman" w:hAnsi="Times New Roman"/>
                <w:bCs/>
              </w:rPr>
              <w:t>78,21</w:t>
            </w:r>
          </w:p>
        </w:tc>
        <w:tc>
          <w:tcPr>
            <w:tcW w:w="1418" w:type="dxa"/>
            <w:tcBorders>
              <w:top w:val="nil"/>
              <w:left w:val="nil"/>
              <w:bottom w:val="single" w:sz="4" w:space="0" w:color="auto"/>
              <w:right w:val="single" w:sz="4" w:space="0" w:color="auto"/>
            </w:tcBorders>
          </w:tcPr>
          <w:p w:rsidR="00A82107" w:rsidRPr="0080737A" w:rsidRDefault="00A82107" w:rsidP="00047DAA">
            <w:pPr>
              <w:spacing w:after="0" w:line="240" w:lineRule="auto"/>
              <w:contextualSpacing/>
              <w:jc w:val="center"/>
              <w:rPr>
                <w:rFonts w:ascii="Times New Roman" w:hAnsi="Times New Roman"/>
                <w:bCs/>
              </w:rPr>
            </w:pPr>
            <w:r w:rsidRPr="0080737A">
              <w:rPr>
                <w:rFonts w:ascii="Times New Roman" w:hAnsi="Times New Roman"/>
                <w:bCs/>
              </w:rPr>
              <w:t>141,6</w:t>
            </w:r>
          </w:p>
        </w:tc>
      </w:tr>
      <w:tr w:rsidR="00A82107" w:rsidRPr="0080737A" w:rsidTr="00B638E6">
        <w:trPr>
          <w:trHeight w:val="289"/>
        </w:trPr>
        <w:tc>
          <w:tcPr>
            <w:tcW w:w="2836" w:type="dxa"/>
            <w:tcBorders>
              <w:top w:val="nil"/>
              <w:left w:val="single" w:sz="4" w:space="0" w:color="auto"/>
              <w:bottom w:val="single" w:sz="4" w:space="0" w:color="auto"/>
              <w:right w:val="single" w:sz="4" w:space="0" w:color="auto"/>
            </w:tcBorders>
            <w:noWrap/>
          </w:tcPr>
          <w:p w:rsidR="00A82107" w:rsidRPr="0080737A" w:rsidRDefault="00A82107" w:rsidP="00047DAA">
            <w:pPr>
              <w:spacing w:after="0" w:line="240" w:lineRule="auto"/>
              <w:contextualSpacing/>
              <w:rPr>
                <w:rFonts w:ascii="Times New Roman" w:hAnsi="Times New Roman"/>
                <w:bCs/>
              </w:rPr>
            </w:pPr>
            <w:r w:rsidRPr="0080737A">
              <w:rPr>
                <w:rFonts w:ascii="Times New Roman" w:hAnsi="Times New Roman"/>
                <w:bCs/>
              </w:rPr>
              <w:t>Местные бюджеты, в т.ч.</w:t>
            </w:r>
          </w:p>
        </w:tc>
        <w:tc>
          <w:tcPr>
            <w:tcW w:w="1559" w:type="dxa"/>
            <w:tcBorders>
              <w:top w:val="nil"/>
              <w:left w:val="nil"/>
              <w:bottom w:val="single" w:sz="4" w:space="0" w:color="auto"/>
              <w:right w:val="single" w:sz="4" w:space="0" w:color="auto"/>
            </w:tcBorders>
            <w:noWrap/>
            <w:vAlign w:val="center"/>
          </w:tcPr>
          <w:p w:rsidR="00A82107" w:rsidRPr="0080737A" w:rsidRDefault="00A82107" w:rsidP="00047DAA">
            <w:pPr>
              <w:spacing w:after="0" w:line="240" w:lineRule="auto"/>
              <w:contextualSpacing/>
              <w:jc w:val="center"/>
              <w:rPr>
                <w:rFonts w:ascii="Times New Roman" w:hAnsi="Times New Roman"/>
                <w:bCs/>
              </w:rPr>
            </w:pPr>
            <w:r w:rsidRPr="0080737A">
              <w:rPr>
                <w:rFonts w:ascii="Times New Roman" w:hAnsi="Times New Roman"/>
                <w:bCs/>
              </w:rPr>
              <w:t xml:space="preserve">797 326 814 </w:t>
            </w:r>
          </w:p>
        </w:tc>
        <w:tc>
          <w:tcPr>
            <w:tcW w:w="1559" w:type="dxa"/>
            <w:tcBorders>
              <w:top w:val="nil"/>
              <w:left w:val="nil"/>
              <w:bottom w:val="single" w:sz="4" w:space="0" w:color="auto"/>
              <w:right w:val="single" w:sz="4" w:space="0" w:color="auto"/>
            </w:tcBorders>
            <w:noWrap/>
            <w:vAlign w:val="center"/>
          </w:tcPr>
          <w:p w:rsidR="00A82107" w:rsidRPr="0080737A" w:rsidRDefault="00A82107" w:rsidP="00047DAA">
            <w:pPr>
              <w:spacing w:after="0" w:line="240" w:lineRule="auto"/>
              <w:contextualSpacing/>
              <w:jc w:val="center"/>
              <w:rPr>
                <w:rFonts w:ascii="Times New Roman" w:hAnsi="Times New Roman"/>
                <w:bCs/>
              </w:rPr>
            </w:pPr>
            <w:r w:rsidRPr="0080737A">
              <w:rPr>
                <w:rFonts w:ascii="Times New Roman" w:hAnsi="Times New Roman"/>
                <w:bCs/>
              </w:rPr>
              <w:t xml:space="preserve">587 622 917 </w:t>
            </w:r>
          </w:p>
        </w:tc>
        <w:tc>
          <w:tcPr>
            <w:tcW w:w="1417" w:type="dxa"/>
            <w:tcBorders>
              <w:top w:val="nil"/>
              <w:left w:val="nil"/>
              <w:bottom w:val="single" w:sz="4" w:space="0" w:color="auto"/>
              <w:right w:val="single" w:sz="4" w:space="0" w:color="auto"/>
            </w:tcBorders>
            <w:noWrap/>
            <w:vAlign w:val="center"/>
          </w:tcPr>
          <w:p w:rsidR="00A82107" w:rsidRPr="0080737A" w:rsidRDefault="00A82107" w:rsidP="00047DAA">
            <w:pPr>
              <w:spacing w:after="0" w:line="240" w:lineRule="auto"/>
              <w:contextualSpacing/>
              <w:jc w:val="center"/>
              <w:rPr>
                <w:rFonts w:ascii="Times New Roman" w:hAnsi="Times New Roman"/>
                <w:bCs/>
              </w:rPr>
            </w:pPr>
            <w:r w:rsidRPr="0080737A">
              <w:rPr>
                <w:rFonts w:ascii="Times New Roman" w:hAnsi="Times New Roman"/>
                <w:bCs/>
              </w:rPr>
              <w:t>73,70</w:t>
            </w:r>
          </w:p>
        </w:tc>
        <w:tc>
          <w:tcPr>
            <w:tcW w:w="1418" w:type="dxa"/>
            <w:tcBorders>
              <w:top w:val="nil"/>
              <w:left w:val="nil"/>
              <w:bottom w:val="single" w:sz="4" w:space="0" w:color="auto"/>
              <w:right w:val="single" w:sz="4" w:space="0" w:color="auto"/>
            </w:tcBorders>
          </w:tcPr>
          <w:p w:rsidR="00A82107" w:rsidRPr="0080737A" w:rsidRDefault="00A82107" w:rsidP="00047DAA">
            <w:pPr>
              <w:spacing w:after="0" w:line="240" w:lineRule="auto"/>
              <w:contextualSpacing/>
              <w:jc w:val="center"/>
              <w:rPr>
                <w:rFonts w:ascii="Times New Roman" w:hAnsi="Times New Roman"/>
                <w:bCs/>
              </w:rPr>
            </w:pPr>
            <w:r w:rsidRPr="0080737A">
              <w:rPr>
                <w:rFonts w:ascii="Times New Roman" w:hAnsi="Times New Roman"/>
                <w:bCs/>
              </w:rPr>
              <w:t>126,6</w:t>
            </w:r>
          </w:p>
        </w:tc>
      </w:tr>
    </w:tbl>
    <w:p w:rsidR="00A82107" w:rsidRPr="0080737A" w:rsidRDefault="00A82107" w:rsidP="00A82107">
      <w:pPr>
        <w:spacing w:after="0" w:line="240" w:lineRule="auto"/>
        <w:jc w:val="center"/>
        <w:rPr>
          <w:rFonts w:ascii="Times New Roman" w:hAnsi="Times New Roman"/>
          <w:sz w:val="24"/>
          <w:szCs w:val="24"/>
        </w:rPr>
      </w:pPr>
      <w:r w:rsidRPr="0080737A">
        <w:rPr>
          <w:rFonts w:ascii="Times New Roman" w:hAnsi="Times New Roman"/>
          <w:noProof/>
          <w:sz w:val="24"/>
          <w:szCs w:val="24"/>
        </w:rPr>
        <w:drawing>
          <wp:inline distT="0" distB="0" distL="0" distR="0">
            <wp:extent cx="4400550" cy="2171700"/>
            <wp:effectExtent l="0" t="0" r="0"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2107" w:rsidRPr="0080737A" w:rsidRDefault="00A82107" w:rsidP="00A82107">
      <w:pPr>
        <w:spacing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Фактическое финансирование в январе – июне 2015 года по основным разделам функциональной классификации расходов осуществлялось достаточно равномерно. </w:t>
      </w:r>
      <w:proofErr w:type="gramStart"/>
      <w:r w:rsidRPr="0080737A">
        <w:rPr>
          <w:rFonts w:ascii="Times New Roman" w:hAnsi="Times New Roman"/>
          <w:sz w:val="24"/>
          <w:szCs w:val="24"/>
        </w:rPr>
        <w:t xml:space="preserve">Приоритетными направлениями продолжают оставаться здравоохранение (19,4%) и социальная политика (10,7%), в январе – июне 2015 года соответственно 17,0% и 18,6%. При этом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доля фактических расходов государства по социальным отраслям сократилась на 4,5 процентных пункта и составила 42,5% общих фактических расходов, доля прочих расходов (в том числе расходов, профинансированных из средств учреждений, оказывающих платные услуги, а также</w:t>
      </w:r>
      <w:proofErr w:type="gramEnd"/>
      <w:r w:rsidRPr="0080737A">
        <w:rPr>
          <w:rFonts w:ascii="Times New Roman" w:hAnsi="Times New Roman"/>
          <w:sz w:val="24"/>
          <w:szCs w:val="24"/>
        </w:rPr>
        <w:t xml:space="preserve"> расходов, направленных на реализацию государственных целевых (и нецелевых) программ) сократились с 12,9% до 12,1% общих фактических расходов бюджета за январь – июнь 2015-2016 годов.</w:t>
      </w:r>
    </w:p>
    <w:p w:rsidR="00A82107" w:rsidRPr="0080737A" w:rsidRDefault="00A82107" w:rsidP="00A82107">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При этом</w:t>
      </w:r>
      <w:proofErr w:type="gramStart"/>
      <w:r w:rsidRPr="0080737A">
        <w:rPr>
          <w:rFonts w:ascii="Times New Roman" w:hAnsi="Times New Roman"/>
          <w:sz w:val="24"/>
          <w:szCs w:val="24"/>
        </w:rPr>
        <w:t>,</w:t>
      </w:r>
      <w:proofErr w:type="gramEnd"/>
      <w:r w:rsidRPr="0080737A">
        <w:rPr>
          <w:rFonts w:ascii="Times New Roman" w:hAnsi="Times New Roman"/>
          <w:sz w:val="24"/>
          <w:szCs w:val="24"/>
        </w:rPr>
        <w:t xml:space="preserve"> доля расходов на финансовую помощь бюджетам других уровней увеличилась с 5,3%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2015 года до 13,2%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w:t>
      </w:r>
    </w:p>
    <w:p w:rsidR="00A82107" w:rsidRPr="0080737A" w:rsidRDefault="00A82107" w:rsidP="00A82107">
      <w:pPr>
        <w:spacing w:after="0" w:line="240" w:lineRule="auto"/>
        <w:ind w:right="-284" w:hanging="284"/>
        <w:jc w:val="both"/>
        <w:rPr>
          <w:rFonts w:ascii="Times New Roman" w:hAnsi="Times New Roman"/>
          <w:sz w:val="24"/>
          <w:szCs w:val="24"/>
        </w:rPr>
      </w:pPr>
      <w:r w:rsidRPr="0080737A">
        <w:rPr>
          <w:rFonts w:ascii="Times New Roman" w:hAnsi="Times New Roman"/>
          <w:noProof/>
          <w:sz w:val="24"/>
          <w:szCs w:val="24"/>
        </w:rPr>
        <w:drawing>
          <wp:inline distT="0" distB="0" distL="0" distR="0">
            <wp:extent cx="2600325" cy="2533650"/>
            <wp:effectExtent l="19050" t="0" r="0" b="0"/>
            <wp:docPr id="3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0737A">
        <w:rPr>
          <w:rFonts w:ascii="Times New Roman" w:hAnsi="Times New Roman"/>
          <w:noProof/>
          <w:sz w:val="24"/>
          <w:szCs w:val="24"/>
        </w:rPr>
        <w:drawing>
          <wp:inline distT="0" distB="0" distL="0" distR="0">
            <wp:extent cx="3343275" cy="2533650"/>
            <wp:effectExtent l="19050" t="0" r="0" b="0"/>
            <wp:docPr id="3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Несмотря на жесткую политику экономии бюджетных средств на содержание государственного аппарата произошло их увеличение с 6,8%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2015 года до 7,2% в соответствующем периоде 2016 года.</w:t>
      </w:r>
    </w:p>
    <w:p w:rsidR="00A82107" w:rsidRPr="0080737A" w:rsidRDefault="00A82107" w:rsidP="00A82107">
      <w:pPr>
        <w:spacing w:after="0" w:line="240" w:lineRule="auto"/>
        <w:ind w:firstLine="709"/>
        <w:jc w:val="both"/>
        <w:rPr>
          <w:rFonts w:ascii="Times New Roman" w:hAnsi="Times New Roman"/>
          <w:sz w:val="24"/>
          <w:szCs w:val="24"/>
        </w:rPr>
      </w:pPr>
      <w:r w:rsidRPr="0080737A">
        <w:rPr>
          <w:rFonts w:ascii="Times New Roman" w:hAnsi="Times New Roman"/>
          <w:sz w:val="24"/>
          <w:szCs w:val="24"/>
        </w:rPr>
        <w:lastRenderedPageBreak/>
        <w:t>Расходы на содержание силовых структур и органов обеспечения правопорядка продолжают оставаться весомой частью в бюджетных расходах, однако их удельный вес сократился с 23,3% в январе – июне 2015 года до 20,2% в январе – июне 2016 года.</w:t>
      </w:r>
    </w:p>
    <w:p w:rsidR="00A82107" w:rsidRPr="0080737A" w:rsidRDefault="00A82107" w:rsidP="00A82107">
      <w:pPr>
        <w:suppressAutoHyphens/>
        <w:spacing w:after="0" w:line="240" w:lineRule="auto"/>
        <w:ind w:firstLine="709"/>
        <w:jc w:val="both"/>
        <w:rPr>
          <w:rFonts w:ascii="Times New Roman" w:hAnsi="Times New Roman"/>
          <w:sz w:val="24"/>
          <w:szCs w:val="24"/>
        </w:rPr>
      </w:pPr>
      <w:r w:rsidRPr="0080737A">
        <w:rPr>
          <w:rFonts w:ascii="Times New Roman" w:hAnsi="Times New Roman"/>
          <w:sz w:val="24"/>
          <w:szCs w:val="24"/>
        </w:rPr>
        <w:t>Направленность консолидированного бюджета в январе – июне 2016 года сохраняла социальный характер, что подтверждается долей расходов фактически профинансированных социально-защищенных статей в общих расходах бюджета, которая составила 86,0%, увеличившись к уровню января- июня 2015 года на 3,9%.</w:t>
      </w:r>
    </w:p>
    <w:p w:rsidR="00A82107" w:rsidRPr="0080737A" w:rsidRDefault="00A82107" w:rsidP="00A82107">
      <w:pPr>
        <w:shd w:val="clear" w:color="auto" w:fill="FFFFFF"/>
        <w:tabs>
          <w:tab w:val="left" w:pos="7368"/>
        </w:tabs>
        <w:spacing w:line="240" w:lineRule="auto"/>
        <w:ind w:firstLine="709"/>
        <w:contextualSpacing/>
        <w:jc w:val="both"/>
        <w:rPr>
          <w:rFonts w:ascii="Times New Roman" w:hAnsi="Times New Roman"/>
          <w:spacing w:val="-2"/>
          <w:sz w:val="24"/>
          <w:szCs w:val="24"/>
        </w:rPr>
      </w:pPr>
      <w:r w:rsidRPr="0080737A">
        <w:rPr>
          <w:rFonts w:ascii="Times New Roman" w:hAnsi="Times New Roman"/>
          <w:sz w:val="24"/>
          <w:szCs w:val="24"/>
        </w:rPr>
        <w:t xml:space="preserve">Расходы по социально защищенным статьям республиканского бюджета за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 2016 года исполнены на 84,6 % и составили </w:t>
      </w:r>
      <w:r w:rsidRPr="0080737A">
        <w:rPr>
          <w:rFonts w:ascii="Times New Roman" w:hAnsi="Times New Roman"/>
          <w:bCs/>
          <w:sz w:val="24"/>
          <w:szCs w:val="24"/>
        </w:rPr>
        <w:t xml:space="preserve">1 210 060 105 </w:t>
      </w:r>
      <w:r w:rsidRPr="0080737A">
        <w:rPr>
          <w:rFonts w:ascii="Times New Roman" w:hAnsi="Times New Roman"/>
          <w:sz w:val="24"/>
          <w:szCs w:val="24"/>
        </w:rPr>
        <w:t>руб.</w:t>
      </w:r>
      <w:r w:rsidRPr="0080737A">
        <w:rPr>
          <w:rFonts w:ascii="Times New Roman" w:hAnsi="Times New Roman"/>
          <w:spacing w:val="-2"/>
          <w:sz w:val="24"/>
          <w:szCs w:val="24"/>
        </w:rPr>
        <w:t xml:space="preserve"> Наибольший удельный вес в них занимали расходы на выплату заработной платы с учетом взносов на социальное страхование – 68,7%, а также: социальные пенсии – 6,2%; пенсии и пожизненное содержание – 4,3%.</w:t>
      </w:r>
    </w:p>
    <w:p w:rsidR="00A82107" w:rsidRPr="0080737A" w:rsidRDefault="00A82107" w:rsidP="00A82107">
      <w:pPr>
        <w:shd w:val="clear" w:color="auto" w:fill="FFFFFF"/>
        <w:tabs>
          <w:tab w:val="left" w:pos="7368"/>
        </w:tabs>
        <w:spacing w:line="240" w:lineRule="auto"/>
        <w:ind w:firstLine="709"/>
        <w:contextualSpacing/>
        <w:jc w:val="both"/>
        <w:rPr>
          <w:rFonts w:ascii="Times New Roman" w:hAnsi="Times New Roman"/>
          <w:spacing w:val="-2"/>
          <w:sz w:val="24"/>
          <w:szCs w:val="24"/>
        </w:rPr>
      </w:pPr>
      <w:r w:rsidRPr="0080737A">
        <w:rPr>
          <w:rFonts w:ascii="Times New Roman" w:hAnsi="Times New Roman"/>
          <w:sz w:val="24"/>
          <w:szCs w:val="24"/>
        </w:rPr>
        <w:t xml:space="preserve">Расходы по социально защищенным статьям местного бюджета за январь – июнь 2016 года исполнены на 88,2% и составили </w:t>
      </w:r>
      <w:r w:rsidRPr="0080737A">
        <w:rPr>
          <w:rFonts w:ascii="Times New Roman" w:hAnsi="Times New Roman"/>
          <w:bCs/>
          <w:sz w:val="24"/>
          <w:szCs w:val="24"/>
        </w:rPr>
        <w:t xml:space="preserve">523 175 121 </w:t>
      </w:r>
      <w:r w:rsidRPr="0080737A">
        <w:rPr>
          <w:rFonts w:ascii="Times New Roman" w:hAnsi="Times New Roman"/>
          <w:sz w:val="24"/>
          <w:szCs w:val="24"/>
        </w:rPr>
        <w:t>руб.</w:t>
      </w:r>
      <w:r w:rsidRPr="0080737A">
        <w:rPr>
          <w:rFonts w:ascii="Times New Roman" w:hAnsi="Times New Roman"/>
          <w:spacing w:val="-2"/>
          <w:sz w:val="24"/>
          <w:szCs w:val="24"/>
        </w:rPr>
        <w:t xml:space="preserve"> Наибольший удельный вес в них занимали расходы на выплату заработной платы с учетом взносов на социальное страхование –97,2%.</w:t>
      </w:r>
    </w:p>
    <w:p w:rsidR="00A82107" w:rsidRPr="0080737A" w:rsidRDefault="00A82107" w:rsidP="00A82107">
      <w:pPr>
        <w:pStyle w:val="af0"/>
        <w:spacing w:before="0" w:beforeAutospacing="0" w:after="0" w:afterAutospacing="0"/>
        <w:ind w:firstLine="709"/>
        <w:jc w:val="both"/>
      </w:pPr>
      <w:r w:rsidRPr="0080737A">
        <w:t xml:space="preserve"> В </w:t>
      </w:r>
      <w:r w:rsidRPr="0080737A">
        <w:rPr>
          <w:lang w:val="en-US"/>
        </w:rPr>
        <w:t>I</w:t>
      </w:r>
      <w:r w:rsidRPr="0080737A">
        <w:t xml:space="preserve"> полугодии 2016 года в результате превышения расходов консолидированного бюджета (на 76,1%) над доходами, отмечено увеличение размера дефицита консолидированного бюджета к уровню января-июня 2015 года в 2,2 раза. Фактическое значение дефицита консолидированного бюджета сложилось в размере 870 797 395 руб. </w:t>
      </w:r>
      <w:r w:rsidR="00F0250D" w:rsidRPr="0080737A">
        <w:t>и составило 22,0</w:t>
      </w:r>
      <w:r w:rsidRPr="0080737A">
        <w:t>% к ВВП.</w:t>
      </w:r>
    </w:p>
    <w:p w:rsidR="00A82107" w:rsidRPr="0080737A" w:rsidRDefault="00A82107" w:rsidP="00A82107">
      <w:pPr>
        <w:pStyle w:val="af0"/>
        <w:spacing w:before="0" w:beforeAutospacing="0" w:after="0" w:afterAutospacing="0"/>
        <w:ind w:firstLine="709"/>
        <w:jc w:val="right"/>
      </w:pPr>
      <w:r w:rsidRPr="0080737A">
        <w:t>Таблица №</w:t>
      </w:r>
      <w:r w:rsidR="005C2655" w:rsidRPr="0080737A">
        <w:t>9</w:t>
      </w:r>
    </w:p>
    <w:p w:rsidR="00A82107" w:rsidRPr="0080737A" w:rsidRDefault="00A82107" w:rsidP="00A82107">
      <w:pPr>
        <w:pStyle w:val="af0"/>
        <w:spacing w:before="0" w:beforeAutospacing="0" w:after="0" w:afterAutospacing="0"/>
        <w:ind w:firstLine="709"/>
        <w:jc w:val="center"/>
        <w:rPr>
          <w:b/>
        </w:rPr>
      </w:pPr>
      <w:r w:rsidRPr="0080737A">
        <w:rPr>
          <w:b/>
        </w:rPr>
        <w:t>Структура дефицита Консолидированного бюджета</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1"/>
        <w:gridCol w:w="1204"/>
        <w:gridCol w:w="835"/>
        <w:gridCol w:w="745"/>
        <w:gridCol w:w="1265"/>
        <w:gridCol w:w="888"/>
        <w:gridCol w:w="723"/>
        <w:gridCol w:w="1241"/>
      </w:tblGrid>
      <w:tr w:rsidR="00A82107" w:rsidRPr="0080737A" w:rsidTr="00047DAA">
        <w:trPr>
          <w:trHeight w:val="701"/>
          <w:jc w:val="center"/>
        </w:trPr>
        <w:tc>
          <w:tcPr>
            <w:tcW w:w="2711" w:type="dxa"/>
            <w:vMerge w:val="restart"/>
            <w:vAlign w:val="center"/>
          </w:tcPr>
          <w:p w:rsidR="00A82107" w:rsidRPr="0080737A" w:rsidRDefault="00A82107" w:rsidP="00047DAA">
            <w:pPr>
              <w:spacing w:after="0" w:line="240" w:lineRule="auto"/>
              <w:jc w:val="center"/>
              <w:rPr>
                <w:rFonts w:ascii="Times New Roman" w:hAnsi="Times New Roman"/>
                <w:b/>
              </w:rPr>
            </w:pPr>
          </w:p>
        </w:tc>
        <w:tc>
          <w:tcPr>
            <w:tcW w:w="2784" w:type="dxa"/>
            <w:gridSpan w:val="3"/>
            <w:vAlign w:val="center"/>
          </w:tcPr>
          <w:p w:rsidR="00A82107" w:rsidRPr="0080737A" w:rsidRDefault="00A82107" w:rsidP="00047DAA">
            <w:pPr>
              <w:spacing w:after="0" w:line="240" w:lineRule="auto"/>
              <w:jc w:val="center"/>
              <w:rPr>
                <w:rFonts w:ascii="Times New Roman" w:hAnsi="Times New Roman"/>
                <w:b/>
                <w:sz w:val="24"/>
                <w:szCs w:val="24"/>
              </w:rPr>
            </w:pPr>
            <w:r w:rsidRPr="0080737A">
              <w:rPr>
                <w:rFonts w:ascii="Times New Roman" w:hAnsi="Times New Roman"/>
                <w:b/>
                <w:sz w:val="24"/>
                <w:szCs w:val="24"/>
              </w:rPr>
              <w:t>1 полугодие 2015 года</w:t>
            </w:r>
          </w:p>
        </w:tc>
        <w:tc>
          <w:tcPr>
            <w:tcW w:w="2876" w:type="dxa"/>
            <w:gridSpan w:val="3"/>
            <w:vAlign w:val="center"/>
          </w:tcPr>
          <w:p w:rsidR="00A82107" w:rsidRPr="0080737A" w:rsidRDefault="00A82107" w:rsidP="00047DAA">
            <w:pPr>
              <w:spacing w:after="0" w:line="240" w:lineRule="auto"/>
              <w:jc w:val="center"/>
              <w:rPr>
                <w:rFonts w:ascii="Times New Roman" w:hAnsi="Times New Roman"/>
                <w:b/>
                <w:sz w:val="24"/>
                <w:szCs w:val="24"/>
              </w:rPr>
            </w:pPr>
            <w:r w:rsidRPr="0080737A">
              <w:rPr>
                <w:rFonts w:ascii="Times New Roman" w:hAnsi="Times New Roman"/>
                <w:b/>
                <w:sz w:val="24"/>
                <w:szCs w:val="24"/>
              </w:rPr>
              <w:t>1 полугодие 2016 года</w:t>
            </w:r>
          </w:p>
        </w:tc>
        <w:tc>
          <w:tcPr>
            <w:tcW w:w="1241" w:type="dxa"/>
            <w:vMerge w:val="restart"/>
            <w:vAlign w:val="center"/>
          </w:tcPr>
          <w:p w:rsidR="00A82107" w:rsidRPr="0080737A" w:rsidRDefault="00A82107" w:rsidP="00047DAA">
            <w:pPr>
              <w:spacing w:after="0" w:line="240" w:lineRule="auto"/>
              <w:ind w:left="-70" w:right="-165"/>
              <w:jc w:val="center"/>
              <w:rPr>
                <w:rFonts w:ascii="Times New Roman" w:hAnsi="Times New Roman"/>
                <w:b/>
              </w:rPr>
            </w:pPr>
            <w:r w:rsidRPr="0080737A">
              <w:rPr>
                <w:rFonts w:ascii="Times New Roman" w:hAnsi="Times New Roman"/>
                <w:b/>
              </w:rPr>
              <w:t xml:space="preserve">Темп роста. 2016г. </w:t>
            </w:r>
            <w:proofErr w:type="gramStart"/>
            <w:r w:rsidRPr="0080737A">
              <w:rPr>
                <w:rFonts w:ascii="Times New Roman" w:hAnsi="Times New Roman"/>
                <w:b/>
              </w:rPr>
              <w:t>к</w:t>
            </w:r>
            <w:proofErr w:type="gramEnd"/>
          </w:p>
          <w:p w:rsidR="00A82107" w:rsidRPr="0080737A" w:rsidRDefault="00A82107" w:rsidP="00047DAA">
            <w:pPr>
              <w:spacing w:after="0" w:line="240" w:lineRule="auto"/>
              <w:ind w:left="-70" w:right="-165"/>
              <w:jc w:val="center"/>
              <w:rPr>
                <w:rFonts w:ascii="Times New Roman" w:hAnsi="Times New Roman"/>
                <w:b/>
              </w:rPr>
            </w:pPr>
            <w:r w:rsidRPr="0080737A">
              <w:rPr>
                <w:rFonts w:ascii="Times New Roman" w:hAnsi="Times New Roman"/>
                <w:b/>
              </w:rPr>
              <w:t xml:space="preserve"> 2015г., % </w:t>
            </w:r>
          </w:p>
        </w:tc>
      </w:tr>
      <w:tr w:rsidR="00A82107" w:rsidRPr="0080737A" w:rsidTr="005C2655">
        <w:trPr>
          <w:trHeight w:val="121"/>
          <w:jc w:val="center"/>
        </w:trPr>
        <w:tc>
          <w:tcPr>
            <w:tcW w:w="2711" w:type="dxa"/>
            <w:vMerge/>
            <w:vAlign w:val="center"/>
          </w:tcPr>
          <w:p w:rsidR="00A82107" w:rsidRPr="0080737A" w:rsidRDefault="00A82107" w:rsidP="00047DAA">
            <w:pPr>
              <w:spacing w:after="0" w:line="240" w:lineRule="auto"/>
              <w:jc w:val="center"/>
              <w:rPr>
                <w:rFonts w:ascii="Times New Roman" w:hAnsi="Times New Roman"/>
                <w:b/>
              </w:rPr>
            </w:pPr>
          </w:p>
        </w:tc>
        <w:tc>
          <w:tcPr>
            <w:tcW w:w="1204" w:type="dxa"/>
            <w:vAlign w:val="center"/>
          </w:tcPr>
          <w:p w:rsidR="00A82107" w:rsidRPr="0080737A" w:rsidRDefault="00A82107" w:rsidP="00047DAA">
            <w:pPr>
              <w:spacing w:after="0" w:line="240" w:lineRule="auto"/>
              <w:jc w:val="center"/>
              <w:rPr>
                <w:rFonts w:ascii="Times New Roman" w:hAnsi="Times New Roman"/>
                <w:b/>
              </w:rPr>
            </w:pPr>
            <w:r w:rsidRPr="0080737A">
              <w:rPr>
                <w:rFonts w:ascii="Times New Roman" w:hAnsi="Times New Roman"/>
                <w:b/>
              </w:rPr>
              <w:t>факт</w:t>
            </w:r>
          </w:p>
        </w:tc>
        <w:tc>
          <w:tcPr>
            <w:tcW w:w="835" w:type="dxa"/>
            <w:vAlign w:val="center"/>
          </w:tcPr>
          <w:p w:rsidR="00A82107" w:rsidRPr="0080737A" w:rsidRDefault="00A82107" w:rsidP="00047DAA">
            <w:pPr>
              <w:spacing w:after="0" w:line="240" w:lineRule="auto"/>
              <w:jc w:val="center"/>
              <w:rPr>
                <w:rFonts w:ascii="Times New Roman" w:hAnsi="Times New Roman"/>
                <w:b/>
              </w:rPr>
            </w:pPr>
            <w:r w:rsidRPr="0080737A">
              <w:rPr>
                <w:rFonts w:ascii="Times New Roman" w:hAnsi="Times New Roman"/>
                <w:b/>
              </w:rPr>
              <w:t xml:space="preserve">% к </w:t>
            </w:r>
            <w:proofErr w:type="spellStart"/>
            <w:r w:rsidRPr="0080737A">
              <w:rPr>
                <w:rFonts w:ascii="Times New Roman" w:hAnsi="Times New Roman"/>
                <w:b/>
              </w:rPr>
              <w:t>расх</w:t>
            </w:r>
            <w:proofErr w:type="spellEnd"/>
            <w:r w:rsidRPr="0080737A">
              <w:rPr>
                <w:rFonts w:ascii="Times New Roman" w:hAnsi="Times New Roman"/>
                <w:b/>
              </w:rPr>
              <w:t>. части</w:t>
            </w:r>
          </w:p>
        </w:tc>
        <w:tc>
          <w:tcPr>
            <w:tcW w:w="745" w:type="dxa"/>
            <w:vAlign w:val="center"/>
          </w:tcPr>
          <w:p w:rsidR="00A82107" w:rsidRPr="0080737A" w:rsidRDefault="00A82107" w:rsidP="00047DAA">
            <w:pPr>
              <w:spacing w:after="0" w:line="240" w:lineRule="auto"/>
              <w:jc w:val="center"/>
              <w:rPr>
                <w:rFonts w:ascii="Times New Roman" w:hAnsi="Times New Roman"/>
                <w:b/>
              </w:rPr>
            </w:pPr>
            <w:r w:rsidRPr="0080737A">
              <w:rPr>
                <w:rFonts w:ascii="Times New Roman" w:hAnsi="Times New Roman"/>
                <w:b/>
              </w:rPr>
              <w:t>% к ВВП</w:t>
            </w:r>
          </w:p>
        </w:tc>
        <w:tc>
          <w:tcPr>
            <w:tcW w:w="1265" w:type="dxa"/>
            <w:vAlign w:val="center"/>
          </w:tcPr>
          <w:p w:rsidR="00A82107" w:rsidRPr="0080737A" w:rsidRDefault="00A82107" w:rsidP="00047DAA">
            <w:pPr>
              <w:spacing w:after="0" w:line="240" w:lineRule="auto"/>
              <w:jc w:val="center"/>
              <w:rPr>
                <w:rFonts w:ascii="Times New Roman" w:hAnsi="Times New Roman"/>
                <w:b/>
              </w:rPr>
            </w:pPr>
            <w:r w:rsidRPr="0080737A">
              <w:rPr>
                <w:rFonts w:ascii="Times New Roman" w:hAnsi="Times New Roman"/>
                <w:b/>
              </w:rPr>
              <w:t>факт</w:t>
            </w:r>
          </w:p>
        </w:tc>
        <w:tc>
          <w:tcPr>
            <w:tcW w:w="888" w:type="dxa"/>
            <w:vAlign w:val="center"/>
          </w:tcPr>
          <w:p w:rsidR="00A82107" w:rsidRPr="0080737A" w:rsidRDefault="00A82107" w:rsidP="00047DAA">
            <w:pPr>
              <w:spacing w:after="0" w:line="240" w:lineRule="auto"/>
              <w:jc w:val="center"/>
              <w:rPr>
                <w:rFonts w:ascii="Times New Roman" w:hAnsi="Times New Roman"/>
                <w:b/>
              </w:rPr>
            </w:pPr>
            <w:r w:rsidRPr="0080737A">
              <w:rPr>
                <w:rFonts w:ascii="Times New Roman" w:hAnsi="Times New Roman"/>
                <w:b/>
              </w:rPr>
              <w:t xml:space="preserve">% к </w:t>
            </w:r>
            <w:proofErr w:type="spellStart"/>
            <w:r w:rsidRPr="0080737A">
              <w:rPr>
                <w:rFonts w:ascii="Times New Roman" w:hAnsi="Times New Roman"/>
                <w:b/>
              </w:rPr>
              <w:t>расх</w:t>
            </w:r>
            <w:proofErr w:type="spellEnd"/>
            <w:r w:rsidRPr="0080737A">
              <w:rPr>
                <w:rFonts w:ascii="Times New Roman" w:hAnsi="Times New Roman"/>
                <w:b/>
              </w:rPr>
              <w:t>. части</w:t>
            </w:r>
          </w:p>
        </w:tc>
        <w:tc>
          <w:tcPr>
            <w:tcW w:w="723" w:type="dxa"/>
            <w:vAlign w:val="center"/>
          </w:tcPr>
          <w:p w:rsidR="00A82107" w:rsidRPr="0080737A" w:rsidRDefault="00A82107" w:rsidP="00047DAA">
            <w:pPr>
              <w:spacing w:after="0" w:line="240" w:lineRule="auto"/>
              <w:jc w:val="center"/>
              <w:rPr>
                <w:rFonts w:ascii="Times New Roman" w:hAnsi="Times New Roman"/>
                <w:b/>
              </w:rPr>
            </w:pPr>
            <w:r w:rsidRPr="0080737A">
              <w:rPr>
                <w:rFonts w:ascii="Times New Roman" w:hAnsi="Times New Roman"/>
                <w:b/>
              </w:rPr>
              <w:t>% к ВВП</w:t>
            </w:r>
          </w:p>
        </w:tc>
        <w:tc>
          <w:tcPr>
            <w:tcW w:w="1241" w:type="dxa"/>
            <w:vMerge/>
            <w:vAlign w:val="center"/>
          </w:tcPr>
          <w:p w:rsidR="00A82107" w:rsidRPr="0080737A" w:rsidRDefault="00A82107" w:rsidP="00047DAA">
            <w:pPr>
              <w:spacing w:after="0" w:line="240" w:lineRule="auto"/>
              <w:jc w:val="center"/>
              <w:rPr>
                <w:rFonts w:ascii="Times New Roman" w:hAnsi="Times New Roman"/>
                <w:b/>
              </w:rPr>
            </w:pPr>
          </w:p>
        </w:tc>
      </w:tr>
      <w:tr w:rsidR="00F0250D" w:rsidRPr="0080737A" w:rsidTr="005C2655">
        <w:trPr>
          <w:trHeight w:val="803"/>
          <w:jc w:val="center"/>
        </w:trPr>
        <w:tc>
          <w:tcPr>
            <w:tcW w:w="2711" w:type="dxa"/>
          </w:tcPr>
          <w:p w:rsidR="00F0250D" w:rsidRPr="0080737A" w:rsidRDefault="00F0250D" w:rsidP="00047DAA">
            <w:pPr>
              <w:spacing w:after="0" w:line="240" w:lineRule="auto"/>
              <w:ind w:left="-101" w:right="-161"/>
              <w:rPr>
                <w:rFonts w:ascii="Times New Roman" w:hAnsi="Times New Roman"/>
                <w:b/>
              </w:rPr>
            </w:pPr>
            <w:r w:rsidRPr="0080737A">
              <w:rPr>
                <w:rFonts w:ascii="Times New Roman" w:hAnsi="Times New Roman"/>
              </w:rPr>
              <w:t>Дефицит консолидированного бюджета</w:t>
            </w:r>
          </w:p>
        </w:tc>
        <w:tc>
          <w:tcPr>
            <w:tcW w:w="1204" w:type="dxa"/>
            <w:vAlign w:val="center"/>
          </w:tcPr>
          <w:p w:rsidR="00F0250D" w:rsidRPr="0080737A" w:rsidRDefault="00F0250D" w:rsidP="00047DAA">
            <w:pPr>
              <w:spacing w:after="0" w:line="240" w:lineRule="auto"/>
              <w:ind w:left="-124"/>
              <w:jc w:val="right"/>
              <w:rPr>
                <w:rFonts w:ascii="Times New Roman" w:hAnsi="Times New Roman"/>
              </w:rPr>
            </w:pPr>
            <w:r w:rsidRPr="0080737A">
              <w:rPr>
                <w:rFonts w:ascii="Times New Roman" w:hAnsi="Times New Roman"/>
              </w:rPr>
              <w:t>401 940 980</w:t>
            </w:r>
          </w:p>
        </w:tc>
        <w:tc>
          <w:tcPr>
            <w:tcW w:w="835" w:type="dxa"/>
            <w:vAlign w:val="center"/>
          </w:tcPr>
          <w:p w:rsidR="00F0250D" w:rsidRPr="0080737A" w:rsidRDefault="00F0250D" w:rsidP="00047DAA">
            <w:pPr>
              <w:spacing w:after="0" w:line="240" w:lineRule="auto"/>
              <w:jc w:val="right"/>
              <w:rPr>
                <w:rFonts w:ascii="Times New Roman" w:hAnsi="Times New Roman"/>
              </w:rPr>
            </w:pPr>
            <w:r w:rsidRPr="0080737A">
              <w:rPr>
                <w:rFonts w:ascii="Times New Roman" w:hAnsi="Times New Roman"/>
              </w:rPr>
              <w:t>27,3</w:t>
            </w:r>
          </w:p>
        </w:tc>
        <w:tc>
          <w:tcPr>
            <w:tcW w:w="745" w:type="dxa"/>
            <w:vAlign w:val="center"/>
          </w:tcPr>
          <w:p w:rsidR="00F0250D" w:rsidRPr="0080737A" w:rsidRDefault="00F0250D" w:rsidP="00047DAA">
            <w:pPr>
              <w:spacing w:after="0" w:line="240" w:lineRule="auto"/>
              <w:jc w:val="right"/>
              <w:rPr>
                <w:rFonts w:ascii="Times New Roman" w:hAnsi="Times New Roman"/>
              </w:rPr>
            </w:pPr>
            <w:r w:rsidRPr="0080737A">
              <w:rPr>
                <w:rFonts w:ascii="Times New Roman" w:hAnsi="Times New Roman"/>
              </w:rPr>
              <w:t>10,7</w:t>
            </w:r>
          </w:p>
        </w:tc>
        <w:tc>
          <w:tcPr>
            <w:tcW w:w="1265" w:type="dxa"/>
            <w:vAlign w:val="center"/>
          </w:tcPr>
          <w:p w:rsidR="00F0250D" w:rsidRPr="0080737A" w:rsidRDefault="00F0250D" w:rsidP="005C2655">
            <w:pPr>
              <w:spacing w:after="0" w:line="240" w:lineRule="auto"/>
              <w:ind w:left="-124" w:right="-19" w:firstLine="37"/>
              <w:jc w:val="center"/>
              <w:rPr>
                <w:rFonts w:ascii="Times New Roman" w:hAnsi="Times New Roman"/>
              </w:rPr>
            </w:pPr>
            <w:r w:rsidRPr="0080737A">
              <w:rPr>
                <w:rFonts w:ascii="Times New Roman" w:hAnsi="Times New Roman"/>
              </w:rPr>
              <w:t>870 797 395</w:t>
            </w:r>
          </w:p>
        </w:tc>
        <w:tc>
          <w:tcPr>
            <w:tcW w:w="888" w:type="dxa"/>
            <w:vAlign w:val="center"/>
          </w:tcPr>
          <w:p w:rsidR="00F0250D" w:rsidRPr="0080737A" w:rsidRDefault="00F0250D" w:rsidP="00047DAA">
            <w:pPr>
              <w:spacing w:after="0" w:line="240" w:lineRule="auto"/>
              <w:jc w:val="right"/>
              <w:rPr>
                <w:rFonts w:ascii="Times New Roman" w:hAnsi="Times New Roman"/>
              </w:rPr>
            </w:pPr>
            <w:r w:rsidRPr="0080737A">
              <w:rPr>
                <w:rFonts w:ascii="Times New Roman" w:hAnsi="Times New Roman"/>
              </w:rPr>
              <w:t>43,2</w:t>
            </w:r>
          </w:p>
        </w:tc>
        <w:tc>
          <w:tcPr>
            <w:tcW w:w="723" w:type="dxa"/>
            <w:vAlign w:val="center"/>
          </w:tcPr>
          <w:p w:rsidR="00F0250D" w:rsidRPr="0080737A" w:rsidRDefault="00F0250D" w:rsidP="006808A1">
            <w:pPr>
              <w:spacing w:after="0" w:line="240" w:lineRule="auto"/>
              <w:jc w:val="right"/>
              <w:rPr>
                <w:rFonts w:ascii="Times New Roman" w:hAnsi="Times New Roman"/>
              </w:rPr>
            </w:pPr>
            <w:r w:rsidRPr="0080737A">
              <w:rPr>
                <w:rFonts w:ascii="Times New Roman" w:hAnsi="Times New Roman"/>
              </w:rPr>
              <w:t>22,0</w:t>
            </w:r>
          </w:p>
        </w:tc>
        <w:tc>
          <w:tcPr>
            <w:tcW w:w="1241" w:type="dxa"/>
            <w:vAlign w:val="center"/>
          </w:tcPr>
          <w:p w:rsidR="00F0250D" w:rsidRPr="0080737A" w:rsidRDefault="00F0250D" w:rsidP="00047DAA">
            <w:pPr>
              <w:spacing w:after="0" w:line="240" w:lineRule="auto"/>
              <w:jc w:val="right"/>
              <w:rPr>
                <w:rFonts w:ascii="Times New Roman" w:hAnsi="Times New Roman"/>
              </w:rPr>
            </w:pPr>
            <w:r w:rsidRPr="0080737A">
              <w:rPr>
                <w:rFonts w:ascii="Times New Roman" w:hAnsi="Times New Roman"/>
              </w:rPr>
              <w:t>216,6</w:t>
            </w:r>
          </w:p>
        </w:tc>
      </w:tr>
      <w:tr w:rsidR="00F0250D" w:rsidRPr="0080737A" w:rsidTr="005C2655">
        <w:trPr>
          <w:trHeight w:val="454"/>
          <w:jc w:val="center"/>
        </w:trPr>
        <w:tc>
          <w:tcPr>
            <w:tcW w:w="2711" w:type="dxa"/>
          </w:tcPr>
          <w:p w:rsidR="00F0250D" w:rsidRPr="0080737A" w:rsidRDefault="00F0250D" w:rsidP="00047DAA">
            <w:pPr>
              <w:spacing w:after="0" w:line="240" w:lineRule="auto"/>
              <w:ind w:left="-91" w:right="-132"/>
              <w:rPr>
                <w:rFonts w:ascii="Times New Roman" w:hAnsi="Times New Roman"/>
              </w:rPr>
            </w:pPr>
            <w:r w:rsidRPr="0080737A">
              <w:rPr>
                <w:rFonts w:ascii="Times New Roman" w:hAnsi="Times New Roman"/>
              </w:rPr>
              <w:t>Дефицит республиканского бюджета</w:t>
            </w:r>
          </w:p>
        </w:tc>
        <w:tc>
          <w:tcPr>
            <w:tcW w:w="1204" w:type="dxa"/>
            <w:vAlign w:val="center"/>
          </w:tcPr>
          <w:p w:rsidR="00F0250D" w:rsidRPr="0080737A" w:rsidRDefault="00F0250D" w:rsidP="00047DAA">
            <w:pPr>
              <w:spacing w:after="0" w:line="240" w:lineRule="auto"/>
              <w:ind w:left="-124"/>
              <w:jc w:val="right"/>
              <w:rPr>
                <w:rFonts w:ascii="Times New Roman" w:hAnsi="Times New Roman"/>
                <w:bCs/>
              </w:rPr>
            </w:pPr>
            <w:r w:rsidRPr="0080737A">
              <w:rPr>
                <w:rFonts w:ascii="Times New Roman" w:hAnsi="Times New Roman"/>
                <w:bCs/>
              </w:rPr>
              <w:t>326 884 644</w:t>
            </w:r>
          </w:p>
        </w:tc>
        <w:tc>
          <w:tcPr>
            <w:tcW w:w="835" w:type="dxa"/>
            <w:vAlign w:val="center"/>
          </w:tcPr>
          <w:p w:rsidR="00F0250D" w:rsidRPr="0080737A" w:rsidRDefault="00F0250D" w:rsidP="00047DAA">
            <w:pPr>
              <w:spacing w:after="0" w:line="240" w:lineRule="auto"/>
              <w:jc w:val="right"/>
              <w:rPr>
                <w:rFonts w:ascii="Times New Roman" w:hAnsi="Times New Roman"/>
                <w:bCs/>
              </w:rPr>
            </w:pPr>
            <w:r w:rsidRPr="0080737A">
              <w:rPr>
                <w:rFonts w:ascii="Times New Roman" w:hAnsi="Times New Roman"/>
                <w:bCs/>
              </w:rPr>
              <w:t>32,4</w:t>
            </w:r>
          </w:p>
        </w:tc>
        <w:tc>
          <w:tcPr>
            <w:tcW w:w="745" w:type="dxa"/>
            <w:vAlign w:val="center"/>
          </w:tcPr>
          <w:p w:rsidR="00F0250D" w:rsidRPr="0080737A" w:rsidRDefault="00F0250D" w:rsidP="00047DAA">
            <w:pPr>
              <w:spacing w:after="0" w:line="240" w:lineRule="auto"/>
              <w:jc w:val="right"/>
              <w:rPr>
                <w:rFonts w:ascii="Times New Roman" w:hAnsi="Times New Roman"/>
                <w:bCs/>
              </w:rPr>
            </w:pPr>
            <w:r w:rsidRPr="0080737A">
              <w:rPr>
                <w:rFonts w:ascii="Times New Roman" w:hAnsi="Times New Roman"/>
                <w:bCs/>
              </w:rPr>
              <w:t>8,7</w:t>
            </w:r>
          </w:p>
        </w:tc>
        <w:tc>
          <w:tcPr>
            <w:tcW w:w="1265" w:type="dxa"/>
            <w:vAlign w:val="center"/>
          </w:tcPr>
          <w:p w:rsidR="00F0250D" w:rsidRPr="0080737A" w:rsidRDefault="00F0250D" w:rsidP="00047DAA">
            <w:pPr>
              <w:spacing w:after="0" w:line="240" w:lineRule="auto"/>
              <w:ind w:left="-124"/>
              <w:jc w:val="right"/>
              <w:rPr>
                <w:rFonts w:ascii="Times New Roman" w:hAnsi="Times New Roman"/>
                <w:bCs/>
              </w:rPr>
            </w:pPr>
            <w:r w:rsidRPr="0080737A">
              <w:rPr>
                <w:rFonts w:ascii="Times New Roman" w:hAnsi="Times New Roman"/>
                <w:bCs/>
              </w:rPr>
              <w:t>326 884 644</w:t>
            </w:r>
          </w:p>
        </w:tc>
        <w:tc>
          <w:tcPr>
            <w:tcW w:w="888" w:type="dxa"/>
            <w:vAlign w:val="center"/>
          </w:tcPr>
          <w:p w:rsidR="00F0250D" w:rsidRPr="0080737A" w:rsidRDefault="00F0250D" w:rsidP="00047DAA">
            <w:pPr>
              <w:spacing w:after="0" w:line="240" w:lineRule="auto"/>
              <w:jc w:val="right"/>
              <w:rPr>
                <w:rFonts w:ascii="Times New Roman" w:hAnsi="Times New Roman"/>
                <w:bCs/>
              </w:rPr>
            </w:pPr>
            <w:r w:rsidRPr="0080737A">
              <w:rPr>
                <w:rFonts w:ascii="Times New Roman" w:hAnsi="Times New Roman"/>
                <w:bCs/>
              </w:rPr>
              <w:t>46,2</w:t>
            </w:r>
          </w:p>
        </w:tc>
        <w:tc>
          <w:tcPr>
            <w:tcW w:w="723" w:type="dxa"/>
            <w:vAlign w:val="center"/>
          </w:tcPr>
          <w:p w:rsidR="00F0250D" w:rsidRPr="0080737A" w:rsidRDefault="00F0250D" w:rsidP="006808A1">
            <w:pPr>
              <w:spacing w:after="0" w:line="240" w:lineRule="auto"/>
              <w:jc w:val="right"/>
              <w:rPr>
                <w:rFonts w:ascii="Times New Roman" w:hAnsi="Times New Roman"/>
                <w:bCs/>
              </w:rPr>
            </w:pPr>
            <w:r w:rsidRPr="0080737A">
              <w:rPr>
                <w:rFonts w:ascii="Times New Roman" w:hAnsi="Times New Roman"/>
                <w:bCs/>
              </w:rPr>
              <w:t>16,7</w:t>
            </w:r>
          </w:p>
        </w:tc>
        <w:tc>
          <w:tcPr>
            <w:tcW w:w="1241" w:type="dxa"/>
            <w:vAlign w:val="center"/>
          </w:tcPr>
          <w:p w:rsidR="00F0250D" w:rsidRPr="0080737A" w:rsidRDefault="00F0250D" w:rsidP="00047DAA">
            <w:pPr>
              <w:spacing w:after="0" w:line="240" w:lineRule="auto"/>
              <w:jc w:val="right"/>
              <w:rPr>
                <w:rFonts w:ascii="Times New Roman" w:hAnsi="Times New Roman"/>
              </w:rPr>
            </w:pPr>
            <w:r w:rsidRPr="0080737A">
              <w:rPr>
                <w:rFonts w:ascii="Times New Roman" w:hAnsi="Times New Roman"/>
              </w:rPr>
              <w:t>201,9</w:t>
            </w:r>
          </w:p>
        </w:tc>
      </w:tr>
      <w:tr w:rsidR="00F0250D" w:rsidRPr="0080737A" w:rsidTr="005C2655">
        <w:trPr>
          <w:trHeight w:val="244"/>
          <w:jc w:val="center"/>
        </w:trPr>
        <w:tc>
          <w:tcPr>
            <w:tcW w:w="2711" w:type="dxa"/>
          </w:tcPr>
          <w:p w:rsidR="00F0250D" w:rsidRPr="0080737A" w:rsidRDefault="00F0250D" w:rsidP="00047DAA">
            <w:pPr>
              <w:spacing w:after="0" w:line="240" w:lineRule="auto"/>
              <w:ind w:left="-91" w:right="-132"/>
              <w:rPr>
                <w:rFonts w:ascii="Times New Roman" w:hAnsi="Times New Roman"/>
              </w:rPr>
            </w:pPr>
            <w:r w:rsidRPr="0080737A">
              <w:rPr>
                <w:rFonts w:ascii="Times New Roman" w:hAnsi="Times New Roman"/>
              </w:rPr>
              <w:t>Дефицит местного бюджета,</w:t>
            </w:r>
          </w:p>
        </w:tc>
        <w:tc>
          <w:tcPr>
            <w:tcW w:w="1204" w:type="dxa"/>
            <w:vAlign w:val="center"/>
          </w:tcPr>
          <w:p w:rsidR="00F0250D" w:rsidRPr="0080737A" w:rsidRDefault="00F0250D" w:rsidP="00047DAA">
            <w:pPr>
              <w:spacing w:after="0" w:line="240" w:lineRule="auto"/>
              <w:ind w:left="-124"/>
              <w:jc w:val="right"/>
              <w:rPr>
                <w:rFonts w:ascii="Times New Roman" w:hAnsi="Times New Roman"/>
              </w:rPr>
            </w:pPr>
            <w:r w:rsidRPr="0080737A">
              <w:rPr>
                <w:rFonts w:ascii="Times New Roman" w:hAnsi="Times New Roman"/>
              </w:rPr>
              <w:t>75 056 336</w:t>
            </w:r>
          </w:p>
        </w:tc>
        <w:tc>
          <w:tcPr>
            <w:tcW w:w="835" w:type="dxa"/>
            <w:vAlign w:val="center"/>
          </w:tcPr>
          <w:p w:rsidR="00F0250D" w:rsidRPr="0080737A" w:rsidRDefault="00F0250D" w:rsidP="00047DAA">
            <w:pPr>
              <w:spacing w:after="0" w:line="240" w:lineRule="auto"/>
              <w:jc w:val="right"/>
              <w:rPr>
                <w:rFonts w:ascii="Times New Roman" w:hAnsi="Times New Roman"/>
              </w:rPr>
            </w:pPr>
            <w:r w:rsidRPr="0080737A">
              <w:rPr>
                <w:rFonts w:ascii="Times New Roman" w:hAnsi="Times New Roman"/>
              </w:rPr>
              <w:t>16,2</w:t>
            </w:r>
          </w:p>
        </w:tc>
        <w:tc>
          <w:tcPr>
            <w:tcW w:w="745" w:type="dxa"/>
            <w:vAlign w:val="center"/>
          </w:tcPr>
          <w:p w:rsidR="00F0250D" w:rsidRPr="0080737A" w:rsidRDefault="00F0250D" w:rsidP="00047DAA">
            <w:pPr>
              <w:spacing w:after="0" w:line="240" w:lineRule="auto"/>
              <w:jc w:val="right"/>
              <w:rPr>
                <w:rFonts w:ascii="Times New Roman" w:hAnsi="Times New Roman"/>
              </w:rPr>
            </w:pPr>
            <w:r w:rsidRPr="0080737A">
              <w:rPr>
                <w:rFonts w:ascii="Times New Roman" w:hAnsi="Times New Roman"/>
              </w:rPr>
              <w:t>2,0</w:t>
            </w:r>
          </w:p>
        </w:tc>
        <w:tc>
          <w:tcPr>
            <w:tcW w:w="1265" w:type="dxa"/>
            <w:vAlign w:val="center"/>
          </w:tcPr>
          <w:p w:rsidR="00F0250D" w:rsidRPr="0080737A" w:rsidRDefault="00F0250D" w:rsidP="00047DAA">
            <w:pPr>
              <w:spacing w:after="0" w:line="240" w:lineRule="auto"/>
              <w:ind w:left="-124"/>
              <w:jc w:val="right"/>
              <w:rPr>
                <w:rFonts w:ascii="Times New Roman" w:hAnsi="Times New Roman"/>
              </w:rPr>
            </w:pPr>
            <w:r w:rsidRPr="0080737A">
              <w:rPr>
                <w:rFonts w:ascii="Times New Roman" w:hAnsi="Times New Roman"/>
              </w:rPr>
              <w:t>75 056 336</w:t>
            </w:r>
          </w:p>
        </w:tc>
        <w:tc>
          <w:tcPr>
            <w:tcW w:w="888" w:type="dxa"/>
            <w:vAlign w:val="center"/>
          </w:tcPr>
          <w:p w:rsidR="00F0250D" w:rsidRPr="0080737A" w:rsidRDefault="00F0250D" w:rsidP="00047DAA">
            <w:pPr>
              <w:spacing w:after="0" w:line="240" w:lineRule="auto"/>
              <w:jc w:val="right"/>
              <w:rPr>
                <w:rFonts w:ascii="Times New Roman" w:hAnsi="Times New Roman"/>
              </w:rPr>
            </w:pPr>
            <w:r w:rsidRPr="0080737A">
              <w:rPr>
                <w:rFonts w:ascii="Times New Roman" w:hAnsi="Times New Roman"/>
              </w:rPr>
              <w:t>35,9</w:t>
            </w:r>
          </w:p>
        </w:tc>
        <w:tc>
          <w:tcPr>
            <w:tcW w:w="723" w:type="dxa"/>
            <w:vAlign w:val="center"/>
          </w:tcPr>
          <w:p w:rsidR="00F0250D" w:rsidRPr="0080737A" w:rsidRDefault="00F0250D" w:rsidP="006808A1">
            <w:pPr>
              <w:spacing w:after="0" w:line="240" w:lineRule="auto"/>
              <w:jc w:val="right"/>
              <w:rPr>
                <w:rFonts w:ascii="Times New Roman" w:hAnsi="Times New Roman"/>
              </w:rPr>
            </w:pPr>
            <w:r w:rsidRPr="0080737A">
              <w:rPr>
                <w:rFonts w:ascii="Times New Roman" w:hAnsi="Times New Roman"/>
              </w:rPr>
              <w:t>5,3</w:t>
            </w:r>
          </w:p>
        </w:tc>
        <w:tc>
          <w:tcPr>
            <w:tcW w:w="1241" w:type="dxa"/>
            <w:vAlign w:val="center"/>
          </w:tcPr>
          <w:p w:rsidR="00F0250D" w:rsidRPr="0080737A" w:rsidRDefault="00F0250D" w:rsidP="00047DAA">
            <w:pPr>
              <w:spacing w:after="0" w:line="240" w:lineRule="auto"/>
              <w:jc w:val="right"/>
              <w:rPr>
                <w:rFonts w:ascii="Times New Roman" w:hAnsi="Times New Roman"/>
              </w:rPr>
            </w:pPr>
            <w:r w:rsidRPr="0080737A">
              <w:rPr>
                <w:rFonts w:ascii="Times New Roman" w:hAnsi="Times New Roman"/>
              </w:rPr>
              <w:t>281,1</w:t>
            </w:r>
          </w:p>
        </w:tc>
      </w:tr>
    </w:tbl>
    <w:p w:rsidR="00A82107" w:rsidRPr="0080737A" w:rsidRDefault="00A82107" w:rsidP="00A82107">
      <w:pPr>
        <w:pStyle w:val="af0"/>
        <w:spacing w:before="0" w:beforeAutospacing="0" w:after="0" w:afterAutospacing="0"/>
        <w:ind w:firstLine="720"/>
        <w:jc w:val="both"/>
      </w:pPr>
    </w:p>
    <w:p w:rsidR="00A82107" w:rsidRPr="0080737A" w:rsidRDefault="00A82107" w:rsidP="00A82107">
      <w:pPr>
        <w:pStyle w:val="af0"/>
        <w:shd w:val="clear" w:color="auto" w:fill="FFFFFF"/>
        <w:spacing w:before="0" w:beforeAutospacing="0" w:after="0" w:afterAutospacing="0"/>
        <w:ind w:firstLine="709"/>
        <w:jc w:val="both"/>
      </w:pPr>
      <w:r w:rsidRPr="0080737A">
        <w:t>В январе – июне 2016 года сохраняется недостаточное финансирование расходов республиканского бюджета, а также неисполнение доходной части бюджета, что приводит к ограничению возможностей маневра в распределении поступающих ресурсов, в виду необходимости поддержания социальной сферы. Кроме того, из-за постоянного недостатка бюджетных средств</w:t>
      </w:r>
      <w:r w:rsidR="00EF7D3C" w:rsidRPr="0080737A">
        <w:t xml:space="preserve"> </w:t>
      </w:r>
      <w:r w:rsidRPr="0080737A">
        <w:t>государство не в состоянии поддерживать инвестиционную активность и стимулировать экономический рост.</w:t>
      </w:r>
    </w:p>
    <w:p w:rsidR="00641EB5" w:rsidRPr="0080737A" w:rsidRDefault="00641EB5" w:rsidP="00335844">
      <w:pPr>
        <w:widowControl w:val="0"/>
        <w:tabs>
          <w:tab w:val="left" w:pos="630"/>
        </w:tabs>
        <w:autoSpaceDE w:val="0"/>
        <w:autoSpaceDN w:val="0"/>
        <w:adjustRightInd w:val="0"/>
        <w:spacing w:after="0" w:line="240" w:lineRule="auto"/>
        <w:ind w:firstLine="720"/>
        <w:jc w:val="both"/>
        <w:rPr>
          <w:rFonts w:ascii="Times New Roman" w:hAnsi="Times New Roman"/>
          <w:sz w:val="24"/>
          <w:szCs w:val="24"/>
        </w:rPr>
      </w:pPr>
    </w:p>
    <w:p w:rsidR="00335844" w:rsidRPr="0080737A" w:rsidRDefault="00335844" w:rsidP="00335844">
      <w:pPr>
        <w:shd w:val="clear" w:color="auto" w:fill="FFFFFF"/>
        <w:spacing w:after="0" w:line="240" w:lineRule="auto"/>
        <w:ind w:firstLine="709"/>
        <w:jc w:val="both"/>
        <w:rPr>
          <w:rFonts w:ascii="Times New Roman" w:hAnsi="Times New Roman"/>
          <w:b/>
          <w:color w:val="000000"/>
          <w:sz w:val="24"/>
          <w:szCs w:val="24"/>
        </w:rPr>
      </w:pPr>
      <w:r w:rsidRPr="0080737A">
        <w:rPr>
          <w:rFonts w:ascii="Times New Roman" w:hAnsi="Times New Roman"/>
          <w:b/>
          <w:color w:val="000000"/>
          <w:sz w:val="24"/>
          <w:szCs w:val="24"/>
        </w:rPr>
        <w:t>Внешнеэкономическая деятельность</w:t>
      </w:r>
    </w:p>
    <w:p w:rsidR="00335844" w:rsidRPr="0080737A" w:rsidRDefault="00335844" w:rsidP="00335844">
      <w:pPr>
        <w:spacing w:after="0" w:line="240" w:lineRule="auto"/>
        <w:ind w:firstLine="709"/>
        <w:jc w:val="both"/>
        <w:rPr>
          <w:rFonts w:ascii="Times New Roman" w:hAnsi="Times New Roman"/>
          <w:sz w:val="24"/>
          <w:szCs w:val="24"/>
        </w:rPr>
      </w:pPr>
    </w:p>
    <w:p w:rsidR="004642A8" w:rsidRPr="0080737A" w:rsidRDefault="004642A8" w:rsidP="00CD1894">
      <w:pPr>
        <w:shd w:val="clear" w:color="auto" w:fill="FFFFFF"/>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В январе – июне 2016 года наряду с неблагоприятной ценовой конъюнктурой мировых рынков и снижением спроса на производимую отечественную продукцию, экономические агенты Приднестровской Молдавской Республики столкнулись с рядом трудностей введенных Республикой Молдова в сфере таможенного оформления г</w:t>
      </w:r>
      <w:r w:rsidR="00CD1894" w:rsidRPr="0080737A">
        <w:rPr>
          <w:rFonts w:ascii="Times New Roman" w:eastAsiaTheme="minorEastAsia" w:hAnsi="Times New Roman" w:cstheme="minorBidi"/>
          <w:sz w:val="24"/>
          <w:szCs w:val="24"/>
        </w:rPr>
        <w:t xml:space="preserve">рузов и транспортной логистики. </w:t>
      </w:r>
      <w:r w:rsidRPr="0080737A">
        <w:rPr>
          <w:rFonts w:ascii="Times New Roman" w:eastAsiaTheme="minorEastAsia" w:hAnsi="Times New Roman" w:cstheme="minorBidi"/>
          <w:sz w:val="24"/>
          <w:szCs w:val="24"/>
        </w:rPr>
        <w:t>В результате совокупный внешнеторговый оборот республики в анализируемом периоде сократился на 25,3% до 676,8 млн.</w:t>
      </w:r>
      <w:r w:rsidRPr="0080737A">
        <w:rPr>
          <w:rFonts w:asciiTheme="minorHAnsi" w:eastAsiaTheme="minorEastAsia" w:hAnsiTheme="minorHAnsi" w:cstheme="minorBidi"/>
        </w:rPr>
        <w:t> </w:t>
      </w:r>
      <w:r w:rsidRPr="0080737A">
        <w:rPr>
          <w:rFonts w:ascii="Times New Roman" w:eastAsiaTheme="minorEastAsia" w:hAnsi="Times New Roman" w:cstheme="minorBidi"/>
          <w:sz w:val="24"/>
          <w:szCs w:val="24"/>
        </w:rPr>
        <w:t>долл. к базовому уровню 2015 года, объем экспортных и импортных поставок составил 253,5 млн. долл. и 423,2 млн. долл., что на 12,1% и 31,4% соответственно меньше уровня прошлого года.</w:t>
      </w:r>
    </w:p>
    <w:p w:rsidR="004642A8" w:rsidRPr="0080737A" w:rsidRDefault="004642A8" w:rsidP="004642A8">
      <w:pPr>
        <w:shd w:val="clear" w:color="auto" w:fill="FFFFFF"/>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lastRenderedPageBreak/>
        <w:t xml:space="preserve">По итогам </w:t>
      </w:r>
      <w:r w:rsidRPr="0080737A">
        <w:rPr>
          <w:rFonts w:ascii="Times New Roman" w:eastAsiaTheme="minorEastAsia" w:hAnsi="Times New Roman" w:cstheme="minorBidi"/>
          <w:sz w:val="24"/>
          <w:szCs w:val="24"/>
          <w:lang w:val="en-US"/>
        </w:rPr>
        <w:t>I</w:t>
      </w:r>
      <w:r w:rsidRPr="0080737A">
        <w:rPr>
          <w:rFonts w:ascii="Times New Roman" w:eastAsiaTheme="minorEastAsia" w:hAnsi="Times New Roman" w:cstheme="minorBidi"/>
          <w:sz w:val="24"/>
          <w:szCs w:val="24"/>
        </w:rPr>
        <w:t xml:space="preserve"> полугодия 2016 года отрицательное сальдо внешнеторгового оборота составило 169,7 млн. долл., против 328,3 млн. долл. в сопоставимом периоде минувшего года.</w:t>
      </w:r>
    </w:p>
    <w:p w:rsidR="004642A8" w:rsidRPr="0080737A" w:rsidRDefault="004642A8" w:rsidP="004642A8">
      <w:pPr>
        <w:tabs>
          <w:tab w:val="left" w:pos="7920"/>
        </w:tabs>
        <w:spacing w:after="0" w:line="240" w:lineRule="auto"/>
        <w:ind w:firstLine="709"/>
        <w:jc w:val="center"/>
        <w:rPr>
          <w:rFonts w:ascii="Times New Roman" w:eastAsiaTheme="minorEastAsia" w:hAnsi="Times New Roman"/>
          <w:b/>
          <w:sz w:val="24"/>
          <w:szCs w:val="24"/>
        </w:rPr>
      </w:pPr>
      <w:r w:rsidRPr="0080737A">
        <w:rPr>
          <w:rFonts w:ascii="Times New Roman" w:eastAsiaTheme="minorEastAsia" w:hAnsi="Times New Roman"/>
          <w:b/>
          <w:sz w:val="24"/>
          <w:szCs w:val="24"/>
        </w:rPr>
        <w:t>Динамика внешнеторгового оборота в январе-июне 2015 - 2016 г.г.,</w:t>
      </w:r>
    </w:p>
    <w:p w:rsidR="004642A8" w:rsidRPr="0080737A" w:rsidRDefault="004642A8" w:rsidP="004642A8">
      <w:pPr>
        <w:tabs>
          <w:tab w:val="left" w:pos="7920"/>
        </w:tabs>
        <w:spacing w:after="0" w:line="240" w:lineRule="auto"/>
        <w:ind w:firstLine="709"/>
        <w:jc w:val="center"/>
        <w:rPr>
          <w:rFonts w:ascii="Times New Roman" w:eastAsiaTheme="minorEastAsia" w:hAnsi="Times New Roman"/>
          <w:b/>
          <w:sz w:val="24"/>
          <w:szCs w:val="24"/>
        </w:rPr>
      </w:pPr>
      <w:r w:rsidRPr="0080737A">
        <w:rPr>
          <w:rFonts w:ascii="Times New Roman" w:eastAsiaTheme="minorEastAsia" w:hAnsi="Times New Roman"/>
          <w:b/>
          <w:sz w:val="24"/>
          <w:szCs w:val="24"/>
        </w:rPr>
        <w:t>млн. долл. США</w:t>
      </w:r>
    </w:p>
    <w:p w:rsidR="004642A8" w:rsidRPr="0080737A" w:rsidRDefault="004642A8" w:rsidP="004642A8">
      <w:pPr>
        <w:tabs>
          <w:tab w:val="left" w:pos="7920"/>
        </w:tabs>
        <w:spacing w:after="0" w:line="240" w:lineRule="auto"/>
        <w:jc w:val="center"/>
        <w:rPr>
          <w:rFonts w:ascii="Times New Roman" w:eastAsiaTheme="minorEastAsia" w:hAnsi="Times New Roman"/>
          <w:b/>
          <w:sz w:val="24"/>
          <w:szCs w:val="24"/>
        </w:rPr>
      </w:pPr>
      <w:r w:rsidRPr="0080737A">
        <w:rPr>
          <w:rFonts w:ascii="Times New Roman" w:eastAsiaTheme="minorEastAsia" w:hAnsi="Times New Roman"/>
          <w:b/>
          <w:noProof/>
          <w:sz w:val="24"/>
          <w:szCs w:val="24"/>
        </w:rPr>
        <w:drawing>
          <wp:inline distT="0" distB="0" distL="0" distR="0">
            <wp:extent cx="6162675" cy="2066925"/>
            <wp:effectExtent l="19050" t="0" r="0" b="0"/>
            <wp:docPr id="10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642A8" w:rsidRPr="0080737A" w:rsidRDefault="004642A8" w:rsidP="004642A8">
      <w:pPr>
        <w:shd w:val="clear" w:color="auto" w:fill="FFFFFF"/>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Помесячная динамика показателей внешнеторговой деятельности в июне 2016 года по отношению к маю демонстрирует прирост объемов совокупного внешнеторгового оборота Республики на 3,4%, при этом экспортные поставки снизились на 5,8%, импортные поставки возросли на 9,7%.</w:t>
      </w:r>
    </w:p>
    <w:p w:rsidR="004642A8" w:rsidRPr="0080737A" w:rsidRDefault="004642A8" w:rsidP="004642A8">
      <w:pPr>
        <w:spacing w:after="0" w:line="240" w:lineRule="auto"/>
        <w:ind w:firstLine="709"/>
        <w:jc w:val="both"/>
        <w:rPr>
          <w:rFonts w:ascii="Times New Roman" w:eastAsiaTheme="minorEastAsia" w:hAnsi="Times New Roman"/>
          <w:sz w:val="24"/>
        </w:rPr>
      </w:pPr>
      <w:r w:rsidRPr="0080737A">
        <w:rPr>
          <w:rFonts w:ascii="Times New Roman" w:eastAsiaTheme="minorEastAsia" w:hAnsi="Times New Roman"/>
          <w:sz w:val="24"/>
        </w:rPr>
        <w:t>Лидирующую позицию в товарной структуре экспорта в январе-июне 2016 года при сокращении объема поставок на 14,7% сохраняют топливно-энергетические товары, их доля составила 36,1% от совокупного объема экспорта, сократив долевое участие в товарной структуре на 1,1 процентный пункт.</w:t>
      </w:r>
    </w:p>
    <w:p w:rsidR="004642A8" w:rsidRPr="0080737A" w:rsidRDefault="004642A8" w:rsidP="004642A8">
      <w:pPr>
        <w:spacing w:after="0" w:line="240" w:lineRule="auto"/>
        <w:ind w:firstLine="709"/>
        <w:jc w:val="both"/>
        <w:rPr>
          <w:rFonts w:ascii="Times New Roman" w:eastAsiaTheme="minorEastAsia" w:hAnsi="Times New Roman"/>
          <w:sz w:val="24"/>
        </w:rPr>
      </w:pPr>
      <w:r w:rsidRPr="0080737A">
        <w:rPr>
          <w:rFonts w:ascii="Times New Roman" w:eastAsiaTheme="minorEastAsia" w:hAnsi="Times New Roman"/>
          <w:sz w:val="24"/>
        </w:rPr>
        <w:t>Металлы и изделия из них, являющиеся второй компонентой по величине долевого участия в формировании совокупного объема экспорта, сузили свое представительство на 0,9 процентных пункта до 21,3%, в абсолютном выражении их величина уменьшилась на 15,7% к уровню января - июня 2015 года.</w:t>
      </w:r>
    </w:p>
    <w:p w:rsidR="004642A8" w:rsidRPr="0080737A" w:rsidRDefault="004642A8" w:rsidP="004642A8">
      <w:pPr>
        <w:spacing w:after="0" w:line="240" w:lineRule="auto"/>
        <w:ind w:firstLine="709"/>
        <w:jc w:val="both"/>
        <w:rPr>
          <w:rFonts w:ascii="Times New Roman" w:eastAsiaTheme="minorEastAsia" w:hAnsi="Times New Roman"/>
          <w:sz w:val="24"/>
        </w:rPr>
      </w:pPr>
      <w:r w:rsidRPr="0080737A">
        <w:rPr>
          <w:rFonts w:ascii="Times New Roman" w:eastAsiaTheme="minorEastAsia" w:hAnsi="Times New Roman"/>
          <w:sz w:val="24"/>
        </w:rPr>
        <w:t xml:space="preserve">Вклад товаров легкой промышленности (текстильные материалы, одежда, текстильные изделия, обувь) при увеличении объема ее реализации за рубеж лишь на 0,3% расширился на 2,5 процентных пункта до 20,2%. </w:t>
      </w:r>
    </w:p>
    <w:p w:rsidR="004642A8" w:rsidRPr="0080737A" w:rsidRDefault="004642A8" w:rsidP="004642A8">
      <w:pPr>
        <w:spacing w:after="0" w:line="240" w:lineRule="auto"/>
        <w:ind w:firstLine="709"/>
        <w:jc w:val="both"/>
        <w:rPr>
          <w:rFonts w:ascii="Times New Roman" w:eastAsiaTheme="minorEastAsia" w:hAnsi="Times New Roman"/>
          <w:sz w:val="24"/>
        </w:rPr>
      </w:pPr>
      <w:r w:rsidRPr="0080737A">
        <w:rPr>
          <w:rFonts w:ascii="Times New Roman" w:eastAsiaTheme="minorEastAsia" w:hAnsi="Times New Roman"/>
          <w:sz w:val="24"/>
        </w:rPr>
        <w:t>Экспортные поставки продовольствия в январе-июне 2016 года сократились на 17,4% по отношению к соответствующему периоду прошлого года, а их долевое участие в товарной структуре сузилось на 0,7 процентных пункта до 11,2%.</w:t>
      </w:r>
    </w:p>
    <w:p w:rsidR="004642A8" w:rsidRPr="0080737A" w:rsidRDefault="004642A8" w:rsidP="004642A8">
      <w:pPr>
        <w:spacing w:after="0" w:line="240" w:lineRule="auto"/>
        <w:jc w:val="center"/>
        <w:rPr>
          <w:rFonts w:ascii="Times New Roman" w:hAnsi="Times New Roman"/>
          <w:b/>
          <w:sz w:val="24"/>
          <w:szCs w:val="24"/>
        </w:rPr>
      </w:pPr>
    </w:p>
    <w:p w:rsidR="004642A8" w:rsidRPr="0080737A" w:rsidRDefault="004642A8" w:rsidP="004642A8">
      <w:pPr>
        <w:spacing w:after="0" w:line="240" w:lineRule="auto"/>
        <w:jc w:val="center"/>
        <w:rPr>
          <w:rFonts w:ascii="Times New Roman" w:hAnsi="Times New Roman"/>
          <w:b/>
          <w:sz w:val="24"/>
          <w:szCs w:val="24"/>
        </w:rPr>
      </w:pPr>
      <w:r w:rsidRPr="0080737A">
        <w:rPr>
          <w:rFonts w:ascii="Times New Roman" w:hAnsi="Times New Roman"/>
          <w:b/>
          <w:sz w:val="24"/>
          <w:szCs w:val="24"/>
        </w:rPr>
        <w:t>Товарная структура экспорта, млн. долл. США</w:t>
      </w:r>
    </w:p>
    <w:p w:rsidR="004642A8" w:rsidRPr="0080737A" w:rsidRDefault="004642A8" w:rsidP="004642A8">
      <w:pPr>
        <w:spacing w:after="0" w:line="240" w:lineRule="auto"/>
        <w:jc w:val="center"/>
        <w:rPr>
          <w:rFonts w:ascii="Times New Roman" w:hAnsi="Times New Roman"/>
          <w:noProof/>
          <w:sz w:val="24"/>
          <w:szCs w:val="24"/>
        </w:rPr>
      </w:pPr>
      <w:r w:rsidRPr="0080737A">
        <w:rPr>
          <w:rFonts w:ascii="Times New Roman" w:hAnsi="Times New Roman"/>
          <w:b/>
          <w:noProof/>
          <w:sz w:val="24"/>
          <w:szCs w:val="24"/>
        </w:rPr>
        <w:drawing>
          <wp:inline distT="0" distB="0" distL="0" distR="0">
            <wp:extent cx="6057900" cy="2828925"/>
            <wp:effectExtent l="0" t="0" r="0" b="0"/>
            <wp:docPr id="10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642A8" w:rsidRPr="0080737A" w:rsidRDefault="004642A8" w:rsidP="004642A8">
      <w:pPr>
        <w:spacing w:after="0" w:line="240" w:lineRule="auto"/>
        <w:ind w:firstLine="709"/>
        <w:contextualSpacing/>
        <w:jc w:val="both"/>
        <w:rPr>
          <w:rFonts w:ascii="Times New Roman" w:eastAsiaTheme="minorEastAsia" w:hAnsi="Times New Roman"/>
          <w:sz w:val="24"/>
        </w:rPr>
      </w:pPr>
      <w:proofErr w:type="gramStart"/>
      <w:r w:rsidRPr="0080737A">
        <w:rPr>
          <w:rFonts w:ascii="Times New Roman" w:eastAsiaTheme="minorEastAsia" w:hAnsi="Times New Roman"/>
          <w:sz w:val="24"/>
        </w:rPr>
        <w:lastRenderedPageBreak/>
        <w:t xml:space="preserve">В январе – июне 2016 года основными торговыми партнерами Приднестровья по экспортным поставкам являлись Республика Молдова (44,9% совокупного экспорта, </w:t>
      </w:r>
      <w:r w:rsidRPr="0080737A">
        <w:rPr>
          <w:rFonts w:ascii="Times New Roman" w:eastAsiaTheme="minorEastAsia" w:hAnsi="Times New Roman"/>
          <w:sz w:val="24"/>
        </w:rPr>
        <w:br/>
        <w:t>«-» 20,6% к уровню января – июня 2015 года), Румыния (16,5%, прирост на 5,1% к базовому уровню 2015 года), Украина (8,2%, увеличение на 16,1% к уровню января – июня 2015 года), Российская Федерация (7,8%, «-» 16,9% базисного уровня 2015 года), Италия (7,6%, «-» 11,6% к уровню января</w:t>
      </w:r>
      <w:proofErr w:type="gramEnd"/>
      <w:r w:rsidRPr="0080737A">
        <w:rPr>
          <w:rFonts w:ascii="Times New Roman" w:eastAsiaTheme="minorEastAsia" w:hAnsi="Times New Roman"/>
          <w:sz w:val="24"/>
        </w:rPr>
        <w:t xml:space="preserve"> – июня 2015 года), Германия (6,5%, прирост на 8,6% к базовому уровню 2015 года). Экспортные поставки в данные страны обеспечили 91,5% всех поставок за рубеж.</w:t>
      </w:r>
    </w:p>
    <w:p w:rsidR="004642A8" w:rsidRPr="0080737A" w:rsidRDefault="004642A8" w:rsidP="004642A8">
      <w:pPr>
        <w:spacing w:after="0" w:line="240" w:lineRule="auto"/>
        <w:ind w:left="-426"/>
        <w:rPr>
          <w:rFonts w:ascii="Times New Roman" w:hAnsi="Times New Roman"/>
          <w:sz w:val="24"/>
          <w:szCs w:val="24"/>
        </w:rPr>
      </w:pPr>
      <w:r w:rsidRPr="0080737A">
        <w:rPr>
          <w:rFonts w:ascii="Times New Roman" w:hAnsi="Times New Roman"/>
          <w:noProof/>
          <w:sz w:val="24"/>
          <w:szCs w:val="24"/>
        </w:rPr>
        <w:drawing>
          <wp:inline distT="0" distB="0" distL="0" distR="0">
            <wp:extent cx="6210300" cy="2990850"/>
            <wp:effectExtent l="0" t="0" r="0" b="0"/>
            <wp:docPr id="107"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642A8" w:rsidRPr="0080737A" w:rsidRDefault="004642A8" w:rsidP="004642A8">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В </w:t>
      </w:r>
      <w:r w:rsidRPr="0080737A">
        <w:rPr>
          <w:rFonts w:ascii="Times New Roman" w:eastAsiaTheme="minorEastAsia" w:hAnsi="Times New Roman" w:cstheme="minorBidi"/>
          <w:sz w:val="24"/>
          <w:szCs w:val="24"/>
          <w:lang w:val="en-US"/>
        </w:rPr>
        <w:t>I</w:t>
      </w:r>
      <w:r w:rsidRPr="0080737A">
        <w:rPr>
          <w:rFonts w:ascii="Times New Roman" w:eastAsiaTheme="minorEastAsia" w:hAnsi="Times New Roman" w:cstheme="minorBidi"/>
          <w:sz w:val="24"/>
          <w:szCs w:val="24"/>
        </w:rPr>
        <w:t xml:space="preserve"> полугодии 2016 года отрицательная динамика импортных операций существенно превышала темпы снижения экспорта. Понижение зафиксировано практически по всем категориям товарной структуры импорта.</w:t>
      </w:r>
    </w:p>
    <w:p w:rsidR="004642A8" w:rsidRPr="0080737A" w:rsidRDefault="004642A8" w:rsidP="004642A8">
      <w:pPr>
        <w:spacing w:after="0" w:line="240" w:lineRule="auto"/>
        <w:ind w:firstLine="709"/>
        <w:jc w:val="both"/>
        <w:rPr>
          <w:rFonts w:ascii="Times New Roman" w:eastAsiaTheme="minorEastAsia" w:hAnsi="Times New Roman"/>
          <w:sz w:val="24"/>
          <w:szCs w:val="24"/>
        </w:rPr>
      </w:pPr>
      <w:r w:rsidRPr="0080737A">
        <w:rPr>
          <w:rFonts w:ascii="Times New Roman" w:eastAsiaTheme="minorEastAsia" w:hAnsi="Times New Roman" w:cstheme="minorBidi"/>
          <w:sz w:val="24"/>
          <w:szCs w:val="24"/>
        </w:rPr>
        <w:t xml:space="preserve">Так </w:t>
      </w:r>
      <w:r w:rsidRPr="0080737A">
        <w:rPr>
          <w:rFonts w:ascii="Times New Roman" w:eastAsiaTheme="minorEastAsia" w:hAnsi="Times New Roman"/>
          <w:sz w:val="24"/>
          <w:szCs w:val="24"/>
        </w:rPr>
        <w:t xml:space="preserve">ввоз топливно-энергетических товаров в абсолютной величине сократился на 38,4%, а долевое представительство сузилось до 51,2% против 57,0% в январе - июне </w:t>
      </w:r>
      <w:r w:rsidRPr="0080737A">
        <w:rPr>
          <w:rFonts w:ascii="Times New Roman" w:eastAsiaTheme="minorEastAsia" w:hAnsi="Times New Roman"/>
          <w:sz w:val="24"/>
          <w:szCs w:val="24"/>
        </w:rPr>
        <w:br/>
        <w:t>2015 года.</w:t>
      </w:r>
    </w:p>
    <w:p w:rsidR="004642A8" w:rsidRPr="0080737A" w:rsidRDefault="004642A8" w:rsidP="004642A8">
      <w:pPr>
        <w:spacing w:after="0" w:line="240" w:lineRule="auto"/>
        <w:ind w:firstLine="709"/>
        <w:jc w:val="both"/>
        <w:rPr>
          <w:rFonts w:ascii="Times New Roman" w:eastAsiaTheme="minorEastAsia" w:hAnsi="Times New Roman"/>
          <w:sz w:val="24"/>
        </w:rPr>
      </w:pPr>
      <w:r w:rsidRPr="0080737A">
        <w:rPr>
          <w:rFonts w:ascii="Times New Roman" w:hAnsi="Times New Roman"/>
          <w:sz w:val="24"/>
          <w:szCs w:val="24"/>
        </w:rPr>
        <w:t>Снижение производственной активности ОАО «Молдавский металлургический завод» привело к сокращению потребности предприятия в сырьевых материалах</w:t>
      </w:r>
      <w:r w:rsidRPr="0080737A">
        <w:rPr>
          <w:rFonts w:ascii="Times New Roman" w:eastAsiaTheme="minorEastAsia" w:hAnsi="Times New Roman"/>
          <w:sz w:val="24"/>
        </w:rPr>
        <w:t xml:space="preserve">, в результате чего импорт металлов и изделий из них сократился на 53,8% к уровню </w:t>
      </w:r>
      <w:r w:rsidRPr="0080737A">
        <w:rPr>
          <w:rFonts w:ascii="Times New Roman" w:eastAsiaTheme="minorEastAsia" w:hAnsi="Times New Roman"/>
          <w:sz w:val="24"/>
        </w:rPr>
        <w:br/>
        <w:t>января – июня 2015 года, сузив долевое представительство в товарной структуре на 3,3% до 6,9%.</w:t>
      </w:r>
    </w:p>
    <w:p w:rsidR="004642A8" w:rsidRPr="0080737A" w:rsidRDefault="004642A8" w:rsidP="004642A8">
      <w:pPr>
        <w:spacing w:after="0" w:line="240" w:lineRule="auto"/>
        <w:jc w:val="both"/>
        <w:rPr>
          <w:rFonts w:ascii="Times New Roman" w:eastAsiaTheme="minorEastAsia" w:hAnsi="Times New Roman"/>
          <w:sz w:val="24"/>
        </w:rPr>
      </w:pPr>
      <w:r w:rsidRPr="0080737A">
        <w:rPr>
          <w:rFonts w:ascii="Times New Roman" w:eastAsiaTheme="minorEastAsia" w:hAnsi="Times New Roman"/>
          <w:noProof/>
          <w:sz w:val="24"/>
        </w:rPr>
        <w:drawing>
          <wp:inline distT="0" distB="0" distL="0" distR="0">
            <wp:extent cx="5943600" cy="3067050"/>
            <wp:effectExtent l="0" t="0" r="0" b="0"/>
            <wp:docPr id="10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642A8" w:rsidRPr="0080737A" w:rsidRDefault="004642A8" w:rsidP="004642A8">
      <w:pPr>
        <w:spacing w:after="0" w:line="240" w:lineRule="auto"/>
        <w:ind w:firstLine="709"/>
        <w:jc w:val="both"/>
        <w:rPr>
          <w:rFonts w:ascii="Times New Roman" w:eastAsiaTheme="minorEastAsia" w:hAnsi="Times New Roman"/>
          <w:sz w:val="24"/>
        </w:rPr>
      </w:pPr>
      <w:r w:rsidRPr="0080737A">
        <w:rPr>
          <w:rFonts w:ascii="Times New Roman" w:eastAsiaTheme="minorEastAsia" w:hAnsi="Times New Roman"/>
          <w:sz w:val="24"/>
          <w:szCs w:val="24"/>
        </w:rPr>
        <w:lastRenderedPageBreak/>
        <w:t>Импортные</w:t>
      </w:r>
      <w:r w:rsidRPr="0080737A">
        <w:rPr>
          <w:rFonts w:ascii="Times New Roman" w:eastAsiaTheme="minorEastAsia" w:hAnsi="Times New Roman"/>
          <w:sz w:val="24"/>
        </w:rPr>
        <w:t xml:space="preserve"> поставки м</w:t>
      </w:r>
      <w:r w:rsidRPr="0080737A">
        <w:rPr>
          <w:rFonts w:ascii="Times New Roman" w:eastAsiaTheme="minorEastAsia" w:hAnsi="Times New Roman"/>
          <w:sz w:val="24"/>
          <w:szCs w:val="24"/>
        </w:rPr>
        <w:t xml:space="preserve">ашиностроительной продукции, на </w:t>
      </w:r>
      <w:r w:rsidRPr="0080737A">
        <w:rPr>
          <w:rFonts w:ascii="Times New Roman" w:eastAsiaTheme="minorEastAsia" w:hAnsi="Times New Roman"/>
          <w:sz w:val="24"/>
        </w:rPr>
        <w:t>долю которых приходилось 9,1% против 9,6% в январе – июне 2015 года, в денежном эквиваленте сократились на 34,4%.</w:t>
      </w:r>
    </w:p>
    <w:p w:rsidR="004642A8" w:rsidRPr="0080737A" w:rsidRDefault="004642A8" w:rsidP="004642A8">
      <w:pPr>
        <w:spacing w:after="0" w:line="240" w:lineRule="auto"/>
        <w:ind w:firstLine="709"/>
        <w:jc w:val="both"/>
        <w:rPr>
          <w:rFonts w:ascii="Times New Roman" w:eastAsiaTheme="minorEastAsia" w:hAnsi="Times New Roman"/>
          <w:sz w:val="24"/>
        </w:rPr>
      </w:pPr>
      <w:r w:rsidRPr="0080737A">
        <w:rPr>
          <w:rFonts w:ascii="Times New Roman" w:eastAsiaTheme="minorEastAsia" w:hAnsi="Times New Roman"/>
          <w:sz w:val="24"/>
        </w:rPr>
        <w:t xml:space="preserve">Объем продовольственных товаров (сырья) поставленных на территорию Приднестровья в январе – июне текущего года сократился на 8,1% к сопоставимому уровню 2015 года, при этом в товарной структуре импорта на их долю приходилось 10,2% против 7,6% в базовом периоде минувшего года. </w:t>
      </w:r>
    </w:p>
    <w:p w:rsidR="004642A8" w:rsidRPr="0080737A" w:rsidRDefault="004642A8" w:rsidP="004642A8">
      <w:pPr>
        <w:spacing w:after="0" w:line="240" w:lineRule="auto"/>
        <w:ind w:firstLine="709"/>
        <w:jc w:val="both"/>
        <w:rPr>
          <w:rFonts w:ascii="Times New Roman" w:eastAsiaTheme="minorEastAsia" w:hAnsi="Times New Roman"/>
          <w:sz w:val="24"/>
        </w:rPr>
      </w:pPr>
      <w:r w:rsidRPr="0080737A">
        <w:rPr>
          <w:rFonts w:ascii="Times New Roman" w:eastAsiaTheme="minorEastAsia" w:hAnsi="Times New Roman"/>
          <w:sz w:val="24"/>
        </w:rPr>
        <w:t xml:space="preserve">В январе – июне 2016 года увеличение ввоза текстильных изделий и текстильных материалов на 22,9% и 45,0% соответственно предопределило расширение импортных поставок товаров легкой промышленности до 6,6% против 3,3% в январе – июне </w:t>
      </w:r>
      <w:r w:rsidRPr="0080737A">
        <w:rPr>
          <w:rFonts w:ascii="Times New Roman" w:eastAsiaTheme="minorEastAsia" w:hAnsi="Times New Roman"/>
          <w:sz w:val="24"/>
        </w:rPr>
        <w:br/>
        <w:t>2015 года, в абсолютной величине их объем возрос на 36,5%.</w:t>
      </w:r>
    </w:p>
    <w:p w:rsidR="004642A8" w:rsidRPr="0080737A" w:rsidRDefault="004642A8" w:rsidP="004642A8">
      <w:pPr>
        <w:spacing w:after="0" w:line="240" w:lineRule="auto"/>
        <w:ind w:firstLine="709"/>
        <w:jc w:val="both"/>
        <w:rPr>
          <w:rFonts w:ascii="Times New Roman" w:eastAsiaTheme="minorEastAsia" w:hAnsi="Times New Roman"/>
          <w:sz w:val="24"/>
        </w:rPr>
      </w:pPr>
      <w:r w:rsidRPr="0080737A">
        <w:rPr>
          <w:rFonts w:ascii="Times New Roman" w:eastAsiaTheme="minorEastAsia" w:hAnsi="Times New Roman"/>
          <w:sz w:val="24"/>
        </w:rPr>
        <w:t xml:space="preserve">Основными торговыми партнерами Приднестровья по импортным поставкам </w:t>
      </w:r>
      <w:r w:rsidRPr="0080737A">
        <w:rPr>
          <w:rFonts w:ascii="Times New Roman" w:eastAsiaTheme="minorEastAsia" w:hAnsi="Times New Roman"/>
          <w:color w:val="000000"/>
          <w:sz w:val="24"/>
        </w:rPr>
        <w:t xml:space="preserve">в обозначенном периоде выступали контрагенты </w:t>
      </w:r>
      <w:r w:rsidRPr="0080737A">
        <w:rPr>
          <w:rFonts w:ascii="Times New Roman" w:eastAsiaTheme="minorEastAsia" w:hAnsi="Times New Roman"/>
          <w:sz w:val="24"/>
        </w:rPr>
        <w:t xml:space="preserve">Российской Федерации (53,4% совокупного импорта, «-» 37,4% к уровню базового показателя 2015 года), Украины (9,3%, «-»42,1%), Республики Молдова (7,5%, «-»23,1%), Германии (4,0%, «-»28,9%), Республики Беларусь (3,0%, «-» 44,2%). </w:t>
      </w:r>
    </w:p>
    <w:p w:rsidR="004642A8" w:rsidRPr="0080737A" w:rsidRDefault="004642A8" w:rsidP="004642A8">
      <w:pPr>
        <w:spacing w:after="0" w:line="240" w:lineRule="auto"/>
        <w:ind w:firstLine="709"/>
        <w:jc w:val="both"/>
        <w:rPr>
          <w:rFonts w:ascii="Times New Roman" w:eastAsiaTheme="minorEastAsia" w:hAnsi="Times New Roman"/>
          <w:sz w:val="24"/>
        </w:rPr>
      </w:pPr>
    </w:p>
    <w:p w:rsidR="004642A8" w:rsidRPr="0080737A" w:rsidRDefault="004642A8" w:rsidP="004642A8">
      <w:pPr>
        <w:spacing w:after="0" w:line="240" w:lineRule="auto"/>
        <w:ind w:hanging="284"/>
        <w:jc w:val="both"/>
        <w:rPr>
          <w:rFonts w:ascii="Times New Roman" w:hAnsi="Times New Roman"/>
          <w:sz w:val="24"/>
          <w:szCs w:val="24"/>
        </w:rPr>
      </w:pPr>
      <w:r w:rsidRPr="0080737A">
        <w:rPr>
          <w:rFonts w:ascii="Times New Roman" w:hAnsi="Times New Roman"/>
          <w:noProof/>
          <w:sz w:val="24"/>
          <w:szCs w:val="24"/>
        </w:rPr>
        <w:drawing>
          <wp:inline distT="0" distB="0" distL="0" distR="0">
            <wp:extent cx="6191250" cy="2638425"/>
            <wp:effectExtent l="0" t="0" r="0" b="0"/>
            <wp:docPr id="109"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642A8" w:rsidRPr="0080737A" w:rsidRDefault="004642A8" w:rsidP="004642A8">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Таким образом, зависимость экономики от внешних ресурсов на фоне высоких рисков в осуществлении внешнеэкономической деятельности вынуждает приднестровских экономических агентов приспосабливаться к действующим условиям ведения внешней торговли, что приводит к дополнительным затратам и соответственно к снижению конкурентоспособности приднестровской продукции.</w:t>
      </w:r>
    </w:p>
    <w:p w:rsidR="004642A8" w:rsidRPr="0080737A" w:rsidRDefault="004642A8" w:rsidP="00335844">
      <w:pPr>
        <w:spacing w:after="0" w:line="240" w:lineRule="auto"/>
        <w:ind w:firstLine="709"/>
        <w:jc w:val="both"/>
        <w:rPr>
          <w:rFonts w:ascii="Times New Roman" w:hAnsi="Times New Roman"/>
          <w:sz w:val="24"/>
          <w:szCs w:val="24"/>
        </w:rPr>
      </w:pPr>
    </w:p>
    <w:p w:rsidR="00335844" w:rsidRPr="0080737A" w:rsidRDefault="00335844" w:rsidP="00335844">
      <w:pPr>
        <w:widowControl w:val="0"/>
        <w:autoSpaceDE w:val="0"/>
        <w:autoSpaceDN w:val="0"/>
        <w:adjustRightInd w:val="0"/>
        <w:spacing w:after="0" w:line="240" w:lineRule="auto"/>
        <w:ind w:firstLine="720"/>
        <w:jc w:val="both"/>
        <w:rPr>
          <w:rFonts w:ascii="Times New Roman" w:hAnsi="Times New Roman"/>
          <w:b/>
          <w:sz w:val="24"/>
          <w:szCs w:val="24"/>
        </w:rPr>
      </w:pPr>
      <w:r w:rsidRPr="0080737A">
        <w:rPr>
          <w:rFonts w:ascii="Times New Roman" w:hAnsi="Times New Roman"/>
          <w:b/>
          <w:sz w:val="24"/>
          <w:szCs w:val="24"/>
        </w:rPr>
        <w:t>Состояние реального сектора экономики</w:t>
      </w:r>
    </w:p>
    <w:p w:rsidR="00335844" w:rsidRPr="0080737A" w:rsidRDefault="00335844" w:rsidP="00335844">
      <w:pPr>
        <w:widowControl w:val="0"/>
        <w:autoSpaceDE w:val="0"/>
        <w:autoSpaceDN w:val="0"/>
        <w:adjustRightInd w:val="0"/>
        <w:spacing w:after="0" w:line="240" w:lineRule="auto"/>
        <w:ind w:firstLine="720"/>
        <w:jc w:val="both"/>
        <w:rPr>
          <w:rFonts w:ascii="Times New Roman" w:hAnsi="Times New Roman"/>
          <w:b/>
          <w:sz w:val="24"/>
          <w:szCs w:val="24"/>
        </w:rPr>
      </w:pPr>
    </w:p>
    <w:p w:rsidR="00335844" w:rsidRPr="0080737A" w:rsidRDefault="00335844" w:rsidP="00335844">
      <w:pPr>
        <w:widowControl w:val="0"/>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t>Промышленность</w:t>
      </w:r>
    </w:p>
    <w:p w:rsidR="00335844" w:rsidRPr="0080737A" w:rsidRDefault="00335844" w:rsidP="00335844">
      <w:pPr>
        <w:autoSpaceDE w:val="0"/>
        <w:autoSpaceDN w:val="0"/>
        <w:adjustRightInd w:val="0"/>
        <w:spacing w:after="0" w:line="240" w:lineRule="auto"/>
        <w:ind w:firstLine="709"/>
        <w:jc w:val="both"/>
        <w:rPr>
          <w:rFonts w:ascii="Times New Roman" w:eastAsia="Calibri" w:hAnsi="Times New Roman"/>
          <w:sz w:val="24"/>
          <w:szCs w:val="24"/>
        </w:rPr>
      </w:pPr>
      <w:bookmarkStart w:id="6" w:name="_Toc185403094"/>
      <w:bookmarkEnd w:id="6"/>
    </w:p>
    <w:p w:rsidR="00B202D2" w:rsidRPr="0080737A" w:rsidRDefault="00B202D2" w:rsidP="00B202D2">
      <w:pPr>
        <w:spacing w:after="0" w:line="240" w:lineRule="auto"/>
        <w:ind w:firstLine="540"/>
        <w:jc w:val="both"/>
        <w:rPr>
          <w:rFonts w:ascii="Times New Roman" w:eastAsia="Calibri" w:hAnsi="Times New Roman"/>
          <w:sz w:val="24"/>
          <w:szCs w:val="24"/>
        </w:rPr>
      </w:pPr>
      <w:r w:rsidRPr="0080737A">
        <w:rPr>
          <w:rFonts w:ascii="Times New Roman" w:hAnsi="Times New Roman"/>
          <w:sz w:val="24"/>
          <w:szCs w:val="24"/>
        </w:rPr>
        <w:t xml:space="preserve">Ситуация в индустриальном секторе республики в рассматриваемом периоде складывалась под воздействием ограничительных </w:t>
      </w:r>
      <w:r w:rsidRPr="0080737A">
        <w:rPr>
          <w:rFonts w:ascii="Times New Roman" w:hAnsi="Times New Roman"/>
          <w:color w:val="262626"/>
          <w:sz w:val="24"/>
          <w:szCs w:val="24"/>
          <w:shd w:val="clear" w:color="auto" w:fill="FFFFFF"/>
        </w:rPr>
        <w:t xml:space="preserve">барьеров в отношении хозяйствующих субъектов Приднестровской Молдавской Республики со стороны соседних государств, на фоне </w:t>
      </w:r>
      <w:r w:rsidRPr="0080737A">
        <w:rPr>
          <w:rFonts w:ascii="Times New Roman" w:eastAsia="Calibri" w:hAnsi="Times New Roman"/>
          <w:sz w:val="24"/>
          <w:szCs w:val="24"/>
        </w:rPr>
        <w:t>недостатка собственных оборотных средств и сложности в привлечении заемных ресурсов, а также двойного таможенного оформления экспорта и импорта, что способствует снижению конкурентоспособности выпускаемой продукции.</w:t>
      </w:r>
    </w:p>
    <w:p w:rsidR="00B202D2" w:rsidRPr="0080737A" w:rsidRDefault="00B202D2" w:rsidP="00B202D2">
      <w:pPr>
        <w:autoSpaceDE w:val="0"/>
        <w:autoSpaceDN w:val="0"/>
        <w:adjustRightInd w:val="0"/>
        <w:spacing w:after="0" w:line="240" w:lineRule="auto"/>
        <w:ind w:firstLine="709"/>
        <w:jc w:val="both"/>
        <w:rPr>
          <w:rFonts w:ascii="Times New Roman" w:eastAsia="Calibri" w:hAnsi="Times New Roman"/>
          <w:snapToGrid w:val="0"/>
          <w:sz w:val="24"/>
          <w:szCs w:val="24"/>
        </w:rPr>
      </w:pPr>
      <w:r w:rsidRPr="0080737A">
        <w:rPr>
          <w:rFonts w:ascii="Times New Roman" w:eastAsia="Calibri" w:hAnsi="Times New Roman"/>
          <w:snapToGrid w:val="0"/>
          <w:sz w:val="24"/>
          <w:szCs w:val="24"/>
        </w:rPr>
        <w:t>В целом промышленными предприятиями с учетом оценки объемов производства предприятий малого предпринимательства, а также объемов продукции подсобных промышленных произво</w:t>
      </w:r>
      <w:proofErr w:type="gramStart"/>
      <w:r w:rsidRPr="0080737A">
        <w:rPr>
          <w:rFonts w:ascii="Times New Roman" w:eastAsia="Calibri" w:hAnsi="Times New Roman"/>
          <w:snapToGrid w:val="0"/>
          <w:sz w:val="24"/>
          <w:szCs w:val="24"/>
        </w:rPr>
        <w:t>дств пр</w:t>
      </w:r>
      <w:proofErr w:type="gramEnd"/>
      <w:r w:rsidRPr="0080737A">
        <w:rPr>
          <w:rFonts w:ascii="Times New Roman" w:eastAsia="Calibri" w:hAnsi="Times New Roman"/>
          <w:snapToGrid w:val="0"/>
          <w:sz w:val="24"/>
          <w:szCs w:val="24"/>
        </w:rPr>
        <w:t>и непромышленных предприятиях, в I полугодии 2016 года произведено продукции на 4 024,6 млн. руб., что составляет 90,5% от уровня соответствующего периода прошлого года.</w:t>
      </w:r>
    </w:p>
    <w:p w:rsidR="00B202D2" w:rsidRPr="0080737A" w:rsidRDefault="00B202D2" w:rsidP="00B202D2">
      <w:pPr>
        <w:autoSpaceDE w:val="0"/>
        <w:autoSpaceDN w:val="0"/>
        <w:adjustRightInd w:val="0"/>
        <w:spacing w:after="0" w:line="240" w:lineRule="auto"/>
        <w:ind w:firstLine="709"/>
        <w:jc w:val="both"/>
        <w:rPr>
          <w:rFonts w:ascii="Times New Roman" w:eastAsia="Calibri" w:hAnsi="Times New Roman"/>
          <w:snapToGrid w:val="0"/>
          <w:sz w:val="24"/>
          <w:szCs w:val="24"/>
        </w:rPr>
      </w:pPr>
      <w:r w:rsidRPr="0080737A">
        <w:rPr>
          <w:rFonts w:ascii="Times New Roman" w:eastAsia="Calibri" w:hAnsi="Times New Roman"/>
          <w:snapToGrid w:val="0"/>
          <w:sz w:val="24"/>
          <w:szCs w:val="24"/>
        </w:rPr>
        <w:lastRenderedPageBreak/>
        <w:t>Индекс физического объема важнейших видов промышленной продукции в рассматриваемом периоде, в результате увеличения производства проката черных металлов (на 8,5%), цемента (на 39,8%), труб стальных (на 46,0%) и литейных машин               (в 7,0 раз) составил 102,4% к уровню января-июня 2015 года.</w:t>
      </w:r>
    </w:p>
    <w:p w:rsidR="00B202D2" w:rsidRPr="0080737A" w:rsidRDefault="00B202D2" w:rsidP="00B202D2">
      <w:pPr>
        <w:spacing w:after="0" w:line="240" w:lineRule="auto"/>
        <w:ind w:firstLine="709"/>
        <w:jc w:val="both"/>
        <w:rPr>
          <w:rFonts w:ascii="Times New Roman" w:eastAsia="Calibri" w:hAnsi="Times New Roman"/>
          <w:snapToGrid w:val="0"/>
          <w:sz w:val="24"/>
          <w:szCs w:val="24"/>
        </w:rPr>
      </w:pPr>
      <w:r w:rsidRPr="0080737A">
        <w:rPr>
          <w:rFonts w:ascii="Times New Roman" w:eastAsia="Calibri" w:hAnsi="Times New Roman"/>
          <w:sz w:val="24"/>
          <w:szCs w:val="24"/>
        </w:rPr>
        <w:t>По итогам января-июня 2016 года промышленными предприятиями республики произведено продукции на сумму 3 836,4 млн. руб., что составило в текущих ценах 91,6% от уровня данного показателя в 2015 году, при этом в сопоставимой оценке товарный выпуск промышленных предприятий вырос на 2,5% по отношению к аналогичному периоду 2015 года.</w:t>
      </w:r>
    </w:p>
    <w:p w:rsidR="00B202D2" w:rsidRPr="0080737A" w:rsidRDefault="00B202D2" w:rsidP="00B202D2">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Помесячная динамика промышленного производства, на фоне неустойчивой рыночной конъюнктуры, во втором квартале 2016 года в сопоставимых ценах демонстрирует снижение объемов промышленного производства по отношению к аналогичном периоду прошлого года (апрель – 0,1%, май – 6,0% и июнь – 18,4%).</w:t>
      </w:r>
      <w:proofErr w:type="gramEnd"/>
    </w:p>
    <w:p w:rsidR="00B202D2" w:rsidRPr="0080737A" w:rsidRDefault="00B202D2" w:rsidP="00B202D2">
      <w:pPr>
        <w:spacing w:after="0" w:line="240" w:lineRule="auto"/>
        <w:ind w:firstLine="709"/>
        <w:jc w:val="center"/>
        <w:rPr>
          <w:rFonts w:ascii="Times New Roman" w:hAnsi="Times New Roman"/>
          <w:b/>
          <w:sz w:val="24"/>
          <w:szCs w:val="24"/>
        </w:rPr>
      </w:pPr>
      <w:r w:rsidRPr="0080737A">
        <w:rPr>
          <w:rFonts w:ascii="Times New Roman" w:hAnsi="Times New Roman"/>
          <w:b/>
          <w:sz w:val="24"/>
          <w:szCs w:val="24"/>
        </w:rPr>
        <w:t>Динамика промышленного производства</w:t>
      </w:r>
      <w:r w:rsidRPr="0080737A">
        <w:rPr>
          <w:rFonts w:ascii="Times New Roman" w:hAnsi="Times New Roman"/>
          <w:sz w:val="24"/>
          <w:szCs w:val="24"/>
        </w:rPr>
        <w:t xml:space="preserve"> (в сопоставимых ценах), </w:t>
      </w:r>
      <w:r w:rsidRPr="0080737A">
        <w:rPr>
          <w:rFonts w:ascii="Times New Roman" w:hAnsi="Times New Roman"/>
          <w:b/>
          <w:sz w:val="24"/>
          <w:szCs w:val="24"/>
        </w:rPr>
        <w:t>млн. руб.</w:t>
      </w:r>
    </w:p>
    <w:p w:rsidR="00B202D2" w:rsidRPr="0080737A" w:rsidRDefault="00B202D2" w:rsidP="00B202D2">
      <w:pPr>
        <w:shd w:val="clear" w:color="auto" w:fill="FFFFFF"/>
        <w:spacing w:after="0" w:line="240" w:lineRule="auto"/>
        <w:jc w:val="both"/>
        <w:rPr>
          <w:rFonts w:ascii="Times New Roman" w:eastAsia="Calibri" w:hAnsi="Times New Roman"/>
          <w:color w:val="000000"/>
          <w:sz w:val="24"/>
          <w:szCs w:val="24"/>
        </w:rPr>
      </w:pPr>
      <w:r w:rsidRPr="0080737A">
        <w:rPr>
          <w:rFonts w:ascii="Times New Roman" w:eastAsia="Calibri" w:hAnsi="Times New Roman"/>
          <w:noProof/>
          <w:color w:val="000000"/>
          <w:sz w:val="24"/>
          <w:szCs w:val="24"/>
        </w:rPr>
        <w:drawing>
          <wp:inline distT="0" distB="0" distL="0" distR="0">
            <wp:extent cx="5981700" cy="1428750"/>
            <wp:effectExtent l="0" t="0" r="0" b="0"/>
            <wp:docPr id="11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202D2" w:rsidRPr="0080737A" w:rsidRDefault="00B202D2" w:rsidP="00B202D2">
      <w:pPr>
        <w:spacing w:after="0" w:line="240" w:lineRule="auto"/>
        <w:ind w:firstLine="709"/>
        <w:contextualSpacing/>
        <w:jc w:val="both"/>
        <w:rPr>
          <w:rFonts w:ascii="Times New Roman" w:hAnsi="Times New Roman"/>
          <w:sz w:val="24"/>
          <w:szCs w:val="24"/>
        </w:rPr>
      </w:pPr>
    </w:p>
    <w:p w:rsidR="00B202D2" w:rsidRPr="0080737A" w:rsidRDefault="00B202D2" w:rsidP="00B202D2">
      <w:pPr>
        <w:spacing w:after="0" w:line="240" w:lineRule="auto"/>
        <w:ind w:firstLine="709"/>
        <w:contextualSpacing/>
        <w:jc w:val="both"/>
        <w:rPr>
          <w:rFonts w:ascii="Times New Roman" w:hAnsi="Times New Roman"/>
          <w:sz w:val="24"/>
          <w:szCs w:val="24"/>
        </w:rPr>
      </w:pPr>
      <w:r w:rsidRPr="0080737A">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3624580</wp:posOffset>
            </wp:positionH>
            <wp:positionV relativeFrom="paragraph">
              <wp:posOffset>381635</wp:posOffset>
            </wp:positionV>
            <wp:extent cx="2543175" cy="1857375"/>
            <wp:effectExtent l="19050" t="0" r="0" b="0"/>
            <wp:wrapTight wrapText="bothSides">
              <wp:wrapPolygon edited="0">
                <wp:start x="-162" y="0"/>
                <wp:lineTo x="-162" y="21268"/>
                <wp:lineTo x="21519" y="21268"/>
                <wp:lineTo x="21519" y="0"/>
                <wp:lineTo x="-162" y="0"/>
              </wp:wrapPolygon>
            </wp:wrapTight>
            <wp:docPr id="1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80737A">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-60960</wp:posOffset>
            </wp:positionH>
            <wp:positionV relativeFrom="paragraph">
              <wp:posOffset>384810</wp:posOffset>
            </wp:positionV>
            <wp:extent cx="3743325" cy="1857375"/>
            <wp:effectExtent l="19050" t="0" r="0" b="0"/>
            <wp:wrapTight wrapText="bothSides">
              <wp:wrapPolygon edited="0">
                <wp:start x="-110" y="0"/>
                <wp:lineTo x="-110" y="21268"/>
                <wp:lineTo x="21545" y="21268"/>
                <wp:lineTo x="21545" y="0"/>
                <wp:lineTo x="-110" y="0"/>
              </wp:wrapPolygon>
            </wp:wrapTight>
            <wp:docPr id="11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80737A">
        <w:rPr>
          <w:rFonts w:ascii="Times New Roman" w:hAnsi="Times New Roman"/>
          <w:sz w:val="24"/>
          <w:szCs w:val="24"/>
        </w:rPr>
        <w:t>Отраслевая структура промышленного производства в анализируемом периоде выглядела следующим образом:</w:t>
      </w:r>
    </w:p>
    <w:p w:rsidR="00B202D2" w:rsidRPr="0080737A" w:rsidRDefault="00B202D2" w:rsidP="00B202D2">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Снижение стоимости электроэнергии не сказалось существенным образом на структуре промышленного производства, позволив сохранить электроэнергетике лидирующую позицию в структуре выпуска – 48,4% (50,4% в январе-июне 2015 года). На металлургию в результате действия понижательного тренда объемов товарного выпуска в апреле-июне 2015 года, в рассматриваемом периоде приходилось 13,7% совокупного выпуска в промышленности против 15,7% в 2015 году. Предприятия легкой и пищевой промышленности сформировали 14,4% и 12,1% товарного выпуска соответственно против 11,2% и 11,5% в аналогичном периоде 2015 года.</w:t>
      </w:r>
    </w:p>
    <w:p w:rsidR="00B202D2" w:rsidRPr="0080737A" w:rsidRDefault="00B202D2" w:rsidP="00B202D2">
      <w:pPr>
        <w:spacing w:after="0" w:line="240" w:lineRule="auto"/>
        <w:ind w:firstLine="720"/>
        <w:jc w:val="both"/>
        <w:rPr>
          <w:rFonts w:ascii="Times New Roman" w:eastAsia="Calibri" w:hAnsi="Times New Roman"/>
          <w:sz w:val="24"/>
          <w:szCs w:val="24"/>
        </w:rPr>
      </w:pPr>
      <w:r w:rsidRPr="0080737A">
        <w:rPr>
          <w:rFonts w:ascii="Times New Roman" w:eastAsia="Calibri" w:hAnsi="Times New Roman"/>
          <w:sz w:val="24"/>
          <w:szCs w:val="24"/>
        </w:rPr>
        <w:t xml:space="preserve">Доход от реализации промышленной продукции за рассматриваемый период сложился в сумме 3 884,6 млн. руб., сократившись на 9,5% к базисному показателю            2015 года. При этом объем отгруженной продукции в </w:t>
      </w:r>
      <w:r w:rsidRPr="0080737A">
        <w:rPr>
          <w:rFonts w:ascii="Times New Roman" w:eastAsia="Calibri" w:hAnsi="Times New Roman"/>
          <w:sz w:val="24"/>
          <w:szCs w:val="24"/>
          <w:lang w:val="en-US"/>
        </w:rPr>
        <w:t>I</w:t>
      </w:r>
      <w:r w:rsidRPr="0080737A">
        <w:rPr>
          <w:rFonts w:ascii="Times New Roman" w:eastAsia="Calibri" w:hAnsi="Times New Roman"/>
          <w:sz w:val="24"/>
          <w:szCs w:val="24"/>
        </w:rPr>
        <w:t xml:space="preserve"> полугодии 2016 года составил                             3 769,6 млн. руб., что на 9,9% ниже соответствующего уровня 2015 года.</w:t>
      </w:r>
    </w:p>
    <w:p w:rsidR="00B202D2" w:rsidRPr="0080737A" w:rsidRDefault="00B202D2" w:rsidP="00B202D2">
      <w:pPr>
        <w:spacing w:after="0" w:line="240" w:lineRule="auto"/>
        <w:ind w:firstLine="709"/>
        <w:jc w:val="both"/>
        <w:rPr>
          <w:rFonts w:ascii="Times New Roman" w:eastAsia="Calibri" w:hAnsi="Times New Roman"/>
          <w:color w:val="000000"/>
          <w:sz w:val="24"/>
          <w:szCs w:val="24"/>
        </w:rPr>
      </w:pPr>
      <w:r w:rsidRPr="0080737A">
        <w:rPr>
          <w:rFonts w:ascii="Times New Roman" w:eastAsia="Calibri" w:hAnsi="Times New Roman"/>
          <w:color w:val="000000"/>
          <w:sz w:val="24"/>
          <w:szCs w:val="24"/>
        </w:rPr>
        <w:t xml:space="preserve">К концу </w:t>
      </w:r>
      <w:r w:rsidRPr="0080737A">
        <w:rPr>
          <w:rFonts w:ascii="Times New Roman" w:eastAsia="Calibri" w:hAnsi="Times New Roman"/>
          <w:color w:val="000000"/>
          <w:sz w:val="24"/>
          <w:szCs w:val="24"/>
          <w:lang w:val="en-US"/>
        </w:rPr>
        <w:t>I</w:t>
      </w:r>
      <w:r w:rsidRPr="0080737A">
        <w:rPr>
          <w:rFonts w:ascii="Times New Roman" w:eastAsia="Calibri" w:hAnsi="Times New Roman"/>
          <w:color w:val="000000"/>
          <w:sz w:val="24"/>
          <w:szCs w:val="24"/>
        </w:rPr>
        <w:t xml:space="preserve"> полугодия 2016 года по республике отмечено сокращение остатков готовой продукции на складах по сравнению с началом года на 7,8%, их с</w:t>
      </w:r>
      <w:r w:rsidRPr="0080737A">
        <w:rPr>
          <w:rFonts w:ascii="Times New Roman" w:eastAsia="Calibri" w:hAnsi="Times New Roman"/>
          <w:sz w:val="24"/>
          <w:szCs w:val="24"/>
        </w:rPr>
        <w:t>тоимостное значение</w:t>
      </w:r>
      <w:r w:rsidR="00EF7D3C" w:rsidRPr="0080737A">
        <w:rPr>
          <w:rFonts w:ascii="Times New Roman" w:eastAsia="Calibri" w:hAnsi="Times New Roman"/>
          <w:sz w:val="24"/>
          <w:szCs w:val="24"/>
        </w:rPr>
        <w:t xml:space="preserve"> </w:t>
      </w:r>
      <w:r w:rsidRPr="0080737A">
        <w:rPr>
          <w:rFonts w:ascii="Times New Roman" w:eastAsia="Calibri" w:hAnsi="Times New Roman"/>
          <w:sz w:val="24"/>
          <w:szCs w:val="24"/>
        </w:rPr>
        <w:t>по состоянию</w:t>
      </w:r>
      <w:r w:rsidR="00EF7D3C" w:rsidRPr="0080737A">
        <w:rPr>
          <w:rFonts w:ascii="Times New Roman" w:eastAsia="Calibri" w:hAnsi="Times New Roman"/>
          <w:sz w:val="24"/>
          <w:szCs w:val="24"/>
        </w:rPr>
        <w:t xml:space="preserve"> </w:t>
      </w:r>
      <w:r w:rsidRPr="0080737A">
        <w:rPr>
          <w:rFonts w:ascii="Times New Roman" w:eastAsia="Calibri" w:hAnsi="Times New Roman"/>
          <w:color w:val="000000"/>
          <w:sz w:val="24"/>
          <w:szCs w:val="24"/>
        </w:rPr>
        <w:t>на 1 июля 2016 года составило</w:t>
      </w:r>
      <w:r w:rsidRPr="0080737A">
        <w:rPr>
          <w:rFonts w:ascii="Times New Roman" w:eastAsia="Calibri" w:hAnsi="Times New Roman"/>
          <w:sz w:val="24"/>
          <w:szCs w:val="24"/>
        </w:rPr>
        <w:t xml:space="preserve"> 291,1 </w:t>
      </w:r>
      <w:r w:rsidRPr="0080737A">
        <w:rPr>
          <w:rFonts w:ascii="Times New Roman" w:eastAsia="Calibri" w:hAnsi="Times New Roman"/>
          <w:color w:val="000000"/>
          <w:sz w:val="24"/>
          <w:szCs w:val="24"/>
        </w:rPr>
        <w:t>млн. руб.</w:t>
      </w:r>
    </w:p>
    <w:p w:rsidR="00B202D2" w:rsidRPr="0080737A" w:rsidRDefault="00B202D2" w:rsidP="00B202D2">
      <w:pPr>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 xml:space="preserve">В целом за </w:t>
      </w:r>
      <w:r w:rsidRPr="0080737A">
        <w:rPr>
          <w:rFonts w:ascii="Times New Roman" w:eastAsia="Calibri" w:hAnsi="Times New Roman"/>
          <w:color w:val="000000"/>
          <w:sz w:val="24"/>
          <w:szCs w:val="24"/>
        </w:rPr>
        <w:t xml:space="preserve">рассматриваемый период </w:t>
      </w:r>
      <w:r w:rsidRPr="0080737A">
        <w:rPr>
          <w:rFonts w:ascii="Times New Roman" w:eastAsia="Calibri" w:hAnsi="Times New Roman"/>
          <w:sz w:val="24"/>
          <w:szCs w:val="24"/>
        </w:rPr>
        <w:t xml:space="preserve">увеличили выпуск промышленной продукции 31предприятий или 34,4% от их общего числа (в январе-июне </w:t>
      </w:r>
      <w:r w:rsidRPr="0080737A">
        <w:rPr>
          <w:rFonts w:ascii="Times New Roman" w:eastAsia="Calibri" w:hAnsi="Times New Roman"/>
          <w:color w:val="000000"/>
          <w:sz w:val="24"/>
          <w:szCs w:val="24"/>
        </w:rPr>
        <w:t xml:space="preserve">2015 года </w:t>
      </w:r>
      <w:r w:rsidRPr="0080737A">
        <w:rPr>
          <w:rFonts w:ascii="Times New Roman" w:eastAsia="Calibri" w:hAnsi="Times New Roman"/>
          <w:sz w:val="24"/>
          <w:szCs w:val="24"/>
        </w:rPr>
        <w:t xml:space="preserve">- 27 </w:t>
      </w:r>
      <w:r w:rsidRPr="0080737A">
        <w:rPr>
          <w:rFonts w:ascii="Times New Roman" w:eastAsia="Calibri" w:hAnsi="Times New Roman"/>
          <w:sz w:val="24"/>
          <w:szCs w:val="24"/>
        </w:rPr>
        <w:lastRenderedPageBreak/>
        <w:t xml:space="preserve">предприятий), спад допущен на 52 предприятиях, что составляет 57,8% соответственно (в январе-июне </w:t>
      </w:r>
      <w:r w:rsidRPr="0080737A">
        <w:rPr>
          <w:rFonts w:ascii="Times New Roman" w:eastAsia="Calibri" w:hAnsi="Times New Roman"/>
          <w:color w:val="000000"/>
          <w:sz w:val="24"/>
          <w:szCs w:val="24"/>
        </w:rPr>
        <w:t xml:space="preserve">2015 года </w:t>
      </w:r>
      <w:r w:rsidRPr="0080737A">
        <w:rPr>
          <w:rFonts w:ascii="Times New Roman" w:eastAsia="Calibri" w:hAnsi="Times New Roman"/>
          <w:sz w:val="24"/>
          <w:szCs w:val="24"/>
        </w:rPr>
        <w:t>- 60 предприятий).</w:t>
      </w:r>
    </w:p>
    <w:p w:rsidR="00B202D2" w:rsidRPr="0080737A" w:rsidRDefault="00B202D2" w:rsidP="00B202D2">
      <w:pPr>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 xml:space="preserve">К выпуску промышленной продукции с начала года не приступило                                   7промышленных предприятий (в </w:t>
      </w:r>
      <w:r w:rsidRPr="0080737A">
        <w:rPr>
          <w:rFonts w:ascii="Times New Roman" w:eastAsia="Calibri" w:hAnsi="Times New Roman"/>
          <w:sz w:val="24"/>
          <w:szCs w:val="24"/>
          <w:lang w:val="en-US"/>
        </w:rPr>
        <w:t>I</w:t>
      </w:r>
      <w:r w:rsidRPr="0080737A">
        <w:rPr>
          <w:rFonts w:ascii="Times New Roman" w:eastAsia="Calibri" w:hAnsi="Times New Roman"/>
          <w:sz w:val="24"/>
          <w:szCs w:val="24"/>
        </w:rPr>
        <w:t xml:space="preserve"> полугодии </w:t>
      </w:r>
      <w:r w:rsidRPr="0080737A">
        <w:rPr>
          <w:rFonts w:ascii="Times New Roman" w:eastAsia="Calibri" w:hAnsi="Times New Roman"/>
          <w:color w:val="000000"/>
          <w:sz w:val="24"/>
          <w:szCs w:val="24"/>
        </w:rPr>
        <w:t xml:space="preserve">2015 года </w:t>
      </w:r>
      <w:r w:rsidRPr="0080737A">
        <w:rPr>
          <w:rFonts w:ascii="Times New Roman" w:eastAsia="Calibri" w:hAnsi="Times New Roman"/>
          <w:sz w:val="24"/>
          <w:szCs w:val="24"/>
        </w:rPr>
        <w:t>- 6 предприятий):</w:t>
      </w:r>
    </w:p>
    <w:p w:rsidR="00B202D2" w:rsidRPr="0080737A" w:rsidRDefault="00B202D2" w:rsidP="00B202D2">
      <w:pPr>
        <w:tabs>
          <w:tab w:val="left" w:pos="1080"/>
        </w:tabs>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w:t>
      </w:r>
      <w:r w:rsidRPr="0080737A">
        <w:rPr>
          <w:rFonts w:ascii="Times New Roman" w:eastAsia="Calibri" w:hAnsi="Times New Roman"/>
          <w:sz w:val="24"/>
          <w:szCs w:val="24"/>
        </w:rPr>
        <w:tab/>
        <w:t>ГУП «</w:t>
      </w:r>
      <w:proofErr w:type="spellStart"/>
      <w:r w:rsidRPr="0080737A">
        <w:rPr>
          <w:rFonts w:ascii="Times New Roman" w:eastAsia="Calibri" w:hAnsi="Times New Roman"/>
          <w:sz w:val="24"/>
          <w:szCs w:val="24"/>
        </w:rPr>
        <w:t>Дубоссарское</w:t>
      </w:r>
      <w:proofErr w:type="spellEnd"/>
      <w:r w:rsidRPr="0080737A">
        <w:rPr>
          <w:rFonts w:ascii="Times New Roman" w:eastAsia="Calibri" w:hAnsi="Times New Roman"/>
          <w:sz w:val="24"/>
          <w:szCs w:val="24"/>
        </w:rPr>
        <w:t xml:space="preserve"> хлебоприемное предприятие», МУП «Автосервис и торговля» г</w:t>
      </w:r>
      <w:proofErr w:type="gramStart"/>
      <w:r w:rsidRPr="0080737A">
        <w:rPr>
          <w:rFonts w:ascii="Times New Roman" w:eastAsia="Calibri" w:hAnsi="Times New Roman"/>
          <w:sz w:val="24"/>
          <w:szCs w:val="24"/>
        </w:rPr>
        <w:t>.Д</w:t>
      </w:r>
      <w:proofErr w:type="gramEnd"/>
      <w:r w:rsidRPr="0080737A">
        <w:rPr>
          <w:rFonts w:ascii="Times New Roman" w:eastAsia="Calibri" w:hAnsi="Times New Roman"/>
          <w:sz w:val="24"/>
          <w:szCs w:val="24"/>
        </w:rPr>
        <w:t>убоссары, МУП «</w:t>
      </w:r>
      <w:proofErr w:type="spellStart"/>
      <w:r w:rsidRPr="0080737A">
        <w:rPr>
          <w:rFonts w:ascii="Times New Roman" w:eastAsia="Calibri" w:hAnsi="Times New Roman"/>
          <w:sz w:val="24"/>
          <w:szCs w:val="24"/>
        </w:rPr>
        <w:t>Ветбиофарм</w:t>
      </w:r>
      <w:proofErr w:type="spellEnd"/>
      <w:r w:rsidRPr="0080737A">
        <w:rPr>
          <w:rFonts w:ascii="Times New Roman" w:eastAsia="Calibri" w:hAnsi="Times New Roman"/>
          <w:sz w:val="24"/>
          <w:szCs w:val="24"/>
        </w:rPr>
        <w:t>» и ООО «Торговый дом – Электроаппаратный» - находятся в процессе ликвидации;</w:t>
      </w:r>
    </w:p>
    <w:p w:rsidR="00B202D2" w:rsidRPr="0080737A" w:rsidRDefault="00B202D2" w:rsidP="00B202D2">
      <w:pPr>
        <w:tabs>
          <w:tab w:val="left" w:pos="1080"/>
        </w:tabs>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w:t>
      </w:r>
      <w:r w:rsidRPr="0080737A">
        <w:rPr>
          <w:rFonts w:ascii="Times New Roman" w:eastAsia="Calibri" w:hAnsi="Times New Roman"/>
          <w:sz w:val="24"/>
          <w:szCs w:val="24"/>
        </w:rPr>
        <w:tab/>
        <w:t>ООО «</w:t>
      </w:r>
      <w:proofErr w:type="gramStart"/>
      <w:r w:rsidRPr="0080737A">
        <w:rPr>
          <w:rFonts w:ascii="Times New Roman" w:eastAsia="Calibri" w:hAnsi="Times New Roman"/>
          <w:sz w:val="24"/>
          <w:szCs w:val="24"/>
        </w:rPr>
        <w:t>С</w:t>
      </w:r>
      <w:proofErr w:type="gramEnd"/>
      <w:r w:rsidRPr="0080737A">
        <w:rPr>
          <w:rFonts w:ascii="Times New Roman" w:eastAsia="Calibri" w:hAnsi="Times New Roman"/>
          <w:sz w:val="24"/>
          <w:szCs w:val="24"/>
        </w:rPr>
        <w:t>/</w:t>
      </w:r>
      <w:proofErr w:type="spellStart"/>
      <w:proofErr w:type="gramStart"/>
      <w:r w:rsidRPr="0080737A">
        <w:rPr>
          <w:rFonts w:ascii="Times New Roman" w:eastAsia="Calibri" w:hAnsi="Times New Roman"/>
          <w:sz w:val="24"/>
          <w:szCs w:val="24"/>
        </w:rPr>
        <w:t>х</w:t>
      </w:r>
      <w:proofErr w:type="spellEnd"/>
      <w:proofErr w:type="gramEnd"/>
      <w:r w:rsidRPr="0080737A">
        <w:rPr>
          <w:rFonts w:ascii="Times New Roman" w:eastAsia="Calibri" w:hAnsi="Times New Roman"/>
          <w:sz w:val="24"/>
          <w:szCs w:val="24"/>
        </w:rPr>
        <w:t xml:space="preserve"> фирма </w:t>
      </w:r>
      <w:proofErr w:type="spellStart"/>
      <w:r w:rsidRPr="0080737A">
        <w:rPr>
          <w:rFonts w:ascii="Times New Roman" w:eastAsia="Calibri" w:hAnsi="Times New Roman"/>
          <w:sz w:val="24"/>
          <w:szCs w:val="24"/>
        </w:rPr>
        <w:t>Рустас</w:t>
      </w:r>
      <w:proofErr w:type="spellEnd"/>
      <w:r w:rsidRPr="0080737A">
        <w:rPr>
          <w:rFonts w:ascii="Times New Roman" w:eastAsia="Calibri" w:hAnsi="Times New Roman"/>
          <w:sz w:val="24"/>
          <w:szCs w:val="24"/>
        </w:rPr>
        <w:t>» - перешла полностью на производство сельскохозяйственной продукции;</w:t>
      </w:r>
    </w:p>
    <w:p w:rsidR="00B202D2" w:rsidRPr="0080737A" w:rsidRDefault="00B202D2" w:rsidP="00B202D2">
      <w:pPr>
        <w:tabs>
          <w:tab w:val="left" w:pos="1080"/>
        </w:tabs>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w:t>
      </w:r>
      <w:r w:rsidRPr="0080737A">
        <w:rPr>
          <w:rFonts w:ascii="Times New Roman" w:eastAsia="Calibri" w:hAnsi="Times New Roman"/>
          <w:sz w:val="24"/>
          <w:szCs w:val="24"/>
        </w:rPr>
        <w:tab/>
      </w:r>
      <w:r w:rsidRPr="0080737A">
        <w:rPr>
          <w:rFonts w:ascii="Times New Roman" w:eastAsia="Calibri" w:hAnsi="Times New Roman"/>
          <w:sz w:val="24"/>
          <w:szCs w:val="24"/>
          <w:lang w:val="en-US"/>
        </w:rPr>
        <w:t>OOO</w:t>
      </w:r>
      <w:r w:rsidRPr="0080737A">
        <w:rPr>
          <w:rFonts w:ascii="Times New Roman" w:eastAsia="Calibri" w:hAnsi="Times New Roman"/>
          <w:sz w:val="24"/>
          <w:szCs w:val="24"/>
        </w:rPr>
        <w:t xml:space="preserve"> «Мебельная фабрика </w:t>
      </w:r>
      <w:proofErr w:type="spellStart"/>
      <w:r w:rsidRPr="0080737A">
        <w:rPr>
          <w:rFonts w:ascii="Times New Roman" w:eastAsia="Calibri" w:hAnsi="Times New Roman"/>
          <w:sz w:val="24"/>
          <w:szCs w:val="24"/>
        </w:rPr>
        <w:t>Евростиль</w:t>
      </w:r>
      <w:proofErr w:type="spellEnd"/>
      <w:r w:rsidRPr="0080737A">
        <w:rPr>
          <w:rFonts w:ascii="Times New Roman" w:eastAsia="Calibri" w:hAnsi="Times New Roman"/>
          <w:sz w:val="24"/>
          <w:szCs w:val="24"/>
        </w:rPr>
        <w:t xml:space="preserve">» - в условиях конкуренции на отраслевом рынке, вызвавшей трудности с реализацией продукции, не приступала к производству продукции в целях </w:t>
      </w:r>
      <w:proofErr w:type="spellStart"/>
      <w:r w:rsidRPr="0080737A">
        <w:rPr>
          <w:rFonts w:ascii="Times New Roman" w:eastAsia="Calibri" w:hAnsi="Times New Roman"/>
          <w:sz w:val="24"/>
          <w:szCs w:val="24"/>
        </w:rPr>
        <w:t>незатоваривания</w:t>
      </w:r>
      <w:proofErr w:type="spellEnd"/>
      <w:r w:rsidRPr="0080737A">
        <w:rPr>
          <w:rFonts w:ascii="Times New Roman" w:eastAsia="Calibri" w:hAnsi="Times New Roman"/>
          <w:sz w:val="24"/>
          <w:szCs w:val="24"/>
        </w:rPr>
        <w:t xml:space="preserve"> складов;</w:t>
      </w:r>
    </w:p>
    <w:p w:rsidR="00B202D2" w:rsidRPr="0080737A" w:rsidRDefault="00B202D2" w:rsidP="00B202D2">
      <w:pPr>
        <w:tabs>
          <w:tab w:val="left" w:pos="1080"/>
        </w:tabs>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w:t>
      </w:r>
      <w:r w:rsidRPr="0080737A">
        <w:rPr>
          <w:rFonts w:ascii="Times New Roman" w:eastAsia="Calibri" w:hAnsi="Times New Roman"/>
          <w:sz w:val="24"/>
          <w:szCs w:val="24"/>
        </w:rPr>
        <w:tab/>
        <w:t>ОАО «</w:t>
      </w:r>
      <w:proofErr w:type="spellStart"/>
      <w:r w:rsidRPr="0080737A">
        <w:rPr>
          <w:rFonts w:ascii="Times New Roman" w:eastAsia="Calibri" w:hAnsi="Times New Roman"/>
          <w:sz w:val="24"/>
          <w:szCs w:val="24"/>
        </w:rPr>
        <w:t>Рыбницкий</w:t>
      </w:r>
      <w:proofErr w:type="spellEnd"/>
      <w:r w:rsidRPr="0080737A">
        <w:rPr>
          <w:rFonts w:ascii="Times New Roman" w:eastAsia="Calibri" w:hAnsi="Times New Roman"/>
          <w:sz w:val="24"/>
          <w:szCs w:val="24"/>
        </w:rPr>
        <w:t xml:space="preserve"> молочный комбинат» - не приступал к производству промышленной продукции ввиду </w:t>
      </w:r>
      <w:r w:rsidRPr="0080737A">
        <w:rPr>
          <w:rFonts w:ascii="Times New Roman" w:eastAsia="Calibri" w:hAnsi="Times New Roman"/>
          <w:color w:val="666666"/>
          <w:sz w:val="24"/>
          <w:szCs w:val="24"/>
          <w:shd w:val="clear" w:color="auto" w:fill="FFFFFF"/>
        </w:rPr>
        <w:t>отсутствия сырья и рынков сбыта</w:t>
      </w:r>
      <w:r w:rsidRPr="0080737A">
        <w:rPr>
          <w:rFonts w:ascii="Times New Roman" w:eastAsia="Calibri" w:hAnsi="Times New Roman"/>
          <w:sz w:val="24"/>
          <w:szCs w:val="24"/>
        </w:rPr>
        <w:t>.</w:t>
      </w:r>
    </w:p>
    <w:p w:rsidR="00B202D2" w:rsidRPr="0080737A" w:rsidRDefault="00B202D2" w:rsidP="00B202D2">
      <w:pPr>
        <w:spacing w:after="0" w:line="240" w:lineRule="auto"/>
        <w:ind w:firstLine="709"/>
        <w:jc w:val="both"/>
        <w:rPr>
          <w:rFonts w:ascii="Times New Roman" w:hAnsi="Times New Roman"/>
          <w:sz w:val="24"/>
          <w:szCs w:val="24"/>
          <w:lang w:eastAsia="en-US"/>
        </w:rPr>
      </w:pPr>
      <w:r w:rsidRPr="0080737A">
        <w:rPr>
          <w:rFonts w:ascii="Times New Roman" w:hAnsi="Times New Roman"/>
          <w:sz w:val="24"/>
          <w:szCs w:val="24"/>
          <w:lang w:eastAsia="en-US"/>
        </w:rPr>
        <w:t>В январе-июне 2016 года в разрезе отраслей ситуация складывалась следующим образом:</w:t>
      </w:r>
    </w:p>
    <w:p w:rsidR="00B202D2" w:rsidRPr="0080737A" w:rsidRDefault="00B202D2" w:rsidP="00B202D2">
      <w:pPr>
        <w:spacing w:after="0" w:line="240" w:lineRule="auto"/>
        <w:ind w:firstLine="709"/>
        <w:contextualSpacing/>
        <w:jc w:val="both"/>
        <w:rPr>
          <w:rFonts w:ascii="Times New Roman" w:hAnsi="Times New Roman"/>
          <w:b/>
          <w:sz w:val="24"/>
          <w:szCs w:val="24"/>
        </w:rPr>
      </w:pPr>
      <w:proofErr w:type="gramStart"/>
      <w:r w:rsidRPr="0080737A">
        <w:rPr>
          <w:rFonts w:ascii="Times New Roman" w:hAnsi="Times New Roman"/>
          <w:sz w:val="24"/>
          <w:szCs w:val="24"/>
        </w:rPr>
        <w:t xml:space="preserve">В </w:t>
      </w:r>
      <w:r w:rsidRPr="0080737A">
        <w:rPr>
          <w:rFonts w:ascii="Times New Roman" w:hAnsi="Times New Roman"/>
          <w:b/>
          <w:sz w:val="24"/>
          <w:szCs w:val="24"/>
        </w:rPr>
        <w:t>электроэнергетическом комплексе</w:t>
      </w:r>
      <w:r w:rsidRPr="0080737A">
        <w:rPr>
          <w:rFonts w:ascii="Times New Roman" w:hAnsi="Times New Roman"/>
          <w:sz w:val="24"/>
          <w:szCs w:val="24"/>
        </w:rPr>
        <w:t xml:space="preserve"> республики в результате снижения потребности в электроэнергии со стороны ключевых потребителей, как на внешнем, так и на внутреннем рынке в январе-июне 2016 года отмечается снижение выработки электроэнергии в натуральном выражении в целом по отрасли на 116 637 тыс. кВт/ч </w:t>
      </w:r>
      <w:r w:rsidRPr="0080737A">
        <w:rPr>
          <w:rFonts w:ascii="Times New Roman" w:hAnsi="Times New Roman"/>
          <w:sz w:val="24"/>
          <w:szCs w:val="24"/>
        </w:rPr>
        <w:br/>
        <w:t>(«-»4,8%) по сравнению с соответствующим периодом 2015 года и отпуска тепловой энергии на 3 тыс. Гкал («-»0,4</w:t>
      </w:r>
      <w:proofErr w:type="gramEnd"/>
      <w:r w:rsidRPr="0080737A">
        <w:rPr>
          <w:rFonts w:ascii="Times New Roman" w:hAnsi="Times New Roman"/>
          <w:sz w:val="24"/>
          <w:szCs w:val="24"/>
        </w:rPr>
        <w:t>%), что обусловило снижение товарного выпуска в электроэнергетическом комплексе в стоимостном выражении в сопоставимой оценке на 3,7%. При этом, в июне 2016 года на фоне роста объема производства в мае 2016 года («+»3,2%), отмечено снижение производственных показателей по отношению к маю 2016 года на 1,0%.</w:t>
      </w:r>
    </w:p>
    <w:p w:rsidR="00B202D2" w:rsidRPr="0080737A" w:rsidRDefault="00B202D2" w:rsidP="00B202D2">
      <w:pPr>
        <w:shd w:val="clear" w:color="auto" w:fill="FFFFFF"/>
        <w:spacing w:after="0" w:line="240" w:lineRule="auto"/>
        <w:jc w:val="both"/>
        <w:rPr>
          <w:rFonts w:ascii="Times New Roman" w:eastAsia="Calibri" w:hAnsi="Times New Roman"/>
          <w:color w:val="000000"/>
          <w:sz w:val="24"/>
          <w:szCs w:val="24"/>
        </w:rPr>
      </w:pPr>
      <w:r w:rsidRPr="0080737A">
        <w:rPr>
          <w:rFonts w:ascii="Times New Roman" w:eastAsia="Calibri" w:hAnsi="Times New Roman"/>
          <w:noProof/>
          <w:color w:val="000000"/>
          <w:sz w:val="24"/>
          <w:szCs w:val="24"/>
        </w:rPr>
        <w:drawing>
          <wp:inline distT="0" distB="0" distL="0" distR="0">
            <wp:extent cx="6124575" cy="2171700"/>
            <wp:effectExtent l="0" t="0" r="0" b="0"/>
            <wp:docPr id="11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202D2" w:rsidRPr="0080737A" w:rsidRDefault="00B202D2" w:rsidP="00B202D2">
      <w:pPr>
        <w:spacing w:after="0" w:line="240" w:lineRule="auto"/>
        <w:jc w:val="both"/>
        <w:rPr>
          <w:rFonts w:ascii="Times New Roman" w:hAnsi="Times New Roman"/>
          <w:sz w:val="24"/>
          <w:szCs w:val="24"/>
        </w:rPr>
      </w:pPr>
    </w:p>
    <w:p w:rsidR="00B202D2" w:rsidRPr="0080737A" w:rsidRDefault="00B202D2" w:rsidP="00B202D2">
      <w:pPr>
        <w:spacing w:after="0" w:line="240" w:lineRule="auto"/>
        <w:ind w:firstLine="709"/>
        <w:jc w:val="both"/>
        <w:rPr>
          <w:rFonts w:ascii="Times New Roman" w:eastAsia="Calibri" w:hAnsi="Times New Roman"/>
          <w:sz w:val="24"/>
          <w:szCs w:val="24"/>
        </w:rPr>
      </w:pPr>
      <w:r w:rsidRPr="0080737A">
        <w:rPr>
          <w:rFonts w:ascii="Times New Roman" w:hAnsi="Times New Roman"/>
          <w:sz w:val="24"/>
          <w:szCs w:val="24"/>
        </w:rPr>
        <w:t xml:space="preserve">В </w:t>
      </w:r>
      <w:r w:rsidRPr="0080737A">
        <w:rPr>
          <w:rFonts w:ascii="Times New Roman" w:hAnsi="Times New Roman"/>
          <w:b/>
          <w:sz w:val="24"/>
          <w:szCs w:val="24"/>
        </w:rPr>
        <w:t xml:space="preserve">черной металлургии </w:t>
      </w:r>
      <w:r w:rsidRPr="0080737A">
        <w:rPr>
          <w:rFonts w:ascii="Times New Roman" w:hAnsi="Times New Roman"/>
          <w:sz w:val="24"/>
          <w:szCs w:val="24"/>
        </w:rPr>
        <w:t>в</w:t>
      </w:r>
      <w:r w:rsidRPr="0080737A">
        <w:rPr>
          <w:rFonts w:ascii="Times New Roman" w:eastAsia="Calibri" w:hAnsi="Times New Roman"/>
          <w:sz w:val="24"/>
          <w:szCs w:val="24"/>
        </w:rPr>
        <w:t xml:space="preserve"> стоимостном выражении объем промышленного производства в рассматриваемом периоде, учитывая значительное падение отпускных </w:t>
      </w:r>
      <w:proofErr w:type="gramStart"/>
      <w:r w:rsidRPr="0080737A">
        <w:rPr>
          <w:rFonts w:ascii="Times New Roman" w:eastAsia="Calibri" w:hAnsi="Times New Roman"/>
          <w:sz w:val="24"/>
          <w:szCs w:val="24"/>
        </w:rPr>
        <w:t>цен</w:t>
      </w:r>
      <w:proofErr w:type="gramEnd"/>
      <w:r w:rsidRPr="0080737A">
        <w:rPr>
          <w:rFonts w:ascii="Times New Roman" w:eastAsia="Calibri" w:hAnsi="Times New Roman"/>
          <w:sz w:val="24"/>
          <w:szCs w:val="24"/>
        </w:rPr>
        <w:t xml:space="preserve"> сократился на 19,7% до 526,2 млн. руб. Нестабильная работа ОАО «Молдавский металлургический завод», на фоне неопределенности ситуации на рынке черных металлов, обусловила падение объема промышленного производства отрасли в июне               2016 года по отношению к аналогичному периоду 2015 года на 62,1%, а по отношению к маю текущего года снижение товарного выпуска составило 35,6%.</w:t>
      </w:r>
    </w:p>
    <w:p w:rsidR="00B202D2" w:rsidRPr="0080737A" w:rsidRDefault="00B202D2" w:rsidP="00B202D2">
      <w:pPr>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 xml:space="preserve">В январе-июне </w:t>
      </w:r>
      <w:r w:rsidRPr="0080737A">
        <w:rPr>
          <w:rFonts w:ascii="Times New Roman" w:hAnsi="Times New Roman"/>
          <w:sz w:val="24"/>
          <w:szCs w:val="24"/>
        </w:rPr>
        <w:t xml:space="preserve">текущего года </w:t>
      </w:r>
      <w:r w:rsidRPr="0080737A">
        <w:rPr>
          <w:rFonts w:ascii="Times New Roman" w:eastAsia="Calibri" w:hAnsi="Times New Roman"/>
          <w:sz w:val="24"/>
          <w:szCs w:val="24"/>
        </w:rPr>
        <w:t>в черной металлургии отмечено увеличение производства проката черных металлов на 8,5%, проволоки стальной - на 31,9% и труб стальных на – 46,0%;</w:t>
      </w:r>
    </w:p>
    <w:p w:rsidR="00B202D2" w:rsidRPr="0080737A" w:rsidRDefault="00B202D2" w:rsidP="00B202D2">
      <w:pPr>
        <w:spacing w:after="0" w:line="240" w:lineRule="auto"/>
        <w:ind w:firstLine="709"/>
        <w:jc w:val="both"/>
        <w:rPr>
          <w:rFonts w:ascii="Times New Roman" w:eastAsia="Calibri" w:hAnsi="Times New Roman"/>
          <w:sz w:val="24"/>
          <w:szCs w:val="24"/>
        </w:rPr>
      </w:pPr>
      <w:proofErr w:type="gramStart"/>
      <w:r w:rsidRPr="0080737A">
        <w:rPr>
          <w:rFonts w:ascii="Times New Roman" w:eastAsia="Calibri" w:hAnsi="Times New Roman"/>
          <w:b/>
          <w:sz w:val="24"/>
          <w:szCs w:val="24"/>
        </w:rPr>
        <w:t xml:space="preserve">В химической промышленности </w:t>
      </w:r>
      <w:r w:rsidRPr="0080737A">
        <w:rPr>
          <w:rFonts w:ascii="Times New Roman" w:eastAsia="Calibri" w:hAnsi="Times New Roman"/>
          <w:sz w:val="24"/>
          <w:szCs w:val="24"/>
        </w:rPr>
        <w:t xml:space="preserve">в </w:t>
      </w:r>
      <w:r w:rsidRPr="0080737A">
        <w:rPr>
          <w:rFonts w:ascii="Times New Roman" w:eastAsia="Calibri" w:hAnsi="Times New Roman"/>
          <w:sz w:val="24"/>
          <w:szCs w:val="24"/>
          <w:lang w:val="en-US"/>
        </w:rPr>
        <w:t>I</w:t>
      </w:r>
      <w:r w:rsidRPr="0080737A">
        <w:rPr>
          <w:rFonts w:ascii="Times New Roman" w:eastAsia="Calibri" w:hAnsi="Times New Roman"/>
          <w:sz w:val="24"/>
          <w:szCs w:val="24"/>
        </w:rPr>
        <w:t xml:space="preserve"> полугодии 2016 года увеличение объемов производства крупнейшего предприятия отрасли ЗАО «Завод «</w:t>
      </w:r>
      <w:proofErr w:type="spellStart"/>
      <w:r w:rsidRPr="0080737A">
        <w:rPr>
          <w:rFonts w:ascii="Times New Roman" w:eastAsia="Calibri" w:hAnsi="Times New Roman"/>
          <w:sz w:val="24"/>
          <w:szCs w:val="24"/>
        </w:rPr>
        <w:t>Молдавизолит</w:t>
      </w:r>
      <w:proofErr w:type="spellEnd"/>
      <w:r w:rsidRPr="0080737A">
        <w:rPr>
          <w:rFonts w:ascii="Times New Roman" w:eastAsia="Calibri" w:hAnsi="Times New Roman"/>
          <w:sz w:val="24"/>
          <w:szCs w:val="24"/>
        </w:rPr>
        <w:t>» на 17,1%, предопределило расширение товарного выпуска в целом по отрасли на 16,8%, что в значительной степени обусловлено</w:t>
      </w:r>
      <w:r w:rsidRPr="0080737A">
        <w:rPr>
          <w:rFonts w:ascii="Times New Roman" w:hAnsi="Times New Roman"/>
          <w:sz w:val="24"/>
          <w:szCs w:val="24"/>
        </w:rPr>
        <w:t xml:space="preserve"> увеличением объема производства отрасли в июне </w:t>
      </w:r>
      <w:r w:rsidRPr="0080737A">
        <w:rPr>
          <w:rFonts w:ascii="Times New Roman" w:hAnsi="Times New Roman"/>
          <w:sz w:val="24"/>
          <w:szCs w:val="24"/>
        </w:rPr>
        <w:lastRenderedPageBreak/>
        <w:t xml:space="preserve">2016 года по отношению к июню 2015 года (в 3,4 р.), на фоне оказания в рассматриваемом периоде государственной поддержки </w:t>
      </w:r>
      <w:r w:rsidRPr="0080737A">
        <w:rPr>
          <w:rFonts w:ascii="Times New Roman" w:eastAsia="Calibri" w:hAnsi="Times New Roman"/>
          <w:sz w:val="24"/>
          <w:szCs w:val="24"/>
        </w:rPr>
        <w:t>ЗАО</w:t>
      </w:r>
      <w:proofErr w:type="gramEnd"/>
      <w:r w:rsidRPr="0080737A">
        <w:rPr>
          <w:rFonts w:ascii="Times New Roman" w:eastAsia="Calibri" w:hAnsi="Times New Roman"/>
          <w:sz w:val="24"/>
          <w:szCs w:val="24"/>
        </w:rPr>
        <w:t xml:space="preserve"> «Завод «</w:t>
      </w:r>
      <w:proofErr w:type="spellStart"/>
      <w:r w:rsidRPr="0080737A">
        <w:rPr>
          <w:rFonts w:ascii="Times New Roman" w:eastAsia="Calibri" w:hAnsi="Times New Roman"/>
          <w:sz w:val="24"/>
          <w:szCs w:val="24"/>
        </w:rPr>
        <w:t>Молдавизолит</w:t>
      </w:r>
      <w:proofErr w:type="spellEnd"/>
      <w:r w:rsidRPr="0080737A">
        <w:rPr>
          <w:rFonts w:ascii="Times New Roman" w:eastAsia="Calibri" w:hAnsi="Times New Roman"/>
          <w:sz w:val="24"/>
          <w:szCs w:val="24"/>
        </w:rPr>
        <w:t>»</w:t>
      </w:r>
      <w:r w:rsidRPr="0080737A">
        <w:rPr>
          <w:rFonts w:ascii="Times New Roman" w:hAnsi="Times New Roman"/>
          <w:sz w:val="24"/>
          <w:szCs w:val="24"/>
        </w:rPr>
        <w:t xml:space="preserve"> в виде льготных тарифов на энергоносители и льгот по налогу на доходы.</w:t>
      </w:r>
    </w:p>
    <w:p w:rsidR="00B202D2" w:rsidRPr="0080737A" w:rsidRDefault="00B202D2" w:rsidP="00B202D2">
      <w:pPr>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В натуральном выражении наблюдается увеличение производства лаков в 5,2 р., синтетических смол и пластмасс на 39,8%, пленки полимерной на 4,3%;</w:t>
      </w:r>
    </w:p>
    <w:p w:rsidR="00B202D2" w:rsidRPr="0080737A" w:rsidRDefault="00B202D2" w:rsidP="00B202D2">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Предприятия </w:t>
      </w:r>
      <w:r w:rsidRPr="0080737A">
        <w:rPr>
          <w:rFonts w:ascii="Times New Roman" w:hAnsi="Times New Roman"/>
          <w:b/>
          <w:sz w:val="24"/>
          <w:szCs w:val="24"/>
        </w:rPr>
        <w:t>машиностроения и металлообработки</w:t>
      </w:r>
      <w:r w:rsidRPr="0080737A">
        <w:rPr>
          <w:rFonts w:ascii="Times New Roman" w:hAnsi="Times New Roman"/>
          <w:sz w:val="24"/>
          <w:szCs w:val="24"/>
        </w:rPr>
        <w:t xml:space="preserve"> по итогам января-июня              2016 года продолжали демонстрировать снижение объема производства («-»8,7%) по отношению к базовым параметрам 2015 года. Данная динамика показателя вызвана снижением объема производства на </w:t>
      </w:r>
      <w:proofErr w:type="spellStart"/>
      <w:r w:rsidRPr="0080737A">
        <w:rPr>
          <w:rFonts w:ascii="Times New Roman" w:hAnsi="Times New Roman"/>
          <w:sz w:val="24"/>
          <w:szCs w:val="24"/>
        </w:rPr>
        <w:t>ф-л</w:t>
      </w:r>
      <w:proofErr w:type="spellEnd"/>
      <w:r w:rsidRPr="0080737A">
        <w:rPr>
          <w:rFonts w:ascii="Times New Roman" w:hAnsi="Times New Roman"/>
          <w:sz w:val="24"/>
          <w:szCs w:val="24"/>
        </w:rPr>
        <w:t xml:space="preserve"> «Завод «Прибор» («-»5,3%), ЗАО «Российское предприятие «БМЗ» («-»5,7%), ОАО «</w:t>
      </w:r>
      <w:proofErr w:type="spellStart"/>
      <w:r w:rsidRPr="0080737A">
        <w:rPr>
          <w:rFonts w:ascii="Times New Roman" w:hAnsi="Times New Roman"/>
          <w:sz w:val="24"/>
          <w:szCs w:val="24"/>
        </w:rPr>
        <w:t>Литмаш</w:t>
      </w:r>
      <w:proofErr w:type="spellEnd"/>
      <w:r w:rsidRPr="0080737A">
        <w:rPr>
          <w:rFonts w:ascii="Times New Roman" w:hAnsi="Times New Roman"/>
          <w:sz w:val="24"/>
          <w:szCs w:val="24"/>
        </w:rPr>
        <w:t>» («-»44,0%),</w:t>
      </w:r>
      <w:r w:rsidRPr="0080737A">
        <w:rPr>
          <w:rFonts w:ascii="Times New Roman" w:eastAsia="Calibri" w:hAnsi="Times New Roman"/>
          <w:sz w:val="24"/>
          <w:szCs w:val="24"/>
        </w:rPr>
        <w:t xml:space="preserve"> в целом указанные три предприятия обеспечили свыше 95,6% общеотраслевого объема производства</w:t>
      </w:r>
      <w:r w:rsidRPr="0080737A">
        <w:rPr>
          <w:rFonts w:ascii="Times New Roman" w:hAnsi="Times New Roman"/>
          <w:sz w:val="24"/>
          <w:szCs w:val="24"/>
        </w:rPr>
        <w:t>. При этом</w:t>
      </w:r>
      <w:proofErr w:type="gramStart"/>
      <w:r w:rsidRPr="0080737A">
        <w:rPr>
          <w:rFonts w:ascii="Times New Roman" w:hAnsi="Times New Roman"/>
          <w:sz w:val="24"/>
          <w:szCs w:val="24"/>
        </w:rPr>
        <w:t>,</w:t>
      </w:r>
      <w:proofErr w:type="gramEnd"/>
      <w:r w:rsidRPr="0080737A">
        <w:rPr>
          <w:rFonts w:ascii="Times New Roman" w:hAnsi="Times New Roman"/>
          <w:sz w:val="24"/>
          <w:szCs w:val="24"/>
        </w:rPr>
        <w:t xml:space="preserve"> в июне 2016 года по отношению к маю текущего года товарный выпуск в целом по отрасли, на фоне поиска новых рынков сбыта составил 105,3%;</w:t>
      </w:r>
    </w:p>
    <w:p w:rsidR="00B202D2" w:rsidRPr="0080737A" w:rsidRDefault="00B202D2" w:rsidP="00B202D2">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В</w:t>
      </w:r>
      <w:r w:rsidRPr="0080737A">
        <w:rPr>
          <w:rFonts w:ascii="Times New Roman" w:hAnsi="Times New Roman"/>
          <w:b/>
          <w:sz w:val="24"/>
          <w:szCs w:val="24"/>
        </w:rPr>
        <w:t xml:space="preserve"> электротехнической промышленности</w:t>
      </w:r>
      <w:r w:rsidRPr="0080737A">
        <w:rPr>
          <w:rFonts w:ascii="Times New Roman" w:hAnsi="Times New Roman"/>
          <w:sz w:val="24"/>
          <w:szCs w:val="24"/>
        </w:rPr>
        <w:t xml:space="preserve"> продолжающееся освоение российского рынка обеспечило прирост товарного выпуска на НП ЗАО «</w:t>
      </w:r>
      <w:proofErr w:type="spellStart"/>
      <w:r w:rsidRPr="0080737A">
        <w:rPr>
          <w:rFonts w:ascii="Times New Roman" w:hAnsi="Times New Roman"/>
          <w:sz w:val="24"/>
          <w:szCs w:val="24"/>
        </w:rPr>
        <w:t>Электромаш</w:t>
      </w:r>
      <w:proofErr w:type="spellEnd"/>
      <w:r w:rsidRPr="0080737A">
        <w:rPr>
          <w:rFonts w:ascii="Times New Roman" w:hAnsi="Times New Roman"/>
          <w:sz w:val="24"/>
          <w:szCs w:val="24"/>
        </w:rPr>
        <w:t>» (68,0% отраслевого выпуска) на 9,5% по отношению к аналогичному периоду 2015 года, однако в совокупности со снижением объема производства на 51,8%, на втором ведущем предприятии отрасли ЗАО «</w:t>
      </w:r>
      <w:proofErr w:type="spellStart"/>
      <w:r w:rsidRPr="0080737A">
        <w:rPr>
          <w:rFonts w:ascii="Times New Roman" w:hAnsi="Times New Roman"/>
          <w:sz w:val="24"/>
          <w:szCs w:val="24"/>
        </w:rPr>
        <w:t>Молдавкабель</w:t>
      </w:r>
      <w:proofErr w:type="spellEnd"/>
      <w:r w:rsidRPr="0080737A">
        <w:rPr>
          <w:rFonts w:ascii="Times New Roman" w:hAnsi="Times New Roman"/>
          <w:sz w:val="24"/>
          <w:szCs w:val="24"/>
        </w:rPr>
        <w:t>» (27,4% отраслевого выпуска), по итогам января-июня 2016 года по отрасли в целом отмечен понижающий вектор отраслевого выпуска</w:t>
      </w:r>
      <w:proofErr w:type="gramEnd"/>
      <w:r w:rsidRPr="0080737A">
        <w:rPr>
          <w:rFonts w:ascii="Times New Roman" w:hAnsi="Times New Roman"/>
          <w:sz w:val="24"/>
          <w:szCs w:val="24"/>
        </w:rPr>
        <w:t xml:space="preserve"> («-»18,6%). При этом</w:t>
      </w:r>
      <w:proofErr w:type="gramStart"/>
      <w:r w:rsidRPr="0080737A">
        <w:rPr>
          <w:rFonts w:ascii="Times New Roman" w:hAnsi="Times New Roman"/>
          <w:sz w:val="24"/>
          <w:szCs w:val="24"/>
        </w:rPr>
        <w:t>,</w:t>
      </w:r>
      <w:proofErr w:type="gramEnd"/>
      <w:r w:rsidRPr="0080737A">
        <w:rPr>
          <w:rFonts w:ascii="Times New Roman" w:hAnsi="Times New Roman"/>
          <w:sz w:val="24"/>
          <w:szCs w:val="24"/>
        </w:rPr>
        <w:t xml:space="preserve"> если рассматривать показатели отрасли в июне 2016 года по отношению к маю 2016 года, то отрасль демонстрирует увеличение объема промышленного производства на 35,3%;</w:t>
      </w:r>
    </w:p>
    <w:p w:rsidR="00B202D2" w:rsidRPr="0080737A" w:rsidRDefault="00B202D2" w:rsidP="00B202D2">
      <w:pPr>
        <w:spacing w:after="0" w:line="240" w:lineRule="auto"/>
        <w:ind w:firstLine="709"/>
        <w:jc w:val="both"/>
        <w:rPr>
          <w:rFonts w:ascii="Times New Roman" w:eastAsia="Calibri" w:hAnsi="Times New Roman"/>
          <w:sz w:val="24"/>
          <w:szCs w:val="24"/>
        </w:rPr>
      </w:pPr>
      <w:proofErr w:type="gramStart"/>
      <w:r w:rsidRPr="0080737A">
        <w:rPr>
          <w:rFonts w:ascii="Times New Roman" w:eastAsia="Calibri" w:hAnsi="Times New Roman"/>
          <w:sz w:val="24"/>
          <w:szCs w:val="24"/>
        </w:rPr>
        <w:t xml:space="preserve">Предприятия </w:t>
      </w:r>
      <w:r w:rsidRPr="0080737A">
        <w:rPr>
          <w:rFonts w:ascii="Times New Roman" w:eastAsia="Calibri" w:hAnsi="Times New Roman"/>
          <w:b/>
          <w:sz w:val="24"/>
          <w:szCs w:val="24"/>
        </w:rPr>
        <w:t>лесной и</w:t>
      </w:r>
      <w:r w:rsidR="00EF7D3C" w:rsidRPr="0080737A">
        <w:rPr>
          <w:rFonts w:ascii="Times New Roman" w:eastAsia="Calibri" w:hAnsi="Times New Roman"/>
          <w:b/>
          <w:sz w:val="24"/>
          <w:szCs w:val="24"/>
        </w:rPr>
        <w:t xml:space="preserve"> </w:t>
      </w:r>
      <w:r w:rsidRPr="0080737A">
        <w:rPr>
          <w:rFonts w:ascii="Times New Roman" w:eastAsia="Calibri" w:hAnsi="Times New Roman"/>
          <w:b/>
          <w:sz w:val="24"/>
          <w:szCs w:val="24"/>
        </w:rPr>
        <w:t>деревообрабатывающей промышленности</w:t>
      </w:r>
      <w:r w:rsidRPr="0080737A">
        <w:rPr>
          <w:rFonts w:ascii="Times New Roman" w:eastAsia="Calibri" w:hAnsi="Times New Roman"/>
          <w:sz w:val="24"/>
          <w:szCs w:val="24"/>
        </w:rPr>
        <w:t xml:space="preserve"> по итогам               </w:t>
      </w:r>
      <w:r w:rsidRPr="0080737A">
        <w:rPr>
          <w:rFonts w:ascii="Times New Roman" w:eastAsia="Calibri" w:hAnsi="Times New Roman"/>
          <w:sz w:val="24"/>
          <w:szCs w:val="24"/>
          <w:lang w:val="en-US"/>
        </w:rPr>
        <w:t>I</w:t>
      </w:r>
      <w:r w:rsidRPr="0080737A">
        <w:rPr>
          <w:rFonts w:ascii="Times New Roman" w:eastAsia="Calibri" w:hAnsi="Times New Roman"/>
          <w:sz w:val="24"/>
          <w:szCs w:val="24"/>
        </w:rPr>
        <w:t xml:space="preserve"> полугодия 2016 года демонстрируют снижение производственных показателей, в результате чего, объем произведенной продукции отрасли снизился </w:t>
      </w:r>
      <w:r w:rsidRPr="0080737A">
        <w:rPr>
          <w:rFonts w:ascii="Times New Roman" w:eastAsia="Calibri" w:hAnsi="Times New Roman"/>
          <w:color w:val="000000"/>
          <w:sz w:val="24"/>
          <w:szCs w:val="24"/>
        </w:rPr>
        <w:t>относительно соответствующего периода прошлого года</w:t>
      </w:r>
      <w:r w:rsidRPr="0080737A">
        <w:rPr>
          <w:rFonts w:ascii="Times New Roman" w:eastAsia="Calibri" w:hAnsi="Times New Roman"/>
          <w:sz w:val="24"/>
          <w:szCs w:val="24"/>
        </w:rPr>
        <w:t xml:space="preserve"> на 73,3%, достигнув в стоимостном выражении по итогам января-июня 2015 года 2,3 млн. руб. В натуральном выражении наблюдается сокращение производства мебели на 92,2%.</w:t>
      </w:r>
      <w:proofErr w:type="gramEnd"/>
    </w:p>
    <w:p w:rsidR="00B202D2" w:rsidRPr="0080737A" w:rsidRDefault="00B202D2" w:rsidP="00B202D2">
      <w:pPr>
        <w:spacing w:after="0" w:line="240" w:lineRule="auto"/>
        <w:ind w:firstLine="709"/>
        <w:jc w:val="both"/>
        <w:rPr>
          <w:rFonts w:ascii="Times New Roman" w:hAnsi="Times New Roman"/>
          <w:noProof/>
          <w:sz w:val="24"/>
          <w:szCs w:val="24"/>
        </w:rPr>
      </w:pPr>
      <w:proofErr w:type="gramStart"/>
      <w:r w:rsidRPr="0080737A">
        <w:rPr>
          <w:rFonts w:ascii="Times New Roman" w:hAnsi="Times New Roman"/>
          <w:sz w:val="24"/>
          <w:szCs w:val="24"/>
        </w:rPr>
        <w:t xml:space="preserve">В </w:t>
      </w:r>
      <w:r w:rsidRPr="0080737A">
        <w:rPr>
          <w:rFonts w:ascii="Times New Roman" w:hAnsi="Times New Roman"/>
          <w:b/>
          <w:sz w:val="24"/>
          <w:szCs w:val="24"/>
        </w:rPr>
        <w:t>промышленности строительных материалов</w:t>
      </w:r>
      <w:r w:rsidRPr="0080737A">
        <w:rPr>
          <w:rFonts w:ascii="Times New Roman" w:hAnsi="Times New Roman"/>
          <w:sz w:val="24"/>
          <w:szCs w:val="24"/>
        </w:rPr>
        <w:t xml:space="preserve"> по итогам января-июня 2016 года, несмотря на конкуренцию с более дешевыми импортными товарами, зафиксирован прирост производственных показателей в целом по отрасли на 5,9% до 156,1 млн. руб. Данная динамика достигнута в результате осуществления мероприятий, направленных на </w:t>
      </w:r>
      <w:r w:rsidRPr="0080737A">
        <w:rPr>
          <w:rFonts w:ascii="Times New Roman" w:hAnsi="Times New Roman"/>
          <w:color w:val="333333"/>
          <w:sz w:val="24"/>
          <w:szCs w:val="24"/>
          <w:shd w:val="clear" w:color="auto" w:fill="FFFFFF"/>
        </w:rPr>
        <w:t>снижение себестоимости продукции</w:t>
      </w:r>
      <w:r w:rsidRPr="0080737A">
        <w:rPr>
          <w:rFonts w:ascii="Times New Roman" w:hAnsi="Times New Roman"/>
          <w:sz w:val="24"/>
          <w:szCs w:val="24"/>
        </w:rPr>
        <w:t xml:space="preserve"> на крупнейшем предприятии отрасли -                           ЗАО «</w:t>
      </w:r>
      <w:proofErr w:type="spellStart"/>
      <w:r w:rsidRPr="0080737A">
        <w:rPr>
          <w:rFonts w:ascii="Times New Roman" w:hAnsi="Times New Roman"/>
          <w:sz w:val="24"/>
          <w:szCs w:val="24"/>
        </w:rPr>
        <w:t>Рыбницкий</w:t>
      </w:r>
      <w:proofErr w:type="spellEnd"/>
      <w:r w:rsidRPr="0080737A">
        <w:rPr>
          <w:rFonts w:ascii="Times New Roman" w:hAnsi="Times New Roman"/>
          <w:sz w:val="24"/>
          <w:szCs w:val="24"/>
        </w:rPr>
        <w:t xml:space="preserve"> цементный комбинат»</w:t>
      </w:r>
      <w:r w:rsidRPr="0080737A">
        <w:rPr>
          <w:rFonts w:ascii="Times New Roman" w:hAnsi="Times New Roman"/>
          <w:color w:val="333333"/>
          <w:sz w:val="24"/>
          <w:szCs w:val="24"/>
          <w:shd w:val="clear" w:color="auto" w:fill="FFFFFF"/>
        </w:rPr>
        <w:t xml:space="preserve">, увеличивший объем производства на 18,7% и обеспечивший </w:t>
      </w:r>
      <w:r w:rsidRPr="0080737A">
        <w:rPr>
          <w:rFonts w:ascii="Times New Roman" w:hAnsi="Times New Roman"/>
          <w:sz w:val="24"/>
          <w:szCs w:val="24"/>
        </w:rPr>
        <w:t>78,8% общего</w:t>
      </w:r>
      <w:proofErr w:type="gramEnd"/>
      <w:r w:rsidRPr="0080737A">
        <w:rPr>
          <w:rFonts w:ascii="Times New Roman" w:hAnsi="Times New Roman"/>
          <w:sz w:val="24"/>
          <w:szCs w:val="24"/>
        </w:rPr>
        <w:t xml:space="preserve"> выпуска в отрасли. В натуральном выражении в рассматриваемом периоде отмечено увеличение производства клинкера на 28,9%, цемента на 39,8% и.т.д.</w:t>
      </w:r>
    </w:p>
    <w:p w:rsidR="00B202D2" w:rsidRPr="0080737A" w:rsidRDefault="00B202D2" w:rsidP="00B202D2">
      <w:pPr>
        <w:spacing w:after="0" w:line="240" w:lineRule="auto"/>
        <w:jc w:val="both"/>
        <w:rPr>
          <w:rFonts w:ascii="Times New Roman" w:hAnsi="Times New Roman"/>
          <w:sz w:val="24"/>
          <w:szCs w:val="24"/>
        </w:rPr>
      </w:pPr>
      <w:r w:rsidRPr="0080737A">
        <w:rPr>
          <w:rFonts w:ascii="Times New Roman" w:hAnsi="Times New Roman"/>
          <w:noProof/>
          <w:sz w:val="24"/>
          <w:szCs w:val="24"/>
        </w:rPr>
        <w:drawing>
          <wp:inline distT="0" distB="0" distL="0" distR="0">
            <wp:extent cx="6086475" cy="1876425"/>
            <wp:effectExtent l="0" t="0" r="0" b="0"/>
            <wp:docPr id="120"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02D2" w:rsidRPr="0080737A" w:rsidRDefault="00B202D2" w:rsidP="00B202D2">
      <w:pPr>
        <w:spacing w:after="0" w:line="240" w:lineRule="auto"/>
        <w:ind w:firstLine="709"/>
        <w:jc w:val="both"/>
        <w:rPr>
          <w:rFonts w:ascii="Times New Roman" w:hAnsi="Times New Roman"/>
          <w:sz w:val="24"/>
          <w:szCs w:val="24"/>
        </w:rPr>
      </w:pPr>
      <w:r w:rsidRPr="0080737A">
        <w:rPr>
          <w:rFonts w:ascii="Times New Roman" w:eastAsia="Calibri" w:hAnsi="Times New Roman"/>
          <w:sz w:val="24"/>
          <w:szCs w:val="24"/>
        </w:rPr>
        <w:t>Н</w:t>
      </w:r>
      <w:r w:rsidRPr="0080737A">
        <w:rPr>
          <w:rFonts w:ascii="Times New Roman" w:hAnsi="Times New Roman"/>
          <w:sz w:val="24"/>
          <w:szCs w:val="24"/>
        </w:rPr>
        <w:t xml:space="preserve">а предприятиях </w:t>
      </w:r>
      <w:r w:rsidRPr="0080737A">
        <w:rPr>
          <w:rFonts w:ascii="Times New Roman" w:hAnsi="Times New Roman"/>
          <w:b/>
          <w:sz w:val="24"/>
          <w:szCs w:val="24"/>
        </w:rPr>
        <w:t xml:space="preserve">легкой промышленности </w:t>
      </w:r>
      <w:r w:rsidRPr="0080737A">
        <w:rPr>
          <w:rFonts w:ascii="Times New Roman" w:hAnsi="Times New Roman"/>
          <w:sz w:val="24"/>
          <w:szCs w:val="24"/>
        </w:rPr>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объем отраслевого выпуска на 17,5% перекрыл базовый показатель 2015 года, что обусловлено ростом объема промышленного производства на ряде предприятий отрасли. </w:t>
      </w:r>
      <w:proofErr w:type="gramStart"/>
      <w:r w:rsidRPr="0080737A">
        <w:rPr>
          <w:rFonts w:ascii="Times New Roman" w:hAnsi="Times New Roman"/>
          <w:sz w:val="24"/>
          <w:szCs w:val="24"/>
        </w:rPr>
        <w:t>Так, определяющее влияние на отраслевой показатель оказывает работа крупнейшего предприятия отрасли ЗАО «</w:t>
      </w:r>
      <w:proofErr w:type="spellStart"/>
      <w:r w:rsidRPr="0080737A">
        <w:rPr>
          <w:rFonts w:ascii="Times New Roman" w:hAnsi="Times New Roman"/>
          <w:sz w:val="24"/>
          <w:szCs w:val="24"/>
        </w:rPr>
        <w:t>Тиротекс</w:t>
      </w:r>
      <w:proofErr w:type="spellEnd"/>
      <w:r w:rsidRPr="0080737A">
        <w:rPr>
          <w:rFonts w:ascii="Times New Roman" w:hAnsi="Times New Roman"/>
          <w:sz w:val="24"/>
          <w:szCs w:val="24"/>
        </w:rPr>
        <w:t xml:space="preserve">» (75,7% отраслевого выпуска), увеличившего </w:t>
      </w:r>
      <w:r w:rsidRPr="0080737A">
        <w:rPr>
          <w:rFonts w:ascii="Times New Roman" w:hAnsi="Times New Roman"/>
          <w:sz w:val="24"/>
          <w:szCs w:val="24"/>
        </w:rPr>
        <w:lastRenderedPageBreak/>
        <w:t xml:space="preserve">товарный выпуск за рассматриваемый период на 24,2%. Также увеличение товарного выпуска отмечено на ООО «ТПФ </w:t>
      </w:r>
      <w:proofErr w:type="spellStart"/>
      <w:r w:rsidRPr="0080737A">
        <w:rPr>
          <w:rFonts w:ascii="Times New Roman" w:hAnsi="Times New Roman"/>
          <w:sz w:val="24"/>
          <w:szCs w:val="24"/>
        </w:rPr>
        <w:t>Интерцентр</w:t>
      </w:r>
      <w:proofErr w:type="spellEnd"/>
      <w:r w:rsidRPr="0080737A">
        <w:rPr>
          <w:rFonts w:ascii="Times New Roman" w:hAnsi="Times New Roman"/>
          <w:sz w:val="24"/>
          <w:szCs w:val="24"/>
        </w:rPr>
        <w:t xml:space="preserve"> Люкс» - на 67,6%, ЗАО «Швейная фирма «</w:t>
      </w:r>
      <w:proofErr w:type="spellStart"/>
      <w:r w:rsidRPr="0080737A">
        <w:rPr>
          <w:rFonts w:ascii="Times New Roman" w:hAnsi="Times New Roman"/>
          <w:sz w:val="24"/>
          <w:szCs w:val="24"/>
        </w:rPr>
        <w:t>Вестра</w:t>
      </w:r>
      <w:proofErr w:type="spellEnd"/>
      <w:r w:rsidRPr="0080737A">
        <w:rPr>
          <w:rFonts w:ascii="Times New Roman" w:hAnsi="Times New Roman"/>
          <w:sz w:val="24"/>
          <w:szCs w:val="24"/>
        </w:rPr>
        <w:t>» - на 45,6%, ОАО «</w:t>
      </w:r>
      <w:proofErr w:type="spellStart"/>
      <w:r w:rsidRPr="0080737A">
        <w:rPr>
          <w:rFonts w:ascii="Times New Roman" w:hAnsi="Times New Roman"/>
          <w:sz w:val="24"/>
          <w:szCs w:val="24"/>
        </w:rPr>
        <w:t>Флоаре</w:t>
      </w:r>
      <w:proofErr w:type="spellEnd"/>
      <w:r w:rsidRPr="0080737A">
        <w:rPr>
          <w:rFonts w:ascii="Times New Roman" w:hAnsi="Times New Roman"/>
          <w:sz w:val="24"/>
          <w:szCs w:val="24"/>
        </w:rPr>
        <w:t>» - на 27,1%. Положительные результаты в деятельности экономических агентов отрасли обусловлены в значительной мере оказанием государственной поддержки</w:t>
      </w:r>
      <w:proofErr w:type="gramEnd"/>
      <w:r w:rsidRPr="0080737A">
        <w:rPr>
          <w:rFonts w:ascii="Times New Roman" w:hAnsi="Times New Roman"/>
          <w:sz w:val="24"/>
          <w:szCs w:val="24"/>
        </w:rPr>
        <w:t xml:space="preserve"> 4 предприятиям легкой промышленности (ЗАО «</w:t>
      </w:r>
      <w:proofErr w:type="spellStart"/>
      <w:r w:rsidRPr="0080737A">
        <w:rPr>
          <w:rFonts w:ascii="Times New Roman" w:hAnsi="Times New Roman"/>
          <w:sz w:val="24"/>
          <w:szCs w:val="24"/>
        </w:rPr>
        <w:t>Тиротекс</w:t>
      </w:r>
      <w:proofErr w:type="spellEnd"/>
      <w:r w:rsidRPr="0080737A">
        <w:rPr>
          <w:rFonts w:ascii="Times New Roman" w:hAnsi="Times New Roman"/>
          <w:sz w:val="24"/>
          <w:szCs w:val="24"/>
        </w:rPr>
        <w:t>», ЗАО «</w:t>
      </w:r>
      <w:proofErr w:type="spellStart"/>
      <w:r w:rsidRPr="0080737A">
        <w:rPr>
          <w:rFonts w:ascii="Times New Roman" w:hAnsi="Times New Roman"/>
          <w:sz w:val="24"/>
          <w:szCs w:val="24"/>
        </w:rPr>
        <w:t>Одема</w:t>
      </w:r>
      <w:proofErr w:type="spellEnd"/>
      <w:r w:rsidRPr="0080737A">
        <w:rPr>
          <w:rFonts w:ascii="Times New Roman" w:hAnsi="Times New Roman"/>
          <w:sz w:val="24"/>
          <w:szCs w:val="24"/>
        </w:rPr>
        <w:t xml:space="preserve">» им. В.Соловьевой, ЗАО «Швейная фирма» </w:t>
      </w:r>
      <w:proofErr w:type="spellStart"/>
      <w:r w:rsidRPr="0080737A">
        <w:rPr>
          <w:rFonts w:ascii="Times New Roman" w:hAnsi="Times New Roman"/>
          <w:sz w:val="24"/>
          <w:szCs w:val="24"/>
        </w:rPr>
        <w:t>Вестра</w:t>
      </w:r>
      <w:proofErr w:type="spellEnd"/>
      <w:r w:rsidRPr="0080737A">
        <w:rPr>
          <w:rFonts w:ascii="Times New Roman" w:hAnsi="Times New Roman"/>
          <w:sz w:val="24"/>
          <w:szCs w:val="24"/>
        </w:rPr>
        <w:t>», ООО «</w:t>
      </w:r>
      <w:proofErr w:type="spellStart"/>
      <w:r w:rsidRPr="0080737A">
        <w:rPr>
          <w:rFonts w:ascii="Times New Roman" w:hAnsi="Times New Roman"/>
          <w:sz w:val="24"/>
          <w:szCs w:val="24"/>
        </w:rPr>
        <w:t>Софтшуз</w:t>
      </w:r>
      <w:proofErr w:type="spellEnd"/>
      <w:r w:rsidRPr="0080737A">
        <w:rPr>
          <w:rFonts w:ascii="Times New Roman" w:hAnsi="Times New Roman"/>
          <w:sz w:val="24"/>
          <w:szCs w:val="24"/>
        </w:rPr>
        <w:t xml:space="preserve">») в виде льготных тарифов на энергоносители и льгот по налогу на доходы, что в совокупности с поиском новых рынков </w:t>
      </w:r>
      <w:proofErr w:type="gramStart"/>
      <w:r w:rsidRPr="0080737A">
        <w:rPr>
          <w:rFonts w:ascii="Times New Roman" w:hAnsi="Times New Roman"/>
          <w:sz w:val="24"/>
          <w:szCs w:val="24"/>
        </w:rPr>
        <w:t>сбыта</w:t>
      </w:r>
      <w:proofErr w:type="gramEnd"/>
      <w:r w:rsidRPr="0080737A">
        <w:rPr>
          <w:rFonts w:ascii="Times New Roman" w:hAnsi="Times New Roman"/>
          <w:sz w:val="24"/>
          <w:szCs w:val="24"/>
        </w:rPr>
        <w:t xml:space="preserve"> позволило предприятиям эффективно вести свою финансово-хозяйственную деятельность.</w:t>
      </w:r>
    </w:p>
    <w:p w:rsidR="00B202D2" w:rsidRPr="0080737A" w:rsidRDefault="00B202D2" w:rsidP="00B202D2">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июне 2016 года по отношению к маю текущего года предприятия отрасли демонстрируют прирост объема промышленного производства на 18,0%.</w:t>
      </w:r>
    </w:p>
    <w:p w:rsidR="00B202D2" w:rsidRPr="0080737A" w:rsidRDefault="00B202D2" w:rsidP="00B202D2">
      <w:pPr>
        <w:spacing w:after="0" w:line="240" w:lineRule="auto"/>
        <w:jc w:val="both"/>
        <w:rPr>
          <w:rFonts w:ascii="Times New Roman" w:hAnsi="Times New Roman"/>
          <w:sz w:val="24"/>
          <w:szCs w:val="24"/>
        </w:rPr>
      </w:pPr>
      <w:r w:rsidRPr="0080737A">
        <w:rPr>
          <w:rFonts w:ascii="Times New Roman" w:hAnsi="Times New Roman"/>
          <w:noProof/>
          <w:sz w:val="24"/>
          <w:szCs w:val="24"/>
        </w:rPr>
        <w:drawing>
          <wp:inline distT="0" distB="0" distL="0" distR="0">
            <wp:extent cx="6172200" cy="1695450"/>
            <wp:effectExtent l="0" t="0" r="0" b="0"/>
            <wp:docPr id="12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202D2" w:rsidRPr="0080737A" w:rsidRDefault="00B202D2" w:rsidP="00B202D2">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В </w:t>
      </w:r>
      <w:r w:rsidRPr="0080737A">
        <w:rPr>
          <w:rFonts w:ascii="Times New Roman" w:hAnsi="Times New Roman"/>
          <w:b/>
          <w:snapToGrid w:val="0"/>
          <w:sz w:val="24"/>
          <w:szCs w:val="24"/>
        </w:rPr>
        <w:t xml:space="preserve">пищевой промышленности </w:t>
      </w:r>
      <w:r w:rsidRPr="0080737A">
        <w:rPr>
          <w:rFonts w:ascii="Times New Roman" w:hAnsi="Times New Roman"/>
          <w:snapToGrid w:val="0"/>
          <w:sz w:val="24"/>
          <w:szCs w:val="24"/>
        </w:rPr>
        <w:t>в</w:t>
      </w:r>
      <w:r w:rsidRPr="0080737A">
        <w:rPr>
          <w:rFonts w:ascii="Times New Roman" w:hAnsi="Times New Roman"/>
          <w:sz w:val="24"/>
          <w:szCs w:val="24"/>
        </w:rPr>
        <w:t xml:space="preserve"> рассматриваемом периоде </w:t>
      </w:r>
      <w:r w:rsidRPr="0080737A">
        <w:rPr>
          <w:rFonts w:ascii="Times New Roman" w:hAnsi="Times New Roman"/>
          <w:snapToGrid w:val="0"/>
          <w:sz w:val="24"/>
          <w:szCs w:val="24"/>
        </w:rPr>
        <w:t>фиксируется увеличение</w:t>
      </w:r>
      <w:r w:rsidRPr="0080737A">
        <w:rPr>
          <w:rFonts w:ascii="Times New Roman" w:hAnsi="Times New Roman"/>
          <w:sz w:val="24"/>
          <w:szCs w:val="24"/>
        </w:rPr>
        <w:t xml:space="preserve"> товарного выпуска в сопоставимых ценах на 3,2%, что вызвано расширением объемов производства на ЗАО «Тираспольский винно-коньячный завод «KVINT» («+»2,7%), ЗАО «Букет Молдавии («+»24,3%), ГУП «</w:t>
      </w:r>
      <w:proofErr w:type="spellStart"/>
      <w:r w:rsidRPr="0080737A">
        <w:rPr>
          <w:rFonts w:ascii="Times New Roman" w:hAnsi="Times New Roman"/>
          <w:sz w:val="24"/>
          <w:szCs w:val="24"/>
        </w:rPr>
        <w:t>Биохим</w:t>
      </w:r>
      <w:proofErr w:type="spellEnd"/>
      <w:r w:rsidRPr="0080737A">
        <w:rPr>
          <w:rFonts w:ascii="Times New Roman" w:hAnsi="Times New Roman"/>
          <w:sz w:val="24"/>
          <w:szCs w:val="24"/>
        </w:rPr>
        <w:t>» («+»97,2%) и др. Между тем, если рассматривать динамику показателя в текущих ценах, то по отрасли в                          I полугодии 2016 года отмечается снижение объема производства на 3,6%, что</w:t>
      </w:r>
      <w:proofErr w:type="gramEnd"/>
      <w:r w:rsidR="00EF7D3C" w:rsidRPr="0080737A">
        <w:rPr>
          <w:rFonts w:ascii="Times New Roman" w:hAnsi="Times New Roman"/>
          <w:sz w:val="24"/>
          <w:szCs w:val="24"/>
        </w:rPr>
        <w:t xml:space="preserve"> </w:t>
      </w:r>
      <w:r w:rsidRPr="0080737A">
        <w:rPr>
          <w:rFonts w:ascii="Times New Roman" w:hAnsi="Times New Roman"/>
          <w:sz w:val="24"/>
          <w:szCs w:val="24"/>
        </w:rPr>
        <w:t>обусловлено в большей степени меняющимся спросом и понижательной динамкой цен на некоторые группы продовольственных товаров в условиях отраслевой конкуренции.</w:t>
      </w:r>
    </w:p>
    <w:p w:rsidR="00B202D2" w:rsidRPr="0080737A" w:rsidRDefault="00B202D2" w:rsidP="00B202D2">
      <w:pPr>
        <w:spacing w:after="0" w:line="240" w:lineRule="auto"/>
        <w:ind w:firstLine="709"/>
        <w:jc w:val="both"/>
        <w:rPr>
          <w:rFonts w:ascii="Times New Roman" w:hAnsi="Times New Roman"/>
          <w:sz w:val="24"/>
          <w:szCs w:val="24"/>
        </w:rPr>
      </w:pPr>
      <w:r w:rsidRPr="0080737A">
        <w:rPr>
          <w:rFonts w:ascii="Times New Roman" w:hAnsi="Times New Roman"/>
          <w:sz w:val="24"/>
          <w:szCs w:val="24"/>
        </w:rPr>
        <w:t>Положительная динамика объемов производства в натуральном выражении отмечается по выпуску спирта этилового («+»95,0%), масла растительного («+»66,7%), а также молочной продукции («+»21,5%) и др. Вместе с этим по ряду товарных позиций наблюдалось сокращение: консервов (на 36,4%), безалкогольных напитков и минеральных вод (в среднем на 6,1%), животных масел (на 48,6%).</w:t>
      </w:r>
    </w:p>
    <w:p w:rsidR="00B202D2" w:rsidRPr="0080737A" w:rsidRDefault="00B202D2" w:rsidP="00B202D2">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июне текущего года по отношению к маю в пищевой промышленности зафиксирован рост объема промышленного производства на 12,8%;</w:t>
      </w:r>
    </w:p>
    <w:p w:rsidR="00B202D2" w:rsidRPr="0080737A" w:rsidRDefault="00B202D2" w:rsidP="00B202D2">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В </w:t>
      </w:r>
      <w:r w:rsidRPr="0080737A">
        <w:rPr>
          <w:rFonts w:ascii="Times New Roman" w:hAnsi="Times New Roman"/>
          <w:b/>
          <w:sz w:val="24"/>
          <w:szCs w:val="24"/>
        </w:rPr>
        <w:t>мукомольно-крупяной и комбикормовой промышленности</w:t>
      </w:r>
      <w:r w:rsidRPr="0080737A">
        <w:rPr>
          <w:rFonts w:ascii="Times New Roman" w:hAnsi="Times New Roman"/>
          <w:sz w:val="24"/>
          <w:szCs w:val="24"/>
        </w:rPr>
        <w:t xml:space="preserve"> по итогам                       </w:t>
      </w:r>
      <w:r w:rsidRPr="0080737A">
        <w:rPr>
          <w:rFonts w:ascii="Times New Roman" w:hAnsi="Times New Roman"/>
          <w:sz w:val="24"/>
          <w:szCs w:val="24"/>
          <w:lang w:val="en-US"/>
        </w:rPr>
        <w:t>I</w:t>
      </w:r>
      <w:r w:rsidRPr="0080737A">
        <w:rPr>
          <w:rFonts w:ascii="Times New Roman" w:hAnsi="Times New Roman"/>
          <w:sz w:val="24"/>
          <w:szCs w:val="24"/>
        </w:rPr>
        <w:t xml:space="preserve"> полугодия 2016 года отмечается снижение выпуска готовой на 17,6%, что вызвано в основном сокращением объемов производства на ЗАО «Тираспольский комбинат хлебопродуктов» на 3,9%, ЗАО «Бендерский комбинат хлебопродуктов» на 49,6%, ввиду </w:t>
      </w:r>
      <w:r w:rsidRPr="0080737A">
        <w:rPr>
          <w:rFonts w:ascii="Times New Roman" w:eastAsia="Calibri" w:hAnsi="Times New Roman"/>
          <w:sz w:val="24"/>
          <w:szCs w:val="24"/>
        </w:rPr>
        <w:t xml:space="preserve">жесткой конкуренции на отраслевом рынке, из-за </w:t>
      </w:r>
      <w:r w:rsidRPr="0080737A">
        <w:rPr>
          <w:rFonts w:ascii="Times New Roman" w:eastAsia="Calibri" w:hAnsi="Times New Roman"/>
          <w:color w:val="262626"/>
          <w:sz w:val="24"/>
          <w:szCs w:val="24"/>
        </w:rPr>
        <w:t>импорта товаров по более низким ценам из сопредельных государств</w:t>
      </w:r>
      <w:r w:rsidRPr="0080737A">
        <w:rPr>
          <w:rFonts w:ascii="Times New Roman" w:hAnsi="Times New Roman"/>
          <w:sz w:val="24"/>
          <w:szCs w:val="24"/>
        </w:rPr>
        <w:t>.</w:t>
      </w:r>
      <w:proofErr w:type="gramEnd"/>
    </w:p>
    <w:p w:rsidR="00B202D2" w:rsidRPr="0080737A" w:rsidRDefault="00B202D2" w:rsidP="00B202D2">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натуральном выражении в анализируемом периоде отмечается снижение производства круп на 12,5% и муки на 14,3%.</w:t>
      </w:r>
    </w:p>
    <w:p w:rsidR="00B202D2" w:rsidRPr="0080737A" w:rsidRDefault="00B202D2" w:rsidP="00B202D2">
      <w:pPr>
        <w:spacing w:after="0" w:line="240" w:lineRule="auto"/>
        <w:ind w:firstLine="709"/>
        <w:jc w:val="both"/>
        <w:rPr>
          <w:rFonts w:ascii="Times New Roman" w:eastAsia="Calibri" w:hAnsi="Times New Roman"/>
          <w:b/>
          <w:color w:val="000000"/>
          <w:sz w:val="24"/>
          <w:szCs w:val="24"/>
        </w:rPr>
      </w:pPr>
      <w:r w:rsidRPr="0080737A">
        <w:rPr>
          <w:rFonts w:ascii="Times New Roman" w:eastAsia="Calibri" w:hAnsi="Times New Roman"/>
          <w:color w:val="000000"/>
          <w:sz w:val="24"/>
          <w:szCs w:val="24"/>
        </w:rPr>
        <w:t xml:space="preserve">В </w:t>
      </w:r>
      <w:r w:rsidRPr="0080737A">
        <w:rPr>
          <w:rFonts w:ascii="Times New Roman" w:eastAsia="Calibri" w:hAnsi="Times New Roman"/>
          <w:b/>
          <w:color w:val="000000"/>
          <w:sz w:val="24"/>
          <w:szCs w:val="24"/>
        </w:rPr>
        <w:t>полиграфической промышленности</w:t>
      </w:r>
      <w:r w:rsidRPr="0080737A">
        <w:rPr>
          <w:rFonts w:ascii="Times New Roman" w:eastAsia="Calibri" w:hAnsi="Times New Roman"/>
          <w:color w:val="000000"/>
          <w:sz w:val="24"/>
          <w:szCs w:val="24"/>
        </w:rPr>
        <w:t xml:space="preserve"> падение объема производства в рассматриваемом периоде на ГУИП Типография «Полиграфист» (71,1% общего объема производства по </w:t>
      </w:r>
      <w:proofErr w:type="spellStart"/>
      <w:r w:rsidRPr="0080737A">
        <w:rPr>
          <w:rFonts w:ascii="Times New Roman" w:eastAsia="Calibri" w:hAnsi="Times New Roman"/>
          <w:color w:val="000000"/>
          <w:sz w:val="24"/>
          <w:szCs w:val="24"/>
        </w:rPr>
        <w:t>подотрасли</w:t>
      </w:r>
      <w:proofErr w:type="spellEnd"/>
      <w:r w:rsidRPr="0080737A">
        <w:rPr>
          <w:rFonts w:ascii="Times New Roman" w:eastAsia="Calibri" w:hAnsi="Times New Roman"/>
          <w:color w:val="000000"/>
          <w:sz w:val="24"/>
          <w:szCs w:val="24"/>
        </w:rPr>
        <w:t>) на 68,0% относительно соответствующего периода прошлого года, в результате выполнения договорных обязательств по печати учебной литературы и отсутствия новых масштабных заказов, предопределило сокращение совокупной стоимости товарного выпуска отрасли на 61,0%.</w:t>
      </w:r>
    </w:p>
    <w:p w:rsidR="00B202D2" w:rsidRPr="0080737A" w:rsidRDefault="00B202D2" w:rsidP="00B202D2">
      <w:pPr>
        <w:spacing w:after="0" w:line="240" w:lineRule="auto"/>
        <w:ind w:firstLine="709"/>
        <w:jc w:val="both"/>
        <w:rPr>
          <w:rFonts w:ascii="Times New Roman" w:hAnsi="Times New Roman"/>
          <w:sz w:val="24"/>
          <w:szCs w:val="24"/>
        </w:rPr>
      </w:pPr>
      <w:r w:rsidRPr="0080737A">
        <w:rPr>
          <w:rFonts w:ascii="Times New Roman" w:hAnsi="Times New Roman"/>
          <w:sz w:val="24"/>
          <w:szCs w:val="24"/>
        </w:rPr>
        <w:t>Таким образом, достигнутые значения показателей промышленного производства свидетельствуют о нестабильной ситуации на предприятиях индустрии.</w:t>
      </w:r>
      <w:r w:rsidR="00EF7D3C" w:rsidRPr="0080737A">
        <w:rPr>
          <w:rFonts w:ascii="Times New Roman" w:hAnsi="Times New Roman"/>
          <w:sz w:val="24"/>
          <w:szCs w:val="24"/>
        </w:rPr>
        <w:t xml:space="preserve"> </w:t>
      </w:r>
      <w:proofErr w:type="gramStart"/>
      <w:r w:rsidRPr="0080737A">
        <w:rPr>
          <w:rFonts w:ascii="Times New Roman" w:eastAsia="Calibri" w:hAnsi="Times New Roman"/>
          <w:sz w:val="24"/>
          <w:szCs w:val="24"/>
        </w:rPr>
        <w:t>Нестабильная ценовая ситуация на мировых товарных рынках, удешевление энергоносителей, металлов и продовольствия</w:t>
      </w:r>
      <w:r w:rsidRPr="0080737A">
        <w:rPr>
          <w:rFonts w:ascii="Times New Roman" w:hAnsi="Times New Roman"/>
          <w:sz w:val="24"/>
          <w:szCs w:val="24"/>
        </w:rPr>
        <w:t xml:space="preserve">, сложности с логистикой, в совокупности с влиянием внутренних </w:t>
      </w:r>
      <w:r w:rsidRPr="0080737A">
        <w:rPr>
          <w:rFonts w:ascii="Times New Roman" w:hAnsi="Times New Roman"/>
          <w:sz w:val="24"/>
          <w:szCs w:val="24"/>
        </w:rPr>
        <w:lastRenderedPageBreak/>
        <w:t>факторов (</w:t>
      </w:r>
      <w:r w:rsidRPr="0080737A">
        <w:rPr>
          <w:rFonts w:ascii="Times New Roman" w:eastAsia="Calibri" w:hAnsi="Times New Roman"/>
          <w:sz w:val="24"/>
          <w:szCs w:val="24"/>
        </w:rPr>
        <w:t>з</w:t>
      </w:r>
      <w:r w:rsidRPr="0080737A">
        <w:rPr>
          <w:rFonts w:ascii="Times New Roman" w:eastAsia="MS Mincho" w:hAnsi="Times New Roman"/>
          <w:sz w:val="24"/>
          <w:szCs w:val="24"/>
        </w:rPr>
        <w:t xml:space="preserve">начительный физический и моральный износ основных фондов, </w:t>
      </w:r>
      <w:r w:rsidRPr="0080737A">
        <w:rPr>
          <w:rFonts w:ascii="Times New Roman" w:eastAsia="Calibri" w:hAnsi="Times New Roman"/>
          <w:sz w:val="24"/>
          <w:szCs w:val="24"/>
        </w:rPr>
        <w:t xml:space="preserve">устаревшая структура промышленного производства, невысокая доля в выпуске наукоемкой, высокотехнологичной продукции, техническое и технологическое отставание отечественных предприятий от мирового уровня и др.) </w:t>
      </w:r>
      <w:r w:rsidRPr="0080737A">
        <w:rPr>
          <w:rFonts w:ascii="Times New Roman" w:hAnsi="Times New Roman"/>
          <w:sz w:val="24"/>
          <w:szCs w:val="24"/>
        </w:rPr>
        <w:t>продолжали оказывать дестабилизирующее воздействие на результаты финансово-хозяйственной деятельности предприятий индустрии.</w:t>
      </w:r>
      <w:proofErr w:type="gramEnd"/>
    </w:p>
    <w:p w:rsidR="00B202D2" w:rsidRPr="0080737A" w:rsidRDefault="00B202D2" w:rsidP="00335844">
      <w:pPr>
        <w:autoSpaceDE w:val="0"/>
        <w:autoSpaceDN w:val="0"/>
        <w:adjustRightInd w:val="0"/>
        <w:spacing w:after="0" w:line="240" w:lineRule="auto"/>
        <w:ind w:firstLine="709"/>
        <w:jc w:val="both"/>
        <w:rPr>
          <w:rFonts w:ascii="Times New Roman" w:eastAsia="Calibri" w:hAnsi="Times New Roman"/>
          <w:sz w:val="24"/>
          <w:szCs w:val="24"/>
        </w:rPr>
      </w:pPr>
    </w:p>
    <w:p w:rsidR="00335844" w:rsidRPr="0080737A" w:rsidRDefault="00335844" w:rsidP="00B953F1">
      <w:pPr>
        <w:widowControl w:val="0"/>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t>Агропромышленный комплекс</w:t>
      </w:r>
    </w:p>
    <w:p w:rsidR="00B953F1" w:rsidRPr="0080737A" w:rsidRDefault="00B953F1" w:rsidP="00B953F1">
      <w:pPr>
        <w:widowControl w:val="0"/>
        <w:autoSpaceDE w:val="0"/>
        <w:autoSpaceDN w:val="0"/>
        <w:adjustRightInd w:val="0"/>
        <w:spacing w:after="0" w:line="240" w:lineRule="auto"/>
        <w:ind w:firstLine="720"/>
        <w:jc w:val="both"/>
        <w:rPr>
          <w:rFonts w:ascii="Times New Roman" w:hAnsi="Times New Roman"/>
          <w:b/>
          <w:sz w:val="24"/>
          <w:szCs w:val="24"/>
        </w:rPr>
      </w:pPr>
    </w:p>
    <w:p w:rsidR="0098695D" w:rsidRPr="0080737A" w:rsidRDefault="0098695D" w:rsidP="0098695D">
      <w:pPr>
        <w:widowControl w:val="0"/>
        <w:autoSpaceDE w:val="0"/>
        <w:autoSpaceDN w:val="0"/>
        <w:adjustRightInd w:val="0"/>
        <w:spacing w:after="0" w:line="240" w:lineRule="auto"/>
        <w:ind w:firstLine="720"/>
        <w:jc w:val="both"/>
        <w:rPr>
          <w:rFonts w:ascii="Times New Roman" w:hAnsi="Times New Roman"/>
          <w:b/>
          <w:sz w:val="24"/>
          <w:szCs w:val="24"/>
        </w:rPr>
      </w:pPr>
      <w:r w:rsidRPr="0080737A">
        <w:rPr>
          <w:rFonts w:ascii="Times New Roman" w:hAnsi="Times New Roman"/>
          <w:sz w:val="24"/>
          <w:szCs w:val="24"/>
        </w:rPr>
        <w:t xml:space="preserve">По итогам </w:t>
      </w:r>
      <w:r w:rsidRPr="0080737A">
        <w:rPr>
          <w:rFonts w:ascii="Times New Roman" w:hAnsi="Times New Roman"/>
          <w:sz w:val="24"/>
          <w:szCs w:val="24"/>
          <w:lang w:val="en-US"/>
        </w:rPr>
        <w:t>I</w:t>
      </w:r>
      <w:r w:rsidRPr="0080737A">
        <w:rPr>
          <w:rFonts w:ascii="Times New Roman" w:hAnsi="Times New Roman"/>
          <w:sz w:val="24"/>
          <w:szCs w:val="24"/>
        </w:rPr>
        <w:t xml:space="preserve"> полугодия текущего года</w:t>
      </w:r>
      <w:r w:rsidRPr="0080737A">
        <w:rPr>
          <w:rFonts w:ascii="Times New Roman" w:hAnsi="Times New Roman"/>
          <w:b/>
          <w:sz w:val="24"/>
          <w:szCs w:val="24"/>
        </w:rPr>
        <w:t xml:space="preserve"> объём валовой продукции сельского хозяйства</w:t>
      </w:r>
      <w:r w:rsidRPr="0080737A">
        <w:rPr>
          <w:rFonts w:ascii="Times New Roman" w:hAnsi="Times New Roman"/>
          <w:sz w:val="24"/>
          <w:szCs w:val="24"/>
        </w:rPr>
        <w:t>,</w:t>
      </w:r>
      <w:r w:rsidR="00EF7D3C" w:rsidRPr="0080737A">
        <w:rPr>
          <w:rFonts w:ascii="Times New Roman" w:hAnsi="Times New Roman"/>
          <w:sz w:val="24"/>
          <w:szCs w:val="24"/>
        </w:rPr>
        <w:t xml:space="preserve"> </w:t>
      </w:r>
      <w:r w:rsidRPr="0080737A">
        <w:rPr>
          <w:rFonts w:ascii="Times New Roman" w:hAnsi="Times New Roman"/>
          <w:sz w:val="24"/>
          <w:szCs w:val="24"/>
        </w:rPr>
        <w:t xml:space="preserve">произведенный всеми категориями хозяйств по оценке, сложился в размере </w:t>
      </w:r>
      <w:r w:rsidRPr="0080737A">
        <w:rPr>
          <w:rFonts w:ascii="Times New Roman" w:hAnsi="Times New Roman"/>
          <w:sz w:val="24"/>
          <w:szCs w:val="24"/>
        </w:rPr>
        <w:br/>
        <w:t>316,4 млн. руб. (в текущих ценах), составив 92,3% к уровню сопоставимого значения прошлого года.</w:t>
      </w:r>
      <w:r w:rsidR="00EF7D3C" w:rsidRPr="0080737A">
        <w:rPr>
          <w:rFonts w:ascii="Times New Roman" w:hAnsi="Times New Roman"/>
          <w:sz w:val="24"/>
          <w:szCs w:val="24"/>
        </w:rPr>
        <w:t xml:space="preserve"> </w:t>
      </w:r>
      <w:r w:rsidRPr="0080737A">
        <w:rPr>
          <w:rFonts w:ascii="Times New Roman" w:hAnsi="Times New Roman"/>
          <w:sz w:val="24"/>
          <w:szCs w:val="24"/>
        </w:rPr>
        <w:t>Индекс физического объёма сельскохозяйственной продукции составил 106,3% к базисному уровню минувшего года. Данный факт, в основном, обусловлен изменениями ценовых характеристик.</w:t>
      </w:r>
    </w:p>
    <w:p w:rsidR="0098695D" w:rsidRPr="0080737A" w:rsidRDefault="0098695D" w:rsidP="0098695D">
      <w:r w:rsidRPr="0080737A">
        <w:rPr>
          <w:noProof/>
        </w:rPr>
        <w:drawing>
          <wp:inline distT="0" distB="0" distL="0" distR="0">
            <wp:extent cx="5940425" cy="1837343"/>
            <wp:effectExtent l="0" t="0" r="0" b="0"/>
            <wp:docPr id="4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8695D" w:rsidRPr="0080737A" w:rsidRDefault="0098695D" w:rsidP="0098695D">
      <w:pPr>
        <w:spacing w:after="0" w:line="240" w:lineRule="auto"/>
        <w:ind w:left="284"/>
        <w:rPr>
          <w:rFonts w:ascii="Times New Roman" w:eastAsia="Calibri" w:hAnsi="Times New Roman"/>
          <w:spacing w:val="2"/>
          <w:sz w:val="18"/>
          <w:szCs w:val="18"/>
          <w:lang w:eastAsia="en-US"/>
        </w:rPr>
      </w:pPr>
      <w:r w:rsidRPr="0080737A">
        <w:rPr>
          <w:rFonts w:ascii="Times New Roman" w:eastAsia="Calibri" w:hAnsi="Times New Roman"/>
          <w:i/>
          <w:spacing w:val="2"/>
          <w:sz w:val="18"/>
          <w:szCs w:val="18"/>
          <w:lang w:eastAsia="en-US"/>
        </w:rPr>
        <w:t>*</w:t>
      </w:r>
      <w:r w:rsidRPr="0080737A">
        <w:rPr>
          <w:rFonts w:ascii="Times New Roman" w:eastAsia="Calibri" w:hAnsi="Times New Roman"/>
          <w:spacing w:val="2"/>
          <w:sz w:val="18"/>
          <w:szCs w:val="18"/>
          <w:lang w:eastAsia="en-US"/>
        </w:rPr>
        <w:t>-темпы роста (спада) приведены к уточнённым данным ГСС</w:t>
      </w:r>
    </w:p>
    <w:p w:rsidR="0098695D" w:rsidRPr="0080737A" w:rsidRDefault="0098695D" w:rsidP="0098695D">
      <w:pPr>
        <w:shd w:val="clear" w:color="auto" w:fill="FFFFFF"/>
        <w:spacing w:after="0" w:line="240" w:lineRule="auto"/>
        <w:ind w:firstLine="709"/>
        <w:jc w:val="both"/>
        <w:rPr>
          <w:rFonts w:ascii="Times New Roman" w:hAnsi="Times New Roman"/>
          <w:b/>
          <w:sz w:val="24"/>
          <w:szCs w:val="24"/>
        </w:rPr>
      </w:pPr>
    </w:p>
    <w:p w:rsidR="0098695D" w:rsidRPr="0080737A" w:rsidRDefault="0098695D" w:rsidP="0098695D">
      <w:pPr>
        <w:tabs>
          <w:tab w:val="left" w:pos="8080"/>
        </w:tabs>
        <w:spacing w:after="0" w:line="240" w:lineRule="auto"/>
        <w:ind w:right="-1" w:firstLine="709"/>
        <w:jc w:val="both"/>
        <w:rPr>
          <w:rFonts w:ascii="Times New Roman" w:hAnsi="Times New Roman"/>
          <w:sz w:val="24"/>
          <w:szCs w:val="24"/>
        </w:rPr>
      </w:pPr>
      <w:r w:rsidRPr="0080737A">
        <w:rPr>
          <w:rFonts w:ascii="Times New Roman" w:hAnsi="Times New Roman"/>
          <w:b/>
          <w:sz w:val="24"/>
          <w:szCs w:val="24"/>
        </w:rPr>
        <w:t xml:space="preserve">Растениеводство. </w:t>
      </w:r>
      <w:r w:rsidRPr="0080737A">
        <w:rPr>
          <w:rFonts w:ascii="Times New Roman" w:hAnsi="Times New Roman"/>
          <w:sz w:val="24"/>
          <w:szCs w:val="24"/>
        </w:rPr>
        <w:t>Основная работа сельскохозяйственных производителей в первой половине года в аграрном секторе республики была направлена на проведение весенне-полевых работ, а также на уборку урожая зерновых и зернобобовых культур первой группы.</w:t>
      </w:r>
    </w:p>
    <w:p w:rsidR="0098695D" w:rsidRPr="0080737A" w:rsidRDefault="0098695D" w:rsidP="0098695D">
      <w:pPr>
        <w:shd w:val="clear" w:color="auto" w:fill="FFFFFF"/>
        <w:spacing w:after="0" w:line="240" w:lineRule="auto"/>
        <w:ind w:firstLine="709"/>
        <w:jc w:val="both"/>
        <w:rPr>
          <w:rFonts w:ascii="Times New Roman" w:hAnsi="Times New Roman"/>
          <w:sz w:val="24"/>
          <w:szCs w:val="24"/>
        </w:rPr>
      </w:pPr>
      <w:r w:rsidRPr="0080737A">
        <w:rPr>
          <w:rFonts w:ascii="Times New Roman" w:hAnsi="Times New Roman"/>
          <w:sz w:val="24"/>
          <w:szCs w:val="24"/>
        </w:rPr>
        <w:t>Посевная площадь озимых и яровых культур под урожай 2016 года в хозяйствах всех категорий (без учёта хозяйств населения) увеличилась на 2,5% по отношению к уровню 2015 года и составила 195,2 тыс. га. Площадь пашни по итогам сева озимых и яровых культур сократилась к аналогичному показателю 2015 года на 0,7% и достигла 203,0 тыс. га.</w:t>
      </w:r>
    </w:p>
    <w:p w:rsidR="0098695D" w:rsidRPr="0080737A" w:rsidRDefault="005C2655" w:rsidP="0098695D">
      <w:pPr>
        <w:shd w:val="clear" w:color="auto" w:fill="FFFFFF"/>
        <w:tabs>
          <w:tab w:val="left" w:pos="7797"/>
        </w:tabs>
        <w:spacing w:after="0" w:line="240" w:lineRule="auto"/>
        <w:ind w:firstLine="709"/>
        <w:jc w:val="right"/>
        <w:rPr>
          <w:rFonts w:ascii="Times New Roman" w:hAnsi="Times New Roman"/>
          <w:sz w:val="24"/>
          <w:szCs w:val="24"/>
        </w:rPr>
      </w:pPr>
      <w:r w:rsidRPr="0080737A">
        <w:rPr>
          <w:rFonts w:ascii="Times New Roman" w:hAnsi="Times New Roman"/>
          <w:sz w:val="24"/>
          <w:szCs w:val="24"/>
        </w:rPr>
        <w:t>Таблица №10</w:t>
      </w:r>
    </w:p>
    <w:p w:rsidR="0098695D" w:rsidRPr="0080737A" w:rsidRDefault="0098695D" w:rsidP="0098695D">
      <w:pPr>
        <w:spacing w:after="0" w:line="240" w:lineRule="auto"/>
        <w:jc w:val="center"/>
        <w:rPr>
          <w:rFonts w:ascii="Times New Roman" w:hAnsi="Times New Roman"/>
          <w:b/>
          <w:sz w:val="24"/>
          <w:szCs w:val="24"/>
        </w:rPr>
      </w:pPr>
      <w:r w:rsidRPr="0080737A">
        <w:rPr>
          <w:rFonts w:ascii="Times New Roman" w:hAnsi="Times New Roman"/>
          <w:b/>
          <w:sz w:val="24"/>
          <w:szCs w:val="24"/>
        </w:rPr>
        <w:t xml:space="preserve">Посевные площади озимых и яровых культур под урожай 2016 года </w:t>
      </w:r>
    </w:p>
    <w:p w:rsidR="0098695D" w:rsidRPr="0080737A" w:rsidRDefault="0098695D" w:rsidP="0098695D">
      <w:pPr>
        <w:spacing w:after="0" w:line="240" w:lineRule="auto"/>
        <w:jc w:val="center"/>
        <w:rPr>
          <w:rFonts w:ascii="Times New Roman" w:hAnsi="Times New Roman"/>
          <w:b/>
          <w:sz w:val="24"/>
          <w:szCs w:val="24"/>
        </w:rPr>
      </w:pPr>
      <w:r w:rsidRPr="0080737A">
        <w:rPr>
          <w:rFonts w:ascii="Times New Roman" w:hAnsi="Times New Roman"/>
          <w:b/>
          <w:sz w:val="24"/>
          <w:szCs w:val="24"/>
        </w:rPr>
        <w:t>в хозяйствах всех категорий (без учёта хозяйств населения)</w:t>
      </w:r>
    </w:p>
    <w:tbl>
      <w:tblPr>
        <w:tblW w:w="94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0"/>
        <w:gridCol w:w="977"/>
        <w:gridCol w:w="1287"/>
        <w:gridCol w:w="915"/>
        <w:gridCol w:w="6"/>
        <w:gridCol w:w="1351"/>
        <w:gridCol w:w="1435"/>
      </w:tblGrid>
      <w:tr w:rsidR="0098695D" w:rsidRPr="0080737A" w:rsidTr="006808A1">
        <w:trPr>
          <w:trHeight w:val="258"/>
        </w:trPr>
        <w:tc>
          <w:tcPr>
            <w:tcW w:w="3430" w:type="dxa"/>
            <w:vMerge w:val="restart"/>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Культуры</w:t>
            </w:r>
          </w:p>
        </w:tc>
        <w:tc>
          <w:tcPr>
            <w:tcW w:w="4536" w:type="dxa"/>
            <w:gridSpan w:val="5"/>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Посевные площади, тыс. га</w:t>
            </w:r>
          </w:p>
        </w:tc>
        <w:tc>
          <w:tcPr>
            <w:tcW w:w="1435" w:type="dxa"/>
            <w:vMerge w:val="restart"/>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ind w:left="-141"/>
              <w:jc w:val="center"/>
              <w:rPr>
                <w:rFonts w:ascii="Times New Roman" w:hAnsi="Times New Roman"/>
                <w:b/>
                <w:bCs/>
                <w:sz w:val="21"/>
                <w:szCs w:val="21"/>
              </w:rPr>
            </w:pPr>
            <w:r w:rsidRPr="0080737A">
              <w:rPr>
                <w:rFonts w:ascii="Times New Roman" w:hAnsi="Times New Roman"/>
                <w:b/>
                <w:bCs/>
                <w:sz w:val="21"/>
                <w:szCs w:val="21"/>
              </w:rPr>
              <w:t xml:space="preserve">Темп роста    2016 г. </w:t>
            </w:r>
            <w:proofErr w:type="gramStart"/>
            <w:r w:rsidRPr="0080737A">
              <w:rPr>
                <w:rFonts w:ascii="Times New Roman" w:hAnsi="Times New Roman"/>
                <w:b/>
                <w:bCs/>
                <w:sz w:val="21"/>
                <w:szCs w:val="21"/>
              </w:rPr>
              <w:t>к</w:t>
            </w:r>
            <w:proofErr w:type="gramEnd"/>
          </w:p>
          <w:p w:rsidR="0098695D" w:rsidRPr="0080737A" w:rsidRDefault="0098695D" w:rsidP="006808A1">
            <w:pPr>
              <w:tabs>
                <w:tab w:val="left" w:pos="4140"/>
                <w:tab w:val="left" w:pos="6173"/>
              </w:tabs>
              <w:spacing w:after="0" w:line="240" w:lineRule="auto"/>
              <w:ind w:left="-141"/>
              <w:jc w:val="center"/>
              <w:rPr>
                <w:rFonts w:ascii="Times New Roman" w:hAnsi="Times New Roman"/>
                <w:b/>
                <w:sz w:val="21"/>
                <w:szCs w:val="21"/>
              </w:rPr>
            </w:pPr>
            <w:r w:rsidRPr="0080737A">
              <w:rPr>
                <w:rFonts w:ascii="Times New Roman" w:hAnsi="Times New Roman"/>
                <w:b/>
                <w:bCs/>
                <w:sz w:val="21"/>
                <w:szCs w:val="21"/>
              </w:rPr>
              <w:t>2015 г., %</w:t>
            </w:r>
          </w:p>
        </w:tc>
      </w:tr>
      <w:tr w:rsidR="0098695D" w:rsidRPr="0080737A" w:rsidTr="006808A1">
        <w:trPr>
          <w:trHeight w:val="136"/>
        </w:trPr>
        <w:tc>
          <w:tcPr>
            <w:tcW w:w="3430" w:type="dxa"/>
            <w:vMerge/>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0" w:line="240" w:lineRule="auto"/>
              <w:rPr>
                <w:rFonts w:ascii="Times New Roman" w:hAnsi="Times New Roman"/>
                <w:b/>
                <w:sz w:val="21"/>
                <w:szCs w:val="21"/>
              </w:rPr>
            </w:pPr>
          </w:p>
        </w:tc>
        <w:tc>
          <w:tcPr>
            <w:tcW w:w="97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ind w:left="-109"/>
              <w:jc w:val="center"/>
              <w:rPr>
                <w:rFonts w:ascii="Times New Roman" w:hAnsi="Times New Roman"/>
                <w:b/>
                <w:sz w:val="21"/>
                <w:szCs w:val="21"/>
              </w:rPr>
            </w:pPr>
            <w:r w:rsidRPr="0080737A">
              <w:rPr>
                <w:rFonts w:ascii="Times New Roman" w:hAnsi="Times New Roman"/>
                <w:b/>
                <w:sz w:val="21"/>
                <w:szCs w:val="21"/>
              </w:rPr>
              <w:t>2015</w:t>
            </w:r>
          </w:p>
          <w:p w:rsidR="0098695D" w:rsidRPr="0080737A" w:rsidRDefault="0098695D" w:rsidP="006808A1">
            <w:pPr>
              <w:tabs>
                <w:tab w:val="left" w:pos="4140"/>
                <w:tab w:val="left" w:pos="6173"/>
              </w:tabs>
              <w:spacing w:after="0" w:line="240" w:lineRule="auto"/>
              <w:ind w:left="-109"/>
              <w:jc w:val="center"/>
              <w:rPr>
                <w:rFonts w:ascii="Times New Roman" w:hAnsi="Times New Roman"/>
                <w:b/>
                <w:sz w:val="21"/>
                <w:szCs w:val="21"/>
              </w:rPr>
            </w:pPr>
            <w:r w:rsidRPr="0080737A">
              <w:rPr>
                <w:rFonts w:ascii="Times New Roman" w:hAnsi="Times New Roman"/>
                <w:b/>
                <w:sz w:val="21"/>
                <w:szCs w:val="21"/>
              </w:rPr>
              <w:t>год</w:t>
            </w:r>
          </w:p>
        </w:tc>
        <w:tc>
          <w:tcPr>
            <w:tcW w:w="128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Удельный вес, %</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ind w:left="-109"/>
              <w:jc w:val="center"/>
              <w:rPr>
                <w:rFonts w:ascii="Times New Roman" w:hAnsi="Times New Roman"/>
                <w:b/>
                <w:sz w:val="21"/>
                <w:szCs w:val="21"/>
              </w:rPr>
            </w:pPr>
            <w:r w:rsidRPr="0080737A">
              <w:rPr>
                <w:rFonts w:ascii="Times New Roman" w:hAnsi="Times New Roman"/>
                <w:b/>
                <w:sz w:val="21"/>
                <w:szCs w:val="21"/>
              </w:rPr>
              <w:t>2016</w:t>
            </w:r>
          </w:p>
          <w:p w:rsidR="0098695D" w:rsidRPr="0080737A" w:rsidRDefault="0098695D" w:rsidP="006808A1">
            <w:pPr>
              <w:tabs>
                <w:tab w:val="left" w:pos="4140"/>
                <w:tab w:val="left" w:pos="6173"/>
              </w:tabs>
              <w:spacing w:after="0" w:line="240" w:lineRule="auto"/>
              <w:ind w:left="-109"/>
              <w:jc w:val="center"/>
              <w:rPr>
                <w:rFonts w:ascii="Times New Roman" w:hAnsi="Times New Roman"/>
                <w:b/>
                <w:sz w:val="21"/>
                <w:szCs w:val="21"/>
              </w:rPr>
            </w:pPr>
            <w:r w:rsidRPr="0080737A">
              <w:rPr>
                <w:rFonts w:ascii="Times New Roman" w:hAnsi="Times New Roman"/>
                <w:b/>
                <w:sz w:val="21"/>
                <w:szCs w:val="21"/>
              </w:rPr>
              <w:t>год</w:t>
            </w:r>
          </w:p>
        </w:tc>
        <w:tc>
          <w:tcPr>
            <w:tcW w:w="1351"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Удельный вес, %</w:t>
            </w:r>
          </w:p>
        </w:tc>
        <w:tc>
          <w:tcPr>
            <w:tcW w:w="1435" w:type="dxa"/>
            <w:vMerge/>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120" w:line="480" w:lineRule="auto"/>
              <w:ind w:left="283"/>
              <w:rPr>
                <w:rFonts w:ascii="Times New Roman" w:hAnsi="Times New Roman"/>
                <w:b/>
                <w:sz w:val="21"/>
                <w:szCs w:val="21"/>
              </w:rPr>
            </w:pPr>
          </w:p>
        </w:tc>
      </w:tr>
      <w:tr w:rsidR="0098695D" w:rsidRPr="0080737A" w:rsidTr="006808A1">
        <w:trPr>
          <w:trHeight w:val="136"/>
        </w:trPr>
        <w:tc>
          <w:tcPr>
            <w:tcW w:w="3430" w:type="dxa"/>
            <w:tcBorders>
              <w:top w:val="single" w:sz="4" w:space="0" w:color="auto"/>
              <w:left w:val="single" w:sz="4" w:space="0" w:color="auto"/>
              <w:bottom w:val="single" w:sz="4" w:space="0" w:color="auto"/>
              <w:right w:val="single" w:sz="4" w:space="0" w:color="auto"/>
            </w:tcBorders>
          </w:tcPr>
          <w:p w:rsidR="0098695D" w:rsidRPr="0080737A" w:rsidRDefault="0098695D" w:rsidP="006808A1">
            <w:pPr>
              <w:tabs>
                <w:tab w:val="left" w:pos="4140"/>
                <w:tab w:val="left" w:pos="6173"/>
              </w:tabs>
              <w:spacing w:after="0" w:line="240" w:lineRule="auto"/>
              <w:jc w:val="both"/>
              <w:rPr>
                <w:rFonts w:ascii="Times New Roman" w:hAnsi="Times New Roman"/>
                <w:sz w:val="21"/>
                <w:szCs w:val="21"/>
              </w:rPr>
            </w:pPr>
            <w:r w:rsidRPr="0080737A">
              <w:rPr>
                <w:rFonts w:ascii="Times New Roman" w:hAnsi="Times New Roman"/>
                <w:sz w:val="21"/>
                <w:szCs w:val="21"/>
              </w:rPr>
              <w:t>Зерновые и зернобобовые культуры</w:t>
            </w:r>
          </w:p>
        </w:tc>
        <w:tc>
          <w:tcPr>
            <w:tcW w:w="97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116,9</w:t>
            </w:r>
          </w:p>
        </w:tc>
        <w:tc>
          <w:tcPr>
            <w:tcW w:w="128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61,4</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123,3</w:t>
            </w:r>
          </w:p>
        </w:tc>
        <w:tc>
          <w:tcPr>
            <w:tcW w:w="1351"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63,2</w:t>
            </w:r>
          </w:p>
        </w:tc>
        <w:tc>
          <w:tcPr>
            <w:tcW w:w="1435"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0" w:line="240" w:lineRule="auto"/>
              <w:jc w:val="center"/>
              <w:rPr>
                <w:rFonts w:ascii="Times New Roman" w:hAnsi="Times New Roman"/>
                <w:sz w:val="21"/>
                <w:szCs w:val="21"/>
              </w:rPr>
            </w:pPr>
            <w:r w:rsidRPr="0080737A">
              <w:rPr>
                <w:rFonts w:ascii="Times New Roman" w:hAnsi="Times New Roman"/>
                <w:sz w:val="21"/>
                <w:szCs w:val="21"/>
              </w:rPr>
              <w:t>105,5</w:t>
            </w:r>
          </w:p>
        </w:tc>
      </w:tr>
      <w:tr w:rsidR="0098695D" w:rsidRPr="0080737A" w:rsidTr="006808A1">
        <w:trPr>
          <w:trHeight w:val="136"/>
        </w:trPr>
        <w:tc>
          <w:tcPr>
            <w:tcW w:w="3430" w:type="dxa"/>
            <w:tcBorders>
              <w:top w:val="single" w:sz="4" w:space="0" w:color="auto"/>
              <w:left w:val="single" w:sz="4" w:space="0" w:color="auto"/>
              <w:bottom w:val="single" w:sz="4" w:space="0" w:color="auto"/>
              <w:right w:val="single" w:sz="4" w:space="0" w:color="auto"/>
            </w:tcBorders>
          </w:tcPr>
          <w:p w:rsidR="0098695D" w:rsidRPr="0080737A" w:rsidRDefault="0098695D" w:rsidP="006808A1">
            <w:pPr>
              <w:tabs>
                <w:tab w:val="left" w:pos="4140"/>
                <w:tab w:val="left" w:pos="6173"/>
              </w:tabs>
              <w:spacing w:after="0" w:line="240" w:lineRule="auto"/>
              <w:jc w:val="both"/>
              <w:rPr>
                <w:rFonts w:ascii="Times New Roman" w:hAnsi="Times New Roman"/>
                <w:sz w:val="21"/>
                <w:szCs w:val="21"/>
              </w:rPr>
            </w:pPr>
            <w:r w:rsidRPr="0080737A">
              <w:rPr>
                <w:rFonts w:ascii="Times New Roman" w:hAnsi="Times New Roman"/>
                <w:sz w:val="21"/>
                <w:szCs w:val="21"/>
              </w:rPr>
              <w:t>Технические культуры</w:t>
            </w:r>
          </w:p>
        </w:tc>
        <w:tc>
          <w:tcPr>
            <w:tcW w:w="97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63,4</w:t>
            </w:r>
          </w:p>
        </w:tc>
        <w:tc>
          <w:tcPr>
            <w:tcW w:w="128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33,3</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63,1</w:t>
            </w:r>
          </w:p>
        </w:tc>
        <w:tc>
          <w:tcPr>
            <w:tcW w:w="1351"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32,3</w:t>
            </w:r>
          </w:p>
        </w:tc>
        <w:tc>
          <w:tcPr>
            <w:tcW w:w="1435"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0" w:line="240" w:lineRule="auto"/>
              <w:jc w:val="center"/>
              <w:rPr>
                <w:rFonts w:ascii="Times New Roman" w:hAnsi="Times New Roman"/>
                <w:sz w:val="21"/>
                <w:szCs w:val="21"/>
              </w:rPr>
            </w:pPr>
            <w:r w:rsidRPr="0080737A">
              <w:rPr>
                <w:rFonts w:ascii="Times New Roman" w:hAnsi="Times New Roman"/>
                <w:sz w:val="21"/>
                <w:szCs w:val="21"/>
              </w:rPr>
              <w:t>99,5</w:t>
            </w:r>
          </w:p>
        </w:tc>
      </w:tr>
      <w:tr w:rsidR="0098695D" w:rsidRPr="0080737A" w:rsidTr="006808A1">
        <w:trPr>
          <w:trHeight w:val="136"/>
        </w:trPr>
        <w:tc>
          <w:tcPr>
            <w:tcW w:w="3430" w:type="dxa"/>
            <w:tcBorders>
              <w:top w:val="single" w:sz="4" w:space="0" w:color="auto"/>
              <w:left w:val="single" w:sz="4" w:space="0" w:color="auto"/>
              <w:bottom w:val="single" w:sz="4" w:space="0" w:color="auto"/>
              <w:right w:val="single" w:sz="4" w:space="0" w:color="auto"/>
            </w:tcBorders>
          </w:tcPr>
          <w:p w:rsidR="0098695D" w:rsidRPr="0080737A" w:rsidRDefault="0098695D" w:rsidP="006808A1">
            <w:pPr>
              <w:tabs>
                <w:tab w:val="left" w:pos="4140"/>
                <w:tab w:val="left" w:pos="6173"/>
              </w:tabs>
              <w:spacing w:after="0" w:line="240" w:lineRule="auto"/>
              <w:jc w:val="both"/>
              <w:rPr>
                <w:rFonts w:ascii="Times New Roman" w:hAnsi="Times New Roman"/>
                <w:sz w:val="21"/>
                <w:szCs w:val="21"/>
              </w:rPr>
            </w:pPr>
            <w:r w:rsidRPr="0080737A">
              <w:rPr>
                <w:rFonts w:ascii="Times New Roman" w:hAnsi="Times New Roman"/>
                <w:sz w:val="21"/>
                <w:szCs w:val="21"/>
              </w:rPr>
              <w:t>Картофель, овощи и бахчевые    культуры</w:t>
            </w:r>
          </w:p>
        </w:tc>
        <w:tc>
          <w:tcPr>
            <w:tcW w:w="97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2,2</w:t>
            </w:r>
          </w:p>
        </w:tc>
        <w:tc>
          <w:tcPr>
            <w:tcW w:w="128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ind w:left="-44" w:hanging="138"/>
              <w:jc w:val="center"/>
              <w:rPr>
                <w:rFonts w:ascii="Times New Roman" w:hAnsi="Times New Roman"/>
                <w:sz w:val="21"/>
                <w:szCs w:val="21"/>
              </w:rPr>
            </w:pPr>
            <w:r w:rsidRPr="0080737A">
              <w:rPr>
                <w:rFonts w:ascii="Times New Roman" w:hAnsi="Times New Roman"/>
                <w:sz w:val="21"/>
                <w:szCs w:val="21"/>
              </w:rPr>
              <w:t>1,2</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2,6</w:t>
            </w:r>
          </w:p>
        </w:tc>
        <w:tc>
          <w:tcPr>
            <w:tcW w:w="1351"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506"/>
                <w:tab w:val="left" w:pos="4140"/>
                <w:tab w:val="left" w:pos="6173"/>
              </w:tabs>
              <w:spacing w:after="0" w:line="240" w:lineRule="auto"/>
              <w:ind w:left="-44" w:hanging="138"/>
              <w:jc w:val="center"/>
              <w:rPr>
                <w:rFonts w:ascii="Times New Roman" w:hAnsi="Times New Roman"/>
                <w:sz w:val="21"/>
                <w:szCs w:val="21"/>
              </w:rPr>
            </w:pPr>
            <w:r w:rsidRPr="0080737A">
              <w:rPr>
                <w:rFonts w:ascii="Times New Roman" w:hAnsi="Times New Roman"/>
                <w:sz w:val="21"/>
                <w:szCs w:val="21"/>
              </w:rPr>
              <w:t xml:space="preserve">   1,3</w:t>
            </w:r>
          </w:p>
        </w:tc>
        <w:tc>
          <w:tcPr>
            <w:tcW w:w="1435"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0" w:line="240" w:lineRule="auto"/>
              <w:jc w:val="center"/>
              <w:rPr>
                <w:rFonts w:ascii="Times New Roman" w:hAnsi="Times New Roman"/>
                <w:sz w:val="21"/>
                <w:szCs w:val="21"/>
              </w:rPr>
            </w:pPr>
            <w:r w:rsidRPr="0080737A">
              <w:rPr>
                <w:rFonts w:ascii="Times New Roman" w:hAnsi="Times New Roman"/>
                <w:sz w:val="21"/>
                <w:szCs w:val="21"/>
              </w:rPr>
              <w:t>118,2</w:t>
            </w:r>
          </w:p>
        </w:tc>
      </w:tr>
      <w:tr w:rsidR="0098695D" w:rsidRPr="0080737A" w:rsidTr="006808A1">
        <w:trPr>
          <w:trHeight w:val="136"/>
        </w:trPr>
        <w:tc>
          <w:tcPr>
            <w:tcW w:w="3430" w:type="dxa"/>
            <w:tcBorders>
              <w:top w:val="single" w:sz="4" w:space="0" w:color="auto"/>
              <w:left w:val="single" w:sz="4" w:space="0" w:color="auto"/>
              <w:bottom w:val="single" w:sz="4" w:space="0" w:color="auto"/>
              <w:right w:val="single" w:sz="4" w:space="0" w:color="auto"/>
            </w:tcBorders>
          </w:tcPr>
          <w:p w:rsidR="0098695D" w:rsidRPr="0080737A" w:rsidRDefault="0098695D" w:rsidP="006808A1">
            <w:pPr>
              <w:tabs>
                <w:tab w:val="left" w:pos="4140"/>
                <w:tab w:val="left" w:pos="6173"/>
              </w:tabs>
              <w:spacing w:after="0" w:line="240" w:lineRule="auto"/>
              <w:jc w:val="both"/>
              <w:rPr>
                <w:rFonts w:ascii="Times New Roman" w:hAnsi="Times New Roman"/>
                <w:sz w:val="21"/>
                <w:szCs w:val="21"/>
              </w:rPr>
            </w:pPr>
            <w:r w:rsidRPr="0080737A">
              <w:rPr>
                <w:rFonts w:ascii="Times New Roman" w:hAnsi="Times New Roman"/>
                <w:sz w:val="21"/>
                <w:szCs w:val="21"/>
              </w:rPr>
              <w:t>Кормовые культуры</w:t>
            </w:r>
          </w:p>
        </w:tc>
        <w:tc>
          <w:tcPr>
            <w:tcW w:w="97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7,9</w:t>
            </w:r>
          </w:p>
        </w:tc>
        <w:tc>
          <w:tcPr>
            <w:tcW w:w="128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4,1</w:t>
            </w:r>
          </w:p>
        </w:tc>
        <w:tc>
          <w:tcPr>
            <w:tcW w:w="915"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6,2</w:t>
            </w:r>
          </w:p>
        </w:tc>
        <w:tc>
          <w:tcPr>
            <w:tcW w:w="1357" w:type="dxa"/>
            <w:gridSpan w:val="2"/>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sz w:val="21"/>
                <w:szCs w:val="21"/>
              </w:rPr>
            </w:pPr>
            <w:r w:rsidRPr="0080737A">
              <w:rPr>
                <w:rFonts w:ascii="Times New Roman" w:hAnsi="Times New Roman"/>
                <w:sz w:val="21"/>
                <w:szCs w:val="21"/>
              </w:rPr>
              <w:t>3,2</w:t>
            </w:r>
          </w:p>
        </w:tc>
        <w:tc>
          <w:tcPr>
            <w:tcW w:w="1435"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0" w:line="240" w:lineRule="auto"/>
              <w:jc w:val="center"/>
              <w:rPr>
                <w:rFonts w:ascii="Times New Roman" w:hAnsi="Times New Roman"/>
                <w:sz w:val="21"/>
                <w:szCs w:val="21"/>
              </w:rPr>
            </w:pPr>
            <w:r w:rsidRPr="0080737A">
              <w:rPr>
                <w:rFonts w:ascii="Times New Roman" w:hAnsi="Times New Roman"/>
                <w:sz w:val="21"/>
                <w:szCs w:val="21"/>
              </w:rPr>
              <w:t>78,5</w:t>
            </w:r>
          </w:p>
        </w:tc>
      </w:tr>
      <w:tr w:rsidR="0098695D" w:rsidRPr="0080737A" w:rsidTr="006808A1">
        <w:trPr>
          <w:trHeight w:val="136"/>
        </w:trPr>
        <w:tc>
          <w:tcPr>
            <w:tcW w:w="3430"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0" w:line="240" w:lineRule="auto"/>
              <w:rPr>
                <w:rFonts w:ascii="Times New Roman" w:hAnsi="Times New Roman"/>
                <w:b/>
                <w:sz w:val="21"/>
                <w:szCs w:val="21"/>
              </w:rPr>
            </w:pPr>
            <w:r w:rsidRPr="0080737A">
              <w:rPr>
                <w:rFonts w:ascii="Times New Roman" w:hAnsi="Times New Roman"/>
                <w:b/>
                <w:sz w:val="21"/>
                <w:szCs w:val="21"/>
              </w:rPr>
              <w:t>Вся посевная площадь</w:t>
            </w:r>
          </w:p>
        </w:tc>
        <w:tc>
          <w:tcPr>
            <w:tcW w:w="97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190,4</w:t>
            </w:r>
          </w:p>
        </w:tc>
        <w:tc>
          <w:tcPr>
            <w:tcW w:w="128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100,0</w:t>
            </w:r>
          </w:p>
        </w:tc>
        <w:tc>
          <w:tcPr>
            <w:tcW w:w="915"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195,2</w:t>
            </w:r>
          </w:p>
        </w:tc>
        <w:tc>
          <w:tcPr>
            <w:tcW w:w="1357" w:type="dxa"/>
            <w:gridSpan w:val="2"/>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100,0</w:t>
            </w:r>
          </w:p>
        </w:tc>
        <w:tc>
          <w:tcPr>
            <w:tcW w:w="1435"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0" w:line="240" w:lineRule="auto"/>
              <w:jc w:val="center"/>
              <w:rPr>
                <w:rFonts w:ascii="Times New Roman" w:hAnsi="Times New Roman"/>
                <w:b/>
                <w:sz w:val="21"/>
                <w:szCs w:val="21"/>
              </w:rPr>
            </w:pPr>
            <w:r w:rsidRPr="0080737A">
              <w:rPr>
                <w:rFonts w:ascii="Times New Roman" w:hAnsi="Times New Roman"/>
                <w:b/>
                <w:sz w:val="21"/>
                <w:szCs w:val="21"/>
              </w:rPr>
              <w:t>102,5</w:t>
            </w:r>
          </w:p>
        </w:tc>
      </w:tr>
      <w:tr w:rsidR="0098695D" w:rsidRPr="0080737A" w:rsidTr="006808A1">
        <w:trPr>
          <w:trHeight w:val="136"/>
        </w:trPr>
        <w:tc>
          <w:tcPr>
            <w:tcW w:w="3430" w:type="dxa"/>
            <w:tcBorders>
              <w:top w:val="single" w:sz="4" w:space="0" w:color="auto"/>
              <w:left w:val="single" w:sz="4" w:space="0" w:color="auto"/>
              <w:bottom w:val="single" w:sz="4" w:space="0" w:color="auto"/>
              <w:right w:val="single" w:sz="4" w:space="0" w:color="auto"/>
            </w:tcBorders>
          </w:tcPr>
          <w:p w:rsidR="0098695D" w:rsidRPr="0080737A" w:rsidRDefault="0098695D" w:rsidP="006808A1">
            <w:pPr>
              <w:tabs>
                <w:tab w:val="left" w:pos="4140"/>
                <w:tab w:val="left" w:pos="6173"/>
              </w:tabs>
              <w:spacing w:after="0" w:line="240" w:lineRule="auto"/>
              <w:rPr>
                <w:rFonts w:ascii="Times New Roman" w:hAnsi="Times New Roman"/>
                <w:b/>
                <w:sz w:val="21"/>
                <w:szCs w:val="21"/>
              </w:rPr>
            </w:pPr>
            <w:r w:rsidRPr="0080737A">
              <w:rPr>
                <w:rFonts w:ascii="Times New Roman" w:hAnsi="Times New Roman"/>
                <w:b/>
                <w:sz w:val="21"/>
                <w:szCs w:val="21"/>
              </w:rPr>
              <w:t>Площадь пашни</w:t>
            </w:r>
          </w:p>
        </w:tc>
        <w:tc>
          <w:tcPr>
            <w:tcW w:w="97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204,4</w:t>
            </w:r>
          </w:p>
        </w:tc>
        <w:tc>
          <w:tcPr>
            <w:tcW w:w="1287"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203,0</w:t>
            </w:r>
          </w:p>
        </w:tc>
        <w:tc>
          <w:tcPr>
            <w:tcW w:w="1351"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tabs>
                <w:tab w:val="left" w:pos="4140"/>
                <w:tab w:val="left" w:pos="6173"/>
              </w:tabs>
              <w:spacing w:after="0" w:line="240" w:lineRule="auto"/>
              <w:jc w:val="center"/>
              <w:rPr>
                <w:rFonts w:ascii="Times New Roman" w:hAnsi="Times New Roman"/>
                <w:b/>
                <w:sz w:val="21"/>
                <w:szCs w:val="21"/>
              </w:rPr>
            </w:pPr>
            <w:r w:rsidRPr="0080737A">
              <w:rPr>
                <w:rFonts w:ascii="Times New Roman" w:hAnsi="Times New Roman"/>
                <w:b/>
                <w:sz w:val="21"/>
                <w:szCs w:val="21"/>
              </w:rPr>
              <w:t>-</w:t>
            </w:r>
          </w:p>
        </w:tc>
        <w:tc>
          <w:tcPr>
            <w:tcW w:w="1435" w:type="dxa"/>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0" w:line="240" w:lineRule="auto"/>
              <w:jc w:val="center"/>
              <w:rPr>
                <w:rFonts w:ascii="Times New Roman" w:hAnsi="Times New Roman"/>
                <w:b/>
                <w:sz w:val="21"/>
                <w:szCs w:val="21"/>
              </w:rPr>
            </w:pPr>
            <w:r w:rsidRPr="0080737A">
              <w:rPr>
                <w:rFonts w:ascii="Times New Roman" w:hAnsi="Times New Roman"/>
                <w:b/>
                <w:sz w:val="21"/>
                <w:szCs w:val="21"/>
              </w:rPr>
              <w:t>99,3</w:t>
            </w:r>
          </w:p>
        </w:tc>
      </w:tr>
    </w:tbl>
    <w:p w:rsidR="0098695D" w:rsidRPr="0080737A" w:rsidRDefault="0098695D" w:rsidP="0098695D">
      <w:pPr>
        <w:tabs>
          <w:tab w:val="left" w:pos="8080"/>
        </w:tabs>
        <w:spacing w:after="0" w:line="240" w:lineRule="auto"/>
        <w:ind w:right="-1" w:firstLine="709"/>
        <w:jc w:val="both"/>
        <w:rPr>
          <w:rFonts w:ascii="Times New Roman" w:hAnsi="Times New Roman"/>
          <w:sz w:val="24"/>
          <w:szCs w:val="24"/>
        </w:rPr>
      </w:pPr>
    </w:p>
    <w:p w:rsidR="0098695D" w:rsidRPr="0080737A" w:rsidRDefault="0098695D" w:rsidP="0098695D">
      <w:pPr>
        <w:suppressAutoHyphens/>
        <w:spacing w:after="0" w:line="240" w:lineRule="auto"/>
        <w:ind w:firstLine="709"/>
        <w:jc w:val="both"/>
        <w:rPr>
          <w:rFonts w:ascii="Times New Roman" w:hAnsi="Times New Roman"/>
          <w:color w:val="000000"/>
          <w:sz w:val="24"/>
          <w:szCs w:val="24"/>
        </w:rPr>
      </w:pPr>
      <w:r w:rsidRPr="0080737A">
        <w:rPr>
          <w:rFonts w:ascii="Times New Roman" w:hAnsi="Times New Roman"/>
          <w:sz w:val="24"/>
          <w:szCs w:val="24"/>
        </w:rPr>
        <w:t xml:space="preserve">По состоянию на 12 августа текущего года уборка зерновых первой группы в республике практически завершена, убрано 95,7% площади. </w:t>
      </w:r>
      <w:proofErr w:type="gramStart"/>
      <w:r w:rsidRPr="0080737A">
        <w:rPr>
          <w:rFonts w:ascii="Times New Roman" w:hAnsi="Times New Roman"/>
          <w:sz w:val="24"/>
          <w:szCs w:val="24"/>
        </w:rPr>
        <w:t xml:space="preserve">По данным Министерства </w:t>
      </w:r>
      <w:r w:rsidRPr="0080737A">
        <w:rPr>
          <w:rFonts w:ascii="Times New Roman" w:hAnsi="Times New Roman"/>
          <w:sz w:val="24"/>
          <w:szCs w:val="24"/>
        </w:rPr>
        <w:lastRenderedPageBreak/>
        <w:t xml:space="preserve">сельского хозяйства и природных ресурсов Приднестровской Молдавской Республики, валовой сбор зерновых и зернобобовых культур первой группы составил 433,2 тыс. тонн (131,9% к аналогичной дате 2015 года), в том числе озимой пшеницы – 351,1 тыс. тонн (133,4% к аналогичной дате 2015 года. </w:t>
      </w:r>
      <w:proofErr w:type="gramEnd"/>
    </w:p>
    <w:p w:rsidR="0098695D" w:rsidRPr="0080737A" w:rsidRDefault="0098695D" w:rsidP="0098695D">
      <w:pPr>
        <w:spacing w:after="0" w:line="240" w:lineRule="auto"/>
        <w:ind w:firstLine="709"/>
        <w:jc w:val="both"/>
        <w:rPr>
          <w:rFonts w:ascii="Times New Roman" w:hAnsi="Times New Roman"/>
          <w:sz w:val="24"/>
          <w:szCs w:val="24"/>
        </w:rPr>
      </w:pPr>
      <w:r w:rsidRPr="0080737A">
        <w:rPr>
          <w:rFonts w:ascii="Times New Roman" w:hAnsi="Times New Roman"/>
          <w:color w:val="000000"/>
          <w:sz w:val="24"/>
          <w:szCs w:val="24"/>
        </w:rPr>
        <w:t xml:space="preserve">Средняя урожайность зерновых культур составила 42,7 </w:t>
      </w:r>
      <w:proofErr w:type="spellStart"/>
      <w:r w:rsidRPr="0080737A">
        <w:rPr>
          <w:rFonts w:ascii="Times New Roman" w:hAnsi="Times New Roman"/>
          <w:color w:val="000000"/>
          <w:sz w:val="24"/>
          <w:szCs w:val="24"/>
        </w:rPr>
        <w:t>ц</w:t>
      </w:r>
      <w:proofErr w:type="spellEnd"/>
      <w:r w:rsidRPr="0080737A">
        <w:rPr>
          <w:rFonts w:ascii="Times New Roman" w:hAnsi="Times New Roman"/>
          <w:color w:val="000000"/>
          <w:sz w:val="24"/>
          <w:szCs w:val="24"/>
        </w:rPr>
        <w:t>/га, озимой пшеницы</w:t>
      </w:r>
      <w:r w:rsidRPr="0080737A">
        <w:rPr>
          <w:rFonts w:ascii="Times New Roman" w:hAnsi="Times New Roman"/>
          <w:color w:val="000000"/>
          <w:sz w:val="24"/>
          <w:szCs w:val="24"/>
        </w:rPr>
        <w:br/>
        <w:t xml:space="preserve">– 45,2 </w:t>
      </w:r>
      <w:proofErr w:type="spellStart"/>
      <w:r w:rsidRPr="0080737A">
        <w:rPr>
          <w:rFonts w:ascii="Times New Roman" w:hAnsi="Times New Roman"/>
          <w:color w:val="000000"/>
          <w:sz w:val="24"/>
          <w:szCs w:val="24"/>
        </w:rPr>
        <w:t>ц</w:t>
      </w:r>
      <w:proofErr w:type="spellEnd"/>
      <w:r w:rsidRPr="0080737A">
        <w:rPr>
          <w:rFonts w:ascii="Times New Roman" w:hAnsi="Times New Roman"/>
          <w:color w:val="000000"/>
          <w:sz w:val="24"/>
          <w:szCs w:val="24"/>
        </w:rPr>
        <w:t xml:space="preserve">/га против 35,4 </w:t>
      </w:r>
      <w:proofErr w:type="spellStart"/>
      <w:r w:rsidRPr="0080737A">
        <w:rPr>
          <w:rFonts w:ascii="Times New Roman" w:hAnsi="Times New Roman"/>
          <w:color w:val="000000"/>
          <w:sz w:val="24"/>
          <w:szCs w:val="24"/>
        </w:rPr>
        <w:t>ц</w:t>
      </w:r>
      <w:proofErr w:type="spellEnd"/>
      <w:r w:rsidRPr="0080737A">
        <w:rPr>
          <w:rFonts w:ascii="Times New Roman" w:hAnsi="Times New Roman"/>
          <w:color w:val="000000"/>
          <w:sz w:val="24"/>
          <w:szCs w:val="24"/>
        </w:rPr>
        <w:t xml:space="preserve">/га и 37,8 </w:t>
      </w:r>
      <w:proofErr w:type="spellStart"/>
      <w:r w:rsidRPr="0080737A">
        <w:rPr>
          <w:rFonts w:ascii="Times New Roman" w:hAnsi="Times New Roman"/>
          <w:color w:val="000000"/>
          <w:sz w:val="24"/>
          <w:szCs w:val="24"/>
        </w:rPr>
        <w:t>ц</w:t>
      </w:r>
      <w:proofErr w:type="spellEnd"/>
      <w:r w:rsidRPr="0080737A">
        <w:rPr>
          <w:rFonts w:ascii="Times New Roman" w:hAnsi="Times New Roman"/>
          <w:color w:val="000000"/>
          <w:sz w:val="24"/>
          <w:szCs w:val="24"/>
        </w:rPr>
        <w:t>/га в 2015 году соответственно.</w:t>
      </w:r>
    </w:p>
    <w:p w:rsidR="0098695D" w:rsidRPr="0080737A" w:rsidRDefault="0098695D" w:rsidP="0098695D">
      <w:pPr>
        <w:spacing w:after="0" w:line="240" w:lineRule="auto"/>
        <w:ind w:firstLine="709"/>
        <w:jc w:val="both"/>
        <w:rPr>
          <w:rFonts w:ascii="Times New Roman" w:hAnsi="Times New Roman"/>
          <w:sz w:val="24"/>
          <w:szCs w:val="24"/>
        </w:rPr>
      </w:pPr>
      <w:r w:rsidRPr="0080737A">
        <w:rPr>
          <w:rFonts w:ascii="Times New Roman" w:hAnsi="Times New Roman"/>
          <w:color w:val="000000"/>
          <w:sz w:val="24"/>
          <w:szCs w:val="24"/>
        </w:rPr>
        <w:t xml:space="preserve">Полученный урожай зерновых превысил рекордные показатели 2014 года на 94,0 тыс. тонн, а по озимой пшенице – на 86,6 тыс. тонн, что </w:t>
      </w:r>
      <w:r w:rsidRPr="0080737A">
        <w:rPr>
          <w:rFonts w:ascii="Times New Roman" w:hAnsi="Times New Roman"/>
          <w:sz w:val="24"/>
          <w:szCs w:val="24"/>
        </w:rPr>
        <w:t>позволяет полностью удовлетворить потребность республики в хлебе и обеспечить наличие переходящих запасов зерна.</w:t>
      </w:r>
    </w:p>
    <w:p w:rsidR="0098695D" w:rsidRPr="0080737A" w:rsidRDefault="005C2655" w:rsidP="0098695D">
      <w:pPr>
        <w:shd w:val="clear" w:color="auto" w:fill="FFFFFF"/>
        <w:tabs>
          <w:tab w:val="left" w:pos="7655"/>
        </w:tabs>
        <w:spacing w:after="0" w:line="240" w:lineRule="auto"/>
        <w:ind w:firstLine="709"/>
        <w:jc w:val="right"/>
        <w:rPr>
          <w:rFonts w:ascii="Times New Roman" w:hAnsi="Times New Roman"/>
          <w:sz w:val="24"/>
          <w:szCs w:val="24"/>
        </w:rPr>
      </w:pPr>
      <w:r w:rsidRPr="0080737A">
        <w:rPr>
          <w:rFonts w:ascii="Times New Roman" w:hAnsi="Times New Roman"/>
          <w:sz w:val="24"/>
          <w:szCs w:val="24"/>
        </w:rPr>
        <w:t>Таблица №11</w:t>
      </w:r>
    </w:p>
    <w:p w:rsidR="0098695D" w:rsidRPr="0080737A" w:rsidRDefault="0098695D" w:rsidP="0098695D">
      <w:pPr>
        <w:suppressAutoHyphens/>
        <w:spacing w:after="0" w:line="240" w:lineRule="auto"/>
        <w:jc w:val="center"/>
        <w:rPr>
          <w:rFonts w:ascii="Times New Roman" w:hAnsi="Times New Roman"/>
          <w:b/>
          <w:sz w:val="24"/>
          <w:szCs w:val="24"/>
        </w:rPr>
      </w:pPr>
      <w:r w:rsidRPr="0080737A">
        <w:rPr>
          <w:rFonts w:ascii="Times New Roman" w:hAnsi="Times New Roman"/>
          <w:b/>
          <w:sz w:val="24"/>
          <w:szCs w:val="24"/>
        </w:rPr>
        <w:t xml:space="preserve">Оперативная информация о валовом сборе зерновых и </w:t>
      </w:r>
    </w:p>
    <w:p w:rsidR="0098695D" w:rsidRPr="0080737A" w:rsidRDefault="0098695D" w:rsidP="0098695D">
      <w:pPr>
        <w:suppressAutoHyphens/>
        <w:spacing w:after="0" w:line="240" w:lineRule="auto"/>
        <w:jc w:val="center"/>
        <w:rPr>
          <w:rFonts w:ascii="Times New Roman" w:hAnsi="Times New Roman"/>
          <w:b/>
          <w:sz w:val="24"/>
          <w:szCs w:val="24"/>
        </w:rPr>
      </w:pPr>
      <w:r w:rsidRPr="0080737A">
        <w:rPr>
          <w:rFonts w:ascii="Times New Roman" w:hAnsi="Times New Roman"/>
          <w:b/>
          <w:sz w:val="24"/>
          <w:szCs w:val="24"/>
        </w:rPr>
        <w:t xml:space="preserve">зернобобовых культур первой группы всеми категориями хозяйств ПМР </w:t>
      </w:r>
    </w:p>
    <w:p w:rsidR="0098695D" w:rsidRPr="0080737A" w:rsidRDefault="0098695D" w:rsidP="0098695D">
      <w:pPr>
        <w:suppressAutoHyphens/>
        <w:spacing w:after="0" w:line="240" w:lineRule="auto"/>
        <w:jc w:val="center"/>
        <w:rPr>
          <w:rFonts w:ascii="Times New Roman" w:hAnsi="Times New Roman"/>
          <w:b/>
          <w:sz w:val="24"/>
          <w:szCs w:val="24"/>
        </w:rPr>
      </w:pPr>
      <w:r w:rsidRPr="0080737A">
        <w:rPr>
          <w:rFonts w:ascii="Times New Roman" w:hAnsi="Times New Roman"/>
          <w:b/>
          <w:sz w:val="24"/>
          <w:szCs w:val="24"/>
        </w:rPr>
        <w:t>по состоянию на 12 августа 2016 года</w:t>
      </w:r>
    </w:p>
    <w:tbl>
      <w:tblPr>
        <w:tblW w:w="9372" w:type="dxa"/>
        <w:tblInd w:w="250" w:type="dxa"/>
        <w:tblLayout w:type="fixed"/>
        <w:tblLook w:val="0000"/>
      </w:tblPr>
      <w:tblGrid>
        <w:gridCol w:w="2757"/>
        <w:gridCol w:w="1218"/>
        <w:gridCol w:w="994"/>
        <w:gridCol w:w="1136"/>
        <w:gridCol w:w="1136"/>
        <w:gridCol w:w="994"/>
        <w:gridCol w:w="1137"/>
      </w:tblGrid>
      <w:tr w:rsidR="0098695D" w:rsidRPr="0080737A" w:rsidTr="006808A1">
        <w:trPr>
          <w:trHeight w:val="273"/>
        </w:trPr>
        <w:tc>
          <w:tcPr>
            <w:tcW w:w="27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8695D" w:rsidRPr="0080737A" w:rsidRDefault="0098695D" w:rsidP="006808A1">
            <w:pPr>
              <w:spacing w:after="0" w:line="240" w:lineRule="auto"/>
              <w:jc w:val="center"/>
              <w:rPr>
                <w:rFonts w:ascii="Times New Roman" w:hAnsi="Times New Roman"/>
                <w:b/>
                <w:bCs/>
              </w:rPr>
            </w:pPr>
            <w:r w:rsidRPr="0080737A">
              <w:rPr>
                <w:rFonts w:ascii="Times New Roman" w:hAnsi="Times New Roman"/>
                <w:b/>
                <w:bCs/>
              </w:rPr>
              <w:t>Культуры</w:t>
            </w:r>
          </w:p>
        </w:tc>
        <w:tc>
          <w:tcPr>
            <w:tcW w:w="3347" w:type="dxa"/>
            <w:gridSpan w:val="3"/>
            <w:tcBorders>
              <w:top w:val="single" w:sz="4" w:space="0" w:color="auto"/>
              <w:left w:val="nil"/>
              <w:bottom w:val="single" w:sz="4" w:space="0" w:color="auto"/>
              <w:right w:val="single" w:sz="4" w:space="0" w:color="auto"/>
            </w:tcBorders>
            <w:shd w:val="clear" w:color="auto" w:fill="auto"/>
            <w:vAlign w:val="center"/>
          </w:tcPr>
          <w:p w:rsidR="0098695D" w:rsidRPr="0080737A" w:rsidRDefault="0098695D" w:rsidP="006808A1">
            <w:pPr>
              <w:spacing w:after="0" w:line="240" w:lineRule="auto"/>
              <w:jc w:val="center"/>
              <w:rPr>
                <w:rFonts w:ascii="Times New Roman" w:hAnsi="Times New Roman"/>
                <w:b/>
                <w:bCs/>
              </w:rPr>
            </w:pPr>
            <w:r w:rsidRPr="0080737A">
              <w:rPr>
                <w:rFonts w:ascii="Times New Roman" w:hAnsi="Times New Roman"/>
                <w:b/>
                <w:bCs/>
              </w:rPr>
              <w:t>Валовой сбор, тыс. тонн</w:t>
            </w:r>
          </w:p>
        </w:tc>
        <w:tc>
          <w:tcPr>
            <w:tcW w:w="3266" w:type="dxa"/>
            <w:gridSpan w:val="3"/>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ind w:left="-288"/>
              <w:jc w:val="center"/>
              <w:rPr>
                <w:rFonts w:ascii="Times New Roman" w:hAnsi="Times New Roman"/>
                <w:b/>
                <w:bCs/>
              </w:rPr>
            </w:pPr>
            <w:r w:rsidRPr="0080737A">
              <w:rPr>
                <w:rFonts w:ascii="Times New Roman" w:hAnsi="Times New Roman"/>
                <w:b/>
                <w:bCs/>
              </w:rPr>
              <w:t xml:space="preserve">Средняя урожайность, </w:t>
            </w:r>
            <w:proofErr w:type="spellStart"/>
            <w:r w:rsidRPr="0080737A">
              <w:rPr>
                <w:rFonts w:ascii="Times New Roman" w:hAnsi="Times New Roman"/>
                <w:b/>
                <w:bCs/>
              </w:rPr>
              <w:t>ц</w:t>
            </w:r>
            <w:proofErr w:type="spellEnd"/>
            <w:r w:rsidRPr="0080737A">
              <w:rPr>
                <w:rFonts w:ascii="Times New Roman" w:hAnsi="Times New Roman"/>
                <w:b/>
                <w:bCs/>
              </w:rPr>
              <w:t>/га</w:t>
            </w:r>
          </w:p>
        </w:tc>
      </w:tr>
      <w:tr w:rsidR="0098695D" w:rsidRPr="0080737A" w:rsidTr="006808A1">
        <w:trPr>
          <w:trHeight w:val="803"/>
        </w:trPr>
        <w:tc>
          <w:tcPr>
            <w:tcW w:w="2757" w:type="dxa"/>
            <w:vMerge/>
            <w:tcBorders>
              <w:top w:val="single" w:sz="4" w:space="0" w:color="auto"/>
              <w:left w:val="single" w:sz="4" w:space="0" w:color="auto"/>
              <w:bottom w:val="single" w:sz="4" w:space="0" w:color="auto"/>
              <w:right w:val="single" w:sz="4" w:space="0" w:color="auto"/>
            </w:tcBorders>
            <w:vAlign w:val="center"/>
          </w:tcPr>
          <w:p w:rsidR="0098695D" w:rsidRPr="0080737A" w:rsidRDefault="0098695D" w:rsidP="006808A1">
            <w:pPr>
              <w:spacing w:after="0" w:line="240" w:lineRule="auto"/>
              <w:rPr>
                <w:rFonts w:ascii="Times New Roman" w:hAnsi="Times New Roman"/>
                <w:b/>
                <w:bCs/>
              </w:rPr>
            </w:pPr>
          </w:p>
        </w:tc>
        <w:tc>
          <w:tcPr>
            <w:tcW w:w="1218" w:type="dxa"/>
            <w:tcBorders>
              <w:top w:val="nil"/>
              <w:left w:val="nil"/>
              <w:bottom w:val="single" w:sz="4" w:space="0" w:color="auto"/>
              <w:right w:val="single" w:sz="4" w:space="0" w:color="auto"/>
            </w:tcBorders>
            <w:shd w:val="clear" w:color="auto" w:fill="auto"/>
            <w:vAlign w:val="center"/>
          </w:tcPr>
          <w:p w:rsidR="0098695D" w:rsidRPr="0080737A" w:rsidRDefault="0098695D" w:rsidP="006808A1">
            <w:pPr>
              <w:spacing w:after="0" w:line="240" w:lineRule="auto"/>
              <w:ind w:left="-288"/>
              <w:jc w:val="center"/>
              <w:rPr>
                <w:rFonts w:ascii="Times New Roman" w:hAnsi="Times New Roman"/>
                <w:b/>
                <w:bCs/>
              </w:rPr>
            </w:pPr>
            <w:r w:rsidRPr="0080737A">
              <w:rPr>
                <w:rFonts w:ascii="Times New Roman" w:hAnsi="Times New Roman"/>
                <w:b/>
                <w:bCs/>
              </w:rPr>
              <w:t xml:space="preserve">2015  </w:t>
            </w:r>
          </w:p>
          <w:p w:rsidR="0098695D" w:rsidRPr="0080737A" w:rsidRDefault="0098695D" w:rsidP="006808A1">
            <w:pPr>
              <w:spacing w:after="0" w:line="240" w:lineRule="auto"/>
              <w:ind w:left="-288"/>
              <w:jc w:val="center"/>
              <w:rPr>
                <w:rFonts w:ascii="Times New Roman" w:hAnsi="Times New Roman"/>
                <w:b/>
                <w:bCs/>
              </w:rPr>
            </w:pPr>
            <w:r w:rsidRPr="0080737A">
              <w:rPr>
                <w:rFonts w:ascii="Times New Roman" w:hAnsi="Times New Roman"/>
                <w:b/>
                <w:bCs/>
              </w:rPr>
              <w:t>год</w:t>
            </w:r>
          </w:p>
        </w:tc>
        <w:tc>
          <w:tcPr>
            <w:tcW w:w="994" w:type="dxa"/>
            <w:tcBorders>
              <w:top w:val="nil"/>
              <w:left w:val="nil"/>
              <w:bottom w:val="single" w:sz="4" w:space="0" w:color="auto"/>
              <w:right w:val="single" w:sz="4" w:space="0" w:color="auto"/>
            </w:tcBorders>
            <w:shd w:val="clear" w:color="auto" w:fill="auto"/>
            <w:vAlign w:val="center"/>
          </w:tcPr>
          <w:p w:rsidR="0098695D" w:rsidRPr="0080737A" w:rsidRDefault="0098695D" w:rsidP="006808A1">
            <w:pPr>
              <w:spacing w:after="0" w:line="240" w:lineRule="auto"/>
              <w:ind w:left="-288"/>
              <w:jc w:val="center"/>
              <w:rPr>
                <w:rFonts w:ascii="Times New Roman" w:hAnsi="Times New Roman"/>
                <w:b/>
                <w:bCs/>
              </w:rPr>
            </w:pPr>
            <w:r w:rsidRPr="0080737A">
              <w:rPr>
                <w:rFonts w:ascii="Times New Roman" w:hAnsi="Times New Roman"/>
                <w:b/>
                <w:bCs/>
              </w:rPr>
              <w:t xml:space="preserve">2016  </w:t>
            </w:r>
          </w:p>
          <w:p w:rsidR="0098695D" w:rsidRPr="0080737A" w:rsidRDefault="0098695D" w:rsidP="006808A1">
            <w:pPr>
              <w:spacing w:after="0" w:line="240" w:lineRule="auto"/>
              <w:ind w:left="-288"/>
              <w:jc w:val="center"/>
              <w:rPr>
                <w:rFonts w:ascii="Times New Roman" w:hAnsi="Times New Roman"/>
                <w:b/>
                <w:bCs/>
              </w:rPr>
            </w:pPr>
            <w:r w:rsidRPr="0080737A">
              <w:rPr>
                <w:rFonts w:ascii="Times New Roman" w:hAnsi="Times New Roman"/>
                <w:b/>
                <w:bCs/>
              </w:rPr>
              <w:t>год</w:t>
            </w:r>
          </w:p>
        </w:tc>
        <w:tc>
          <w:tcPr>
            <w:tcW w:w="1136" w:type="dxa"/>
            <w:tcBorders>
              <w:top w:val="nil"/>
              <w:left w:val="nil"/>
              <w:bottom w:val="single" w:sz="4" w:space="0" w:color="auto"/>
              <w:right w:val="single" w:sz="4" w:space="0" w:color="auto"/>
            </w:tcBorders>
            <w:shd w:val="clear" w:color="auto" w:fill="auto"/>
            <w:vAlign w:val="center"/>
          </w:tcPr>
          <w:p w:rsidR="0098695D" w:rsidRPr="0080737A" w:rsidRDefault="0098695D" w:rsidP="006808A1">
            <w:pPr>
              <w:spacing w:after="0" w:line="240" w:lineRule="auto"/>
              <w:ind w:left="-108"/>
              <w:jc w:val="center"/>
              <w:rPr>
                <w:rFonts w:ascii="Times New Roman" w:hAnsi="Times New Roman"/>
                <w:b/>
                <w:bCs/>
              </w:rPr>
            </w:pPr>
            <w:r w:rsidRPr="0080737A">
              <w:rPr>
                <w:rFonts w:ascii="Times New Roman" w:hAnsi="Times New Roman"/>
                <w:b/>
                <w:bCs/>
              </w:rPr>
              <w:t xml:space="preserve">Темп роста </w:t>
            </w:r>
          </w:p>
          <w:p w:rsidR="0098695D" w:rsidRPr="0080737A" w:rsidRDefault="0098695D" w:rsidP="006808A1">
            <w:pPr>
              <w:spacing w:after="0" w:line="240" w:lineRule="auto"/>
              <w:ind w:left="-108"/>
              <w:jc w:val="center"/>
              <w:rPr>
                <w:rFonts w:ascii="Times New Roman" w:hAnsi="Times New Roman"/>
                <w:b/>
                <w:bCs/>
              </w:rPr>
            </w:pPr>
            <w:r w:rsidRPr="0080737A">
              <w:rPr>
                <w:rFonts w:ascii="Times New Roman" w:hAnsi="Times New Roman"/>
                <w:b/>
                <w:bCs/>
              </w:rPr>
              <w:t xml:space="preserve">в % к </w:t>
            </w:r>
          </w:p>
          <w:p w:rsidR="0098695D" w:rsidRPr="0080737A" w:rsidRDefault="0098695D" w:rsidP="006808A1">
            <w:pPr>
              <w:spacing w:after="0" w:line="240" w:lineRule="auto"/>
              <w:jc w:val="center"/>
              <w:rPr>
                <w:rFonts w:ascii="Times New Roman" w:hAnsi="Times New Roman"/>
                <w:b/>
                <w:bCs/>
              </w:rPr>
            </w:pPr>
            <w:r w:rsidRPr="0080737A">
              <w:rPr>
                <w:rFonts w:ascii="Times New Roman" w:hAnsi="Times New Roman"/>
                <w:b/>
                <w:bCs/>
              </w:rPr>
              <w:t>2015 г.*</w:t>
            </w:r>
          </w:p>
        </w:tc>
        <w:tc>
          <w:tcPr>
            <w:tcW w:w="1136" w:type="dxa"/>
            <w:tcBorders>
              <w:top w:val="nil"/>
              <w:left w:val="nil"/>
              <w:bottom w:val="single" w:sz="4" w:space="0" w:color="auto"/>
              <w:right w:val="single" w:sz="4" w:space="0" w:color="auto"/>
            </w:tcBorders>
            <w:shd w:val="clear" w:color="auto" w:fill="auto"/>
            <w:vAlign w:val="center"/>
          </w:tcPr>
          <w:p w:rsidR="0098695D" w:rsidRPr="0080737A" w:rsidRDefault="0098695D" w:rsidP="006808A1">
            <w:pPr>
              <w:spacing w:after="0" w:line="240" w:lineRule="auto"/>
              <w:jc w:val="center"/>
              <w:rPr>
                <w:rFonts w:ascii="Times New Roman" w:hAnsi="Times New Roman"/>
                <w:b/>
                <w:bCs/>
              </w:rPr>
            </w:pPr>
            <w:r w:rsidRPr="0080737A">
              <w:rPr>
                <w:rFonts w:ascii="Times New Roman" w:hAnsi="Times New Roman"/>
                <w:b/>
                <w:bCs/>
              </w:rPr>
              <w:t xml:space="preserve">2015 </w:t>
            </w:r>
          </w:p>
          <w:p w:rsidR="0098695D" w:rsidRPr="0080737A" w:rsidRDefault="0098695D" w:rsidP="006808A1">
            <w:pPr>
              <w:spacing w:after="0" w:line="240" w:lineRule="auto"/>
              <w:jc w:val="center"/>
              <w:rPr>
                <w:rFonts w:ascii="Times New Roman" w:hAnsi="Times New Roman"/>
                <w:b/>
                <w:bCs/>
              </w:rPr>
            </w:pPr>
            <w:r w:rsidRPr="0080737A">
              <w:rPr>
                <w:rFonts w:ascii="Times New Roman" w:hAnsi="Times New Roman"/>
                <w:b/>
                <w:bCs/>
              </w:rPr>
              <w:t>год</w:t>
            </w:r>
          </w:p>
        </w:tc>
        <w:tc>
          <w:tcPr>
            <w:tcW w:w="994" w:type="dxa"/>
            <w:tcBorders>
              <w:top w:val="nil"/>
              <w:left w:val="nil"/>
              <w:bottom w:val="single" w:sz="4" w:space="0" w:color="auto"/>
              <w:right w:val="single" w:sz="4" w:space="0" w:color="auto"/>
            </w:tcBorders>
            <w:shd w:val="clear" w:color="auto" w:fill="auto"/>
            <w:vAlign w:val="center"/>
          </w:tcPr>
          <w:p w:rsidR="0098695D" w:rsidRPr="0080737A" w:rsidRDefault="0098695D" w:rsidP="006808A1">
            <w:pPr>
              <w:spacing w:after="0" w:line="240" w:lineRule="auto"/>
              <w:ind w:right="224"/>
              <w:jc w:val="center"/>
              <w:rPr>
                <w:rFonts w:ascii="Times New Roman" w:hAnsi="Times New Roman"/>
                <w:b/>
                <w:bCs/>
              </w:rPr>
            </w:pPr>
            <w:r w:rsidRPr="0080737A">
              <w:rPr>
                <w:rFonts w:ascii="Times New Roman" w:hAnsi="Times New Roman"/>
                <w:b/>
                <w:bCs/>
              </w:rPr>
              <w:t xml:space="preserve">2016 год </w:t>
            </w:r>
          </w:p>
        </w:tc>
        <w:tc>
          <w:tcPr>
            <w:tcW w:w="1137" w:type="dxa"/>
            <w:tcBorders>
              <w:top w:val="nil"/>
              <w:left w:val="nil"/>
              <w:bottom w:val="single" w:sz="4" w:space="0" w:color="auto"/>
              <w:right w:val="single" w:sz="4" w:space="0" w:color="auto"/>
            </w:tcBorders>
            <w:shd w:val="clear" w:color="auto" w:fill="auto"/>
            <w:vAlign w:val="center"/>
          </w:tcPr>
          <w:p w:rsidR="0098695D" w:rsidRPr="0080737A" w:rsidRDefault="0098695D" w:rsidP="006808A1">
            <w:pPr>
              <w:spacing w:after="0" w:line="240" w:lineRule="auto"/>
              <w:ind w:left="-141"/>
              <w:jc w:val="center"/>
              <w:rPr>
                <w:rFonts w:ascii="Times New Roman" w:hAnsi="Times New Roman"/>
                <w:b/>
                <w:bCs/>
              </w:rPr>
            </w:pPr>
            <w:r w:rsidRPr="0080737A">
              <w:rPr>
                <w:rFonts w:ascii="Times New Roman" w:hAnsi="Times New Roman"/>
                <w:b/>
                <w:bCs/>
              </w:rPr>
              <w:t>Темп роста</w:t>
            </w:r>
          </w:p>
          <w:p w:rsidR="0098695D" w:rsidRPr="0080737A" w:rsidRDefault="0098695D" w:rsidP="006808A1">
            <w:pPr>
              <w:spacing w:after="0" w:line="240" w:lineRule="auto"/>
              <w:ind w:left="-141"/>
              <w:jc w:val="center"/>
              <w:rPr>
                <w:rFonts w:ascii="Times New Roman" w:hAnsi="Times New Roman"/>
                <w:b/>
                <w:bCs/>
              </w:rPr>
            </w:pPr>
            <w:r w:rsidRPr="0080737A">
              <w:rPr>
                <w:rFonts w:ascii="Times New Roman" w:hAnsi="Times New Roman"/>
                <w:b/>
                <w:bCs/>
              </w:rPr>
              <w:t>в % к</w:t>
            </w:r>
          </w:p>
          <w:p w:rsidR="0098695D" w:rsidRPr="0080737A" w:rsidRDefault="0098695D" w:rsidP="006808A1">
            <w:pPr>
              <w:spacing w:after="0" w:line="240" w:lineRule="auto"/>
              <w:ind w:left="-141"/>
              <w:jc w:val="center"/>
              <w:rPr>
                <w:rFonts w:ascii="Times New Roman" w:hAnsi="Times New Roman"/>
                <w:b/>
                <w:bCs/>
              </w:rPr>
            </w:pPr>
            <w:r w:rsidRPr="0080737A">
              <w:rPr>
                <w:rFonts w:ascii="Times New Roman" w:hAnsi="Times New Roman"/>
                <w:b/>
                <w:bCs/>
              </w:rPr>
              <w:t>2015 г.*</w:t>
            </w:r>
          </w:p>
        </w:tc>
      </w:tr>
      <w:tr w:rsidR="0098695D" w:rsidRPr="0080737A" w:rsidTr="006808A1">
        <w:trPr>
          <w:trHeight w:val="292"/>
        </w:trPr>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rsidR="0098695D" w:rsidRPr="0080737A" w:rsidRDefault="0098695D" w:rsidP="006808A1">
            <w:pPr>
              <w:spacing w:after="0" w:line="240" w:lineRule="auto"/>
              <w:rPr>
                <w:rFonts w:ascii="Times New Roman" w:hAnsi="Times New Roman"/>
                <w:bCs/>
              </w:rPr>
            </w:pPr>
            <w:r w:rsidRPr="0080737A">
              <w:rPr>
                <w:rFonts w:ascii="Times New Roman" w:hAnsi="Times New Roman"/>
                <w:bCs/>
              </w:rPr>
              <w:t>Зерновые и зернобобовые культуры - всего</w:t>
            </w:r>
          </w:p>
        </w:tc>
        <w:tc>
          <w:tcPr>
            <w:tcW w:w="1218"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328,4</w:t>
            </w:r>
          </w:p>
        </w:tc>
        <w:tc>
          <w:tcPr>
            <w:tcW w:w="994"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433,2</w:t>
            </w:r>
          </w:p>
        </w:tc>
        <w:tc>
          <w:tcPr>
            <w:tcW w:w="1136"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131,9</w:t>
            </w:r>
          </w:p>
        </w:tc>
        <w:tc>
          <w:tcPr>
            <w:tcW w:w="1136"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35,4</w:t>
            </w:r>
          </w:p>
        </w:tc>
        <w:tc>
          <w:tcPr>
            <w:tcW w:w="994"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42,7</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120,6</w:t>
            </w:r>
          </w:p>
        </w:tc>
      </w:tr>
      <w:tr w:rsidR="0098695D" w:rsidRPr="0080737A" w:rsidTr="006808A1">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98695D" w:rsidRPr="0080737A" w:rsidRDefault="0098695D" w:rsidP="006808A1">
            <w:pPr>
              <w:spacing w:after="0" w:line="240" w:lineRule="auto"/>
              <w:rPr>
                <w:rFonts w:ascii="Times New Roman" w:hAnsi="Times New Roman"/>
                <w:bCs/>
              </w:rPr>
            </w:pPr>
            <w:r w:rsidRPr="0080737A">
              <w:rPr>
                <w:rFonts w:ascii="Times New Roman" w:hAnsi="Times New Roman"/>
                <w:bCs/>
              </w:rPr>
              <w:t>из них: озимая пшеница</w:t>
            </w:r>
          </w:p>
        </w:tc>
        <w:tc>
          <w:tcPr>
            <w:tcW w:w="1218"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263,2</w:t>
            </w:r>
          </w:p>
        </w:tc>
        <w:tc>
          <w:tcPr>
            <w:tcW w:w="994"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351,1</w:t>
            </w:r>
          </w:p>
        </w:tc>
        <w:tc>
          <w:tcPr>
            <w:tcW w:w="1136"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133,4</w:t>
            </w:r>
          </w:p>
        </w:tc>
        <w:tc>
          <w:tcPr>
            <w:tcW w:w="1136"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37,8</w:t>
            </w:r>
          </w:p>
        </w:tc>
        <w:tc>
          <w:tcPr>
            <w:tcW w:w="994"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45,2</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119,6</w:t>
            </w:r>
          </w:p>
        </w:tc>
      </w:tr>
      <w:tr w:rsidR="0098695D" w:rsidRPr="0080737A" w:rsidTr="006808A1">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98695D" w:rsidRPr="0080737A" w:rsidRDefault="0098695D" w:rsidP="006808A1">
            <w:pPr>
              <w:spacing w:after="0" w:line="240" w:lineRule="auto"/>
              <w:rPr>
                <w:rFonts w:ascii="Times New Roman" w:hAnsi="Times New Roman"/>
                <w:bCs/>
              </w:rPr>
            </w:pPr>
            <w:r w:rsidRPr="0080737A">
              <w:rPr>
                <w:rFonts w:ascii="Times New Roman" w:hAnsi="Times New Roman"/>
                <w:bCs/>
              </w:rPr>
              <w:t>озимый ячмень</w:t>
            </w:r>
          </w:p>
        </w:tc>
        <w:tc>
          <w:tcPr>
            <w:tcW w:w="1218"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39,2</w:t>
            </w:r>
          </w:p>
        </w:tc>
        <w:tc>
          <w:tcPr>
            <w:tcW w:w="994"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44,6</w:t>
            </w:r>
          </w:p>
        </w:tc>
        <w:tc>
          <w:tcPr>
            <w:tcW w:w="1136"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113,8</w:t>
            </w:r>
          </w:p>
        </w:tc>
        <w:tc>
          <w:tcPr>
            <w:tcW w:w="1136"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31,9</w:t>
            </w:r>
          </w:p>
        </w:tc>
        <w:tc>
          <w:tcPr>
            <w:tcW w:w="994"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37,8</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118,5</w:t>
            </w:r>
          </w:p>
        </w:tc>
      </w:tr>
      <w:tr w:rsidR="0098695D" w:rsidRPr="0080737A" w:rsidTr="006808A1">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98695D" w:rsidRPr="0080737A" w:rsidRDefault="0098695D" w:rsidP="006808A1">
            <w:pPr>
              <w:spacing w:after="0" w:line="240" w:lineRule="auto"/>
              <w:rPr>
                <w:rFonts w:ascii="Times New Roman" w:hAnsi="Times New Roman"/>
                <w:bCs/>
              </w:rPr>
            </w:pPr>
            <w:r w:rsidRPr="0080737A">
              <w:rPr>
                <w:rFonts w:ascii="Times New Roman" w:hAnsi="Times New Roman"/>
                <w:bCs/>
              </w:rPr>
              <w:t>яровой ячмень</w:t>
            </w:r>
          </w:p>
        </w:tc>
        <w:tc>
          <w:tcPr>
            <w:tcW w:w="1218"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18,3</w:t>
            </w:r>
          </w:p>
        </w:tc>
        <w:tc>
          <w:tcPr>
            <w:tcW w:w="994"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20,3</w:t>
            </w:r>
          </w:p>
        </w:tc>
        <w:tc>
          <w:tcPr>
            <w:tcW w:w="1136"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110,9</w:t>
            </w:r>
          </w:p>
        </w:tc>
        <w:tc>
          <w:tcPr>
            <w:tcW w:w="1136"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23,1</w:t>
            </w:r>
          </w:p>
        </w:tc>
        <w:tc>
          <w:tcPr>
            <w:tcW w:w="994" w:type="dxa"/>
            <w:tcBorders>
              <w:top w:val="single" w:sz="4" w:space="0" w:color="auto"/>
              <w:left w:val="nil"/>
              <w:bottom w:val="single" w:sz="4" w:space="0" w:color="auto"/>
              <w:right w:val="single" w:sz="4" w:space="0" w:color="auto"/>
            </w:tcBorders>
            <w:shd w:val="clear" w:color="auto" w:fill="auto"/>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31,8</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98695D" w:rsidRPr="0080737A" w:rsidRDefault="0098695D" w:rsidP="006808A1">
            <w:pPr>
              <w:spacing w:after="0" w:line="240" w:lineRule="auto"/>
              <w:jc w:val="right"/>
              <w:rPr>
                <w:rFonts w:ascii="Times New Roman" w:hAnsi="Times New Roman"/>
              </w:rPr>
            </w:pPr>
            <w:r w:rsidRPr="0080737A">
              <w:rPr>
                <w:rFonts w:ascii="Times New Roman" w:hAnsi="Times New Roman"/>
              </w:rPr>
              <w:t>137,7</w:t>
            </w:r>
          </w:p>
        </w:tc>
      </w:tr>
    </w:tbl>
    <w:p w:rsidR="0098695D" w:rsidRPr="0080737A" w:rsidRDefault="0098695D" w:rsidP="0098695D">
      <w:pPr>
        <w:tabs>
          <w:tab w:val="left" w:pos="7020"/>
          <w:tab w:val="left" w:pos="8460"/>
        </w:tabs>
        <w:spacing w:after="0" w:line="240" w:lineRule="auto"/>
        <w:ind w:left="-142" w:firstLine="142"/>
        <w:rPr>
          <w:rFonts w:ascii="Times New Roman" w:hAnsi="Times New Roman"/>
        </w:rPr>
      </w:pPr>
      <w:r w:rsidRPr="0080737A">
        <w:rPr>
          <w:rFonts w:ascii="Times New Roman" w:hAnsi="Times New Roman"/>
        </w:rPr>
        <w:t>*- темп роста (спада) к соответствующей дате 2015 года, %</w:t>
      </w:r>
    </w:p>
    <w:p w:rsidR="0098695D" w:rsidRPr="0080737A" w:rsidRDefault="0098695D" w:rsidP="0098695D">
      <w:pPr>
        <w:tabs>
          <w:tab w:val="left" w:pos="7020"/>
          <w:tab w:val="left" w:pos="8460"/>
        </w:tabs>
        <w:spacing w:after="0" w:line="240" w:lineRule="auto"/>
        <w:rPr>
          <w:rFonts w:ascii="Times New Roman" w:hAnsi="Times New Roman"/>
          <w:sz w:val="20"/>
          <w:szCs w:val="20"/>
        </w:rPr>
      </w:pPr>
    </w:p>
    <w:p w:rsidR="0098695D" w:rsidRPr="0080737A" w:rsidRDefault="0098695D" w:rsidP="0098695D">
      <w:pPr>
        <w:spacing w:after="0" w:line="240" w:lineRule="auto"/>
        <w:ind w:firstLine="540"/>
        <w:jc w:val="both"/>
        <w:rPr>
          <w:rFonts w:ascii="Times New Roman" w:hAnsi="Times New Roman"/>
          <w:color w:val="000000"/>
          <w:sz w:val="24"/>
          <w:szCs w:val="24"/>
        </w:rPr>
      </w:pPr>
      <w:r w:rsidRPr="0080737A">
        <w:rPr>
          <w:rFonts w:ascii="Times New Roman" w:hAnsi="Times New Roman"/>
          <w:color w:val="000000"/>
          <w:sz w:val="24"/>
          <w:szCs w:val="24"/>
        </w:rPr>
        <w:t xml:space="preserve">В республике практически завершена уборка таких технических культур как горчица, кориандр, </w:t>
      </w:r>
      <w:proofErr w:type="spellStart"/>
      <w:r w:rsidRPr="0080737A">
        <w:rPr>
          <w:rFonts w:ascii="Times New Roman" w:hAnsi="Times New Roman"/>
          <w:color w:val="000000"/>
          <w:sz w:val="24"/>
          <w:szCs w:val="24"/>
        </w:rPr>
        <w:t>расторопша</w:t>
      </w:r>
      <w:proofErr w:type="spellEnd"/>
      <w:r w:rsidRPr="0080737A">
        <w:rPr>
          <w:rFonts w:ascii="Times New Roman" w:hAnsi="Times New Roman"/>
          <w:color w:val="000000"/>
          <w:sz w:val="24"/>
          <w:szCs w:val="24"/>
        </w:rPr>
        <w:t xml:space="preserve">, продолжается уборка льна. Собрано 762,4 тонн горчицы, 1 043,2 тонны кориандра. Данная сельхозпродукция предназначена для поставок на экспорт. </w:t>
      </w:r>
    </w:p>
    <w:p w:rsidR="0098695D" w:rsidRPr="0080737A" w:rsidRDefault="0098695D" w:rsidP="0098695D">
      <w:pPr>
        <w:shd w:val="clear" w:color="auto" w:fill="FFFFFF"/>
        <w:spacing w:after="0" w:line="240" w:lineRule="auto"/>
        <w:ind w:firstLine="709"/>
        <w:jc w:val="both"/>
        <w:rPr>
          <w:rFonts w:ascii="Times New Roman" w:hAnsi="Times New Roman"/>
          <w:sz w:val="24"/>
          <w:szCs w:val="24"/>
        </w:rPr>
      </w:pPr>
      <w:r w:rsidRPr="0080737A">
        <w:rPr>
          <w:rFonts w:ascii="Times New Roman" w:hAnsi="Times New Roman"/>
          <w:b/>
          <w:sz w:val="24"/>
          <w:szCs w:val="24"/>
        </w:rPr>
        <w:t>Мелиорация.</w:t>
      </w:r>
      <w:r w:rsidR="00EF7D3C" w:rsidRPr="0080737A">
        <w:rPr>
          <w:rFonts w:ascii="Times New Roman" w:hAnsi="Times New Roman"/>
          <w:b/>
          <w:sz w:val="24"/>
          <w:szCs w:val="24"/>
        </w:rPr>
        <w:t xml:space="preserve"> </w:t>
      </w:r>
      <w:r w:rsidRPr="0080737A">
        <w:rPr>
          <w:rFonts w:ascii="Times New Roman" w:hAnsi="Times New Roman"/>
          <w:bCs/>
          <w:sz w:val="24"/>
          <w:szCs w:val="24"/>
        </w:rPr>
        <w:t>Опыт прошлых лет показывает, что эффективность сельского хозяйства в Приднестровье неразрывно связана с необходимостью восстановления мелиоративного комплекса. В рамках р</w:t>
      </w:r>
      <w:r w:rsidRPr="0080737A">
        <w:rPr>
          <w:rFonts w:ascii="Times New Roman" w:hAnsi="Times New Roman"/>
          <w:sz w:val="24"/>
          <w:szCs w:val="24"/>
        </w:rPr>
        <w:t>еализации</w:t>
      </w:r>
      <w:r w:rsidRPr="0080737A">
        <w:rPr>
          <w:rFonts w:ascii="Times New Roman" w:hAnsi="Times New Roman"/>
          <w:bCs/>
          <w:sz w:val="24"/>
          <w:szCs w:val="24"/>
        </w:rPr>
        <w:t xml:space="preserve"> и</w:t>
      </w:r>
      <w:r w:rsidRPr="0080737A">
        <w:rPr>
          <w:rFonts w:ascii="Times New Roman" w:hAnsi="Times New Roman"/>
          <w:sz w:val="24"/>
          <w:szCs w:val="24"/>
        </w:rPr>
        <w:t>нвестиционной программы «Реконструкция, восстановление и развитие оросительных систем, задействованных в структуре АПК Приднестровской Молдавской Республики», планируется проведение мероприятий по реконструкции и модернизации насосных станций и оросительных сетей, что после завершения работ позволит обеспечить устойчивый и качественный полив 26,0 тыс. га сельхозугодий. Первоочередным этапом в реализации данной Программы намечено проектирование и согласование мероприятий с заинтересованными инстанциями России и Приднестровья.</w:t>
      </w:r>
    </w:p>
    <w:p w:rsidR="0098695D" w:rsidRPr="0080737A" w:rsidRDefault="0098695D" w:rsidP="0098695D">
      <w:pPr>
        <w:pStyle w:val="a4"/>
        <w:ind w:firstLine="708"/>
        <w:rPr>
          <w:szCs w:val="24"/>
        </w:rPr>
      </w:pPr>
      <w:r w:rsidRPr="0080737A">
        <w:rPr>
          <w:szCs w:val="24"/>
        </w:rPr>
        <w:t>В текущем году специально созданная комиссия по проверке готовности оросительных систем и насосных станций к сезону полива отметила возросший по сравнению с предыдущими годами технический уровень большинства мелиоративных объектов. Для обеспечения полива в объемах, предусмотренных заключенными договорами по оказанию услуг на цели орошения, была подготовлена 51 насосная станция. По всем запланированным к поливу насосным станциям были реализованы мероприятия по ремонту и ревизии насосно-силового оборудования, обследования технического состояния водозаборных сооружений, проведению пуско-наладочных работ, а также аттестации обслуживающего персонала насосных станций.</w:t>
      </w:r>
    </w:p>
    <w:p w:rsidR="0098695D" w:rsidRPr="0080737A" w:rsidRDefault="0098695D" w:rsidP="0098695D">
      <w:pPr>
        <w:spacing w:after="0" w:line="240" w:lineRule="auto"/>
        <w:ind w:firstLine="708"/>
        <w:jc w:val="both"/>
        <w:rPr>
          <w:rFonts w:ascii="Times New Roman" w:hAnsi="Times New Roman"/>
          <w:sz w:val="24"/>
          <w:szCs w:val="24"/>
        </w:rPr>
      </w:pPr>
      <w:r w:rsidRPr="0080737A">
        <w:rPr>
          <w:rFonts w:ascii="Times New Roman" w:hAnsi="Times New Roman"/>
          <w:sz w:val="24"/>
          <w:szCs w:val="24"/>
        </w:rPr>
        <w:t xml:space="preserve">В отчетном периоде ГУ «Приднестровские оросительные системы» было заключено 55 договоров с хозяйствами-водопользователями на оказание услуг по подаче воды для целей орошения (в аналогичном периоде 2015 года - 53 договора). Плановый охват поливом физических площадей составляет 11 407 га, в том числе по </w:t>
      </w:r>
      <w:proofErr w:type="spellStart"/>
      <w:r w:rsidRPr="0080737A">
        <w:rPr>
          <w:rFonts w:ascii="Times New Roman" w:hAnsi="Times New Roman"/>
          <w:sz w:val="24"/>
          <w:szCs w:val="24"/>
        </w:rPr>
        <w:lastRenderedPageBreak/>
        <w:t>Григориопольскому</w:t>
      </w:r>
      <w:proofErr w:type="spellEnd"/>
      <w:r w:rsidRPr="0080737A">
        <w:rPr>
          <w:rFonts w:ascii="Times New Roman" w:hAnsi="Times New Roman"/>
          <w:sz w:val="24"/>
          <w:szCs w:val="24"/>
        </w:rPr>
        <w:t xml:space="preserve"> и Тираспольскому филиалам 4 744 га и 3 526 га соответственно. Фактические показатели за первое полугодие 2016 года сложились следующим образом:</w:t>
      </w:r>
    </w:p>
    <w:tbl>
      <w:tblPr>
        <w:tblStyle w:val="af4"/>
        <w:tblW w:w="0" w:type="auto"/>
        <w:tblInd w:w="250" w:type="dxa"/>
        <w:tblLayout w:type="fixed"/>
        <w:tblLook w:val="04A0"/>
      </w:tblPr>
      <w:tblGrid>
        <w:gridCol w:w="567"/>
        <w:gridCol w:w="3544"/>
        <w:gridCol w:w="1984"/>
        <w:gridCol w:w="1560"/>
        <w:gridCol w:w="1665"/>
      </w:tblGrid>
      <w:tr w:rsidR="0098695D" w:rsidRPr="0080737A" w:rsidTr="00B638E6">
        <w:trPr>
          <w:trHeight w:val="851"/>
        </w:trPr>
        <w:tc>
          <w:tcPr>
            <w:tcW w:w="567" w:type="dxa"/>
            <w:vAlign w:val="center"/>
          </w:tcPr>
          <w:p w:rsidR="0098695D" w:rsidRPr="0080737A" w:rsidRDefault="0098695D" w:rsidP="00B638E6">
            <w:pPr>
              <w:pStyle w:val="a4"/>
              <w:jc w:val="center"/>
              <w:rPr>
                <w:b/>
                <w:szCs w:val="24"/>
              </w:rPr>
            </w:pPr>
            <w:r w:rsidRPr="0080737A">
              <w:rPr>
                <w:b/>
                <w:szCs w:val="24"/>
              </w:rPr>
              <w:t>№</w:t>
            </w:r>
            <w:proofErr w:type="spellStart"/>
            <w:proofErr w:type="gramStart"/>
            <w:r w:rsidR="00B638E6" w:rsidRPr="0080737A">
              <w:rPr>
                <w:b/>
                <w:szCs w:val="24"/>
              </w:rPr>
              <w:t>п</w:t>
            </w:r>
            <w:proofErr w:type="spellEnd"/>
            <w:proofErr w:type="gramEnd"/>
            <w:r w:rsidRPr="0080737A">
              <w:rPr>
                <w:b/>
                <w:szCs w:val="24"/>
              </w:rPr>
              <w:t>/</w:t>
            </w:r>
            <w:proofErr w:type="spellStart"/>
            <w:r w:rsidRPr="0080737A">
              <w:rPr>
                <w:b/>
                <w:szCs w:val="24"/>
              </w:rPr>
              <w:t>п</w:t>
            </w:r>
            <w:proofErr w:type="spellEnd"/>
          </w:p>
        </w:tc>
        <w:tc>
          <w:tcPr>
            <w:tcW w:w="3544" w:type="dxa"/>
            <w:vAlign w:val="center"/>
          </w:tcPr>
          <w:p w:rsidR="0098695D" w:rsidRPr="0080737A" w:rsidRDefault="0098695D" w:rsidP="00B638E6">
            <w:pPr>
              <w:pStyle w:val="a4"/>
              <w:jc w:val="center"/>
              <w:rPr>
                <w:b/>
                <w:szCs w:val="24"/>
              </w:rPr>
            </w:pPr>
            <w:r w:rsidRPr="0080737A">
              <w:rPr>
                <w:b/>
                <w:szCs w:val="24"/>
              </w:rPr>
              <w:t>Показатели</w:t>
            </w:r>
          </w:p>
        </w:tc>
        <w:tc>
          <w:tcPr>
            <w:tcW w:w="1984" w:type="dxa"/>
            <w:vAlign w:val="center"/>
          </w:tcPr>
          <w:p w:rsidR="0098695D" w:rsidRPr="0080737A" w:rsidRDefault="0098695D" w:rsidP="00B638E6">
            <w:pPr>
              <w:pStyle w:val="a4"/>
              <w:ind w:hanging="108"/>
              <w:jc w:val="center"/>
              <w:rPr>
                <w:b/>
                <w:szCs w:val="24"/>
              </w:rPr>
            </w:pPr>
            <w:r w:rsidRPr="0080737A">
              <w:rPr>
                <w:b/>
                <w:szCs w:val="24"/>
              </w:rPr>
              <w:t>на 1.07.</w:t>
            </w:r>
          </w:p>
          <w:p w:rsidR="0098695D" w:rsidRPr="0080737A" w:rsidRDefault="0098695D" w:rsidP="00B638E6">
            <w:pPr>
              <w:pStyle w:val="a4"/>
              <w:ind w:hanging="108"/>
              <w:jc w:val="center"/>
              <w:rPr>
                <w:b/>
                <w:szCs w:val="24"/>
              </w:rPr>
            </w:pPr>
            <w:r w:rsidRPr="0080737A">
              <w:rPr>
                <w:b/>
                <w:szCs w:val="24"/>
              </w:rPr>
              <w:t>2015 г.</w:t>
            </w:r>
          </w:p>
        </w:tc>
        <w:tc>
          <w:tcPr>
            <w:tcW w:w="1560" w:type="dxa"/>
            <w:vAlign w:val="center"/>
          </w:tcPr>
          <w:p w:rsidR="0098695D" w:rsidRPr="0080737A" w:rsidRDefault="0098695D" w:rsidP="00B638E6">
            <w:pPr>
              <w:pStyle w:val="a4"/>
              <w:ind w:left="-108" w:firstLine="0"/>
              <w:jc w:val="center"/>
              <w:rPr>
                <w:b/>
                <w:szCs w:val="24"/>
              </w:rPr>
            </w:pPr>
            <w:r w:rsidRPr="0080737A">
              <w:rPr>
                <w:b/>
                <w:szCs w:val="24"/>
              </w:rPr>
              <w:t>на 1.07.</w:t>
            </w:r>
          </w:p>
          <w:p w:rsidR="0098695D" w:rsidRPr="0080737A" w:rsidRDefault="0098695D" w:rsidP="00B638E6">
            <w:pPr>
              <w:pStyle w:val="a4"/>
              <w:ind w:left="-108" w:firstLine="0"/>
              <w:jc w:val="center"/>
              <w:rPr>
                <w:b/>
                <w:szCs w:val="24"/>
              </w:rPr>
            </w:pPr>
            <w:r w:rsidRPr="0080737A">
              <w:rPr>
                <w:b/>
                <w:szCs w:val="24"/>
              </w:rPr>
              <w:t>2016 г.</w:t>
            </w:r>
          </w:p>
        </w:tc>
        <w:tc>
          <w:tcPr>
            <w:tcW w:w="1665" w:type="dxa"/>
            <w:vAlign w:val="center"/>
          </w:tcPr>
          <w:p w:rsidR="0098695D" w:rsidRPr="0080737A" w:rsidRDefault="0098695D" w:rsidP="00B638E6">
            <w:pPr>
              <w:pStyle w:val="a4"/>
              <w:ind w:left="-108" w:right="-144" w:firstLine="0"/>
              <w:jc w:val="center"/>
              <w:rPr>
                <w:b/>
                <w:szCs w:val="24"/>
              </w:rPr>
            </w:pPr>
            <w:r w:rsidRPr="0080737A">
              <w:rPr>
                <w:b/>
                <w:szCs w:val="24"/>
              </w:rPr>
              <w:t xml:space="preserve">Темп роста 2016 г. </w:t>
            </w:r>
            <w:proofErr w:type="gramStart"/>
            <w:r w:rsidRPr="0080737A">
              <w:rPr>
                <w:b/>
                <w:szCs w:val="24"/>
              </w:rPr>
              <w:t>к</w:t>
            </w:r>
            <w:proofErr w:type="gramEnd"/>
          </w:p>
          <w:p w:rsidR="0098695D" w:rsidRPr="0080737A" w:rsidRDefault="0098695D" w:rsidP="00B638E6">
            <w:pPr>
              <w:pStyle w:val="a4"/>
              <w:ind w:left="-108" w:right="-144" w:firstLine="0"/>
              <w:jc w:val="center"/>
              <w:rPr>
                <w:b/>
                <w:szCs w:val="24"/>
              </w:rPr>
            </w:pPr>
            <w:r w:rsidRPr="0080737A">
              <w:rPr>
                <w:b/>
                <w:szCs w:val="24"/>
              </w:rPr>
              <w:t>2015 г., %</w:t>
            </w:r>
          </w:p>
        </w:tc>
      </w:tr>
      <w:tr w:rsidR="0098695D" w:rsidRPr="0080737A" w:rsidTr="00B638E6">
        <w:tc>
          <w:tcPr>
            <w:tcW w:w="567" w:type="dxa"/>
            <w:vAlign w:val="center"/>
          </w:tcPr>
          <w:p w:rsidR="0098695D" w:rsidRPr="0080737A" w:rsidRDefault="0098695D" w:rsidP="00B638E6">
            <w:pPr>
              <w:pStyle w:val="a4"/>
              <w:ind w:firstLine="0"/>
              <w:jc w:val="center"/>
              <w:rPr>
                <w:szCs w:val="24"/>
              </w:rPr>
            </w:pPr>
            <w:r w:rsidRPr="0080737A">
              <w:rPr>
                <w:szCs w:val="24"/>
              </w:rPr>
              <w:t>1</w:t>
            </w:r>
            <w:r w:rsidR="00B638E6" w:rsidRPr="0080737A">
              <w:rPr>
                <w:szCs w:val="24"/>
              </w:rPr>
              <w:t>.</w:t>
            </w:r>
          </w:p>
        </w:tc>
        <w:tc>
          <w:tcPr>
            <w:tcW w:w="3544" w:type="dxa"/>
            <w:vAlign w:val="center"/>
          </w:tcPr>
          <w:p w:rsidR="0098695D" w:rsidRPr="0080737A" w:rsidRDefault="0098695D" w:rsidP="00B638E6">
            <w:pPr>
              <w:pStyle w:val="a4"/>
              <w:ind w:firstLine="0"/>
              <w:jc w:val="left"/>
              <w:rPr>
                <w:szCs w:val="24"/>
              </w:rPr>
            </w:pPr>
            <w:r w:rsidRPr="0080737A">
              <w:rPr>
                <w:szCs w:val="24"/>
              </w:rPr>
              <w:t>Подано воды, тыс</w:t>
            </w:r>
            <w:proofErr w:type="gramStart"/>
            <w:r w:rsidRPr="0080737A">
              <w:rPr>
                <w:szCs w:val="24"/>
              </w:rPr>
              <w:t>.м</w:t>
            </w:r>
            <w:proofErr w:type="gramEnd"/>
            <w:r w:rsidRPr="0080737A">
              <w:rPr>
                <w:szCs w:val="24"/>
                <w:vertAlign w:val="superscript"/>
              </w:rPr>
              <w:t>3</w:t>
            </w:r>
          </w:p>
        </w:tc>
        <w:tc>
          <w:tcPr>
            <w:tcW w:w="1984" w:type="dxa"/>
            <w:vAlign w:val="center"/>
          </w:tcPr>
          <w:p w:rsidR="0098695D" w:rsidRPr="0080737A" w:rsidRDefault="0098695D" w:rsidP="00B638E6">
            <w:pPr>
              <w:pStyle w:val="a4"/>
              <w:ind w:firstLine="34"/>
              <w:jc w:val="center"/>
              <w:rPr>
                <w:szCs w:val="24"/>
              </w:rPr>
            </w:pPr>
            <w:r w:rsidRPr="0080737A">
              <w:rPr>
                <w:szCs w:val="24"/>
              </w:rPr>
              <w:t>4 334,8</w:t>
            </w:r>
          </w:p>
        </w:tc>
        <w:tc>
          <w:tcPr>
            <w:tcW w:w="1560" w:type="dxa"/>
            <w:vAlign w:val="center"/>
          </w:tcPr>
          <w:p w:rsidR="0098695D" w:rsidRPr="0080737A" w:rsidRDefault="0098695D" w:rsidP="00B638E6">
            <w:pPr>
              <w:pStyle w:val="a4"/>
              <w:ind w:firstLine="34"/>
              <w:jc w:val="center"/>
              <w:rPr>
                <w:szCs w:val="24"/>
              </w:rPr>
            </w:pPr>
            <w:r w:rsidRPr="0080737A">
              <w:rPr>
                <w:szCs w:val="24"/>
              </w:rPr>
              <w:t>2 668,9</w:t>
            </w:r>
          </w:p>
        </w:tc>
        <w:tc>
          <w:tcPr>
            <w:tcW w:w="1665" w:type="dxa"/>
            <w:vAlign w:val="center"/>
          </w:tcPr>
          <w:p w:rsidR="0098695D" w:rsidRPr="0080737A" w:rsidRDefault="0098695D" w:rsidP="00B638E6">
            <w:pPr>
              <w:pStyle w:val="a4"/>
              <w:ind w:firstLine="0"/>
              <w:jc w:val="center"/>
              <w:rPr>
                <w:szCs w:val="24"/>
              </w:rPr>
            </w:pPr>
            <w:r w:rsidRPr="0080737A">
              <w:rPr>
                <w:szCs w:val="24"/>
              </w:rPr>
              <w:t>61,6</w:t>
            </w:r>
          </w:p>
        </w:tc>
      </w:tr>
      <w:tr w:rsidR="0098695D" w:rsidRPr="0080737A" w:rsidTr="00B638E6">
        <w:tc>
          <w:tcPr>
            <w:tcW w:w="567" w:type="dxa"/>
            <w:vAlign w:val="center"/>
          </w:tcPr>
          <w:p w:rsidR="0098695D" w:rsidRPr="0080737A" w:rsidRDefault="00B638E6" w:rsidP="00B638E6">
            <w:pPr>
              <w:pStyle w:val="a4"/>
              <w:ind w:firstLine="0"/>
              <w:jc w:val="center"/>
              <w:rPr>
                <w:szCs w:val="24"/>
              </w:rPr>
            </w:pPr>
            <w:r w:rsidRPr="0080737A">
              <w:rPr>
                <w:szCs w:val="24"/>
              </w:rPr>
              <w:t>2.</w:t>
            </w:r>
          </w:p>
        </w:tc>
        <w:tc>
          <w:tcPr>
            <w:tcW w:w="3544" w:type="dxa"/>
            <w:vAlign w:val="center"/>
          </w:tcPr>
          <w:p w:rsidR="0098695D" w:rsidRPr="0080737A" w:rsidRDefault="0098695D" w:rsidP="00B638E6">
            <w:pPr>
              <w:pStyle w:val="a4"/>
              <w:ind w:firstLine="0"/>
              <w:jc w:val="left"/>
              <w:rPr>
                <w:szCs w:val="24"/>
              </w:rPr>
            </w:pPr>
            <w:r w:rsidRPr="0080737A">
              <w:rPr>
                <w:szCs w:val="24"/>
              </w:rPr>
              <w:t xml:space="preserve">Использовано </w:t>
            </w:r>
            <w:proofErr w:type="spellStart"/>
            <w:r w:rsidRPr="0080737A">
              <w:rPr>
                <w:szCs w:val="24"/>
              </w:rPr>
              <w:t>эл</w:t>
            </w:r>
            <w:proofErr w:type="gramStart"/>
            <w:r w:rsidRPr="0080737A">
              <w:rPr>
                <w:szCs w:val="24"/>
              </w:rPr>
              <w:t>.э</w:t>
            </w:r>
            <w:proofErr w:type="gramEnd"/>
            <w:r w:rsidRPr="0080737A">
              <w:rPr>
                <w:szCs w:val="24"/>
              </w:rPr>
              <w:t>нергии</w:t>
            </w:r>
            <w:proofErr w:type="spellEnd"/>
            <w:r w:rsidRPr="0080737A">
              <w:rPr>
                <w:szCs w:val="24"/>
              </w:rPr>
              <w:t>, кВт</w:t>
            </w:r>
          </w:p>
        </w:tc>
        <w:tc>
          <w:tcPr>
            <w:tcW w:w="1984" w:type="dxa"/>
            <w:vAlign w:val="center"/>
          </w:tcPr>
          <w:p w:rsidR="0098695D" w:rsidRPr="0080737A" w:rsidRDefault="0098695D" w:rsidP="00B638E6">
            <w:pPr>
              <w:pStyle w:val="a4"/>
              <w:ind w:firstLine="34"/>
              <w:jc w:val="center"/>
              <w:rPr>
                <w:szCs w:val="24"/>
              </w:rPr>
            </w:pPr>
            <w:r w:rsidRPr="0080737A">
              <w:rPr>
                <w:szCs w:val="24"/>
              </w:rPr>
              <w:t>3 973 402</w:t>
            </w:r>
          </w:p>
        </w:tc>
        <w:tc>
          <w:tcPr>
            <w:tcW w:w="1560" w:type="dxa"/>
            <w:vAlign w:val="center"/>
          </w:tcPr>
          <w:p w:rsidR="0098695D" w:rsidRPr="0080737A" w:rsidRDefault="0098695D" w:rsidP="00B638E6">
            <w:pPr>
              <w:pStyle w:val="a4"/>
              <w:ind w:firstLine="34"/>
              <w:jc w:val="center"/>
              <w:rPr>
                <w:szCs w:val="24"/>
              </w:rPr>
            </w:pPr>
            <w:r w:rsidRPr="0080737A">
              <w:rPr>
                <w:szCs w:val="24"/>
              </w:rPr>
              <w:t>2 437 374</w:t>
            </w:r>
          </w:p>
        </w:tc>
        <w:tc>
          <w:tcPr>
            <w:tcW w:w="1665" w:type="dxa"/>
            <w:vAlign w:val="center"/>
          </w:tcPr>
          <w:p w:rsidR="0098695D" w:rsidRPr="0080737A" w:rsidRDefault="0098695D" w:rsidP="00B638E6">
            <w:pPr>
              <w:pStyle w:val="a4"/>
              <w:ind w:firstLine="0"/>
              <w:jc w:val="center"/>
              <w:rPr>
                <w:szCs w:val="24"/>
              </w:rPr>
            </w:pPr>
            <w:r w:rsidRPr="0080737A">
              <w:rPr>
                <w:szCs w:val="24"/>
              </w:rPr>
              <w:t>61,3</w:t>
            </w:r>
          </w:p>
        </w:tc>
      </w:tr>
      <w:tr w:rsidR="0098695D" w:rsidRPr="0080737A" w:rsidTr="00B638E6">
        <w:tc>
          <w:tcPr>
            <w:tcW w:w="567" w:type="dxa"/>
            <w:vAlign w:val="center"/>
          </w:tcPr>
          <w:p w:rsidR="0098695D" w:rsidRPr="0080737A" w:rsidRDefault="0098695D" w:rsidP="00B638E6">
            <w:pPr>
              <w:pStyle w:val="a4"/>
              <w:ind w:firstLine="0"/>
              <w:jc w:val="center"/>
              <w:rPr>
                <w:szCs w:val="24"/>
              </w:rPr>
            </w:pPr>
            <w:r w:rsidRPr="0080737A">
              <w:rPr>
                <w:szCs w:val="24"/>
              </w:rPr>
              <w:t>3</w:t>
            </w:r>
            <w:r w:rsidR="00B638E6" w:rsidRPr="0080737A">
              <w:rPr>
                <w:szCs w:val="24"/>
              </w:rPr>
              <w:t>.</w:t>
            </w:r>
          </w:p>
        </w:tc>
        <w:tc>
          <w:tcPr>
            <w:tcW w:w="3544" w:type="dxa"/>
            <w:vAlign w:val="center"/>
          </w:tcPr>
          <w:p w:rsidR="0098695D" w:rsidRPr="0080737A" w:rsidRDefault="0098695D" w:rsidP="00B638E6">
            <w:pPr>
              <w:pStyle w:val="a4"/>
              <w:ind w:firstLine="0"/>
              <w:jc w:val="left"/>
              <w:rPr>
                <w:szCs w:val="24"/>
              </w:rPr>
            </w:pPr>
            <w:r w:rsidRPr="0080737A">
              <w:rPr>
                <w:szCs w:val="24"/>
              </w:rPr>
              <w:t xml:space="preserve">Физическая площадь, </w:t>
            </w:r>
            <w:proofErr w:type="gramStart"/>
            <w:r w:rsidRPr="0080737A">
              <w:rPr>
                <w:szCs w:val="24"/>
              </w:rPr>
              <w:t>га</w:t>
            </w:r>
            <w:proofErr w:type="gramEnd"/>
          </w:p>
        </w:tc>
        <w:tc>
          <w:tcPr>
            <w:tcW w:w="1984" w:type="dxa"/>
            <w:vAlign w:val="center"/>
          </w:tcPr>
          <w:p w:rsidR="0098695D" w:rsidRPr="0080737A" w:rsidRDefault="0098695D" w:rsidP="00B638E6">
            <w:pPr>
              <w:pStyle w:val="a4"/>
              <w:ind w:firstLine="34"/>
              <w:jc w:val="center"/>
              <w:rPr>
                <w:szCs w:val="24"/>
              </w:rPr>
            </w:pPr>
            <w:r w:rsidRPr="0080737A">
              <w:rPr>
                <w:szCs w:val="24"/>
              </w:rPr>
              <w:t>5 227,8</w:t>
            </w:r>
          </w:p>
        </w:tc>
        <w:tc>
          <w:tcPr>
            <w:tcW w:w="1560" w:type="dxa"/>
            <w:vAlign w:val="center"/>
          </w:tcPr>
          <w:p w:rsidR="0098695D" w:rsidRPr="0080737A" w:rsidRDefault="0098695D" w:rsidP="00B638E6">
            <w:pPr>
              <w:pStyle w:val="a4"/>
              <w:ind w:firstLine="34"/>
              <w:jc w:val="center"/>
              <w:rPr>
                <w:szCs w:val="24"/>
              </w:rPr>
            </w:pPr>
            <w:r w:rsidRPr="0080737A">
              <w:rPr>
                <w:szCs w:val="24"/>
              </w:rPr>
              <w:t>4 438,8</w:t>
            </w:r>
          </w:p>
        </w:tc>
        <w:tc>
          <w:tcPr>
            <w:tcW w:w="1665" w:type="dxa"/>
            <w:vAlign w:val="center"/>
          </w:tcPr>
          <w:p w:rsidR="0098695D" w:rsidRPr="0080737A" w:rsidRDefault="0098695D" w:rsidP="00B638E6">
            <w:pPr>
              <w:pStyle w:val="a4"/>
              <w:ind w:firstLine="0"/>
              <w:jc w:val="center"/>
              <w:rPr>
                <w:szCs w:val="24"/>
              </w:rPr>
            </w:pPr>
            <w:r w:rsidRPr="0080737A">
              <w:rPr>
                <w:szCs w:val="24"/>
              </w:rPr>
              <w:t>84,9</w:t>
            </w:r>
          </w:p>
        </w:tc>
      </w:tr>
      <w:tr w:rsidR="0098695D" w:rsidRPr="0080737A" w:rsidTr="00B638E6">
        <w:tc>
          <w:tcPr>
            <w:tcW w:w="567" w:type="dxa"/>
            <w:vAlign w:val="center"/>
          </w:tcPr>
          <w:p w:rsidR="0098695D" w:rsidRPr="0080737A" w:rsidRDefault="0098695D" w:rsidP="00B638E6">
            <w:pPr>
              <w:pStyle w:val="a4"/>
              <w:ind w:firstLine="0"/>
              <w:jc w:val="center"/>
              <w:rPr>
                <w:szCs w:val="24"/>
              </w:rPr>
            </w:pPr>
            <w:r w:rsidRPr="0080737A">
              <w:rPr>
                <w:szCs w:val="24"/>
              </w:rPr>
              <w:t>4</w:t>
            </w:r>
            <w:r w:rsidR="00B638E6" w:rsidRPr="0080737A">
              <w:rPr>
                <w:szCs w:val="24"/>
              </w:rPr>
              <w:t>.</w:t>
            </w:r>
          </w:p>
        </w:tc>
        <w:tc>
          <w:tcPr>
            <w:tcW w:w="3544" w:type="dxa"/>
            <w:vAlign w:val="center"/>
          </w:tcPr>
          <w:p w:rsidR="0098695D" w:rsidRPr="0080737A" w:rsidRDefault="0098695D" w:rsidP="00B638E6">
            <w:pPr>
              <w:pStyle w:val="a4"/>
              <w:ind w:firstLine="0"/>
              <w:jc w:val="left"/>
              <w:rPr>
                <w:szCs w:val="24"/>
              </w:rPr>
            </w:pPr>
            <w:r w:rsidRPr="0080737A">
              <w:rPr>
                <w:szCs w:val="24"/>
              </w:rPr>
              <w:t xml:space="preserve">Площадь поливов всего за сезон, </w:t>
            </w:r>
            <w:proofErr w:type="gramStart"/>
            <w:r w:rsidRPr="0080737A">
              <w:rPr>
                <w:szCs w:val="24"/>
              </w:rPr>
              <w:t>га</w:t>
            </w:r>
            <w:proofErr w:type="gramEnd"/>
          </w:p>
        </w:tc>
        <w:tc>
          <w:tcPr>
            <w:tcW w:w="1984" w:type="dxa"/>
            <w:vAlign w:val="center"/>
          </w:tcPr>
          <w:p w:rsidR="0098695D" w:rsidRPr="0080737A" w:rsidRDefault="0098695D" w:rsidP="00B638E6">
            <w:pPr>
              <w:pStyle w:val="a4"/>
              <w:ind w:firstLine="34"/>
              <w:jc w:val="center"/>
              <w:rPr>
                <w:szCs w:val="24"/>
              </w:rPr>
            </w:pPr>
            <w:r w:rsidRPr="0080737A">
              <w:rPr>
                <w:szCs w:val="24"/>
              </w:rPr>
              <w:t>9 676,2</w:t>
            </w:r>
          </w:p>
        </w:tc>
        <w:tc>
          <w:tcPr>
            <w:tcW w:w="1560" w:type="dxa"/>
            <w:vAlign w:val="center"/>
          </w:tcPr>
          <w:p w:rsidR="0098695D" w:rsidRPr="0080737A" w:rsidRDefault="0098695D" w:rsidP="00B638E6">
            <w:pPr>
              <w:pStyle w:val="a4"/>
              <w:ind w:firstLine="34"/>
              <w:jc w:val="center"/>
              <w:rPr>
                <w:szCs w:val="24"/>
              </w:rPr>
            </w:pPr>
            <w:r w:rsidRPr="0080737A">
              <w:rPr>
                <w:szCs w:val="24"/>
              </w:rPr>
              <w:t>8 061,6</w:t>
            </w:r>
          </w:p>
        </w:tc>
        <w:tc>
          <w:tcPr>
            <w:tcW w:w="1665" w:type="dxa"/>
            <w:vAlign w:val="center"/>
          </w:tcPr>
          <w:p w:rsidR="0098695D" w:rsidRPr="0080737A" w:rsidRDefault="0098695D" w:rsidP="00B638E6">
            <w:pPr>
              <w:pStyle w:val="a4"/>
              <w:ind w:firstLine="0"/>
              <w:jc w:val="center"/>
              <w:rPr>
                <w:szCs w:val="24"/>
              </w:rPr>
            </w:pPr>
            <w:r w:rsidRPr="0080737A">
              <w:rPr>
                <w:szCs w:val="24"/>
              </w:rPr>
              <w:t>83,3</w:t>
            </w:r>
          </w:p>
        </w:tc>
      </w:tr>
    </w:tbl>
    <w:p w:rsidR="0098695D" w:rsidRPr="0080737A" w:rsidRDefault="0098695D" w:rsidP="0098695D">
      <w:pPr>
        <w:spacing w:after="0" w:line="240" w:lineRule="auto"/>
        <w:ind w:firstLine="708"/>
        <w:jc w:val="both"/>
        <w:rPr>
          <w:rFonts w:ascii="Times New Roman" w:hAnsi="Times New Roman"/>
          <w:sz w:val="24"/>
          <w:szCs w:val="24"/>
        </w:rPr>
      </w:pPr>
      <w:r w:rsidRPr="0080737A">
        <w:rPr>
          <w:rFonts w:ascii="Times New Roman" w:hAnsi="Times New Roman"/>
          <w:b/>
          <w:sz w:val="24"/>
          <w:szCs w:val="24"/>
        </w:rPr>
        <w:t>Фитосанитарное обслуживание.</w:t>
      </w:r>
      <w:r w:rsidR="005C2655" w:rsidRPr="0080737A">
        <w:rPr>
          <w:rFonts w:ascii="Times New Roman" w:hAnsi="Times New Roman"/>
          <w:b/>
          <w:sz w:val="24"/>
          <w:szCs w:val="24"/>
        </w:rPr>
        <w:t xml:space="preserve"> </w:t>
      </w:r>
      <w:proofErr w:type="gramStart"/>
      <w:r w:rsidRPr="0080737A">
        <w:rPr>
          <w:rFonts w:ascii="Times New Roman" w:hAnsi="Times New Roman"/>
          <w:sz w:val="24"/>
          <w:szCs w:val="24"/>
        </w:rPr>
        <w:t>В январе-июне 2016 года в растениеводческой отрасли проводились мероприятия по выявлению очагов карантинных сорняков, вредителей и возбудителей болезней растений, было обследовано 54,6 тыс. га (в январе-июне 2015 года – 52,5 тыс. га) земель сельскохозяйственного назначения, карантинные объекты выявлены на площади 37,0 тыс. га (в январе-июне 2015 года – 35,0 тыс. га) земельных угодий.</w:t>
      </w:r>
      <w:proofErr w:type="gramEnd"/>
      <w:r w:rsidRPr="0080737A">
        <w:rPr>
          <w:rFonts w:ascii="Times New Roman" w:hAnsi="Times New Roman"/>
          <w:sz w:val="24"/>
          <w:szCs w:val="24"/>
        </w:rPr>
        <w:t xml:space="preserve"> Локализация и ликвидация очагов вредных организмов была успешно проведена на площади 5,6 тыс. га (в январе-июне 2015 года – 3,9 тыс. га).</w:t>
      </w:r>
    </w:p>
    <w:p w:rsidR="0098695D" w:rsidRPr="0080737A" w:rsidRDefault="0098695D" w:rsidP="0098695D">
      <w:pPr>
        <w:spacing w:after="0" w:line="240" w:lineRule="auto"/>
        <w:ind w:firstLine="708"/>
        <w:jc w:val="both"/>
        <w:rPr>
          <w:rFonts w:ascii="Times New Roman" w:hAnsi="Times New Roman"/>
          <w:sz w:val="24"/>
          <w:szCs w:val="24"/>
        </w:rPr>
      </w:pPr>
      <w:r w:rsidRPr="0080737A">
        <w:rPr>
          <w:rFonts w:ascii="Times New Roman" w:hAnsi="Times New Roman"/>
          <w:sz w:val="24"/>
          <w:szCs w:val="24"/>
        </w:rPr>
        <w:t xml:space="preserve">Выдано 4 889 разрешительных документов для ввоза, вывоза и перемещения подконтрольных грузов на территории ПМР (в январе-июне 2015 года –                                     4 767 разрешительных документов). </w:t>
      </w:r>
      <w:proofErr w:type="gramStart"/>
      <w:r w:rsidRPr="0080737A">
        <w:rPr>
          <w:rFonts w:ascii="Times New Roman" w:hAnsi="Times New Roman"/>
          <w:sz w:val="24"/>
          <w:szCs w:val="24"/>
        </w:rPr>
        <w:t>Проведено 3 447 досмотров (в январе-июне 2015 года – 3 222  досмотров) импортно-экспортных грузов, общим весом 31,2 тыс. тонн (в январе-июне2015 года – 168,2 тыс. тонн), отобрано и направлено на исследование 4 105 проб                                          (в январе-июне 2015 года – 1 330 проба), выдано 2 070 свидетельств карантинной экспертизы (в январе-июне 2015 года – 1 309 свидетельств).</w:t>
      </w:r>
      <w:proofErr w:type="gramEnd"/>
      <w:r w:rsidRPr="0080737A">
        <w:rPr>
          <w:rFonts w:ascii="Times New Roman" w:hAnsi="Times New Roman"/>
          <w:sz w:val="24"/>
          <w:szCs w:val="24"/>
        </w:rPr>
        <w:t xml:space="preserve"> Общая сумма платежей по оказанным услугам за январь-июнь 2016 года составила 368,7 тыс. руб. ПМР, что на 55,9% меньше по отношению к соответствующему периоду 2015 года. </w:t>
      </w:r>
    </w:p>
    <w:p w:rsidR="0098695D" w:rsidRPr="0080737A" w:rsidRDefault="0098695D" w:rsidP="0098695D">
      <w:pPr>
        <w:spacing w:after="0" w:line="240" w:lineRule="auto"/>
        <w:ind w:firstLine="708"/>
        <w:jc w:val="both"/>
        <w:rPr>
          <w:rFonts w:ascii="Times New Roman" w:eastAsia="Calibri" w:hAnsi="Times New Roman"/>
          <w:sz w:val="24"/>
          <w:szCs w:val="24"/>
        </w:rPr>
      </w:pPr>
      <w:r w:rsidRPr="0080737A">
        <w:rPr>
          <w:rFonts w:ascii="Times New Roman" w:eastAsia="Calibri" w:hAnsi="Times New Roman"/>
          <w:b/>
          <w:sz w:val="24"/>
          <w:szCs w:val="24"/>
        </w:rPr>
        <w:t>Животноводство.</w:t>
      </w:r>
      <w:r w:rsidRPr="0080737A">
        <w:rPr>
          <w:rFonts w:ascii="Times New Roman" w:eastAsia="Calibri" w:hAnsi="Times New Roman"/>
          <w:sz w:val="24"/>
          <w:szCs w:val="24"/>
        </w:rPr>
        <w:t xml:space="preserve"> Наиболее проблемной отраслью сельского хозяйства является животноводство. Общая ситуация в животноводческой отрасли остаётся по-прежнему сложной.</w:t>
      </w:r>
      <w:r w:rsidR="00EF7D3C" w:rsidRPr="0080737A">
        <w:rPr>
          <w:rFonts w:ascii="Times New Roman" w:eastAsia="Calibri" w:hAnsi="Times New Roman"/>
          <w:sz w:val="24"/>
          <w:szCs w:val="24"/>
        </w:rPr>
        <w:t xml:space="preserve"> </w:t>
      </w:r>
      <w:r w:rsidRPr="0080737A">
        <w:rPr>
          <w:rFonts w:ascii="Times New Roman" w:eastAsia="Calibri" w:hAnsi="Times New Roman"/>
          <w:sz w:val="24"/>
          <w:szCs w:val="24"/>
        </w:rPr>
        <w:t xml:space="preserve">Отсутствие емких рынков сбыта продукции и недостаточность инвестиций в развитие отдельных </w:t>
      </w:r>
      <w:proofErr w:type="spellStart"/>
      <w:r w:rsidRPr="0080737A">
        <w:rPr>
          <w:rFonts w:ascii="Times New Roman" w:eastAsia="Calibri" w:hAnsi="Times New Roman"/>
          <w:sz w:val="24"/>
          <w:szCs w:val="24"/>
        </w:rPr>
        <w:t>подотраслей</w:t>
      </w:r>
      <w:proofErr w:type="spellEnd"/>
      <w:r w:rsidRPr="0080737A">
        <w:rPr>
          <w:rFonts w:ascii="Times New Roman" w:eastAsia="Calibri" w:hAnsi="Times New Roman"/>
          <w:sz w:val="24"/>
          <w:szCs w:val="24"/>
        </w:rPr>
        <w:t xml:space="preserve"> явились основными сдерживающими факторами развития животноводческой отрасли в республике.</w:t>
      </w:r>
    </w:p>
    <w:p w:rsidR="0098695D" w:rsidRPr="0080737A" w:rsidRDefault="0098695D" w:rsidP="0098695D">
      <w:pPr>
        <w:spacing w:after="0" w:line="240" w:lineRule="auto"/>
        <w:ind w:firstLine="709"/>
        <w:jc w:val="both"/>
        <w:rPr>
          <w:rFonts w:ascii="Times New Roman" w:hAnsi="Times New Roman"/>
          <w:sz w:val="24"/>
          <w:szCs w:val="24"/>
        </w:rPr>
      </w:pPr>
      <w:r w:rsidRPr="0080737A">
        <w:rPr>
          <w:rFonts w:ascii="Times New Roman" w:hAnsi="Times New Roman"/>
          <w:sz w:val="24"/>
          <w:szCs w:val="24"/>
        </w:rPr>
        <w:t>По состоянию на 1 июля 2016 года к аналогичной дате 2015 года в организациях, осуществляющих сельскохозяйственное производство (без учёта хозяйств населения), поголовье крупного рогатого скота сократилось на 14,0% до 5 830 голов, птицы всех возрастов – на 41,7% до 221 940 голов. В то же время поголовье мелкого рогатого скота возросло на 26,2% до 2 327 голов, свиней – на 0,6% до 12 310 голов.</w:t>
      </w:r>
    </w:p>
    <w:p w:rsidR="0098695D" w:rsidRPr="0080737A" w:rsidRDefault="0098695D" w:rsidP="0098695D">
      <w:pPr>
        <w:spacing w:after="0" w:line="240" w:lineRule="auto"/>
        <w:ind w:firstLine="709"/>
        <w:jc w:val="both"/>
        <w:rPr>
          <w:rFonts w:ascii="Times New Roman" w:hAnsi="Times New Roman"/>
          <w:sz w:val="24"/>
          <w:szCs w:val="24"/>
        </w:rPr>
      </w:pPr>
    </w:p>
    <w:p w:rsidR="0098695D" w:rsidRPr="0080737A" w:rsidRDefault="0098695D" w:rsidP="0098695D">
      <w:pPr>
        <w:spacing w:after="0" w:line="240" w:lineRule="auto"/>
        <w:jc w:val="both"/>
        <w:rPr>
          <w:rFonts w:ascii="Times New Roman" w:hAnsi="Times New Roman"/>
          <w:sz w:val="24"/>
          <w:szCs w:val="24"/>
        </w:rPr>
      </w:pPr>
      <w:r w:rsidRPr="0080737A">
        <w:rPr>
          <w:rFonts w:ascii="Times New Roman" w:hAnsi="Times New Roman"/>
          <w:noProof/>
          <w:sz w:val="24"/>
          <w:szCs w:val="24"/>
        </w:rPr>
        <w:drawing>
          <wp:inline distT="0" distB="0" distL="0" distR="0">
            <wp:extent cx="5935980" cy="2796540"/>
            <wp:effectExtent l="0" t="0" r="0"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8695D" w:rsidRPr="0080737A" w:rsidRDefault="0098695D" w:rsidP="0098695D">
      <w:pPr>
        <w:spacing w:after="0" w:line="240" w:lineRule="auto"/>
        <w:ind w:firstLine="708"/>
        <w:jc w:val="both"/>
        <w:rPr>
          <w:rFonts w:ascii="Times New Roman" w:hAnsi="Times New Roman"/>
          <w:sz w:val="24"/>
          <w:szCs w:val="24"/>
        </w:rPr>
      </w:pPr>
      <w:r w:rsidRPr="0080737A">
        <w:rPr>
          <w:rFonts w:ascii="Times New Roman" w:hAnsi="Times New Roman"/>
          <w:sz w:val="24"/>
          <w:szCs w:val="24"/>
        </w:rPr>
        <w:lastRenderedPageBreak/>
        <w:t>В январе-июне 2016 года в сравнении с соответствующим периодом 2015 года в организациях, осуществляющих сельскохозяйственное производство, сократился объём производства молока коровьего и яиц куриных соответственно на 15,2% и на 72,1%. Однако возрос объем реализации скота и птицы на убой (в живом весе) на 48,0%.</w:t>
      </w:r>
    </w:p>
    <w:p w:rsidR="0098695D" w:rsidRPr="0080737A" w:rsidRDefault="0098695D" w:rsidP="0098695D">
      <w:pPr>
        <w:spacing w:after="0" w:line="240" w:lineRule="auto"/>
        <w:jc w:val="both"/>
        <w:rPr>
          <w:rFonts w:ascii="Times New Roman" w:hAnsi="Times New Roman"/>
          <w:sz w:val="24"/>
          <w:szCs w:val="24"/>
        </w:rPr>
      </w:pPr>
      <w:r w:rsidRPr="0080737A">
        <w:rPr>
          <w:rFonts w:ascii="Times New Roman" w:hAnsi="Times New Roman"/>
          <w:noProof/>
          <w:sz w:val="24"/>
          <w:szCs w:val="24"/>
        </w:rPr>
        <w:drawing>
          <wp:inline distT="0" distB="0" distL="0" distR="0">
            <wp:extent cx="5934075" cy="3219450"/>
            <wp:effectExtent l="0" t="0" r="0"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8695D" w:rsidRPr="0080737A" w:rsidRDefault="0098695D" w:rsidP="0098695D">
      <w:pPr>
        <w:spacing w:after="0" w:line="240" w:lineRule="auto"/>
        <w:ind w:firstLine="435"/>
        <w:jc w:val="both"/>
        <w:rPr>
          <w:rFonts w:ascii="Times New Roman" w:hAnsi="Times New Roman"/>
          <w:sz w:val="24"/>
          <w:szCs w:val="24"/>
        </w:rPr>
      </w:pPr>
    </w:p>
    <w:p w:rsidR="0098695D" w:rsidRPr="0080737A" w:rsidRDefault="0098695D" w:rsidP="0098695D">
      <w:pPr>
        <w:spacing w:after="0" w:line="240" w:lineRule="auto"/>
        <w:ind w:firstLine="435"/>
        <w:jc w:val="both"/>
        <w:rPr>
          <w:rFonts w:ascii="Times New Roman" w:hAnsi="Times New Roman"/>
          <w:sz w:val="24"/>
          <w:szCs w:val="24"/>
        </w:rPr>
      </w:pPr>
      <w:r w:rsidRPr="0080737A">
        <w:rPr>
          <w:rFonts w:ascii="Times New Roman" w:hAnsi="Times New Roman"/>
          <w:sz w:val="24"/>
          <w:szCs w:val="24"/>
        </w:rPr>
        <w:t>В рассматриваемом периоде по отношению к аналогичному периоду 2015 года снизилась продуктивность скота на 4,4% до 1 772 кг и птицы на 3,7% до 105 штук соответственно, что обусловлено сокращением коров молочного стада и снижением поголовья кур-несушек.</w:t>
      </w:r>
    </w:p>
    <w:p w:rsidR="0098695D" w:rsidRPr="0080737A" w:rsidRDefault="0098695D" w:rsidP="0098695D">
      <w:pPr>
        <w:suppressAutoHyphens/>
        <w:spacing w:after="0" w:line="240" w:lineRule="auto"/>
        <w:jc w:val="both"/>
        <w:rPr>
          <w:rFonts w:ascii="Times New Roman" w:eastAsia="Calibri" w:hAnsi="Times New Roman"/>
          <w:sz w:val="24"/>
          <w:szCs w:val="24"/>
        </w:rPr>
      </w:pPr>
      <w:r w:rsidRPr="0080737A">
        <w:rPr>
          <w:rFonts w:ascii="Times New Roman" w:eastAsia="Calibri" w:hAnsi="Times New Roman"/>
          <w:noProof/>
          <w:sz w:val="24"/>
          <w:szCs w:val="24"/>
        </w:rPr>
        <w:drawing>
          <wp:inline distT="0" distB="0" distL="0" distR="0">
            <wp:extent cx="5619750" cy="2933700"/>
            <wp:effectExtent l="0" t="0" r="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8695D" w:rsidRPr="0080737A" w:rsidRDefault="0098695D" w:rsidP="0098695D">
      <w:pPr>
        <w:spacing w:after="0" w:line="240" w:lineRule="auto"/>
        <w:ind w:firstLine="708"/>
        <w:jc w:val="both"/>
        <w:rPr>
          <w:rFonts w:ascii="Times New Roman" w:hAnsi="Times New Roman"/>
          <w:sz w:val="24"/>
          <w:szCs w:val="24"/>
        </w:rPr>
      </w:pPr>
      <w:r w:rsidRPr="0080737A">
        <w:rPr>
          <w:rFonts w:ascii="Times New Roman" w:hAnsi="Times New Roman"/>
          <w:sz w:val="24"/>
          <w:szCs w:val="24"/>
        </w:rPr>
        <w:t>В январе-июне 2016 года импортно-экспортные операции осуществляли 630 экономических агентов (в январе-июне 2015 года – 771 экономических агентов). Экономическим агентам, осуществляющим экспортно-импортные операции, было выдано</w:t>
      </w:r>
      <w:r w:rsidRPr="0080737A">
        <w:rPr>
          <w:rFonts w:ascii="Times New Roman" w:hAnsi="Times New Roman"/>
          <w:sz w:val="24"/>
          <w:szCs w:val="24"/>
        </w:rPr>
        <w:br/>
        <w:t xml:space="preserve">3 138 ветеринарно-санитарных разрешений (в январе-июне 2015 года – 3 174 ВСР), в том числе на вывоз (экспорт) с территории республики – 618 (в январе-июне 2015 года – 517), на ввоз (импорт) – 2 520 (в январе-июне 2015 года – 2 657). Согласно выданным ветеринарно-санитарным разрешениям на территорию Приднестровской Молдавской Республики поступило 20 341,5 тонн груза (товара) животного происхождения, подлежащего ветеринарно-санитарному контролю (в январе-июне 2015 года – 16 370,6 </w:t>
      </w:r>
      <w:r w:rsidRPr="0080737A">
        <w:rPr>
          <w:rFonts w:ascii="Times New Roman" w:hAnsi="Times New Roman"/>
          <w:sz w:val="24"/>
          <w:szCs w:val="24"/>
        </w:rPr>
        <w:lastRenderedPageBreak/>
        <w:t>тонн), а также вывезено 1 976,3 тонн (в январе-июне 2015 года – 495,1 тонн) подконтрольной продукции. На эти грузы выдано 2 915 ветеринарно-сопроводитель</w:t>
      </w:r>
      <w:r w:rsidR="00EF7D3C" w:rsidRPr="0080737A">
        <w:rPr>
          <w:rFonts w:ascii="Times New Roman" w:hAnsi="Times New Roman"/>
          <w:sz w:val="24"/>
          <w:szCs w:val="24"/>
        </w:rPr>
        <w:t xml:space="preserve">ных документов (в январе-июне </w:t>
      </w:r>
      <w:r w:rsidRPr="0080737A">
        <w:rPr>
          <w:rFonts w:ascii="Times New Roman" w:hAnsi="Times New Roman"/>
          <w:sz w:val="24"/>
          <w:szCs w:val="24"/>
        </w:rPr>
        <w:t>2015 года – 2 593), в том числе по импорту – 2 355 (в январе-июне 2015 года – 2 115) и по экспорту – 560 (в январе-июне 2015 года – 478). Всего досмотрено 15 880,5 тонн подконтрольного груза (14 874,225 тонн), при этом составлен 1 151 акт досмо</w:t>
      </w:r>
      <w:r w:rsidR="00EF7D3C" w:rsidRPr="0080737A">
        <w:rPr>
          <w:rFonts w:ascii="Times New Roman" w:hAnsi="Times New Roman"/>
          <w:sz w:val="24"/>
          <w:szCs w:val="24"/>
        </w:rPr>
        <w:t xml:space="preserve">тра (в январе-июне 2015 года – </w:t>
      </w:r>
      <w:r w:rsidRPr="0080737A">
        <w:rPr>
          <w:rFonts w:ascii="Times New Roman" w:hAnsi="Times New Roman"/>
          <w:sz w:val="24"/>
          <w:szCs w:val="24"/>
        </w:rPr>
        <w:t>1 057 актов).</w:t>
      </w:r>
    </w:p>
    <w:p w:rsidR="0098695D" w:rsidRPr="0080737A" w:rsidRDefault="0098695D" w:rsidP="0098695D">
      <w:pPr>
        <w:spacing w:after="0" w:line="240" w:lineRule="auto"/>
        <w:ind w:firstLine="709"/>
        <w:jc w:val="both"/>
        <w:rPr>
          <w:rFonts w:ascii="Times New Roman" w:eastAsia="Calibri" w:hAnsi="Times New Roman"/>
          <w:b/>
          <w:sz w:val="24"/>
          <w:szCs w:val="24"/>
          <w:lang w:eastAsia="en-US"/>
        </w:rPr>
      </w:pPr>
      <w:r w:rsidRPr="0080737A">
        <w:rPr>
          <w:rFonts w:ascii="Times New Roman" w:eastAsia="Calibri" w:hAnsi="Times New Roman"/>
          <w:b/>
          <w:sz w:val="24"/>
          <w:szCs w:val="24"/>
          <w:lang w:eastAsia="en-US"/>
        </w:rPr>
        <w:t>Инвестиционные вложения в развитие АПК</w:t>
      </w:r>
    </w:p>
    <w:p w:rsidR="0098695D" w:rsidRPr="0080737A" w:rsidRDefault="0098695D" w:rsidP="0098695D">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январе-июне текущего года в рамках действующего Положения о порядке заключения Соглашения об инвестиционных обязательствах хозяйствующих субъектов при предоставлении им земель сельскохозяйственного назначения в пользование (аренду</w:t>
      </w:r>
      <w:proofErr w:type="gramStart"/>
      <w:r w:rsidRPr="0080737A">
        <w:rPr>
          <w:rFonts w:ascii="Times New Roman" w:hAnsi="Times New Roman"/>
          <w:sz w:val="24"/>
          <w:szCs w:val="24"/>
        </w:rPr>
        <w:t>)п</w:t>
      </w:r>
      <w:proofErr w:type="gramEnd"/>
      <w:r w:rsidRPr="0080737A">
        <w:rPr>
          <w:rFonts w:ascii="Times New Roman" w:hAnsi="Times New Roman"/>
          <w:sz w:val="24"/>
          <w:szCs w:val="24"/>
        </w:rPr>
        <w:t xml:space="preserve">родолжилось заключение инвестиционных соглашений землепользователей с Правительством ПМР и Министерством сельского хозяйства и природных ресурсов ПМР. </w:t>
      </w:r>
    </w:p>
    <w:p w:rsidR="0098695D" w:rsidRPr="0080737A" w:rsidRDefault="0098695D" w:rsidP="0098695D">
      <w:pPr>
        <w:pStyle w:val="13"/>
        <w:shd w:val="clear" w:color="auto" w:fill="FFFFFF"/>
        <w:ind w:firstLine="709"/>
        <w:jc w:val="both"/>
        <w:rPr>
          <w:rFonts w:ascii="Times New Roman" w:hAnsi="Times New Roman" w:cs="Times New Roman"/>
        </w:rPr>
      </w:pPr>
      <w:proofErr w:type="gramStart"/>
      <w:r w:rsidRPr="0080737A">
        <w:rPr>
          <w:rFonts w:ascii="Times New Roman" w:hAnsi="Times New Roman" w:cs="Times New Roman"/>
        </w:rPr>
        <w:t>Всего инвестиционными соглашениями, заключенными в</w:t>
      </w:r>
      <w:r w:rsidR="00EF7D3C" w:rsidRPr="0080737A">
        <w:rPr>
          <w:rFonts w:ascii="Times New Roman" w:hAnsi="Times New Roman" w:cs="Times New Roman"/>
        </w:rPr>
        <w:t xml:space="preserve"> </w:t>
      </w:r>
      <w:r w:rsidRPr="0080737A">
        <w:rPr>
          <w:rFonts w:ascii="Times New Roman" w:hAnsi="Times New Roman" w:cs="Times New Roman"/>
        </w:rPr>
        <w:t>рассматриваемом периоде, и договорами, содержащими инвестиционные обязательства, охвачено</w:t>
      </w:r>
      <w:r w:rsidR="00EF7D3C" w:rsidRPr="0080737A">
        <w:rPr>
          <w:rFonts w:ascii="Times New Roman" w:hAnsi="Times New Roman" w:cs="Times New Roman"/>
        </w:rPr>
        <w:t xml:space="preserve">                                </w:t>
      </w:r>
      <w:r w:rsidRPr="0080737A">
        <w:rPr>
          <w:rFonts w:ascii="Times New Roman" w:hAnsi="Times New Roman" w:cs="Times New Roman"/>
        </w:rPr>
        <w:t xml:space="preserve"> 15 784,9 га земель сельскохозяйственного назначения, что на 764,5 га больше, чем в соответствующем периоде 2015 года, при  этом общая сумма предполагаемых инвестиций согласно заключенным соглашениям и договорам составит 23 697 тыс. руб. (34 668,1 в январе-июне 2015 года).</w:t>
      </w:r>
      <w:proofErr w:type="gramEnd"/>
      <w:r w:rsidRPr="0080737A">
        <w:rPr>
          <w:rFonts w:ascii="Times New Roman" w:hAnsi="Times New Roman" w:cs="Times New Roman"/>
        </w:rPr>
        <w:t xml:space="preserve"> В развитие сельскохозяйственного производства предполагается инвестировать 22 100 тыс. руб. (67,7 % к уровню 2015 года), в инфраструктуру села – </w:t>
      </w:r>
      <w:r w:rsidR="0049074B" w:rsidRPr="0080737A">
        <w:rPr>
          <w:rFonts w:ascii="Times New Roman" w:hAnsi="Times New Roman" w:cs="Times New Roman"/>
        </w:rPr>
        <w:t xml:space="preserve">               </w:t>
      </w:r>
      <w:r w:rsidRPr="0080737A">
        <w:rPr>
          <w:rFonts w:ascii="Times New Roman" w:hAnsi="Times New Roman" w:cs="Times New Roman"/>
        </w:rPr>
        <w:t xml:space="preserve">1 597 тыс. руб. (79,3 % к уровню 2015 года). </w:t>
      </w:r>
    </w:p>
    <w:p w:rsidR="0098695D" w:rsidRPr="0080737A" w:rsidRDefault="0098695D" w:rsidP="0098695D">
      <w:pPr>
        <w:pStyle w:val="13"/>
        <w:shd w:val="clear" w:color="auto" w:fill="FFFFFF"/>
        <w:ind w:firstLine="709"/>
        <w:jc w:val="both"/>
        <w:rPr>
          <w:rFonts w:ascii="Times New Roman" w:hAnsi="Times New Roman" w:cs="Times New Roman"/>
        </w:rPr>
      </w:pPr>
      <w:proofErr w:type="gramStart"/>
      <w:r w:rsidRPr="0080737A">
        <w:rPr>
          <w:rFonts w:ascii="Times New Roman" w:hAnsi="Times New Roman" w:cs="Times New Roman"/>
        </w:rPr>
        <w:t>Договорами долгосрочного пользования (договорами-соглашениями с государственными администрациями) в первом полугодии 2016 года предусмотрены обязательства по инвестированию средств по 72 организациям (КФХ) (в январе-июне 2015 года -29 организаций (КФХ)), охватывающим площадь 6 512,7 га земель (в январе-июне 2015 года - 4 229,1 га), все инвестиции предусмотрено направить в инфраструктуру сел</w:t>
      </w:r>
      <w:r w:rsidRPr="0080737A">
        <w:rPr>
          <w:rFonts w:ascii="Times New Roman" w:hAnsi="Times New Roman"/>
        </w:rPr>
        <w:t xml:space="preserve"> (детские сады, общеобразовательные школы, сельски</w:t>
      </w:r>
      <w:r w:rsidR="0049074B" w:rsidRPr="0080737A">
        <w:rPr>
          <w:rFonts w:ascii="Times New Roman" w:hAnsi="Times New Roman"/>
        </w:rPr>
        <w:t>е врачебные амбулатории и др.).</w:t>
      </w:r>
      <w:proofErr w:type="gramEnd"/>
    </w:p>
    <w:p w:rsidR="0098695D" w:rsidRPr="0080737A" w:rsidRDefault="0098695D" w:rsidP="0098695D">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Усугубление социально-экономической обстановки в республике обусловило сдержанное поведение экономических агентов в сфере инвестиций в результате </w:t>
      </w:r>
      <w:r w:rsidR="00EA4BE3" w:rsidRPr="0080737A">
        <w:rPr>
          <w:rFonts w:ascii="Times New Roman" w:hAnsi="Times New Roman"/>
          <w:sz w:val="24"/>
          <w:szCs w:val="24"/>
        </w:rPr>
        <w:t xml:space="preserve">в </w:t>
      </w:r>
      <w:r w:rsidRPr="0080737A">
        <w:rPr>
          <w:rFonts w:ascii="Times New Roman" w:hAnsi="Times New Roman"/>
          <w:sz w:val="24"/>
          <w:szCs w:val="24"/>
        </w:rPr>
        <w:t>целом совокупный объем инвестирования в долгосрочное развитие сельскохозяйственных организаций по итогам января-июня 2016 года сократился к базовым показателям шести месяцев 2015 года</w:t>
      </w:r>
      <w:r w:rsidR="00EF7D3C" w:rsidRPr="0080737A">
        <w:rPr>
          <w:rFonts w:ascii="Times New Roman" w:hAnsi="Times New Roman"/>
          <w:sz w:val="24"/>
          <w:szCs w:val="24"/>
        </w:rPr>
        <w:t xml:space="preserve"> </w:t>
      </w:r>
      <w:r w:rsidRPr="0080737A">
        <w:rPr>
          <w:rFonts w:ascii="Times New Roman" w:hAnsi="Times New Roman"/>
          <w:sz w:val="24"/>
          <w:szCs w:val="24"/>
        </w:rPr>
        <w:t>до 32,6 млн. руб. или на 59,4%. Основная часть финансовых потоков в аграрном секторе была направлена на внедрение системы капельного орошения, закладку</w:t>
      </w:r>
      <w:proofErr w:type="gramEnd"/>
      <w:r w:rsidRPr="0080737A">
        <w:rPr>
          <w:rFonts w:ascii="Times New Roman" w:hAnsi="Times New Roman"/>
          <w:sz w:val="24"/>
          <w:szCs w:val="24"/>
        </w:rPr>
        <w:t xml:space="preserve"> интенсивных садов, приобретение современного холодильного оборудования. </w:t>
      </w:r>
    </w:p>
    <w:p w:rsidR="0098695D" w:rsidRPr="0080737A" w:rsidRDefault="0098695D" w:rsidP="0098695D">
      <w:pPr>
        <w:spacing w:after="0" w:line="240" w:lineRule="auto"/>
        <w:ind w:firstLine="567"/>
        <w:jc w:val="both"/>
        <w:rPr>
          <w:rFonts w:ascii="Times New Roman" w:eastAsia="Calibri" w:hAnsi="Times New Roman"/>
          <w:b/>
          <w:sz w:val="24"/>
          <w:szCs w:val="24"/>
        </w:rPr>
      </w:pPr>
      <w:r w:rsidRPr="0080737A">
        <w:rPr>
          <w:rFonts w:ascii="Times New Roman" w:eastAsia="Calibri" w:hAnsi="Times New Roman"/>
          <w:b/>
          <w:sz w:val="24"/>
          <w:szCs w:val="24"/>
        </w:rPr>
        <w:t>Государственная поддержка хозяйствующим субъектам АПК</w:t>
      </w:r>
    </w:p>
    <w:p w:rsidR="0098695D" w:rsidRPr="0080737A" w:rsidRDefault="0098695D" w:rsidP="0098695D">
      <w:pPr>
        <w:tabs>
          <w:tab w:val="left" w:pos="426"/>
          <w:tab w:val="left" w:pos="567"/>
        </w:tabs>
        <w:spacing w:after="0" w:line="240" w:lineRule="auto"/>
        <w:jc w:val="both"/>
        <w:rPr>
          <w:rFonts w:ascii="Times New Roman" w:hAnsi="Times New Roman"/>
          <w:sz w:val="24"/>
          <w:szCs w:val="24"/>
        </w:rPr>
      </w:pPr>
      <w:r w:rsidRPr="0080737A">
        <w:tab/>
      </w:r>
      <w:r w:rsidRPr="0080737A">
        <w:rPr>
          <w:rFonts w:ascii="Times New Roman" w:hAnsi="Times New Roman"/>
          <w:sz w:val="24"/>
          <w:szCs w:val="24"/>
        </w:rPr>
        <w:tab/>
      </w:r>
      <w:proofErr w:type="gramStart"/>
      <w:r w:rsidRPr="0080737A">
        <w:rPr>
          <w:rFonts w:ascii="Times New Roman" w:hAnsi="Times New Roman"/>
          <w:sz w:val="24"/>
          <w:szCs w:val="24"/>
        </w:rPr>
        <w:t>В январе-июне 2016 года наблюдательным советом Фонда государственного резерва было принято решение о выделении хозяйствующим субъектам агропромышленного комплекса республики из средств помощи, полученной от Российской Федерации в 2008 и 2011 годах, кредитными организациями и Фондом государственного резерва Приднестровской Молдавской Республики беспроцентных займов (кредитов) в сумме          62,1 млн. руб. РФ, в том числе:</w:t>
      </w:r>
      <w:proofErr w:type="gramEnd"/>
    </w:p>
    <w:p w:rsidR="0098695D" w:rsidRPr="0080737A" w:rsidRDefault="0098695D" w:rsidP="0098695D">
      <w:pPr>
        <w:tabs>
          <w:tab w:val="left" w:pos="709"/>
        </w:tabs>
        <w:spacing w:after="0" w:line="240" w:lineRule="auto"/>
        <w:jc w:val="both"/>
        <w:rPr>
          <w:rFonts w:ascii="Times New Roman" w:hAnsi="Times New Roman"/>
          <w:sz w:val="24"/>
          <w:szCs w:val="24"/>
        </w:rPr>
      </w:pPr>
      <w:r w:rsidRPr="0080737A">
        <w:rPr>
          <w:rFonts w:ascii="Times New Roman" w:hAnsi="Times New Roman"/>
          <w:sz w:val="24"/>
          <w:szCs w:val="24"/>
        </w:rPr>
        <w:tab/>
        <w:t>- на развитие животноводства – 8,2 млн. руб. РФ;</w:t>
      </w:r>
    </w:p>
    <w:p w:rsidR="0098695D" w:rsidRPr="0080737A" w:rsidRDefault="0098695D" w:rsidP="0098695D">
      <w:pPr>
        <w:tabs>
          <w:tab w:val="left" w:pos="709"/>
        </w:tabs>
        <w:spacing w:after="0" w:line="240" w:lineRule="auto"/>
        <w:jc w:val="both"/>
        <w:rPr>
          <w:rFonts w:ascii="Times New Roman" w:hAnsi="Times New Roman"/>
          <w:sz w:val="24"/>
          <w:szCs w:val="24"/>
        </w:rPr>
      </w:pPr>
      <w:r w:rsidRPr="0080737A">
        <w:rPr>
          <w:rFonts w:ascii="Times New Roman" w:hAnsi="Times New Roman"/>
          <w:sz w:val="24"/>
          <w:szCs w:val="24"/>
        </w:rPr>
        <w:tab/>
        <w:t>- на овощеводство и растениеводство – 34,2 млн. руб. РФ;</w:t>
      </w:r>
    </w:p>
    <w:p w:rsidR="0098695D" w:rsidRPr="0080737A" w:rsidRDefault="0098695D" w:rsidP="0098695D">
      <w:pPr>
        <w:tabs>
          <w:tab w:val="left" w:pos="709"/>
        </w:tabs>
        <w:spacing w:after="0" w:line="240" w:lineRule="auto"/>
        <w:jc w:val="both"/>
        <w:rPr>
          <w:rFonts w:ascii="Times New Roman" w:hAnsi="Times New Roman"/>
          <w:sz w:val="24"/>
          <w:szCs w:val="24"/>
        </w:rPr>
      </w:pPr>
      <w:r w:rsidRPr="0080737A">
        <w:rPr>
          <w:rFonts w:ascii="Times New Roman" w:hAnsi="Times New Roman"/>
          <w:sz w:val="24"/>
          <w:szCs w:val="24"/>
        </w:rPr>
        <w:tab/>
        <w:t>- на закладку многолетних насаждений – 19,2 млн. руб. РФ.</w:t>
      </w:r>
    </w:p>
    <w:p w:rsidR="0098695D" w:rsidRPr="0080737A" w:rsidRDefault="0098695D" w:rsidP="0098695D">
      <w:pPr>
        <w:tabs>
          <w:tab w:val="left" w:pos="709"/>
          <w:tab w:val="left" w:pos="851"/>
        </w:tabs>
        <w:spacing w:after="0" w:line="240" w:lineRule="auto"/>
        <w:jc w:val="both"/>
        <w:rPr>
          <w:rFonts w:ascii="Times New Roman" w:hAnsi="Times New Roman"/>
          <w:sz w:val="24"/>
          <w:szCs w:val="24"/>
        </w:rPr>
      </w:pPr>
      <w:r w:rsidRPr="0080737A">
        <w:rPr>
          <w:rFonts w:ascii="Times New Roman" w:hAnsi="Times New Roman"/>
          <w:sz w:val="24"/>
          <w:szCs w:val="24"/>
        </w:rPr>
        <w:tab/>
        <w:t>Кроме того, на развитие личного подсобного хозяйства физическим лицам выделено</w:t>
      </w:r>
      <w:r w:rsidR="0049074B" w:rsidRPr="0080737A">
        <w:rPr>
          <w:rFonts w:ascii="Times New Roman" w:hAnsi="Times New Roman"/>
          <w:sz w:val="24"/>
          <w:szCs w:val="24"/>
        </w:rPr>
        <w:t xml:space="preserve"> </w:t>
      </w:r>
      <w:r w:rsidRPr="0080737A">
        <w:rPr>
          <w:rFonts w:ascii="Times New Roman" w:hAnsi="Times New Roman"/>
          <w:sz w:val="24"/>
          <w:szCs w:val="24"/>
        </w:rPr>
        <w:t>6 130 тыс. руб. ПМР.</w:t>
      </w:r>
    </w:p>
    <w:p w:rsidR="0098695D" w:rsidRPr="0080737A" w:rsidRDefault="0098695D" w:rsidP="0098695D">
      <w:pPr>
        <w:spacing w:after="0" w:line="240" w:lineRule="auto"/>
        <w:ind w:firstLine="708"/>
        <w:jc w:val="both"/>
        <w:rPr>
          <w:rFonts w:ascii="Times New Roman" w:hAnsi="Times New Roman"/>
          <w:sz w:val="24"/>
          <w:szCs w:val="24"/>
        </w:rPr>
      </w:pPr>
      <w:proofErr w:type="gramStart"/>
      <w:r w:rsidRPr="0080737A">
        <w:rPr>
          <w:rFonts w:ascii="Times New Roman" w:hAnsi="Times New Roman"/>
          <w:color w:val="262626"/>
          <w:sz w:val="24"/>
          <w:szCs w:val="24"/>
          <w:shd w:val="clear" w:color="auto" w:fill="FFFFFF"/>
        </w:rPr>
        <w:t>С целью предотвращения роста цен на овощную продукцию и снижения всплеска инфляции на товары сельскохозяйственного производства в период увеличения спроса (предпраздничные дни), а также привлечения на рынок отечественных товаропроизводителей для обеспечения жителей и гостей Приднестровской Молдавской Республики широким ассортиментом продукции, го</w:t>
      </w:r>
      <w:r w:rsidRPr="0080737A">
        <w:rPr>
          <w:rFonts w:ascii="Times New Roman" w:hAnsi="Times New Roman"/>
          <w:sz w:val="24"/>
          <w:szCs w:val="24"/>
        </w:rPr>
        <w:t>сударственными администрациями городов и районов республики были определены места и проводились ярмарки выходного дня.</w:t>
      </w:r>
      <w:proofErr w:type="gramEnd"/>
      <w:r w:rsidRPr="0080737A">
        <w:rPr>
          <w:rFonts w:ascii="Times New Roman" w:hAnsi="Times New Roman"/>
          <w:sz w:val="24"/>
          <w:szCs w:val="24"/>
        </w:rPr>
        <w:t xml:space="preserve"> Более 25% торговых мест на централизованных рынках предоставлено лицам, </w:t>
      </w:r>
      <w:r w:rsidRPr="0080737A">
        <w:rPr>
          <w:rFonts w:ascii="Times New Roman" w:hAnsi="Times New Roman"/>
          <w:sz w:val="24"/>
          <w:szCs w:val="24"/>
        </w:rPr>
        <w:lastRenderedPageBreak/>
        <w:t xml:space="preserve">реализующим продукцию, произведенную в личных подсобных хозяйствах, садах и огородах. </w:t>
      </w:r>
    </w:p>
    <w:p w:rsidR="0098695D" w:rsidRPr="0080737A" w:rsidRDefault="0098695D" w:rsidP="0098695D">
      <w:pPr>
        <w:pStyle w:val="a4"/>
        <w:ind w:firstLine="708"/>
        <w:rPr>
          <w:szCs w:val="24"/>
        </w:rPr>
      </w:pPr>
      <w:r w:rsidRPr="0080737A">
        <w:rPr>
          <w:szCs w:val="24"/>
        </w:rPr>
        <w:t>Кроме того, государственная поддержка хозяйствующих субъектов республики выражается в освобождении землепользователей от налогов:</w:t>
      </w:r>
    </w:p>
    <w:p w:rsidR="0098695D" w:rsidRPr="0080737A" w:rsidRDefault="0098695D" w:rsidP="0098695D">
      <w:pPr>
        <w:pStyle w:val="a4"/>
        <w:ind w:firstLine="708"/>
        <w:rPr>
          <w:szCs w:val="24"/>
        </w:rPr>
      </w:pPr>
      <w:r w:rsidRPr="0080737A">
        <w:rPr>
          <w:szCs w:val="24"/>
        </w:rPr>
        <w:t>- при посадке многолетних насаждений до вступления их в плодоношение;</w:t>
      </w:r>
    </w:p>
    <w:p w:rsidR="0098695D" w:rsidRPr="0080737A" w:rsidRDefault="0098695D" w:rsidP="0098695D">
      <w:pPr>
        <w:pStyle w:val="a4"/>
        <w:ind w:firstLine="708"/>
        <w:rPr>
          <w:szCs w:val="24"/>
        </w:rPr>
      </w:pPr>
      <w:r w:rsidRPr="0080737A">
        <w:rPr>
          <w:szCs w:val="24"/>
        </w:rPr>
        <w:t>- при раскорчевке многолетних насаждений;</w:t>
      </w:r>
    </w:p>
    <w:p w:rsidR="0098695D" w:rsidRPr="0080737A" w:rsidRDefault="0098695D" w:rsidP="0098695D">
      <w:pPr>
        <w:pStyle w:val="a4"/>
        <w:ind w:firstLine="708"/>
        <w:rPr>
          <w:szCs w:val="24"/>
        </w:rPr>
      </w:pPr>
      <w:r w:rsidRPr="0080737A">
        <w:rPr>
          <w:szCs w:val="24"/>
        </w:rPr>
        <w:t>- при образовании КФХ с момента их государственной регистрации.</w:t>
      </w:r>
    </w:p>
    <w:p w:rsidR="0098695D" w:rsidRPr="0080737A" w:rsidRDefault="0098695D" w:rsidP="0098695D">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proofErr w:type="gramStart"/>
      <w:r w:rsidRPr="0080737A">
        <w:rPr>
          <w:rFonts w:ascii="Times New Roman" w:hAnsi="Times New Roman"/>
          <w:sz w:val="24"/>
          <w:szCs w:val="24"/>
        </w:rPr>
        <w:t>Таким образом, итогом хозяйственной деятельности сельхозпроизводителей растениеводческой отрасли в первой половине 2016 года явился рекордный урожай зерновых и зернобобовых культур первой группы, что обусловлено расширением площадей орошаемых земель, смещением ориентиров в сторону выращивания и производства сельскохозяйственной продукции с более высокой добавленной стоимостью, внедрением интенсивных и ресурсосберегающих технологий, а также использованием современной высокопроизводительной техники.</w:t>
      </w:r>
      <w:proofErr w:type="gramEnd"/>
      <w:r w:rsidR="00EF7D3C" w:rsidRPr="0080737A">
        <w:rPr>
          <w:rFonts w:ascii="Times New Roman" w:hAnsi="Times New Roman"/>
          <w:sz w:val="24"/>
          <w:szCs w:val="24"/>
        </w:rPr>
        <w:t xml:space="preserve"> </w:t>
      </w:r>
      <w:r w:rsidRPr="0080737A">
        <w:rPr>
          <w:rFonts w:ascii="Times New Roman" w:hAnsi="Times New Roman"/>
          <w:sz w:val="24"/>
          <w:szCs w:val="24"/>
        </w:rPr>
        <w:t xml:space="preserve">В животноводческой отрасли ситуация продолжает оставаться сложной. Основными сдерживающими факторами развития животноводческой отрасли, помимо высоких цен на энергоносители и корма, продолжают выступать отсутствие рынков сбыта и недостаточность инвестиционных вложений в развитие отдельных </w:t>
      </w:r>
      <w:proofErr w:type="spellStart"/>
      <w:r w:rsidRPr="0080737A">
        <w:rPr>
          <w:rFonts w:ascii="Times New Roman" w:hAnsi="Times New Roman"/>
          <w:sz w:val="24"/>
          <w:szCs w:val="24"/>
        </w:rPr>
        <w:t>подотраслей</w:t>
      </w:r>
      <w:proofErr w:type="spellEnd"/>
      <w:r w:rsidRPr="0080737A">
        <w:rPr>
          <w:rFonts w:ascii="Times New Roman" w:hAnsi="Times New Roman"/>
          <w:sz w:val="24"/>
          <w:szCs w:val="24"/>
        </w:rPr>
        <w:t xml:space="preserve"> животноводства.</w:t>
      </w:r>
    </w:p>
    <w:p w:rsidR="0098695D" w:rsidRPr="0080737A" w:rsidRDefault="0098695D" w:rsidP="0098695D">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p>
    <w:p w:rsidR="00335844" w:rsidRPr="0080737A" w:rsidRDefault="00335844" w:rsidP="00335844">
      <w:pPr>
        <w:widowControl w:val="0"/>
        <w:autoSpaceDE w:val="0"/>
        <w:autoSpaceDN w:val="0"/>
        <w:adjustRightInd w:val="0"/>
        <w:spacing w:after="0" w:line="240" w:lineRule="auto"/>
        <w:ind w:firstLine="709"/>
        <w:jc w:val="both"/>
        <w:rPr>
          <w:rFonts w:ascii="Times New Roman" w:eastAsia="Calibri" w:hAnsi="Times New Roman"/>
          <w:b/>
          <w:sz w:val="24"/>
          <w:szCs w:val="24"/>
          <w:lang w:eastAsia="en-US"/>
        </w:rPr>
      </w:pPr>
      <w:r w:rsidRPr="0080737A">
        <w:rPr>
          <w:rFonts w:ascii="Times New Roman" w:eastAsia="Calibri" w:hAnsi="Times New Roman"/>
          <w:b/>
          <w:sz w:val="24"/>
          <w:szCs w:val="24"/>
          <w:lang w:eastAsia="en-US"/>
        </w:rPr>
        <w:t>Инвестиционная деятельность</w:t>
      </w:r>
    </w:p>
    <w:p w:rsidR="00335844" w:rsidRPr="0080737A" w:rsidRDefault="00335844" w:rsidP="00335844">
      <w:pPr>
        <w:widowControl w:val="0"/>
        <w:shd w:val="clear" w:color="auto" w:fill="FFFFFF"/>
        <w:spacing w:after="0" w:line="240" w:lineRule="auto"/>
        <w:ind w:firstLine="709"/>
        <w:jc w:val="both"/>
        <w:rPr>
          <w:rFonts w:ascii="Times New Roman" w:eastAsia="Calibri" w:hAnsi="Times New Roman"/>
          <w:sz w:val="24"/>
          <w:szCs w:val="24"/>
          <w:lang w:eastAsia="en-US"/>
        </w:rPr>
      </w:pPr>
    </w:p>
    <w:p w:rsidR="00460A09" w:rsidRPr="0080737A" w:rsidRDefault="00460A09" w:rsidP="00460A09">
      <w:pPr>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В </w:t>
      </w:r>
      <w:r w:rsidRPr="0080737A">
        <w:rPr>
          <w:rFonts w:ascii="Times New Roman" w:eastAsia="Calibri" w:hAnsi="Times New Roman"/>
          <w:sz w:val="24"/>
          <w:szCs w:val="24"/>
          <w:lang w:val="en-US" w:eastAsia="en-US"/>
        </w:rPr>
        <w:t>I</w:t>
      </w:r>
      <w:r w:rsidRPr="0080737A">
        <w:rPr>
          <w:rFonts w:ascii="Times New Roman" w:eastAsia="Calibri" w:hAnsi="Times New Roman"/>
          <w:sz w:val="24"/>
          <w:szCs w:val="24"/>
          <w:lang w:eastAsia="en-US"/>
        </w:rPr>
        <w:t xml:space="preserve"> полугодии 2016 года приоритетным направлением инвестиционной политики государства являлось создание благоприятного климата для отечественных и зарубежных инвесторов в целях увеличения инвестиционных потоков, модернизации основных фондов.</w:t>
      </w:r>
      <w:r w:rsidRPr="0080737A">
        <w:rPr>
          <w:rFonts w:ascii="Times New Roman" w:hAnsi="Times New Roman"/>
          <w:sz w:val="24"/>
          <w:szCs w:val="24"/>
        </w:rPr>
        <w:t xml:space="preserve"> В этой связи для повышения у</w:t>
      </w:r>
      <w:r w:rsidRPr="0080737A">
        <w:rPr>
          <w:rFonts w:ascii="Times New Roman" w:eastAsia="Calibri" w:hAnsi="Times New Roman"/>
          <w:sz w:val="24"/>
          <w:szCs w:val="24"/>
          <w:lang w:eastAsia="en-US"/>
        </w:rPr>
        <w:t>ровня инвестиционной активности, являющегося ключевым фактором развития экономики Приднестровья, 19-20 мая 2016</w:t>
      </w:r>
      <w:r w:rsidRPr="0080737A">
        <w:rPr>
          <w:rFonts w:eastAsia="Calibri"/>
        </w:rPr>
        <w:t> </w:t>
      </w:r>
      <w:r w:rsidRPr="0080737A">
        <w:rPr>
          <w:rFonts w:ascii="Times New Roman" w:eastAsia="Calibri" w:hAnsi="Times New Roman"/>
          <w:sz w:val="24"/>
          <w:szCs w:val="24"/>
          <w:lang w:eastAsia="en-US"/>
        </w:rPr>
        <w:t>года Торгово-промышленной палатой ПМР и Министерством экономического развития ПМР при поддержке Правительства ПМР был проведен</w:t>
      </w:r>
      <w:proofErr w:type="gramStart"/>
      <w:r w:rsidRPr="0080737A">
        <w:rPr>
          <w:rFonts w:ascii="Times New Roman" w:eastAsia="Calibri" w:hAnsi="Times New Roman"/>
          <w:sz w:val="24"/>
          <w:szCs w:val="24"/>
          <w:lang w:eastAsia="en-US"/>
        </w:rPr>
        <w:t xml:space="preserve"> </w:t>
      </w:r>
      <w:r w:rsidRPr="0080737A">
        <w:rPr>
          <w:rFonts w:ascii="Times New Roman" w:eastAsia="Calibri" w:hAnsi="Times New Roman"/>
          <w:sz w:val="24"/>
          <w:szCs w:val="24"/>
          <w:u w:val="single"/>
          <w:lang w:eastAsia="en-US"/>
        </w:rPr>
        <w:t>Ч</w:t>
      </w:r>
      <w:proofErr w:type="gramEnd"/>
      <w:r w:rsidRPr="0080737A">
        <w:rPr>
          <w:rFonts w:ascii="Times New Roman" w:eastAsia="Calibri" w:hAnsi="Times New Roman"/>
          <w:sz w:val="24"/>
          <w:szCs w:val="24"/>
          <w:u w:val="single"/>
          <w:lang w:eastAsia="en-US"/>
        </w:rPr>
        <w:t xml:space="preserve">етвертый Приднестровский </w:t>
      </w:r>
      <w:proofErr w:type="spellStart"/>
      <w:r w:rsidRPr="0080737A">
        <w:rPr>
          <w:rFonts w:ascii="Times New Roman" w:eastAsia="Calibri" w:hAnsi="Times New Roman"/>
          <w:sz w:val="24"/>
          <w:szCs w:val="24"/>
          <w:u w:val="single"/>
          <w:lang w:eastAsia="en-US"/>
        </w:rPr>
        <w:t>инвестиционно</w:t>
      </w:r>
      <w:proofErr w:type="spellEnd"/>
      <w:r w:rsidRPr="0080737A">
        <w:rPr>
          <w:rFonts w:ascii="Times New Roman" w:eastAsia="Calibri" w:hAnsi="Times New Roman"/>
          <w:sz w:val="24"/>
          <w:szCs w:val="24"/>
          <w:u w:val="single"/>
          <w:lang w:val="en-US" w:eastAsia="en-US"/>
        </w:rPr>
        <w:t> </w:t>
      </w:r>
      <w:r w:rsidRPr="0080737A">
        <w:rPr>
          <w:rFonts w:ascii="Times New Roman" w:eastAsia="Calibri" w:hAnsi="Times New Roman"/>
          <w:sz w:val="24"/>
          <w:szCs w:val="24"/>
          <w:u w:val="single"/>
          <w:lang w:eastAsia="en-US"/>
        </w:rPr>
        <w:t>-</w:t>
      </w:r>
      <w:r w:rsidRPr="0080737A">
        <w:rPr>
          <w:rFonts w:ascii="Times New Roman" w:eastAsia="Calibri" w:hAnsi="Times New Roman"/>
          <w:sz w:val="24"/>
          <w:szCs w:val="24"/>
          <w:u w:val="single"/>
          <w:lang w:val="en-US" w:eastAsia="en-US"/>
        </w:rPr>
        <w:t> </w:t>
      </w:r>
      <w:r w:rsidRPr="0080737A">
        <w:rPr>
          <w:rFonts w:ascii="Times New Roman" w:eastAsia="Calibri" w:hAnsi="Times New Roman"/>
          <w:sz w:val="24"/>
          <w:szCs w:val="24"/>
          <w:u w:val="single"/>
          <w:lang w:eastAsia="en-US"/>
        </w:rPr>
        <w:t>экономический форум</w:t>
      </w:r>
      <w:r w:rsidRPr="0080737A">
        <w:rPr>
          <w:rFonts w:ascii="Times New Roman" w:eastAsia="Calibri" w:hAnsi="Times New Roman"/>
          <w:sz w:val="24"/>
          <w:szCs w:val="24"/>
          <w:lang w:eastAsia="en-US"/>
        </w:rPr>
        <w:t xml:space="preserve">. </w:t>
      </w:r>
      <w:proofErr w:type="gramStart"/>
      <w:r w:rsidRPr="0080737A">
        <w:rPr>
          <w:rFonts w:ascii="Times New Roman" w:eastAsia="Calibri" w:hAnsi="Times New Roman"/>
          <w:sz w:val="24"/>
          <w:szCs w:val="24"/>
          <w:lang w:eastAsia="en-US"/>
        </w:rPr>
        <w:t>В рамках, которого на пленарном заседании и пяти дискуссионных площадках были заслушаны тридцать четыре доклада, приняли участие около восьмисот</w:t>
      </w:r>
      <w:r w:rsidR="00EF7D3C" w:rsidRPr="0080737A">
        <w:rPr>
          <w:rFonts w:ascii="Times New Roman" w:eastAsia="Calibri" w:hAnsi="Times New Roman"/>
          <w:sz w:val="24"/>
          <w:szCs w:val="24"/>
          <w:lang w:eastAsia="en-US"/>
        </w:rPr>
        <w:t xml:space="preserve"> </w:t>
      </w:r>
      <w:r w:rsidRPr="0080737A">
        <w:rPr>
          <w:rFonts w:ascii="Times New Roman" w:eastAsia="Calibri" w:hAnsi="Times New Roman"/>
          <w:sz w:val="24"/>
          <w:szCs w:val="24"/>
          <w:lang w:eastAsia="en-US"/>
        </w:rPr>
        <w:t>человек, из которых шестьдесят четыре иностранных участника из сорока трех организаций семнадцати стран мира (России, Украины, Беларуси, Молдовы, Абхазии, Италии, Франции, Великобритании, США, Чехии, Румынии, Швеции, Швейцарии, Германии, Польши, Словакии, Венгрии).</w:t>
      </w:r>
      <w:proofErr w:type="gramEnd"/>
    </w:p>
    <w:p w:rsidR="00460A09" w:rsidRPr="0080737A" w:rsidRDefault="00460A09" w:rsidP="00460A09">
      <w:pPr>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При этом сложная внешнеполитическая и внешнеэкономическая ситуация, сложившаяся вокруг Приднестровской Молдавской Республики, оказывает негативное воздействие на инвестиционную </w:t>
      </w:r>
      <w:proofErr w:type="gramStart"/>
      <w:r w:rsidRPr="0080737A">
        <w:rPr>
          <w:rFonts w:ascii="Times New Roman" w:eastAsia="Calibri" w:hAnsi="Times New Roman"/>
          <w:sz w:val="24"/>
          <w:szCs w:val="24"/>
          <w:lang w:eastAsia="en-US"/>
        </w:rPr>
        <w:t>активность</w:t>
      </w:r>
      <w:proofErr w:type="gramEnd"/>
      <w:r w:rsidRPr="0080737A">
        <w:rPr>
          <w:rFonts w:ascii="Times New Roman" w:eastAsia="Calibri" w:hAnsi="Times New Roman"/>
          <w:sz w:val="24"/>
          <w:szCs w:val="24"/>
          <w:lang w:eastAsia="en-US"/>
        </w:rPr>
        <w:t xml:space="preserve"> как местных так и иностранных инвесторов. Так, по итогам 6 месяцев 2016 года </w:t>
      </w:r>
      <w:r w:rsidRPr="0080737A">
        <w:rPr>
          <w:rFonts w:ascii="Times New Roman" w:eastAsia="Calibri" w:hAnsi="Times New Roman"/>
          <w:b/>
          <w:sz w:val="24"/>
          <w:szCs w:val="24"/>
          <w:lang w:eastAsia="en-US"/>
        </w:rPr>
        <w:t xml:space="preserve">объем инвестиций в основной капитал </w:t>
      </w:r>
      <w:r w:rsidRPr="0080737A">
        <w:rPr>
          <w:rFonts w:ascii="Times New Roman" w:eastAsia="Calibri" w:hAnsi="Times New Roman"/>
          <w:b/>
          <w:i/>
          <w:sz w:val="24"/>
          <w:szCs w:val="24"/>
          <w:lang w:eastAsia="en-US"/>
        </w:rPr>
        <w:t>(с учетом субъектов малого предпринимательства и индивидуальных застройщиков)</w:t>
      </w:r>
      <w:r w:rsidRPr="0080737A">
        <w:rPr>
          <w:rFonts w:ascii="Times New Roman" w:eastAsia="Calibri" w:hAnsi="Times New Roman"/>
          <w:sz w:val="24"/>
          <w:szCs w:val="24"/>
          <w:lang w:eastAsia="en-US"/>
        </w:rPr>
        <w:t xml:space="preserve"> составил </w:t>
      </w:r>
      <w:r w:rsidRPr="0080737A">
        <w:rPr>
          <w:rFonts w:ascii="Times New Roman" w:eastAsia="Calibri" w:hAnsi="Times New Roman"/>
          <w:b/>
          <w:sz w:val="24"/>
          <w:szCs w:val="24"/>
          <w:lang w:eastAsia="en-US"/>
        </w:rPr>
        <w:t>421,5 млн. руб.</w:t>
      </w:r>
      <w:r w:rsidRPr="0080737A">
        <w:rPr>
          <w:rFonts w:ascii="Times New Roman" w:eastAsia="Calibri" w:hAnsi="Times New Roman"/>
          <w:sz w:val="24"/>
          <w:szCs w:val="24"/>
          <w:lang w:eastAsia="en-US"/>
        </w:rPr>
        <w:t xml:space="preserve"> и сократился на 22,5% к базовому уровню минувшего года.</w:t>
      </w:r>
    </w:p>
    <w:p w:rsidR="00460A09" w:rsidRPr="0080737A" w:rsidRDefault="00460A09" w:rsidP="00460A09">
      <w:pPr>
        <w:spacing w:after="0" w:line="240" w:lineRule="auto"/>
        <w:ind w:firstLine="709"/>
        <w:jc w:val="both"/>
        <w:rPr>
          <w:rFonts w:ascii="Times New Roman" w:hAnsi="Times New Roman"/>
          <w:sz w:val="24"/>
          <w:szCs w:val="24"/>
        </w:rPr>
      </w:pPr>
      <w:r w:rsidRPr="0080737A">
        <w:rPr>
          <w:rFonts w:ascii="Times New Roman" w:hAnsi="Times New Roman"/>
          <w:sz w:val="24"/>
          <w:szCs w:val="24"/>
        </w:rPr>
        <w:t>Размер инвестиций в основной капитал</w:t>
      </w:r>
      <w:r w:rsidR="00EF7D3C" w:rsidRPr="0080737A">
        <w:rPr>
          <w:rFonts w:ascii="Times New Roman" w:hAnsi="Times New Roman"/>
          <w:sz w:val="24"/>
          <w:szCs w:val="24"/>
        </w:rPr>
        <w:t xml:space="preserve"> </w:t>
      </w:r>
      <w:r w:rsidRPr="0080737A">
        <w:rPr>
          <w:rFonts w:ascii="Times New Roman" w:hAnsi="Times New Roman"/>
          <w:sz w:val="24"/>
          <w:szCs w:val="24"/>
        </w:rPr>
        <w:t>по организациям всех форм собственности (кроме субъектов малого предпринимательства) сложился на уровне 371,3 млн. руб</w:t>
      </w:r>
      <w:proofErr w:type="gramStart"/>
      <w:r w:rsidRPr="0080737A">
        <w:rPr>
          <w:rFonts w:ascii="Times New Roman" w:hAnsi="Times New Roman"/>
          <w:sz w:val="24"/>
          <w:szCs w:val="24"/>
        </w:rPr>
        <w:t>.(</w:t>
      </w:r>
      <w:proofErr w:type="gramEnd"/>
      <w:r w:rsidRPr="0080737A">
        <w:rPr>
          <w:rFonts w:ascii="Times New Roman" w:hAnsi="Times New Roman"/>
          <w:sz w:val="24"/>
          <w:szCs w:val="24"/>
        </w:rPr>
        <w:t xml:space="preserve">в текущих ценах), что на 14,3% (в сопоставимой оценке) ниже уровня января-июня 2015 года. </w:t>
      </w:r>
    </w:p>
    <w:p w:rsidR="00460A09" w:rsidRPr="0080737A" w:rsidRDefault="00460A09" w:rsidP="00460A09">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Объем средств затраченных на </w:t>
      </w:r>
      <w:r w:rsidRPr="0080737A">
        <w:rPr>
          <w:rFonts w:ascii="Times New Roman" w:hAnsi="Times New Roman"/>
          <w:spacing w:val="4"/>
          <w:sz w:val="24"/>
          <w:szCs w:val="24"/>
        </w:rPr>
        <w:t>обновление машин, оборудования, транспортных средств</w:t>
      </w:r>
      <w:r w:rsidR="00EF7D3C" w:rsidRPr="0080737A">
        <w:rPr>
          <w:rFonts w:ascii="Times New Roman" w:hAnsi="Times New Roman"/>
          <w:spacing w:val="4"/>
          <w:sz w:val="24"/>
          <w:szCs w:val="24"/>
        </w:rPr>
        <w:t xml:space="preserve"> </w:t>
      </w:r>
      <w:r w:rsidRPr="0080737A">
        <w:rPr>
          <w:rFonts w:ascii="Times New Roman" w:hAnsi="Times New Roman"/>
          <w:sz w:val="24"/>
          <w:szCs w:val="24"/>
        </w:rPr>
        <w:t xml:space="preserve">и </w:t>
      </w:r>
      <w:r w:rsidRPr="0080737A">
        <w:rPr>
          <w:rFonts w:ascii="Times New Roman" w:hAnsi="Times New Roman"/>
          <w:spacing w:val="4"/>
          <w:sz w:val="24"/>
          <w:szCs w:val="24"/>
        </w:rPr>
        <w:t>строительно-монтажные работ</w:t>
      </w:r>
      <w:proofErr w:type="gramStart"/>
      <w:r w:rsidRPr="0080737A">
        <w:rPr>
          <w:rFonts w:ascii="Times New Roman" w:hAnsi="Times New Roman"/>
          <w:spacing w:val="4"/>
          <w:sz w:val="24"/>
          <w:szCs w:val="24"/>
        </w:rPr>
        <w:t>ы</w:t>
      </w:r>
      <w:r w:rsidRPr="0080737A">
        <w:rPr>
          <w:rFonts w:ascii="Times New Roman" w:hAnsi="Times New Roman"/>
          <w:sz w:val="24"/>
          <w:szCs w:val="24"/>
        </w:rPr>
        <w:t>(</w:t>
      </w:r>
      <w:proofErr w:type="gramEnd"/>
      <w:r w:rsidRPr="0080737A">
        <w:rPr>
          <w:rFonts w:ascii="Times New Roman" w:hAnsi="Times New Roman"/>
          <w:sz w:val="24"/>
          <w:szCs w:val="24"/>
        </w:rPr>
        <w:t>в текущих ценах)</w:t>
      </w:r>
      <w:r w:rsidRPr="0080737A">
        <w:rPr>
          <w:rFonts w:ascii="Times New Roman" w:hAnsi="Times New Roman"/>
          <w:spacing w:val="4"/>
          <w:sz w:val="24"/>
          <w:szCs w:val="24"/>
        </w:rPr>
        <w:t xml:space="preserve">составил 247,0 млн. руб. и 102,7 млн. руб. соответственно, не достигнув объема шести месяцев 2015 года </w:t>
      </w:r>
      <w:r w:rsidRPr="0080737A">
        <w:rPr>
          <w:rFonts w:ascii="Times New Roman" w:hAnsi="Times New Roman"/>
          <w:sz w:val="24"/>
          <w:szCs w:val="24"/>
        </w:rPr>
        <w:t>(в сопоставимой оценке) на 3,9% и 37,4% соответственно.</w:t>
      </w:r>
    </w:p>
    <w:p w:rsidR="00460A09" w:rsidRPr="0080737A" w:rsidRDefault="00460A09" w:rsidP="00460A09">
      <w:pPr>
        <w:spacing w:after="0" w:line="240" w:lineRule="auto"/>
        <w:ind w:left="-284"/>
        <w:jc w:val="both"/>
        <w:rPr>
          <w:rFonts w:ascii="Times New Roman" w:hAnsi="Times New Roman"/>
          <w:sz w:val="24"/>
          <w:szCs w:val="24"/>
        </w:rPr>
      </w:pPr>
      <w:r w:rsidRPr="0080737A">
        <w:rPr>
          <w:rFonts w:ascii="Times New Roman" w:hAnsi="Times New Roman"/>
          <w:noProof/>
          <w:sz w:val="24"/>
          <w:szCs w:val="24"/>
        </w:rPr>
        <w:lastRenderedPageBreak/>
        <w:drawing>
          <wp:inline distT="0" distB="0" distL="0" distR="0">
            <wp:extent cx="6162675" cy="3143250"/>
            <wp:effectExtent l="0" t="0" r="0"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C2655" w:rsidRPr="0080737A" w:rsidRDefault="005C2655" w:rsidP="00460A09">
      <w:pPr>
        <w:spacing w:after="0" w:line="240" w:lineRule="auto"/>
        <w:ind w:left="-284"/>
        <w:jc w:val="both"/>
        <w:rPr>
          <w:rFonts w:ascii="Times New Roman" w:hAnsi="Times New Roman"/>
          <w:sz w:val="24"/>
          <w:szCs w:val="24"/>
        </w:rPr>
      </w:pPr>
    </w:p>
    <w:p w:rsidR="00460A09" w:rsidRPr="0080737A" w:rsidRDefault="00460A09" w:rsidP="00460A09">
      <w:pPr>
        <w:spacing w:after="0" w:line="240" w:lineRule="auto"/>
        <w:ind w:firstLine="708"/>
        <w:jc w:val="both"/>
        <w:rPr>
          <w:rFonts w:ascii="Times New Roman" w:eastAsia="Calibri" w:hAnsi="Times New Roman"/>
          <w:spacing w:val="3"/>
          <w:sz w:val="24"/>
          <w:szCs w:val="24"/>
          <w:lang w:eastAsia="en-US"/>
        </w:rPr>
      </w:pPr>
      <w:r w:rsidRPr="0080737A">
        <w:rPr>
          <w:rFonts w:ascii="Times New Roman" w:eastAsia="Calibri" w:hAnsi="Times New Roman"/>
          <w:spacing w:val="3"/>
          <w:sz w:val="24"/>
          <w:szCs w:val="24"/>
          <w:lang w:eastAsia="en-US"/>
        </w:rPr>
        <w:t xml:space="preserve">В течение января-июня текущего года на строительство, расширение, реконструкцию и техническое перевооружение объектов </w:t>
      </w:r>
      <w:r w:rsidRPr="0080737A">
        <w:rPr>
          <w:rFonts w:ascii="Times New Roman" w:eastAsia="Calibri" w:hAnsi="Times New Roman"/>
          <w:b/>
          <w:spacing w:val="3"/>
          <w:sz w:val="24"/>
          <w:szCs w:val="24"/>
          <w:lang w:eastAsia="en-US"/>
        </w:rPr>
        <w:t>производственного назначения</w:t>
      </w:r>
      <w:r w:rsidRPr="0080737A">
        <w:rPr>
          <w:rFonts w:ascii="Times New Roman" w:eastAsia="Calibri" w:hAnsi="Times New Roman"/>
          <w:spacing w:val="3"/>
          <w:sz w:val="24"/>
          <w:szCs w:val="24"/>
          <w:lang w:eastAsia="en-US"/>
        </w:rPr>
        <w:t xml:space="preserve"> направлено 309,3 млн. руб. или 83,3% от общего объема инвестиций, сумма которых сократилась по отношению к уровню показателя 6 месяцев 2015 года на 21,0%. </w:t>
      </w:r>
    </w:p>
    <w:p w:rsidR="00460A09" w:rsidRPr="0080737A" w:rsidRDefault="00460A09" w:rsidP="00460A09">
      <w:pPr>
        <w:spacing w:after="0" w:line="240" w:lineRule="auto"/>
        <w:ind w:firstLine="708"/>
        <w:jc w:val="both"/>
        <w:rPr>
          <w:rFonts w:ascii="Times New Roman" w:eastAsia="Calibri" w:hAnsi="Times New Roman"/>
          <w:spacing w:val="2"/>
          <w:sz w:val="24"/>
          <w:szCs w:val="24"/>
          <w:lang w:eastAsia="en-US"/>
        </w:rPr>
      </w:pPr>
      <w:r w:rsidRPr="0080737A">
        <w:rPr>
          <w:rFonts w:ascii="Times New Roman" w:eastAsia="Calibri" w:hAnsi="Times New Roman"/>
          <w:spacing w:val="3"/>
          <w:sz w:val="24"/>
          <w:szCs w:val="24"/>
          <w:lang w:eastAsia="en-US"/>
        </w:rPr>
        <w:t xml:space="preserve">По отношению к </w:t>
      </w:r>
      <w:r w:rsidRPr="0080737A">
        <w:rPr>
          <w:rFonts w:ascii="Times New Roman" w:eastAsia="Calibri" w:hAnsi="Times New Roman"/>
          <w:spacing w:val="2"/>
          <w:sz w:val="24"/>
          <w:szCs w:val="24"/>
          <w:lang w:eastAsia="en-US"/>
        </w:rPr>
        <w:t>аналогичному периоду 2015 года</w:t>
      </w:r>
      <w:r w:rsidR="00EF7D3C" w:rsidRPr="0080737A">
        <w:rPr>
          <w:rFonts w:ascii="Times New Roman" w:eastAsia="Calibri" w:hAnsi="Times New Roman"/>
          <w:spacing w:val="2"/>
          <w:sz w:val="24"/>
          <w:szCs w:val="24"/>
          <w:lang w:eastAsia="en-US"/>
        </w:rPr>
        <w:t xml:space="preserve"> </w:t>
      </w:r>
      <w:r w:rsidRPr="0080737A">
        <w:rPr>
          <w:rFonts w:ascii="Times New Roman" w:eastAsia="Calibri" w:hAnsi="Times New Roman"/>
          <w:spacing w:val="3"/>
          <w:sz w:val="24"/>
          <w:szCs w:val="24"/>
          <w:lang w:eastAsia="en-US"/>
        </w:rPr>
        <w:t xml:space="preserve">сумма средств, направленных на обновление объектов </w:t>
      </w:r>
      <w:r w:rsidRPr="0080737A">
        <w:rPr>
          <w:rFonts w:ascii="Times New Roman" w:eastAsia="Calibri" w:hAnsi="Times New Roman"/>
          <w:b/>
          <w:spacing w:val="2"/>
          <w:sz w:val="24"/>
          <w:szCs w:val="24"/>
          <w:lang w:eastAsia="en-US"/>
        </w:rPr>
        <w:t>непроизводственного назначения</w:t>
      </w:r>
      <w:r w:rsidR="00EF7D3C" w:rsidRPr="0080737A">
        <w:rPr>
          <w:rFonts w:ascii="Times New Roman" w:eastAsia="Calibri" w:hAnsi="Times New Roman"/>
          <w:b/>
          <w:spacing w:val="2"/>
          <w:sz w:val="24"/>
          <w:szCs w:val="24"/>
          <w:lang w:eastAsia="en-US"/>
        </w:rPr>
        <w:t xml:space="preserve"> </w:t>
      </w:r>
      <w:r w:rsidRPr="0080737A">
        <w:rPr>
          <w:rFonts w:ascii="Times New Roman" w:eastAsia="Calibri" w:hAnsi="Times New Roman"/>
          <w:spacing w:val="2"/>
          <w:sz w:val="24"/>
          <w:szCs w:val="24"/>
          <w:lang w:eastAsia="en-US"/>
        </w:rPr>
        <w:t>возросла на 19,0%, а их вклад в совокупный объем инвестиций составил16,7%.</w:t>
      </w:r>
    </w:p>
    <w:p w:rsidR="0049074B" w:rsidRPr="0080737A" w:rsidRDefault="0049074B" w:rsidP="00460A09">
      <w:pPr>
        <w:spacing w:after="0" w:line="240" w:lineRule="auto"/>
        <w:ind w:firstLine="708"/>
        <w:jc w:val="both"/>
        <w:rPr>
          <w:rFonts w:ascii="Times New Roman" w:eastAsia="Calibri" w:hAnsi="Times New Roman"/>
          <w:spacing w:val="2"/>
          <w:sz w:val="24"/>
          <w:szCs w:val="24"/>
          <w:lang w:eastAsia="en-US"/>
        </w:rPr>
      </w:pPr>
    </w:p>
    <w:p w:rsidR="00460A09" w:rsidRPr="0080737A" w:rsidRDefault="00460A09" w:rsidP="00460A09">
      <w:pPr>
        <w:spacing w:after="0" w:line="240" w:lineRule="auto"/>
        <w:ind w:left="-284"/>
        <w:jc w:val="center"/>
        <w:rPr>
          <w:rFonts w:ascii="Times New Roman" w:eastAsia="Calibri" w:hAnsi="Times New Roman"/>
          <w:spacing w:val="2"/>
          <w:sz w:val="24"/>
          <w:szCs w:val="24"/>
          <w:lang w:eastAsia="en-US"/>
        </w:rPr>
      </w:pPr>
      <w:r w:rsidRPr="0080737A">
        <w:rPr>
          <w:rFonts w:ascii="Times New Roman" w:eastAsia="Calibri" w:hAnsi="Times New Roman"/>
          <w:noProof/>
          <w:spacing w:val="2"/>
          <w:sz w:val="24"/>
          <w:szCs w:val="24"/>
        </w:rPr>
        <w:drawing>
          <wp:inline distT="0" distB="0" distL="0" distR="0">
            <wp:extent cx="6524625" cy="3038475"/>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9074B" w:rsidRPr="0080737A" w:rsidRDefault="0049074B" w:rsidP="0049074B">
      <w:pPr>
        <w:spacing w:after="0" w:line="240" w:lineRule="auto"/>
        <w:ind w:firstLine="709"/>
        <w:jc w:val="both"/>
        <w:rPr>
          <w:rFonts w:ascii="Times New Roman" w:eastAsia="Calibri" w:hAnsi="Times New Roman"/>
          <w:spacing w:val="2"/>
          <w:sz w:val="24"/>
          <w:szCs w:val="24"/>
          <w:lang w:eastAsia="en-US"/>
        </w:rPr>
      </w:pPr>
    </w:p>
    <w:p w:rsidR="00460A09" w:rsidRPr="0080737A" w:rsidRDefault="00460A09" w:rsidP="0049074B">
      <w:pPr>
        <w:spacing w:after="0" w:line="240" w:lineRule="auto"/>
        <w:ind w:firstLine="709"/>
        <w:jc w:val="both"/>
        <w:rPr>
          <w:rFonts w:ascii="Times New Roman" w:eastAsia="Calibri" w:hAnsi="Times New Roman"/>
          <w:spacing w:val="2"/>
          <w:sz w:val="24"/>
          <w:szCs w:val="24"/>
          <w:lang w:eastAsia="en-US"/>
        </w:rPr>
      </w:pPr>
      <w:r w:rsidRPr="0080737A">
        <w:rPr>
          <w:rFonts w:ascii="Times New Roman" w:eastAsia="Calibri" w:hAnsi="Times New Roman"/>
          <w:spacing w:val="2"/>
          <w:sz w:val="24"/>
          <w:szCs w:val="24"/>
          <w:lang w:eastAsia="en-US"/>
        </w:rPr>
        <w:t xml:space="preserve">По итогам 6 месяцев 2016 года центральным источником финансирования долгосрочных инвестиционных проектов выступали </w:t>
      </w:r>
      <w:r w:rsidRPr="0080737A">
        <w:rPr>
          <w:rFonts w:ascii="Times New Roman" w:eastAsia="Calibri" w:hAnsi="Times New Roman"/>
          <w:b/>
          <w:spacing w:val="2"/>
          <w:sz w:val="24"/>
          <w:szCs w:val="24"/>
          <w:lang w:eastAsia="en-US"/>
        </w:rPr>
        <w:t>собственные средства организаций</w:t>
      </w:r>
      <w:r w:rsidRPr="0080737A">
        <w:rPr>
          <w:rFonts w:ascii="Times New Roman" w:eastAsia="Calibri" w:hAnsi="Times New Roman"/>
          <w:spacing w:val="2"/>
          <w:sz w:val="24"/>
          <w:szCs w:val="24"/>
          <w:lang w:eastAsia="en-US"/>
        </w:rPr>
        <w:t>(92,2%), при этом их долевое участие по отношению к базисному значению 2015 года сузилось на 2,7 процентных пункта. Доля прочих источников финансирования возросла на 3,9 процентных пункта до 5,8%.</w:t>
      </w:r>
    </w:p>
    <w:p w:rsidR="0049074B" w:rsidRPr="0080737A" w:rsidRDefault="0049074B" w:rsidP="0049074B">
      <w:pPr>
        <w:spacing w:after="0" w:line="240" w:lineRule="auto"/>
        <w:ind w:firstLine="709"/>
        <w:jc w:val="both"/>
        <w:rPr>
          <w:rFonts w:ascii="Times New Roman" w:eastAsia="Calibri" w:hAnsi="Times New Roman"/>
          <w:spacing w:val="2"/>
          <w:sz w:val="24"/>
          <w:szCs w:val="24"/>
          <w:lang w:eastAsia="en-US"/>
        </w:rPr>
      </w:pPr>
    </w:p>
    <w:p w:rsidR="0049074B" w:rsidRPr="0080737A" w:rsidRDefault="0049074B" w:rsidP="0049074B">
      <w:pPr>
        <w:spacing w:after="0" w:line="240" w:lineRule="auto"/>
        <w:ind w:firstLine="709"/>
        <w:jc w:val="both"/>
        <w:rPr>
          <w:rFonts w:ascii="Times New Roman" w:eastAsia="Calibri" w:hAnsi="Times New Roman"/>
          <w:spacing w:val="2"/>
          <w:sz w:val="24"/>
          <w:szCs w:val="24"/>
          <w:lang w:eastAsia="en-US"/>
        </w:rPr>
      </w:pPr>
    </w:p>
    <w:p w:rsidR="00460A09" w:rsidRPr="0080737A" w:rsidRDefault="00460A09" w:rsidP="00460A09">
      <w:pPr>
        <w:spacing w:after="0" w:line="240" w:lineRule="auto"/>
        <w:ind w:firstLine="567"/>
        <w:jc w:val="center"/>
        <w:rPr>
          <w:rFonts w:ascii="Times New Roman" w:eastAsia="Calibri" w:hAnsi="Times New Roman"/>
          <w:b/>
          <w:sz w:val="24"/>
          <w:szCs w:val="24"/>
          <w:lang w:eastAsia="en-US"/>
        </w:rPr>
      </w:pPr>
      <w:r w:rsidRPr="0080737A">
        <w:rPr>
          <w:rFonts w:ascii="Times New Roman" w:eastAsia="Calibri" w:hAnsi="Times New Roman"/>
          <w:b/>
          <w:sz w:val="24"/>
          <w:szCs w:val="24"/>
          <w:lang w:eastAsia="en-US"/>
        </w:rPr>
        <w:lastRenderedPageBreak/>
        <w:t xml:space="preserve">Структура инвестиций в основной капитал </w:t>
      </w:r>
    </w:p>
    <w:p w:rsidR="00460A09" w:rsidRPr="0080737A" w:rsidRDefault="00460A09" w:rsidP="00460A09">
      <w:pPr>
        <w:spacing w:after="0" w:line="240" w:lineRule="auto"/>
        <w:ind w:firstLine="567"/>
        <w:jc w:val="center"/>
        <w:rPr>
          <w:rFonts w:ascii="Times New Roman" w:eastAsia="Calibri" w:hAnsi="Times New Roman"/>
          <w:sz w:val="24"/>
          <w:szCs w:val="24"/>
          <w:lang w:eastAsia="en-US"/>
        </w:rPr>
      </w:pPr>
      <w:r w:rsidRPr="0080737A">
        <w:rPr>
          <w:rFonts w:ascii="Times New Roman" w:eastAsia="Calibri" w:hAnsi="Times New Roman"/>
          <w:b/>
          <w:sz w:val="24"/>
          <w:szCs w:val="24"/>
          <w:lang w:eastAsia="en-US"/>
        </w:rPr>
        <w:t>по источникам финансирования, %</w:t>
      </w:r>
    </w:p>
    <w:p w:rsidR="00460A09" w:rsidRPr="0080737A" w:rsidRDefault="00460A09" w:rsidP="00460A09">
      <w:pPr>
        <w:spacing w:after="0"/>
        <w:ind w:left="-142"/>
        <w:jc w:val="both"/>
        <w:rPr>
          <w:b/>
          <w:sz w:val="24"/>
          <w:szCs w:val="24"/>
        </w:rPr>
      </w:pPr>
      <w:r w:rsidRPr="0080737A">
        <w:rPr>
          <w:noProof/>
          <w:sz w:val="16"/>
          <w:szCs w:val="16"/>
        </w:rPr>
        <w:drawing>
          <wp:inline distT="0" distB="0" distL="0" distR="0">
            <wp:extent cx="3543300" cy="177165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80737A">
        <w:rPr>
          <w:b/>
          <w:noProof/>
          <w:sz w:val="24"/>
          <w:szCs w:val="24"/>
        </w:rPr>
        <w:drawing>
          <wp:inline distT="0" distB="0" distL="0" distR="0">
            <wp:extent cx="2466975" cy="1895475"/>
            <wp:effectExtent l="1905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60A09" w:rsidRPr="0080737A" w:rsidRDefault="00460A09" w:rsidP="00460A09">
      <w:pPr>
        <w:spacing w:after="0" w:line="240" w:lineRule="auto"/>
        <w:ind w:firstLine="709"/>
        <w:jc w:val="both"/>
        <w:rPr>
          <w:rFonts w:ascii="Times New Roman" w:eastAsia="Calibri" w:hAnsi="Times New Roman"/>
          <w:spacing w:val="2"/>
          <w:sz w:val="24"/>
          <w:szCs w:val="24"/>
          <w:lang w:eastAsia="en-US"/>
        </w:rPr>
      </w:pPr>
      <w:r w:rsidRPr="0080737A">
        <w:rPr>
          <w:rFonts w:ascii="Times New Roman" w:eastAsia="Calibri" w:hAnsi="Times New Roman"/>
          <w:spacing w:val="2"/>
          <w:sz w:val="24"/>
          <w:szCs w:val="24"/>
          <w:lang w:eastAsia="en-US"/>
        </w:rPr>
        <w:t xml:space="preserve">Несмотря на снижение долевого участия в структуре инвестиций в основной капитал (на 2,6 процентных пункта), основное влияние на формирование совокупного показателя оказали организации </w:t>
      </w:r>
      <w:r w:rsidRPr="0080737A">
        <w:rPr>
          <w:rFonts w:ascii="Times New Roman" w:eastAsia="Calibri" w:hAnsi="Times New Roman"/>
          <w:b/>
          <w:spacing w:val="2"/>
          <w:sz w:val="24"/>
          <w:szCs w:val="24"/>
          <w:lang w:eastAsia="en-US"/>
        </w:rPr>
        <w:t>частной формы собственности</w:t>
      </w:r>
      <w:r w:rsidRPr="0080737A">
        <w:rPr>
          <w:rFonts w:ascii="Times New Roman" w:eastAsia="Calibri" w:hAnsi="Times New Roman"/>
          <w:spacing w:val="2"/>
          <w:sz w:val="24"/>
          <w:szCs w:val="24"/>
          <w:lang w:eastAsia="en-US"/>
        </w:rPr>
        <w:t xml:space="preserve"> (62,8%), на капитальные вложения предприятий государственной формы собственности приходилось 32,1% против 30,4% в январе-июне 2015 года.</w:t>
      </w:r>
    </w:p>
    <w:p w:rsidR="00460A09" w:rsidRPr="0080737A" w:rsidRDefault="00460A09" w:rsidP="00460A09">
      <w:pPr>
        <w:spacing w:after="0" w:line="240" w:lineRule="auto"/>
        <w:ind w:firstLine="709"/>
        <w:jc w:val="both"/>
        <w:rPr>
          <w:rFonts w:ascii="Times New Roman" w:eastAsia="Calibri" w:hAnsi="Times New Roman"/>
          <w:spacing w:val="2"/>
          <w:sz w:val="24"/>
          <w:szCs w:val="24"/>
          <w:lang w:eastAsia="en-US"/>
        </w:rPr>
      </w:pPr>
    </w:p>
    <w:p w:rsidR="00460A09" w:rsidRPr="0080737A" w:rsidRDefault="00460A09" w:rsidP="00460A09">
      <w:pPr>
        <w:spacing w:after="0" w:line="240" w:lineRule="auto"/>
        <w:ind w:firstLine="709"/>
        <w:jc w:val="center"/>
        <w:rPr>
          <w:rFonts w:ascii="Times New Roman" w:eastAsia="Calibri" w:hAnsi="Times New Roman"/>
          <w:b/>
          <w:sz w:val="24"/>
          <w:szCs w:val="24"/>
          <w:lang w:eastAsia="en-US"/>
        </w:rPr>
      </w:pPr>
      <w:r w:rsidRPr="0080737A">
        <w:rPr>
          <w:rFonts w:ascii="Times New Roman" w:eastAsia="Calibri" w:hAnsi="Times New Roman"/>
          <w:b/>
          <w:sz w:val="24"/>
          <w:szCs w:val="24"/>
          <w:lang w:eastAsia="en-US"/>
        </w:rPr>
        <w:t xml:space="preserve">Структура инвестиций в основной капитал </w:t>
      </w:r>
    </w:p>
    <w:p w:rsidR="00460A09" w:rsidRPr="0080737A" w:rsidRDefault="00460A09" w:rsidP="00460A09">
      <w:pPr>
        <w:spacing w:after="0" w:line="240" w:lineRule="auto"/>
        <w:ind w:firstLine="709"/>
        <w:jc w:val="center"/>
        <w:rPr>
          <w:rFonts w:ascii="Times New Roman" w:eastAsia="Calibri" w:hAnsi="Times New Roman"/>
          <w:b/>
          <w:sz w:val="24"/>
          <w:szCs w:val="24"/>
          <w:lang w:eastAsia="en-US"/>
        </w:rPr>
      </w:pPr>
      <w:r w:rsidRPr="0080737A">
        <w:rPr>
          <w:rFonts w:ascii="Times New Roman" w:eastAsia="Calibri" w:hAnsi="Times New Roman"/>
          <w:b/>
          <w:sz w:val="24"/>
          <w:szCs w:val="24"/>
          <w:lang w:eastAsia="en-US"/>
        </w:rPr>
        <w:t xml:space="preserve">по формам собственности, % </w:t>
      </w:r>
    </w:p>
    <w:p w:rsidR="00460A09" w:rsidRPr="0080737A" w:rsidRDefault="00460A09" w:rsidP="00460A09">
      <w:pPr>
        <w:spacing w:after="0"/>
        <w:ind w:left="-284"/>
        <w:jc w:val="both"/>
        <w:rPr>
          <w:rFonts w:ascii="Times New Roman" w:eastAsia="Calibri" w:hAnsi="Times New Roman"/>
          <w:sz w:val="24"/>
          <w:szCs w:val="24"/>
          <w:lang w:eastAsia="en-US"/>
        </w:rPr>
      </w:pPr>
      <w:r w:rsidRPr="0080737A">
        <w:rPr>
          <w:noProof/>
          <w:color w:val="C6D9F1"/>
          <w:sz w:val="16"/>
          <w:szCs w:val="16"/>
        </w:rPr>
        <w:drawing>
          <wp:inline distT="0" distB="0" distL="0" distR="0">
            <wp:extent cx="3228975" cy="168592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80737A">
        <w:rPr>
          <w:b/>
          <w:noProof/>
          <w:color w:val="9BBB59"/>
          <w:sz w:val="16"/>
          <w:szCs w:val="16"/>
        </w:rPr>
        <w:drawing>
          <wp:inline distT="0" distB="0" distL="0" distR="0">
            <wp:extent cx="2857500" cy="164782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60A09" w:rsidRPr="0080737A" w:rsidRDefault="00460A09" w:rsidP="00460A09">
      <w:pPr>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В промышленном секторе в течение анализируемого периода наблюдалось</w:t>
      </w:r>
      <w:r w:rsidR="00EF7D3C" w:rsidRPr="0080737A">
        <w:rPr>
          <w:rFonts w:ascii="Times New Roman" w:eastAsia="Calibri" w:hAnsi="Times New Roman"/>
          <w:sz w:val="24"/>
          <w:szCs w:val="24"/>
          <w:lang w:eastAsia="en-US"/>
        </w:rPr>
        <w:t xml:space="preserve"> </w:t>
      </w:r>
      <w:r w:rsidRPr="0080737A">
        <w:rPr>
          <w:rFonts w:ascii="Times New Roman" w:eastAsia="Calibri" w:hAnsi="Times New Roman"/>
          <w:sz w:val="24"/>
          <w:szCs w:val="24"/>
          <w:lang w:eastAsia="en-US"/>
        </w:rPr>
        <w:t xml:space="preserve">увеличение объема капитальных вложений в основной капитал на 14,7% до </w:t>
      </w:r>
      <w:r w:rsidRPr="0080737A">
        <w:rPr>
          <w:rFonts w:ascii="Times New Roman" w:eastAsia="Calibri" w:hAnsi="Times New Roman"/>
          <w:sz w:val="24"/>
          <w:szCs w:val="24"/>
          <w:lang w:eastAsia="en-US"/>
        </w:rPr>
        <w:br/>
        <w:t>181,2 млн. руб., что позволило сформировать порядка 48,8% совокупного показателя. Расширение инвестиционных вложений в модернизацию, техническое перевооружение промышленного производства наблюдалось по таким предприятиям как:</w:t>
      </w:r>
    </w:p>
    <w:p w:rsidR="00460A09" w:rsidRPr="0080737A" w:rsidRDefault="00460A09" w:rsidP="00460A09">
      <w:pPr>
        <w:tabs>
          <w:tab w:val="left" w:pos="993"/>
        </w:tabs>
        <w:spacing w:after="0" w:line="240" w:lineRule="auto"/>
        <w:ind w:firstLine="567"/>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w:t>
      </w:r>
      <w:r w:rsidRPr="0080737A">
        <w:rPr>
          <w:rFonts w:ascii="Times New Roman" w:eastAsia="Calibri" w:hAnsi="Times New Roman"/>
          <w:sz w:val="24"/>
          <w:szCs w:val="24"/>
          <w:lang w:eastAsia="en-US"/>
        </w:rPr>
        <w:tab/>
        <w:t>ЗАО «Молдавская ГРЭС» (на 88,6% обеспечивших 29,9% вложений по отрасли промышленности), в результате приобретения и установки оборудования по ремонту 7 энергоблока;</w:t>
      </w:r>
    </w:p>
    <w:p w:rsidR="00460A09" w:rsidRPr="0080737A" w:rsidRDefault="00460A09" w:rsidP="00460A09">
      <w:pPr>
        <w:tabs>
          <w:tab w:val="left" w:pos="851"/>
        </w:tabs>
        <w:spacing w:after="0" w:line="240" w:lineRule="auto"/>
        <w:ind w:firstLine="567"/>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w:t>
      </w:r>
      <w:r w:rsidRPr="0080737A">
        <w:rPr>
          <w:rFonts w:ascii="Times New Roman" w:eastAsia="Calibri" w:hAnsi="Times New Roman"/>
          <w:sz w:val="24"/>
          <w:szCs w:val="24"/>
          <w:lang w:eastAsia="en-US"/>
        </w:rPr>
        <w:tab/>
        <w:t>ГУП «Единые распределительные сети» (на 90,4%, а доля инвестиций по отрасли промышленности составила 27,9%), за счет приобретения и замены электросчетчиков, трансформаторов, машин и оборудования;</w:t>
      </w:r>
    </w:p>
    <w:p w:rsidR="00460A09" w:rsidRPr="0080737A" w:rsidRDefault="00460A09" w:rsidP="00460A09">
      <w:pPr>
        <w:tabs>
          <w:tab w:val="left" w:pos="851"/>
        </w:tabs>
        <w:spacing w:after="0" w:line="240" w:lineRule="auto"/>
        <w:ind w:firstLine="567"/>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w:t>
      </w:r>
      <w:r w:rsidRPr="0080737A">
        <w:rPr>
          <w:rFonts w:ascii="Times New Roman" w:eastAsia="Calibri" w:hAnsi="Times New Roman"/>
          <w:sz w:val="24"/>
          <w:szCs w:val="24"/>
          <w:lang w:eastAsia="en-US"/>
        </w:rPr>
        <w:tab/>
        <w:t>ЗАО</w:t>
      </w:r>
      <w:r w:rsidRPr="0080737A">
        <w:rPr>
          <w:rFonts w:ascii="Times New Roman" w:eastAsia="Calibri" w:hAnsi="Times New Roman"/>
          <w:sz w:val="24"/>
          <w:szCs w:val="24"/>
          <w:lang w:val="en-US" w:eastAsia="en-US"/>
        </w:rPr>
        <w:t> </w:t>
      </w:r>
      <w:r w:rsidRPr="0080737A">
        <w:rPr>
          <w:rFonts w:ascii="Times New Roman" w:eastAsia="Calibri" w:hAnsi="Times New Roman"/>
          <w:sz w:val="24"/>
          <w:szCs w:val="24"/>
          <w:lang w:eastAsia="en-US"/>
        </w:rPr>
        <w:t>«</w:t>
      </w:r>
      <w:proofErr w:type="spellStart"/>
      <w:r w:rsidRPr="0080737A">
        <w:rPr>
          <w:rFonts w:ascii="Times New Roman" w:eastAsia="Calibri" w:hAnsi="Times New Roman"/>
          <w:sz w:val="24"/>
          <w:szCs w:val="24"/>
          <w:lang w:eastAsia="en-US"/>
        </w:rPr>
        <w:t>Рыбницкий</w:t>
      </w:r>
      <w:proofErr w:type="spellEnd"/>
      <w:r w:rsidRPr="0080737A">
        <w:rPr>
          <w:rFonts w:ascii="Times New Roman" w:eastAsia="Calibri" w:hAnsi="Times New Roman"/>
          <w:sz w:val="24"/>
          <w:szCs w:val="24"/>
          <w:lang w:eastAsia="en-US"/>
        </w:rPr>
        <w:t xml:space="preserve"> цементный комбинат» (на 76,9% или 9,5% всех вложений по отрасли промышленности), в результате переоснащения предприятия, с целью снижения себестоимости выпускаемой продукции и сокращения выбросов в атмосферу. </w:t>
      </w:r>
    </w:p>
    <w:p w:rsidR="00460A09" w:rsidRPr="0080737A" w:rsidRDefault="00460A09" w:rsidP="00460A09">
      <w:pPr>
        <w:tabs>
          <w:tab w:val="left" w:pos="851"/>
        </w:tabs>
        <w:spacing w:after="0" w:line="240" w:lineRule="auto"/>
        <w:ind w:firstLine="567"/>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Также существенные инвестиционные вложения в основной капитал с целью модернизации и обновления основных сре</w:t>
      </w:r>
      <w:proofErr w:type="gramStart"/>
      <w:r w:rsidRPr="0080737A">
        <w:rPr>
          <w:rFonts w:ascii="Times New Roman" w:eastAsia="Calibri" w:hAnsi="Times New Roman"/>
          <w:sz w:val="24"/>
          <w:szCs w:val="24"/>
          <w:lang w:eastAsia="en-US"/>
        </w:rPr>
        <w:t>дств в р</w:t>
      </w:r>
      <w:proofErr w:type="gramEnd"/>
      <w:r w:rsidRPr="0080737A">
        <w:rPr>
          <w:rFonts w:ascii="Times New Roman" w:eastAsia="Calibri" w:hAnsi="Times New Roman"/>
          <w:sz w:val="24"/>
          <w:szCs w:val="24"/>
          <w:lang w:eastAsia="en-US"/>
        </w:rPr>
        <w:t>ассматриваемом периоде демонстрировали:</w:t>
      </w:r>
    </w:p>
    <w:p w:rsidR="00460A09" w:rsidRPr="0080737A" w:rsidRDefault="00460A09" w:rsidP="00460A09">
      <w:pPr>
        <w:tabs>
          <w:tab w:val="left" w:pos="851"/>
        </w:tabs>
        <w:spacing w:after="0" w:line="240" w:lineRule="auto"/>
        <w:ind w:firstLine="567"/>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w:t>
      </w:r>
      <w:r w:rsidRPr="0080737A">
        <w:rPr>
          <w:rFonts w:ascii="Times New Roman" w:eastAsia="Calibri" w:hAnsi="Times New Roman"/>
          <w:sz w:val="24"/>
          <w:szCs w:val="24"/>
          <w:lang w:eastAsia="en-US"/>
        </w:rPr>
        <w:tab/>
        <w:t>МГУП «</w:t>
      </w:r>
      <w:proofErr w:type="spellStart"/>
      <w:r w:rsidRPr="0080737A">
        <w:rPr>
          <w:rFonts w:ascii="Times New Roman" w:eastAsia="Calibri" w:hAnsi="Times New Roman"/>
          <w:sz w:val="24"/>
          <w:szCs w:val="24"/>
          <w:lang w:eastAsia="en-US"/>
        </w:rPr>
        <w:t>Тирастеплоэнерго</w:t>
      </w:r>
      <w:proofErr w:type="spellEnd"/>
      <w:r w:rsidRPr="0080737A">
        <w:rPr>
          <w:rFonts w:ascii="Times New Roman" w:eastAsia="Calibri" w:hAnsi="Times New Roman"/>
          <w:sz w:val="24"/>
          <w:szCs w:val="24"/>
          <w:lang w:eastAsia="en-US"/>
        </w:rPr>
        <w:t>» (на 31,6% или 6,0% инвестиций промышленного сектора);</w:t>
      </w:r>
    </w:p>
    <w:p w:rsidR="00460A09" w:rsidRPr="0080737A" w:rsidRDefault="00460A09" w:rsidP="00460A09">
      <w:pPr>
        <w:tabs>
          <w:tab w:val="left" w:pos="851"/>
        </w:tabs>
        <w:spacing w:after="0" w:line="240" w:lineRule="auto"/>
        <w:ind w:firstLine="567"/>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w:t>
      </w:r>
      <w:r w:rsidRPr="0080737A">
        <w:rPr>
          <w:rFonts w:ascii="Times New Roman" w:eastAsia="Calibri" w:hAnsi="Times New Roman"/>
          <w:sz w:val="24"/>
          <w:szCs w:val="24"/>
          <w:lang w:eastAsia="en-US"/>
        </w:rPr>
        <w:tab/>
        <w:t>ООО «Шериф» (на 71,3% обеспечивших 2,5%вложений по отрасли промышленности);</w:t>
      </w:r>
    </w:p>
    <w:p w:rsidR="00460A09" w:rsidRPr="0080737A" w:rsidRDefault="00460A09" w:rsidP="00460A09">
      <w:pPr>
        <w:tabs>
          <w:tab w:val="left" w:pos="851"/>
        </w:tabs>
        <w:spacing w:after="0" w:line="240" w:lineRule="auto"/>
        <w:ind w:firstLine="567"/>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lastRenderedPageBreak/>
        <w:t>-</w:t>
      </w:r>
      <w:r w:rsidRPr="0080737A">
        <w:rPr>
          <w:rFonts w:ascii="Times New Roman" w:eastAsia="Calibri" w:hAnsi="Times New Roman"/>
          <w:sz w:val="24"/>
          <w:szCs w:val="24"/>
          <w:lang w:eastAsia="en-US"/>
        </w:rPr>
        <w:tab/>
        <w:t xml:space="preserve">Филиал «Завод «Прибор АО «НП Салют» (в 3,3 раза или 2,4%инвестиций промышленного сектора). </w:t>
      </w:r>
    </w:p>
    <w:p w:rsidR="00460A09" w:rsidRPr="0080737A" w:rsidRDefault="00460A09" w:rsidP="00460A09">
      <w:pPr>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Совокупный объем инвестиционных потоков данных предприятий достиг 141,7 млн. руб. (78,2% от общего объема инвестиций по отрасли промышленности или 38,2% по республике).</w:t>
      </w:r>
    </w:p>
    <w:p w:rsidR="00460A09" w:rsidRPr="0080737A" w:rsidRDefault="00460A09" w:rsidP="00460A09">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январе-июне 2016 года отмечалось снижение базовых показателей долгосрочного развития сельскохозяйственных организаций, инвестиционные вложения которых сократились до 32,6 млн. руб. или на 59,4% к уровню шести месяцев 2015 года. Основная часть финансовых потоков в аграрном секторе была направлена на внедрение системы капельного орошения, закладку интенсивных садов, приобретение современного холодильного оборудования. </w:t>
      </w:r>
    </w:p>
    <w:p w:rsidR="00460A09" w:rsidRPr="0080737A" w:rsidRDefault="00460A09" w:rsidP="00460A09">
      <w:pPr>
        <w:spacing w:after="0" w:line="240" w:lineRule="auto"/>
        <w:ind w:firstLine="709"/>
        <w:jc w:val="both"/>
        <w:rPr>
          <w:rFonts w:ascii="Times New Roman" w:hAnsi="Times New Roman"/>
          <w:sz w:val="24"/>
          <w:szCs w:val="24"/>
        </w:rPr>
      </w:pPr>
      <w:r w:rsidRPr="0080737A">
        <w:rPr>
          <w:rFonts w:ascii="Times New Roman" w:hAnsi="Times New Roman"/>
          <w:sz w:val="24"/>
          <w:szCs w:val="24"/>
        </w:rPr>
        <w:t>Среди сельскохозяйственных</w:t>
      </w:r>
      <w:r w:rsidR="00EF7D3C" w:rsidRPr="0080737A">
        <w:rPr>
          <w:rFonts w:ascii="Times New Roman" w:hAnsi="Times New Roman"/>
          <w:sz w:val="24"/>
          <w:szCs w:val="24"/>
        </w:rPr>
        <w:t xml:space="preserve"> </w:t>
      </w:r>
      <w:r w:rsidRPr="0080737A">
        <w:rPr>
          <w:rFonts w:ascii="Times New Roman" w:hAnsi="Times New Roman"/>
          <w:sz w:val="24"/>
          <w:szCs w:val="24"/>
        </w:rPr>
        <w:t xml:space="preserve">предприятий, инвестировавших в перспективные направления агропромышленного комплекса, большая доля пришлась </w:t>
      </w:r>
      <w:proofErr w:type="gramStart"/>
      <w:r w:rsidRPr="0080737A">
        <w:rPr>
          <w:rFonts w:ascii="Times New Roman" w:hAnsi="Times New Roman"/>
          <w:sz w:val="24"/>
          <w:szCs w:val="24"/>
        </w:rPr>
        <w:t>на</w:t>
      </w:r>
      <w:proofErr w:type="gramEnd"/>
      <w:r w:rsidRPr="0080737A">
        <w:rPr>
          <w:rFonts w:ascii="Times New Roman" w:hAnsi="Times New Roman"/>
          <w:sz w:val="24"/>
          <w:szCs w:val="24"/>
        </w:rPr>
        <w:t xml:space="preserve">: </w:t>
      </w:r>
      <w:r w:rsidRPr="0080737A">
        <w:rPr>
          <w:rFonts w:ascii="Times New Roman" w:hAnsi="Times New Roman"/>
          <w:sz w:val="24"/>
          <w:szCs w:val="24"/>
        </w:rPr>
        <w:br/>
        <w:t>ООО С/Х ФИРМА «РУСТАС» (27,9%</w:t>
      </w:r>
      <w:r w:rsidRPr="0080737A">
        <w:rPr>
          <w:rFonts w:ascii="Times New Roman" w:eastAsia="Calibri" w:hAnsi="Times New Roman"/>
          <w:sz w:val="24"/>
          <w:szCs w:val="24"/>
          <w:lang w:eastAsia="en-US"/>
        </w:rPr>
        <w:t xml:space="preserve">), </w:t>
      </w:r>
      <w:r w:rsidRPr="0080737A">
        <w:rPr>
          <w:rFonts w:ascii="Times New Roman" w:hAnsi="Times New Roman"/>
          <w:sz w:val="24"/>
          <w:szCs w:val="24"/>
        </w:rPr>
        <w:t xml:space="preserve">ЗАО «Тираспольский </w:t>
      </w:r>
      <w:proofErr w:type="spellStart"/>
      <w:r w:rsidRPr="0080737A">
        <w:rPr>
          <w:rFonts w:ascii="Times New Roman" w:hAnsi="Times New Roman"/>
          <w:sz w:val="24"/>
          <w:szCs w:val="24"/>
        </w:rPr>
        <w:t>вино-коньячный</w:t>
      </w:r>
      <w:proofErr w:type="spellEnd"/>
      <w:r w:rsidRPr="0080737A">
        <w:rPr>
          <w:rFonts w:ascii="Times New Roman" w:hAnsi="Times New Roman"/>
          <w:sz w:val="24"/>
          <w:szCs w:val="24"/>
        </w:rPr>
        <w:t xml:space="preserve"> завод «</w:t>
      </w:r>
      <w:proofErr w:type="gramStart"/>
      <w:r w:rsidRPr="0080737A">
        <w:rPr>
          <w:rFonts w:ascii="Times New Roman" w:hAnsi="Times New Roman"/>
          <w:sz w:val="24"/>
          <w:szCs w:val="24"/>
          <w:lang w:val="en-US"/>
        </w:rPr>
        <w:t>K</w:t>
      </w:r>
      <w:proofErr w:type="gramEnd"/>
      <w:r w:rsidRPr="0080737A">
        <w:rPr>
          <w:rFonts w:ascii="Times New Roman" w:hAnsi="Times New Roman"/>
          <w:sz w:val="24"/>
          <w:szCs w:val="24"/>
        </w:rPr>
        <w:t xml:space="preserve">ВИНТ» (18,3%), ООО «Каменский Колос» (11,4%), </w:t>
      </w:r>
      <w:r w:rsidRPr="0080737A">
        <w:rPr>
          <w:rFonts w:ascii="Times New Roman" w:eastAsia="Calibri" w:hAnsi="Times New Roman"/>
          <w:sz w:val="24"/>
          <w:szCs w:val="24"/>
          <w:lang w:eastAsia="en-US"/>
        </w:rPr>
        <w:t xml:space="preserve">ООО «ФИАЛЬТ-АГРО» (7,0%). </w:t>
      </w:r>
    </w:p>
    <w:p w:rsidR="00460A09" w:rsidRPr="0080737A" w:rsidRDefault="00460A09" w:rsidP="00460A09">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w:t>
      </w:r>
      <w:proofErr w:type="gramStart"/>
      <w:r w:rsidRPr="0080737A">
        <w:rPr>
          <w:rFonts w:ascii="Times New Roman" w:hAnsi="Times New Roman"/>
          <w:sz w:val="24"/>
          <w:szCs w:val="24"/>
          <w:lang w:val="en-US"/>
        </w:rPr>
        <w:t>I</w:t>
      </w:r>
      <w:proofErr w:type="gramEnd"/>
      <w:r w:rsidRPr="0080737A">
        <w:rPr>
          <w:rFonts w:ascii="Times New Roman" w:hAnsi="Times New Roman"/>
          <w:sz w:val="24"/>
          <w:szCs w:val="24"/>
        </w:rPr>
        <w:t>полугодии 2016 года продолжилось заключение инвестиционных соглашений между землепользователями и Правительством ПМР, Министерством сельского хозяйства и природных ресурсов ПМР</w:t>
      </w:r>
      <w:r w:rsidRPr="0080737A">
        <w:rPr>
          <w:rFonts w:ascii="Times New Roman" w:eastAsia="Calibri" w:hAnsi="Times New Roman"/>
          <w:sz w:val="24"/>
          <w:szCs w:val="24"/>
          <w:lang w:eastAsia="en-US"/>
        </w:rPr>
        <w:t>.</w:t>
      </w:r>
      <w:r w:rsidR="00EF7D3C" w:rsidRPr="0080737A">
        <w:rPr>
          <w:rFonts w:ascii="Times New Roman" w:eastAsia="Calibri" w:hAnsi="Times New Roman"/>
          <w:sz w:val="24"/>
          <w:szCs w:val="24"/>
          <w:lang w:eastAsia="en-US"/>
        </w:rPr>
        <w:t xml:space="preserve"> </w:t>
      </w:r>
      <w:r w:rsidRPr="0080737A">
        <w:rPr>
          <w:rFonts w:ascii="Times New Roman" w:hAnsi="Times New Roman"/>
          <w:sz w:val="24"/>
          <w:szCs w:val="24"/>
        </w:rPr>
        <w:t>Данными соглашениями и договорами предусматриваются инвестиционные вложения, как в сельскохозяйственное производство, так и в инфраструктуру сел, расположенных близь земель сельскохозяйственного назначения, используемых данными хозяйствующими субъектами.</w:t>
      </w:r>
    </w:p>
    <w:p w:rsidR="00460A09" w:rsidRPr="0080737A" w:rsidRDefault="00460A09" w:rsidP="00460A09">
      <w:pPr>
        <w:shd w:val="clear" w:color="auto" w:fill="FFFFFF"/>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Так, по итогам шести месяцев 2016 года заключенными договорами и соглашениями охвачено 15 784,9 га земель сельскохозяйственного назначения, что на 764,5 га превышает базовый уровень января-июня 2015 года. </w:t>
      </w:r>
      <w:proofErr w:type="gramStart"/>
      <w:r w:rsidRPr="0080737A">
        <w:rPr>
          <w:rFonts w:ascii="Times New Roman" w:hAnsi="Times New Roman"/>
          <w:sz w:val="24"/>
          <w:szCs w:val="24"/>
        </w:rPr>
        <w:t xml:space="preserve">При этом общая сумма предполагаемых инвестиций сократилась к уровню минувшего года на 31,6% и составила 23 697,0 тыс. руб., из которой на развитие сельскохозяйственного производства предполагается направить 22 100,0 тыс. руб. (67,7% к уровню 2015 года), в инфраструктуру села – 1 597,0 тыс. руб. (79,3% к уровню 2015 года). </w:t>
      </w:r>
      <w:proofErr w:type="gramEnd"/>
    </w:p>
    <w:p w:rsidR="00460A09" w:rsidRPr="0080737A" w:rsidRDefault="00460A09" w:rsidP="00460A09">
      <w:pPr>
        <w:shd w:val="clear" w:color="auto" w:fill="FFFFFF"/>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Также в анализируемом периоде в соответствии с договорами долгосрочного пользования с государственными администрациями предусмотрены инвестиционные обязательства по 72 организациям (крестьянско-фермерские хозяйства) охватывающим земли площадью 6 512,7 га, против 29 организаций (КФХ) и площадью земель - 4 229,1 га в январе–июне 2015 года. Данные средства будут направлены на развитие инфраструктуры села и ремонт социальных объектов: детских садов, общеобразовательных школ, сельских врачебных амбулатории и др. </w:t>
      </w:r>
    </w:p>
    <w:p w:rsidR="00460A09" w:rsidRPr="0080737A" w:rsidRDefault="00460A09" w:rsidP="00460A09">
      <w:pPr>
        <w:pStyle w:val="13"/>
        <w:shd w:val="clear" w:color="auto" w:fill="FFFFFF"/>
        <w:ind w:firstLine="709"/>
        <w:jc w:val="both"/>
        <w:rPr>
          <w:rFonts w:ascii="Times New Roman" w:hAnsi="Times New Roman"/>
        </w:rPr>
      </w:pPr>
      <w:r w:rsidRPr="0080737A">
        <w:rPr>
          <w:rFonts w:ascii="Times New Roman" w:hAnsi="Times New Roman" w:cs="Times New Roman"/>
        </w:rPr>
        <w:t xml:space="preserve">Прирост </w:t>
      </w:r>
      <w:r w:rsidRPr="0080737A">
        <w:rPr>
          <w:rFonts w:ascii="Times New Roman" w:hAnsi="Times New Roman"/>
        </w:rPr>
        <w:t>инвестиционной активности в I полугодии 2016 года, помимо промышленного сектора отмечался также, в таких отраслях как коммунальное хозяйство (на 53,6% до 9,5 млн. руб.)</w:t>
      </w:r>
      <w:proofErr w:type="gramStart"/>
      <w:r w:rsidRPr="0080737A">
        <w:rPr>
          <w:rFonts w:ascii="Times New Roman" w:hAnsi="Times New Roman"/>
        </w:rPr>
        <w:t>,з</w:t>
      </w:r>
      <w:proofErr w:type="gramEnd"/>
      <w:r w:rsidRPr="0080737A">
        <w:rPr>
          <w:rFonts w:ascii="Times New Roman" w:hAnsi="Times New Roman"/>
        </w:rPr>
        <w:t>дравоохранение(на 13,3% до 14,7 млн. руб.),образование (в 6,0 раз до 10,6 млн. руб.). По остальным отраслям экономики республики наблюдалось сокращение инвестиций в основной капитал по отношению к базовому уровню 2015 года.</w:t>
      </w:r>
    </w:p>
    <w:p w:rsidR="00460A09" w:rsidRPr="0080737A" w:rsidRDefault="00460A09" w:rsidP="00460A09">
      <w:pPr>
        <w:spacing w:after="0" w:line="240" w:lineRule="auto"/>
        <w:ind w:firstLine="708"/>
        <w:jc w:val="right"/>
        <w:rPr>
          <w:rFonts w:ascii="Times New Roman" w:eastAsia="Calibri" w:hAnsi="Times New Roman"/>
          <w:spacing w:val="2"/>
          <w:sz w:val="24"/>
          <w:szCs w:val="24"/>
          <w:lang w:eastAsia="en-US"/>
        </w:rPr>
      </w:pPr>
      <w:r w:rsidRPr="0080737A">
        <w:rPr>
          <w:rFonts w:ascii="Times New Roman" w:eastAsia="Calibri" w:hAnsi="Times New Roman"/>
          <w:spacing w:val="2"/>
          <w:sz w:val="24"/>
          <w:szCs w:val="24"/>
          <w:lang w:eastAsia="en-US"/>
        </w:rPr>
        <w:t>Таблица №12</w:t>
      </w:r>
    </w:p>
    <w:p w:rsidR="00460A09" w:rsidRPr="0080737A" w:rsidRDefault="00460A09" w:rsidP="00460A09">
      <w:pPr>
        <w:spacing w:after="0" w:line="240" w:lineRule="auto"/>
        <w:jc w:val="center"/>
        <w:rPr>
          <w:rFonts w:ascii="Times New Roman" w:eastAsia="Calibri" w:hAnsi="Times New Roman"/>
          <w:b/>
          <w:sz w:val="24"/>
          <w:szCs w:val="24"/>
          <w:lang w:eastAsia="en-US"/>
        </w:rPr>
      </w:pPr>
      <w:r w:rsidRPr="0080737A">
        <w:rPr>
          <w:rFonts w:ascii="Times New Roman" w:eastAsia="Calibri" w:hAnsi="Times New Roman"/>
          <w:b/>
          <w:sz w:val="24"/>
          <w:szCs w:val="24"/>
          <w:lang w:eastAsia="en-US"/>
        </w:rPr>
        <w:t xml:space="preserve">Динамика инвестиций в основной капитал и их структура </w:t>
      </w:r>
    </w:p>
    <w:p w:rsidR="00460A09" w:rsidRPr="0080737A" w:rsidRDefault="00460A09" w:rsidP="00460A09">
      <w:pPr>
        <w:spacing w:after="0" w:line="240" w:lineRule="auto"/>
        <w:jc w:val="center"/>
        <w:rPr>
          <w:rFonts w:ascii="Times New Roman" w:eastAsia="Calibri" w:hAnsi="Times New Roman"/>
          <w:sz w:val="24"/>
          <w:szCs w:val="24"/>
          <w:lang w:eastAsia="en-US"/>
        </w:rPr>
      </w:pPr>
      <w:r w:rsidRPr="0080737A">
        <w:rPr>
          <w:rFonts w:ascii="Times New Roman" w:eastAsia="Calibri" w:hAnsi="Times New Roman"/>
          <w:b/>
          <w:sz w:val="24"/>
          <w:szCs w:val="24"/>
          <w:lang w:eastAsia="en-US"/>
        </w:rPr>
        <w:t xml:space="preserve">по основным отраслям экономики </w:t>
      </w:r>
      <w:r w:rsidRPr="0080737A">
        <w:rPr>
          <w:rFonts w:ascii="Times New Roman" w:eastAsia="Calibri" w:hAnsi="Times New Roman"/>
          <w:sz w:val="24"/>
          <w:szCs w:val="24"/>
          <w:lang w:eastAsia="en-US"/>
        </w:rPr>
        <w:t>(без субъектов малого предпринимательства)</w:t>
      </w: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32"/>
        <w:gridCol w:w="995"/>
        <w:gridCol w:w="854"/>
        <w:gridCol w:w="996"/>
        <w:gridCol w:w="994"/>
        <w:gridCol w:w="1423"/>
      </w:tblGrid>
      <w:tr w:rsidR="00460A09" w:rsidRPr="0080737A" w:rsidTr="006A29F1">
        <w:trPr>
          <w:trHeight w:val="451"/>
        </w:trPr>
        <w:tc>
          <w:tcPr>
            <w:tcW w:w="4232" w:type="dxa"/>
            <w:vMerge w:val="restart"/>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pacing w:val="2"/>
                <w:sz w:val="21"/>
                <w:szCs w:val="21"/>
                <w:lang w:eastAsia="en-US"/>
              </w:rPr>
              <w:t>Показатели</w:t>
            </w:r>
          </w:p>
        </w:tc>
        <w:tc>
          <w:tcPr>
            <w:tcW w:w="1849" w:type="dxa"/>
            <w:gridSpan w:val="2"/>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январь - июнь</w:t>
            </w:r>
          </w:p>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2015 г.</w:t>
            </w:r>
          </w:p>
        </w:tc>
        <w:tc>
          <w:tcPr>
            <w:tcW w:w="1990" w:type="dxa"/>
            <w:gridSpan w:val="2"/>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январь-июнь</w:t>
            </w:r>
          </w:p>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2016 г.</w:t>
            </w:r>
          </w:p>
        </w:tc>
        <w:tc>
          <w:tcPr>
            <w:tcW w:w="1423" w:type="dxa"/>
            <w:vMerge w:val="restart"/>
            <w:vAlign w:val="center"/>
          </w:tcPr>
          <w:p w:rsidR="00460A09" w:rsidRPr="0080737A" w:rsidRDefault="00460A09" w:rsidP="006A29F1">
            <w:pPr>
              <w:spacing w:after="0" w:line="240" w:lineRule="auto"/>
              <w:jc w:val="center"/>
              <w:rPr>
                <w:rFonts w:ascii="Times New Roman" w:eastAsia="Calibri" w:hAnsi="Times New Roman"/>
                <w:b/>
                <w:bCs/>
                <w:sz w:val="21"/>
                <w:szCs w:val="21"/>
                <w:lang w:eastAsia="en-US"/>
              </w:rPr>
            </w:pPr>
            <w:r w:rsidRPr="0080737A">
              <w:rPr>
                <w:rFonts w:ascii="Times New Roman" w:eastAsia="Calibri" w:hAnsi="Times New Roman"/>
                <w:b/>
                <w:bCs/>
                <w:sz w:val="21"/>
                <w:szCs w:val="21"/>
                <w:lang w:eastAsia="en-US"/>
              </w:rPr>
              <w:t>Темп роста</w:t>
            </w:r>
          </w:p>
          <w:p w:rsidR="00460A09" w:rsidRPr="0080737A" w:rsidRDefault="00460A09" w:rsidP="006A29F1">
            <w:pPr>
              <w:spacing w:after="0" w:line="240" w:lineRule="auto"/>
              <w:jc w:val="center"/>
              <w:rPr>
                <w:rFonts w:ascii="Times New Roman" w:eastAsia="Calibri" w:hAnsi="Times New Roman"/>
                <w:b/>
                <w:bCs/>
                <w:sz w:val="21"/>
                <w:szCs w:val="21"/>
                <w:lang w:eastAsia="en-US"/>
              </w:rPr>
            </w:pPr>
            <w:r w:rsidRPr="0080737A">
              <w:rPr>
                <w:rFonts w:ascii="Times New Roman" w:eastAsia="Calibri" w:hAnsi="Times New Roman"/>
                <w:b/>
                <w:bCs/>
                <w:sz w:val="21"/>
                <w:szCs w:val="21"/>
                <w:lang w:eastAsia="en-US"/>
              </w:rPr>
              <w:t xml:space="preserve">в % к </w:t>
            </w:r>
          </w:p>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bCs/>
                <w:sz w:val="21"/>
                <w:szCs w:val="21"/>
                <w:lang w:eastAsia="en-US"/>
              </w:rPr>
              <w:t>2015 г.*</w:t>
            </w:r>
          </w:p>
        </w:tc>
      </w:tr>
      <w:tr w:rsidR="00460A09" w:rsidRPr="0080737A" w:rsidTr="006A29F1">
        <w:trPr>
          <w:trHeight w:val="387"/>
        </w:trPr>
        <w:tc>
          <w:tcPr>
            <w:tcW w:w="4232" w:type="dxa"/>
            <w:vMerge/>
            <w:tcBorders>
              <w:bottom w:val="single" w:sz="4" w:space="0" w:color="000000"/>
            </w:tcBorders>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p>
        </w:tc>
        <w:tc>
          <w:tcPr>
            <w:tcW w:w="995" w:type="dxa"/>
            <w:tcBorders>
              <w:bottom w:val="single" w:sz="4" w:space="0" w:color="000000"/>
            </w:tcBorders>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млн. руб.</w:t>
            </w:r>
          </w:p>
        </w:tc>
        <w:tc>
          <w:tcPr>
            <w:tcW w:w="854" w:type="dxa"/>
            <w:tcBorders>
              <w:bottom w:val="single" w:sz="4" w:space="0" w:color="000000"/>
            </w:tcBorders>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уд.</w:t>
            </w:r>
          </w:p>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вес, %</w:t>
            </w:r>
          </w:p>
        </w:tc>
        <w:tc>
          <w:tcPr>
            <w:tcW w:w="996" w:type="dxa"/>
            <w:tcBorders>
              <w:bottom w:val="single" w:sz="4" w:space="0" w:color="000000"/>
            </w:tcBorders>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млн. руб.</w:t>
            </w:r>
          </w:p>
        </w:tc>
        <w:tc>
          <w:tcPr>
            <w:tcW w:w="994" w:type="dxa"/>
            <w:tcBorders>
              <w:bottom w:val="single" w:sz="4" w:space="0" w:color="000000"/>
            </w:tcBorders>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proofErr w:type="spellStart"/>
            <w:r w:rsidRPr="0080737A">
              <w:rPr>
                <w:rFonts w:ascii="Times New Roman" w:eastAsia="Calibri" w:hAnsi="Times New Roman"/>
                <w:b/>
                <w:sz w:val="21"/>
                <w:szCs w:val="21"/>
                <w:lang w:eastAsia="en-US"/>
              </w:rPr>
              <w:t>уд</w:t>
            </w:r>
            <w:proofErr w:type="gramStart"/>
            <w:r w:rsidRPr="0080737A">
              <w:rPr>
                <w:rFonts w:ascii="Times New Roman" w:eastAsia="Calibri" w:hAnsi="Times New Roman"/>
                <w:b/>
                <w:sz w:val="21"/>
                <w:szCs w:val="21"/>
                <w:lang w:eastAsia="en-US"/>
              </w:rPr>
              <w:t>.в</w:t>
            </w:r>
            <w:proofErr w:type="gramEnd"/>
            <w:r w:rsidRPr="0080737A">
              <w:rPr>
                <w:rFonts w:ascii="Times New Roman" w:eastAsia="Calibri" w:hAnsi="Times New Roman"/>
                <w:b/>
                <w:sz w:val="21"/>
                <w:szCs w:val="21"/>
                <w:lang w:eastAsia="en-US"/>
              </w:rPr>
              <w:t>ес</w:t>
            </w:r>
            <w:proofErr w:type="spellEnd"/>
            <w:r w:rsidRPr="0080737A">
              <w:rPr>
                <w:rFonts w:ascii="Times New Roman" w:eastAsia="Calibri" w:hAnsi="Times New Roman"/>
                <w:b/>
                <w:sz w:val="21"/>
                <w:szCs w:val="21"/>
                <w:lang w:eastAsia="en-US"/>
              </w:rPr>
              <w:t>, %</w:t>
            </w:r>
          </w:p>
        </w:tc>
        <w:tc>
          <w:tcPr>
            <w:tcW w:w="1423" w:type="dxa"/>
            <w:vMerge/>
            <w:tcBorders>
              <w:bottom w:val="single" w:sz="4" w:space="0" w:color="000000"/>
            </w:tcBorders>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p>
        </w:tc>
      </w:tr>
      <w:tr w:rsidR="00460A09" w:rsidRPr="0080737A" w:rsidTr="006A29F1">
        <w:trPr>
          <w:trHeight w:val="681"/>
        </w:trPr>
        <w:tc>
          <w:tcPr>
            <w:tcW w:w="4232" w:type="dxa"/>
            <w:vAlign w:val="center"/>
          </w:tcPr>
          <w:p w:rsidR="00460A09" w:rsidRPr="0080737A" w:rsidRDefault="00460A09" w:rsidP="006A29F1">
            <w:pPr>
              <w:spacing w:after="0" w:line="240" w:lineRule="auto"/>
              <w:rPr>
                <w:rFonts w:ascii="Times New Roman" w:eastAsia="Calibri" w:hAnsi="Times New Roman"/>
                <w:sz w:val="21"/>
                <w:szCs w:val="21"/>
                <w:lang w:eastAsia="en-US"/>
              </w:rPr>
            </w:pPr>
            <w:r w:rsidRPr="0080737A">
              <w:rPr>
                <w:rFonts w:ascii="Times New Roman" w:eastAsia="Calibri" w:hAnsi="Times New Roman"/>
                <w:b/>
                <w:sz w:val="21"/>
                <w:szCs w:val="21"/>
                <w:lang w:eastAsia="en-US"/>
              </w:rPr>
              <w:t>Инвестиции в основной капитал</w:t>
            </w:r>
          </w:p>
          <w:p w:rsidR="00460A09" w:rsidRPr="0080737A" w:rsidRDefault="00460A09" w:rsidP="006A29F1">
            <w:pPr>
              <w:spacing w:after="0" w:line="240" w:lineRule="auto"/>
              <w:rPr>
                <w:rFonts w:ascii="Times New Roman" w:eastAsia="Calibri" w:hAnsi="Times New Roman"/>
                <w:sz w:val="21"/>
                <w:szCs w:val="21"/>
                <w:lang w:eastAsia="en-US"/>
              </w:rPr>
            </w:pPr>
            <w:r w:rsidRPr="0080737A">
              <w:rPr>
                <w:rFonts w:ascii="Times New Roman" w:eastAsia="Calibri" w:hAnsi="Times New Roman"/>
                <w:sz w:val="21"/>
                <w:szCs w:val="21"/>
                <w:lang w:eastAsia="en-US"/>
              </w:rPr>
              <w:t>(в части новых и приобретенных по импорту основных средств) – всего</w:t>
            </w:r>
          </w:p>
        </w:tc>
        <w:tc>
          <w:tcPr>
            <w:tcW w:w="995" w:type="dxa"/>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400,7</w:t>
            </w:r>
          </w:p>
        </w:tc>
        <w:tc>
          <w:tcPr>
            <w:tcW w:w="854" w:type="dxa"/>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100,0</w:t>
            </w:r>
          </w:p>
        </w:tc>
        <w:tc>
          <w:tcPr>
            <w:tcW w:w="996" w:type="dxa"/>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371,3</w:t>
            </w:r>
          </w:p>
        </w:tc>
        <w:tc>
          <w:tcPr>
            <w:tcW w:w="994" w:type="dxa"/>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100,0</w:t>
            </w:r>
          </w:p>
        </w:tc>
        <w:tc>
          <w:tcPr>
            <w:tcW w:w="1423" w:type="dxa"/>
            <w:vAlign w:val="center"/>
          </w:tcPr>
          <w:p w:rsidR="00460A09" w:rsidRPr="0080737A" w:rsidRDefault="00460A09" w:rsidP="006A29F1">
            <w:pPr>
              <w:spacing w:after="0" w:line="240" w:lineRule="auto"/>
              <w:jc w:val="center"/>
              <w:rPr>
                <w:rFonts w:ascii="Times New Roman" w:eastAsia="Calibri" w:hAnsi="Times New Roman"/>
                <w:b/>
                <w:sz w:val="21"/>
                <w:szCs w:val="21"/>
                <w:lang w:eastAsia="en-US"/>
              </w:rPr>
            </w:pPr>
            <w:r w:rsidRPr="0080737A">
              <w:rPr>
                <w:rFonts w:ascii="Times New Roman" w:eastAsia="Calibri" w:hAnsi="Times New Roman"/>
                <w:b/>
                <w:sz w:val="21"/>
                <w:szCs w:val="21"/>
                <w:lang w:eastAsia="en-US"/>
              </w:rPr>
              <w:t>83,7</w:t>
            </w:r>
          </w:p>
        </w:tc>
      </w:tr>
      <w:tr w:rsidR="00460A09" w:rsidRPr="0080737A" w:rsidTr="006A29F1">
        <w:trPr>
          <w:trHeight w:val="444"/>
        </w:trPr>
        <w:tc>
          <w:tcPr>
            <w:tcW w:w="4232" w:type="dxa"/>
            <w:vAlign w:val="center"/>
          </w:tcPr>
          <w:p w:rsidR="00460A09" w:rsidRPr="0080737A" w:rsidRDefault="00460A09" w:rsidP="006A29F1">
            <w:pPr>
              <w:spacing w:after="0" w:line="240" w:lineRule="auto"/>
              <w:rPr>
                <w:rFonts w:ascii="Times New Roman" w:hAnsi="Times New Roman"/>
                <w:sz w:val="21"/>
                <w:szCs w:val="21"/>
              </w:rPr>
            </w:pPr>
            <w:r w:rsidRPr="0080737A">
              <w:rPr>
                <w:rFonts w:ascii="Times New Roman" w:hAnsi="Times New Roman"/>
                <w:sz w:val="21"/>
                <w:szCs w:val="21"/>
              </w:rPr>
              <w:t>в том числе:</w:t>
            </w:r>
          </w:p>
          <w:p w:rsidR="00460A09" w:rsidRPr="0080737A" w:rsidRDefault="00460A09" w:rsidP="006A29F1">
            <w:pPr>
              <w:spacing w:after="0" w:line="240" w:lineRule="auto"/>
              <w:rPr>
                <w:rFonts w:ascii="Times New Roman" w:hAnsi="Times New Roman"/>
                <w:sz w:val="21"/>
                <w:szCs w:val="21"/>
              </w:rPr>
            </w:pPr>
            <w:r w:rsidRPr="0080737A">
              <w:rPr>
                <w:rFonts w:ascii="Times New Roman" w:hAnsi="Times New Roman"/>
                <w:sz w:val="21"/>
                <w:szCs w:val="21"/>
              </w:rPr>
              <w:t>промышленность</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151,1</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37,7</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181,2</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48,8</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114,7</w:t>
            </w:r>
          </w:p>
        </w:tc>
      </w:tr>
      <w:tr w:rsidR="00460A09" w:rsidRPr="0080737A" w:rsidTr="006A29F1">
        <w:trPr>
          <w:trHeight w:val="222"/>
        </w:trPr>
        <w:tc>
          <w:tcPr>
            <w:tcW w:w="4232" w:type="dxa"/>
            <w:vAlign w:val="center"/>
          </w:tcPr>
          <w:p w:rsidR="00460A09" w:rsidRPr="0080737A" w:rsidRDefault="00460A09" w:rsidP="006A29F1">
            <w:pPr>
              <w:spacing w:after="0" w:line="240" w:lineRule="auto"/>
              <w:rPr>
                <w:rFonts w:ascii="Times New Roman" w:eastAsia="Calibri" w:hAnsi="Times New Roman"/>
                <w:sz w:val="21"/>
                <w:szCs w:val="21"/>
                <w:lang w:eastAsia="en-US"/>
              </w:rPr>
            </w:pPr>
            <w:r w:rsidRPr="0080737A">
              <w:rPr>
                <w:rFonts w:ascii="Times New Roman" w:eastAsia="Calibri" w:hAnsi="Times New Roman"/>
                <w:sz w:val="21"/>
                <w:szCs w:val="21"/>
                <w:lang w:eastAsia="en-US"/>
              </w:rPr>
              <w:t>сельское хозяйство</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73,0</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18,2</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32,6</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8,8</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40,6</w:t>
            </w:r>
          </w:p>
        </w:tc>
      </w:tr>
      <w:tr w:rsidR="00460A09" w:rsidRPr="0080737A" w:rsidTr="006A29F1">
        <w:trPr>
          <w:trHeight w:val="222"/>
        </w:trPr>
        <w:tc>
          <w:tcPr>
            <w:tcW w:w="4232" w:type="dxa"/>
            <w:vAlign w:val="center"/>
          </w:tcPr>
          <w:p w:rsidR="00460A09" w:rsidRPr="0080737A" w:rsidRDefault="00460A09" w:rsidP="006A29F1">
            <w:pPr>
              <w:spacing w:after="0" w:line="240" w:lineRule="auto"/>
              <w:rPr>
                <w:rFonts w:ascii="Times New Roman" w:eastAsia="Calibri" w:hAnsi="Times New Roman"/>
                <w:sz w:val="21"/>
                <w:szCs w:val="21"/>
                <w:lang w:eastAsia="en-US"/>
              </w:rPr>
            </w:pPr>
            <w:r w:rsidRPr="0080737A">
              <w:rPr>
                <w:rFonts w:ascii="Times New Roman" w:eastAsia="Calibri" w:hAnsi="Times New Roman"/>
                <w:sz w:val="21"/>
                <w:szCs w:val="21"/>
                <w:lang w:eastAsia="en-US"/>
              </w:rPr>
              <w:t>транспорт</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16,1</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4,0</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10,3</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2,8</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62,2</w:t>
            </w:r>
          </w:p>
        </w:tc>
      </w:tr>
      <w:tr w:rsidR="00460A09" w:rsidRPr="0080737A" w:rsidTr="006A29F1">
        <w:trPr>
          <w:trHeight w:val="222"/>
        </w:trPr>
        <w:tc>
          <w:tcPr>
            <w:tcW w:w="4232" w:type="dxa"/>
            <w:vAlign w:val="center"/>
          </w:tcPr>
          <w:p w:rsidR="00460A09" w:rsidRPr="0080737A" w:rsidRDefault="00460A09" w:rsidP="006A29F1">
            <w:pPr>
              <w:spacing w:after="0" w:line="240" w:lineRule="auto"/>
              <w:rPr>
                <w:rFonts w:ascii="Times New Roman" w:eastAsia="Calibri" w:hAnsi="Times New Roman"/>
                <w:sz w:val="21"/>
                <w:szCs w:val="21"/>
                <w:lang w:eastAsia="en-US"/>
              </w:rPr>
            </w:pPr>
            <w:r w:rsidRPr="0080737A">
              <w:rPr>
                <w:rFonts w:ascii="Times New Roman" w:eastAsia="Calibri" w:hAnsi="Times New Roman"/>
                <w:sz w:val="21"/>
                <w:szCs w:val="21"/>
                <w:lang w:eastAsia="en-US"/>
              </w:rPr>
              <w:lastRenderedPageBreak/>
              <w:t>связь</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26,7</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6,7</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33,7</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9,1</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91,6</w:t>
            </w:r>
          </w:p>
        </w:tc>
      </w:tr>
      <w:tr w:rsidR="00460A09" w:rsidRPr="0080737A" w:rsidTr="006A29F1">
        <w:trPr>
          <w:trHeight w:val="222"/>
        </w:trPr>
        <w:tc>
          <w:tcPr>
            <w:tcW w:w="4232" w:type="dxa"/>
            <w:vAlign w:val="center"/>
          </w:tcPr>
          <w:p w:rsidR="00460A09" w:rsidRPr="0080737A" w:rsidRDefault="00460A09" w:rsidP="006A29F1">
            <w:pPr>
              <w:spacing w:after="0" w:line="240" w:lineRule="auto"/>
              <w:rPr>
                <w:rFonts w:ascii="Times New Roman" w:eastAsia="Calibri" w:hAnsi="Times New Roman"/>
                <w:sz w:val="21"/>
                <w:szCs w:val="21"/>
                <w:lang w:eastAsia="en-US"/>
              </w:rPr>
            </w:pPr>
            <w:r w:rsidRPr="0080737A">
              <w:rPr>
                <w:rFonts w:ascii="Times New Roman" w:eastAsia="Calibri" w:hAnsi="Times New Roman"/>
                <w:sz w:val="21"/>
                <w:szCs w:val="21"/>
                <w:lang w:eastAsia="en-US"/>
              </w:rPr>
              <w:t>строительство</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3,9</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1,0</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2,3</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0,6</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58,4</w:t>
            </w:r>
          </w:p>
        </w:tc>
      </w:tr>
      <w:tr w:rsidR="00460A09" w:rsidRPr="0080737A" w:rsidTr="006A29F1">
        <w:trPr>
          <w:trHeight w:val="222"/>
        </w:trPr>
        <w:tc>
          <w:tcPr>
            <w:tcW w:w="4232" w:type="dxa"/>
            <w:vAlign w:val="center"/>
          </w:tcPr>
          <w:p w:rsidR="00460A09" w:rsidRPr="0080737A" w:rsidRDefault="00460A09" w:rsidP="006A29F1">
            <w:pPr>
              <w:spacing w:after="0" w:line="240" w:lineRule="auto"/>
              <w:rPr>
                <w:rFonts w:ascii="Times New Roman" w:eastAsia="Calibri" w:hAnsi="Times New Roman"/>
                <w:sz w:val="21"/>
                <w:szCs w:val="21"/>
                <w:lang w:eastAsia="en-US"/>
              </w:rPr>
            </w:pPr>
            <w:r w:rsidRPr="0080737A">
              <w:rPr>
                <w:rFonts w:ascii="Times New Roman" w:eastAsia="Calibri" w:hAnsi="Times New Roman"/>
                <w:sz w:val="21"/>
                <w:szCs w:val="21"/>
                <w:lang w:eastAsia="en-US"/>
              </w:rPr>
              <w:t>торговля и общественное питание</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41,2</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10,3</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29,8</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8,0</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153,8</w:t>
            </w:r>
          </w:p>
        </w:tc>
      </w:tr>
      <w:tr w:rsidR="00460A09" w:rsidRPr="0080737A" w:rsidTr="006A29F1">
        <w:trPr>
          <w:trHeight w:val="222"/>
        </w:trPr>
        <w:tc>
          <w:tcPr>
            <w:tcW w:w="4232" w:type="dxa"/>
            <w:vAlign w:val="center"/>
          </w:tcPr>
          <w:p w:rsidR="00460A09" w:rsidRPr="0080737A" w:rsidRDefault="00460A09" w:rsidP="006A29F1">
            <w:pPr>
              <w:spacing w:after="0" w:line="240" w:lineRule="auto"/>
              <w:rPr>
                <w:rFonts w:ascii="Times New Roman" w:eastAsia="Calibri" w:hAnsi="Times New Roman"/>
                <w:sz w:val="21"/>
                <w:szCs w:val="21"/>
                <w:lang w:eastAsia="en-US"/>
              </w:rPr>
            </w:pPr>
            <w:r w:rsidRPr="0080737A">
              <w:rPr>
                <w:rFonts w:ascii="Times New Roman" w:eastAsia="Calibri" w:hAnsi="Times New Roman"/>
                <w:sz w:val="21"/>
                <w:szCs w:val="21"/>
                <w:lang w:eastAsia="en-US"/>
              </w:rPr>
              <w:t>жилищное строительство</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2,4</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0,6</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1,9</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0,5</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80,9</w:t>
            </w:r>
          </w:p>
        </w:tc>
      </w:tr>
      <w:tr w:rsidR="00460A09" w:rsidRPr="0080737A" w:rsidTr="006A29F1">
        <w:trPr>
          <w:trHeight w:val="222"/>
        </w:trPr>
        <w:tc>
          <w:tcPr>
            <w:tcW w:w="4232" w:type="dxa"/>
            <w:vAlign w:val="center"/>
          </w:tcPr>
          <w:p w:rsidR="00460A09" w:rsidRPr="0080737A" w:rsidRDefault="00460A09" w:rsidP="006A29F1">
            <w:pPr>
              <w:spacing w:after="0" w:line="240" w:lineRule="auto"/>
              <w:rPr>
                <w:rFonts w:ascii="Times New Roman" w:eastAsia="Calibri" w:hAnsi="Times New Roman"/>
                <w:sz w:val="21"/>
                <w:szCs w:val="21"/>
                <w:lang w:eastAsia="en-US"/>
              </w:rPr>
            </w:pPr>
            <w:r w:rsidRPr="0080737A">
              <w:rPr>
                <w:rFonts w:ascii="Times New Roman" w:eastAsia="Calibri" w:hAnsi="Times New Roman"/>
                <w:sz w:val="21"/>
                <w:szCs w:val="21"/>
                <w:lang w:eastAsia="en-US"/>
              </w:rPr>
              <w:t>коммунальное хозяйство</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6,2</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1,5</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9,5</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2,5</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53,6</w:t>
            </w:r>
          </w:p>
        </w:tc>
      </w:tr>
      <w:tr w:rsidR="00460A09" w:rsidRPr="0080737A" w:rsidTr="006A29F1">
        <w:trPr>
          <w:trHeight w:val="222"/>
        </w:trPr>
        <w:tc>
          <w:tcPr>
            <w:tcW w:w="4232" w:type="dxa"/>
            <w:vAlign w:val="center"/>
          </w:tcPr>
          <w:p w:rsidR="00460A09" w:rsidRPr="0080737A" w:rsidRDefault="00460A09" w:rsidP="006A29F1">
            <w:pPr>
              <w:spacing w:after="0" w:line="240" w:lineRule="auto"/>
              <w:rPr>
                <w:rFonts w:ascii="Times New Roman" w:hAnsi="Times New Roman"/>
                <w:sz w:val="21"/>
                <w:szCs w:val="21"/>
              </w:rPr>
            </w:pPr>
            <w:r w:rsidRPr="0080737A">
              <w:rPr>
                <w:rFonts w:ascii="Times New Roman" w:hAnsi="Times New Roman"/>
                <w:sz w:val="21"/>
                <w:szCs w:val="21"/>
              </w:rPr>
              <w:t>здравоохранение и соц. обеспечение</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13,0</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3,2</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14,7</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4,0</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113,3</w:t>
            </w:r>
          </w:p>
        </w:tc>
      </w:tr>
      <w:tr w:rsidR="00460A09" w:rsidRPr="0080737A" w:rsidTr="006A29F1">
        <w:trPr>
          <w:trHeight w:val="222"/>
        </w:trPr>
        <w:tc>
          <w:tcPr>
            <w:tcW w:w="4232" w:type="dxa"/>
            <w:vAlign w:val="center"/>
          </w:tcPr>
          <w:p w:rsidR="00460A09" w:rsidRPr="0080737A" w:rsidRDefault="00460A09" w:rsidP="006A29F1">
            <w:pPr>
              <w:spacing w:after="0" w:line="240" w:lineRule="auto"/>
              <w:rPr>
                <w:rFonts w:ascii="Times New Roman" w:hAnsi="Times New Roman"/>
                <w:sz w:val="21"/>
                <w:szCs w:val="21"/>
              </w:rPr>
            </w:pPr>
            <w:r w:rsidRPr="0080737A">
              <w:rPr>
                <w:rFonts w:ascii="Times New Roman" w:hAnsi="Times New Roman"/>
                <w:sz w:val="21"/>
                <w:szCs w:val="21"/>
              </w:rPr>
              <w:t>образование</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1,8</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0,5</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10,6</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2,9</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в 6,0 р.</w:t>
            </w:r>
          </w:p>
        </w:tc>
      </w:tr>
      <w:tr w:rsidR="00460A09" w:rsidRPr="0080737A" w:rsidTr="006A29F1">
        <w:trPr>
          <w:trHeight w:val="237"/>
        </w:trPr>
        <w:tc>
          <w:tcPr>
            <w:tcW w:w="4232" w:type="dxa"/>
            <w:vAlign w:val="center"/>
          </w:tcPr>
          <w:p w:rsidR="00460A09" w:rsidRPr="0080737A" w:rsidRDefault="00460A09" w:rsidP="006A29F1">
            <w:pPr>
              <w:spacing w:after="0" w:line="240" w:lineRule="auto"/>
              <w:rPr>
                <w:rFonts w:ascii="Times New Roman" w:hAnsi="Times New Roman"/>
                <w:sz w:val="21"/>
                <w:szCs w:val="21"/>
              </w:rPr>
            </w:pPr>
            <w:r w:rsidRPr="0080737A">
              <w:rPr>
                <w:rFonts w:ascii="Times New Roman" w:hAnsi="Times New Roman"/>
                <w:sz w:val="21"/>
                <w:szCs w:val="21"/>
              </w:rPr>
              <w:t>прочие</w:t>
            </w:r>
          </w:p>
        </w:tc>
        <w:tc>
          <w:tcPr>
            <w:tcW w:w="995"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65,3</w:t>
            </w:r>
          </w:p>
        </w:tc>
        <w:tc>
          <w:tcPr>
            <w:tcW w:w="85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16,3</w:t>
            </w:r>
          </w:p>
        </w:tc>
        <w:tc>
          <w:tcPr>
            <w:tcW w:w="996"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44,6</w:t>
            </w:r>
          </w:p>
        </w:tc>
        <w:tc>
          <w:tcPr>
            <w:tcW w:w="994"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12,0</w:t>
            </w:r>
          </w:p>
        </w:tc>
        <w:tc>
          <w:tcPr>
            <w:tcW w:w="1423" w:type="dxa"/>
            <w:vAlign w:val="center"/>
          </w:tcPr>
          <w:p w:rsidR="00460A09" w:rsidRPr="0080737A" w:rsidRDefault="00460A09" w:rsidP="006A29F1">
            <w:pPr>
              <w:spacing w:after="0" w:line="240" w:lineRule="auto"/>
              <w:jc w:val="center"/>
              <w:rPr>
                <w:rFonts w:ascii="Times New Roman" w:eastAsia="Calibri" w:hAnsi="Times New Roman"/>
                <w:sz w:val="21"/>
                <w:szCs w:val="21"/>
                <w:lang w:eastAsia="en-US"/>
              </w:rPr>
            </w:pPr>
            <w:r w:rsidRPr="0080737A">
              <w:rPr>
                <w:rFonts w:ascii="Times New Roman" w:eastAsia="Calibri" w:hAnsi="Times New Roman"/>
                <w:sz w:val="21"/>
                <w:szCs w:val="21"/>
                <w:lang w:eastAsia="en-US"/>
              </w:rPr>
              <w:t>64,3</w:t>
            </w:r>
          </w:p>
        </w:tc>
      </w:tr>
    </w:tbl>
    <w:p w:rsidR="00460A09" w:rsidRPr="0080737A" w:rsidRDefault="00460A09" w:rsidP="00460A09">
      <w:pPr>
        <w:spacing w:after="0" w:line="240" w:lineRule="auto"/>
        <w:rPr>
          <w:rFonts w:ascii="Times New Roman" w:eastAsia="Calibri" w:hAnsi="Times New Roman"/>
          <w:spacing w:val="2"/>
          <w:sz w:val="18"/>
          <w:szCs w:val="18"/>
          <w:lang w:eastAsia="en-US"/>
        </w:rPr>
      </w:pPr>
      <w:r w:rsidRPr="0080737A">
        <w:rPr>
          <w:rFonts w:ascii="Times New Roman" w:eastAsia="Calibri" w:hAnsi="Times New Roman"/>
          <w:i/>
          <w:spacing w:val="2"/>
          <w:sz w:val="18"/>
          <w:szCs w:val="18"/>
          <w:lang w:eastAsia="en-US"/>
        </w:rPr>
        <w:t>*</w:t>
      </w:r>
      <w:r w:rsidRPr="0080737A">
        <w:rPr>
          <w:rFonts w:ascii="Times New Roman" w:eastAsia="Calibri" w:hAnsi="Times New Roman"/>
          <w:spacing w:val="2"/>
          <w:sz w:val="18"/>
          <w:szCs w:val="18"/>
          <w:lang w:eastAsia="en-US"/>
        </w:rPr>
        <w:t>-темпы роста приведены к уточнённым данным ГСС</w:t>
      </w:r>
    </w:p>
    <w:p w:rsidR="00460A09" w:rsidRPr="0080737A" w:rsidRDefault="00460A09" w:rsidP="00460A09">
      <w:pPr>
        <w:spacing w:after="0" w:line="240" w:lineRule="auto"/>
        <w:rPr>
          <w:rFonts w:ascii="Times New Roman" w:eastAsia="Calibri" w:hAnsi="Times New Roman"/>
          <w:spacing w:val="2"/>
          <w:sz w:val="20"/>
          <w:szCs w:val="20"/>
          <w:lang w:eastAsia="en-US"/>
        </w:rPr>
      </w:pP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Для оживления инвестиционных процессов государством проводится непрерывная работа по усовершенствованию существующих условий реализации инвестиционной деятельности бизнес сообществом. Так, на сегодняшний день министерствами и ведомствами Приднестровской Молдавской Республики предлагаются 105 инвестиционных площадок для реализации инвестиционных проектов (4 проекта находятся на стадии планируемых к реализации, 11 проектов реализуются инвесторами при взаимодействии с исполнительными органами государственной власти). </w:t>
      </w: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В продолжение начатой в 2015 году работы по развитию норм Закона ПМР «О государственно-частном партнерстве» дополнительно проведены следующие мероприятия:</w:t>
      </w:r>
    </w:p>
    <w:p w:rsidR="00460A09" w:rsidRPr="0080737A" w:rsidRDefault="00460A09" w:rsidP="00460A09">
      <w:pPr>
        <w:pStyle w:val="a6"/>
        <w:numPr>
          <w:ilvl w:val="0"/>
          <w:numId w:val="6"/>
        </w:numPr>
        <w:shd w:val="clear" w:color="auto" w:fill="FFFFFF"/>
        <w:spacing w:after="0" w:line="240" w:lineRule="auto"/>
        <w:ind w:left="0"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установлен порядок взаимодействия исполнительных органов государственной власти при организации работы по реализации проектов на основе </w:t>
      </w:r>
      <w:proofErr w:type="spellStart"/>
      <w:r w:rsidRPr="0080737A">
        <w:rPr>
          <w:rFonts w:ascii="Times New Roman" w:eastAsia="Calibri" w:hAnsi="Times New Roman"/>
          <w:sz w:val="24"/>
          <w:szCs w:val="24"/>
          <w:lang w:eastAsia="en-US"/>
        </w:rPr>
        <w:t>государсвенно-частного</w:t>
      </w:r>
      <w:proofErr w:type="spellEnd"/>
      <w:r w:rsidRPr="0080737A">
        <w:rPr>
          <w:rFonts w:ascii="Times New Roman" w:eastAsia="Calibri" w:hAnsi="Times New Roman"/>
          <w:sz w:val="24"/>
          <w:szCs w:val="24"/>
          <w:lang w:eastAsia="en-US"/>
        </w:rPr>
        <w:t xml:space="preserve"> партнерства;</w:t>
      </w:r>
    </w:p>
    <w:p w:rsidR="00460A09" w:rsidRPr="0080737A" w:rsidRDefault="00460A09" w:rsidP="00460A09">
      <w:pPr>
        <w:pStyle w:val="a6"/>
        <w:numPr>
          <w:ilvl w:val="0"/>
          <w:numId w:val="6"/>
        </w:numPr>
        <w:shd w:val="clear" w:color="auto" w:fill="FFFFFF"/>
        <w:spacing w:after="0" w:line="240" w:lineRule="auto"/>
        <w:ind w:left="0"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определенны обязанности права, состав и структура, порядок формирования, принятия и оформления решений Конкурсной комиссии по выбору частного партнера;</w:t>
      </w:r>
    </w:p>
    <w:p w:rsidR="00460A09" w:rsidRPr="0080737A" w:rsidRDefault="00460A09" w:rsidP="00460A09">
      <w:pPr>
        <w:pStyle w:val="a6"/>
        <w:numPr>
          <w:ilvl w:val="0"/>
          <w:numId w:val="6"/>
        </w:numPr>
        <w:shd w:val="clear" w:color="auto" w:fill="FFFFFF"/>
        <w:spacing w:after="0" w:line="240" w:lineRule="auto"/>
        <w:ind w:left="0"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закреплено содержание конкурсной документации для проведения конкурса по выбору частного партнера;</w:t>
      </w:r>
    </w:p>
    <w:p w:rsidR="00460A09" w:rsidRPr="0080737A" w:rsidRDefault="00460A09" w:rsidP="00460A09">
      <w:pPr>
        <w:pStyle w:val="a6"/>
        <w:numPr>
          <w:ilvl w:val="0"/>
          <w:numId w:val="6"/>
        </w:numPr>
        <w:shd w:val="clear" w:color="auto" w:fill="FFFFFF"/>
        <w:spacing w:after="0" w:line="240" w:lineRule="auto"/>
        <w:ind w:left="0"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установлен порядок опубликования сообщения о проведении и результатах конкурса, порядок подачи и приема </w:t>
      </w:r>
      <w:proofErr w:type="spellStart"/>
      <w:r w:rsidRPr="0080737A">
        <w:rPr>
          <w:rFonts w:ascii="Times New Roman" w:eastAsia="Calibri" w:hAnsi="Times New Roman"/>
          <w:sz w:val="24"/>
          <w:szCs w:val="24"/>
          <w:lang w:eastAsia="en-US"/>
        </w:rPr>
        <w:t>заявокна</w:t>
      </w:r>
      <w:proofErr w:type="spellEnd"/>
      <w:r w:rsidRPr="0080737A">
        <w:rPr>
          <w:rFonts w:ascii="Times New Roman" w:eastAsia="Calibri" w:hAnsi="Times New Roman"/>
          <w:sz w:val="24"/>
          <w:szCs w:val="24"/>
          <w:lang w:eastAsia="en-US"/>
        </w:rPr>
        <w:t xml:space="preserve"> участие в конкурсе, а также порядок проведения предварительного отбора участников конкурса;</w:t>
      </w:r>
    </w:p>
    <w:p w:rsidR="00460A09" w:rsidRPr="0080737A" w:rsidRDefault="00460A09" w:rsidP="00460A09">
      <w:pPr>
        <w:pStyle w:val="a6"/>
        <w:numPr>
          <w:ilvl w:val="0"/>
          <w:numId w:val="6"/>
        </w:numPr>
        <w:shd w:val="clear" w:color="auto" w:fill="FFFFFF"/>
        <w:spacing w:after="0" w:line="240" w:lineRule="auto"/>
        <w:ind w:left="0"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утвержден состав Экспертного совета по </w:t>
      </w:r>
      <w:proofErr w:type="spellStart"/>
      <w:r w:rsidRPr="0080737A">
        <w:rPr>
          <w:rFonts w:ascii="Times New Roman" w:eastAsia="Calibri" w:hAnsi="Times New Roman"/>
          <w:sz w:val="24"/>
          <w:szCs w:val="24"/>
          <w:lang w:eastAsia="en-US"/>
        </w:rPr>
        <w:t>государсвенно-частному</w:t>
      </w:r>
      <w:proofErr w:type="spellEnd"/>
      <w:r w:rsidRPr="0080737A">
        <w:rPr>
          <w:rFonts w:ascii="Times New Roman" w:eastAsia="Calibri" w:hAnsi="Times New Roman"/>
          <w:sz w:val="24"/>
          <w:szCs w:val="24"/>
          <w:lang w:eastAsia="en-US"/>
        </w:rPr>
        <w:t xml:space="preserve"> партнерству при Правительстве ПМР;</w:t>
      </w:r>
    </w:p>
    <w:p w:rsidR="00460A09" w:rsidRPr="0080737A" w:rsidRDefault="00460A09" w:rsidP="00460A09">
      <w:pPr>
        <w:pStyle w:val="a6"/>
        <w:numPr>
          <w:ilvl w:val="0"/>
          <w:numId w:val="6"/>
        </w:numPr>
        <w:shd w:val="clear" w:color="auto" w:fill="FFFFFF"/>
        <w:spacing w:after="0" w:line="240" w:lineRule="auto"/>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уточнен перечень объектов для </w:t>
      </w:r>
      <w:proofErr w:type="spellStart"/>
      <w:r w:rsidRPr="0080737A">
        <w:rPr>
          <w:rFonts w:ascii="Times New Roman" w:eastAsia="Calibri" w:hAnsi="Times New Roman"/>
          <w:sz w:val="24"/>
          <w:szCs w:val="24"/>
          <w:lang w:eastAsia="en-US"/>
        </w:rPr>
        <w:t>государсвенно-частного</w:t>
      </w:r>
      <w:proofErr w:type="spellEnd"/>
      <w:r w:rsidRPr="0080737A">
        <w:rPr>
          <w:rFonts w:ascii="Times New Roman" w:eastAsia="Calibri" w:hAnsi="Times New Roman"/>
          <w:sz w:val="24"/>
          <w:szCs w:val="24"/>
          <w:lang w:eastAsia="en-US"/>
        </w:rPr>
        <w:t xml:space="preserve"> партнерства в количестве 67 объектов: </w:t>
      </w: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- 14 в сфере здравоохранения (преимущественно больницы (корпуса, отделения));</w:t>
      </w: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- 3 в сфере образования (учебные центры, детский сад); </w:t>
      </w: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- 21 в сфере энергетики (котельные, воздушные и кабельные линии электропередач, трансформаторные подстанции и распределительные пункты);</w:t>
      </w: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- 1 в сфере транспорта и дорожного хозяйства (многоуровневая парковка);</w:t>
      </w: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- 6 в сфере мелиорации земель и сельскохозяйственного водоснабжения (насосные станции);</w:t>
      </w: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- 1 в сфере спорта (Республиканский стадион);</w:t>
      </w: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- 21 в сфере связи и телекоммуникаций (преимущественно центры связи).</w:t>
      </w:r>
    </w:p>
    <w:p w:rsidR="00460A09" w:rsidRPr="0080737A" w:rsidRDefault="00460A09" w:rsidP="00460A09">
      <w:pPr>
        <w:shd w:val="clear" w:color="auto" w:fill="FFFFFF"/>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В целях развития всестороннего сотрудничества по созданию объектов общественной инфраструктуры с использованием механизма государственно-частного партнерства на территории Приднестровья 4 марта 2016 года между Министерством экономического развития ПМР, НП «Торгово-промышленная палата ПМР» и </w:t>
      </w:r>
      <w:r w:rsidRPr="0080737A">
        <w:rPr>
          <w:rFonts w:ascii="Times New Roman" w:eastAsia="Calibri" w:hAnsi="Times New Roman"/>
          <w:sz w:val="24"/>
          <w:szCs w:val="24"/>
          <w:lang w:eastAsia="en-US"/>
        </w:rPr>
        <w:br/>
        <w:t xml:space="preserve">ЗАО «ТРАНСПРОЕКТ Групп» (Росси, Москва) было заключено Соглашение о </w:t>
      </w:r>
      <w:proofErr w:type="gramStart"/>
      <w:r w:rsidRPr="0080737A">
        <w:rPr>
          <w:rFonts w:ascii="Times New Roman" w:eastAsia="Calibri" w:hAnsi="Times New Roman"/>
          <w:sz w:val="24"/>
          <w:szCs w:val="24"/>
          <w:lang w:eastAsia="en-US"/>
        </w:rPr>
        <w:t>сотрудничестве</w:t>
      </w:r>
      <w:proofErr w:type="gramEnd"/>
      <w:r w:rsidRPr="0080737A">
        <w:rPr>
          <w:rFonts w:ascii="Times New Roman" w:eastAsia="Calibri" w:hAnsi="Times New Roman"/>
          <w:sz w:val="24"/>
          <w:szCs w:val="24"/>
          <w:lang w:eastAsia="en-US"/>
        </w:rPr>
        <w:t xml:space="preserve"> в рамках которого было определенно 2 объекта (в области здравоохранения и сельского хозяйства) и разработаны концепции «</w:t>
      </w:r>
      <w:proofErr w:type="spellStart"/>
      <w:r w:rsidRPr="0080737A">
        <w:rPr>
          <w:rFonts w:ascii="Times New Roman" w:eastAsia="Calibri" w:hAnsi="Times New Roman"/>
          <w:sz w:val="24"/>
          <w:szCs w:val="24"/>
          <w:lang w:eastAsia="en-US"/>
        </w:rPr>
        <w:t>пилотных</w:t>
      </w:r>
      <w:proofErr w:type="spellEnd"/>
      <w:r w:rsidRPr="0080737A">
        <w:rPr>
          <w:rFonts w:ascii="Times New Roman" w:eastAsia="Calibri" w:hAnsi="Times New Roman"/>
          <w:sz w:val="24"/>
          <w:szCs w:val="24"/>
          <w:lang w:eastAsia="en-US"/>
        </w:rPr>
        <w:t>» проектов:</w:t>
      </w:r>
    </w:p>
    <w:p w:rsidR="00460A09" w:rsidRPr="0080737A" w:rsidRDefault="00460A09" w:rsidP="00460A09">
      <w:pPr>
        <w:pStyle w:val="a6"/>
        <w:numPr>
          <w:ilvl w:val="0"/>
          <w:numId w:val="5"/>
        </w:numPr>
        <w:shd w:val="clear" w:color="auto" w:fill="FFFFFF"/>
        <w:spacing w:after="0" w:line="240" w:lineRule="auto"/>
        <w:ind w:left="0"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«Реконструкция и модернизация Отделения восстановительного лечения и физиотерапии (ОВЛ и ФТ) «ГУ «Республиканский госпиталь инвалидов Великой отечественной войны»;</w:t>
      </w:r>
    </w:p>
    <w:p w:rsidR="00460A09" w:rsidRPr="0080737A" w:rsidRDefault="00460A09" w:rsidP="00460A09">
      <w:pPr>
        <w:pStyle w:val="a6"/>
        <w:numPr>
          <w:ilvl w:val="0"/>
          <w:numId w:val="5"/>
        </w:numPr>
        <w:shd w:val="clear" w:color="auto" w:fill="FFFFFF"/>
        <w:spacing w:after="0" w:line="240" w:lineRule="auto"/>
        <w:ind w:left="0"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lastRenderedPageBreak/>
        <w:t xml:space="preserve">«Реконструкция и модернизация насосной станции НС-4 остров </w:t>
      </w:r>
      <w:proofErr w:type="spellStart"/>
      <w:r w:rsidRPr="0080737A">
        <w:rPr>
          <w:rFonts w:ascii="Times New Roman" w:eastAsia="Calibri" w:hAnsi="Times New Roman"/>
          <w:sz w:val="24"/>
          <w:szCs w:val="24"/>
          <w:lang w:eastAsia="en-US"/>
        </w:rPr>
        <w:t>Турунчук</w:t>
      </w:r>
      <w:proofErr w:type="spellEnd"/>
      <w:r w:rsidRPr="0080737A">
        <w:rPr>
          <w:rFonts w:ascii="Times New Roman" w:eastAsia="Calibri" w:hAnsi="Times New Roman"/>
          <w:sz w:val="24"/>
          <w:szCs w:val="24"/>
          <w:lang w:eastAsia="en-US"/>
        </w:rPr>
        <w:t>».</w:t>
      </w:r>
    </w:p>
    <w:p w:rsidR="00460A09" w:rsidRPr="0080737A" w:rsidRDefault="00460A09" w:rsidP="00460A09">
      <w:pPr>
        <w:pStyle w:val="a6"/>
        <w:shd w:val="clear" w:color="auto" w:fill="FFFFFF"/>
        <w:spacing w:after="0" w:line="240" w:lineRule="auto"/>
        <w:ind w:left="0"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На протяжении января-июня 2016 года на территории Республики продолжается реализация социальных проектов в рамках сотрудничества с АНО «Евразийская интеграция». Ведется активное взаимодействие по вопросам инвестиционной политики с иностранными коллегами, экспертами в рамках участия в международных форумах, семинарах, совещаниях, встречах. </w:t>
      </w:r>
    </w:p>
    <w:p w:rsidR="00335844" w:rsidRPr="0080737A" w:rsidRDefault="00335844" w:rsidP="00335844">
      <w:pPr>
        <w:shd w:val="clear" w:color="auto" w:fill="FFFFFF"/>
        <w:spacing w:after="0" w:line="240" w:lineRule="auto"/>
        <w:ind w:firstLine="709"/>
        <w:jc w:val="both"/>
        <w:rPr>
          <w:rFonts w:ascii="Times New Roman" w:eastAsia="Calibri" w:hAnsi="Times New Roman"/>
          <w:sz w:val="24"/>
          <w:szCs w:val="24"/>
          <w:lang w:eastAsia="en-US"/>
        </w:rPr>
      </w:pPr>
    </w:p>
    <w:p w:rsidR="00335844" w:rsidRPr="0080737A" w:rsidRDefault="00335844" w:rsidP="00335844">
      <w:pPr>
        <w:spacing w:after="0" w:line="240" w:lineRule="auto"/>
        <w:ind w:firstLine="709"/>
        <w:rPr>
          <w:rFonts w:ascii="Times New Roman" w:hAnsi="Times New Roman"/>
          <w:b/>
          <w:sz w:val="24"/>
          <w:szCs w:val="24"/>
        </w:rPr>
      </w:pPr>
      <w:r w:rsidRPr="0080737A">
        <w:rPr>
          <w:rFonts w:ascii="Times New Roman" w:hAnsi="Times New Roman"/>
          <w:b/>
          <w:sz w:val="24"/>
          <w:szCs w:val="24"/>
        </w:rPr>
        <w:t>Транспорт</w:t>
      </w:r>
    </w:p>
    <w:p w:rsidR="00335844" w:rsidRPr="0080737A" w:rsidRDefault="00335844" w:rsidP="00335844">
      <w:pPr>
        <w:spacing w:after="0" w:line="240" w:lineRule="auto"/>
        <w:ind w:firstLine="709"/>
        <w:rPr>
          <w:rFonts w:ascii="Times New Roman" w:hAnsi="Times New Roman"/>
          <w:b/>
          <w:sz w:val="24"/>
          <w:szCs w:val="24"/>
        </w:rPr>
      </w:pP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Нестабильность на внешних рынках, обуславливающая неустойчивость функционирования экономических агентов республики, расширение ограничительных мер со стороны сопредельных государств, в совокупности с сокращением спроса на услуги предприятий отрасли, отражается на результатах финансово-хозяйственной деятельности организаций сферы транспорта.</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Показатели деятельности организаций </w:t>
      </w:r>
      <w:r w:rsidRPr="0080737A">
        <w:rPr>
          <w:rFonts w:ascii="Times New Roman" w:hAnsi="Times New Roman"/>
          <w:b/>
          <w:i/>
          <w:sz w:val="24"/>
          <w:szCs w:val="24"/>
        </w:rPr>
        <w:t xml:space="preserve">грузового автомобильного транспорта </w:t>
      </w:r>
      <w:r w:rsidRPr="0080737A">
        <w:rPr>
          <w:rFonts w:ascii="Times New Roman" w:hAnsi="Times New Roman"/>
          <w:sz w:val="24"/>
          <w:szCs w:val="24"/>
        </w:rPr>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в сложившихся условиях функционирования промышленных предприятий, в совокупности с непредставлением со стороны Республики Молдова разрешительных документов на осуществление международных грузовых перевозок, демонстрируют </w:t>
      </w:r>
      <w:proofErr w:type="spellStart"/>
      <w:r w:rsidRPr="0080737A">
        <w:rPr>
          <w:rFonts w:ascii="Times New Roman" w:hAnsi="Times New Roman"/>
          <w:sz w:val="24"/>
          <w:szCs w:val="24"/>
        </w:rPr>
        <w:t>разновекторную</w:t>
      </w:r>
      <w:proofErr w:type="spellEnd"/>
      <w:r w:rsidRPr="0080737A">
        <w:rPr>
          <w:rFonts w:ascii="Times New Roman" w:hAnsi="Times New Roman"/>
          <w:sz w:val="24"/>
          <w:szCs w:val="24"/>
        </w:rPr>
        <w:t xml:space="preserve"> динамику. Грузооборот по автотранспортным организациям общего пользования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на фоне увеличения общего объема перевезенных грузов автомобильным транспортом на 1,6% до 786,6 тыс. тонн</w:t>
      </w:r>
      <w:r w:rsidR="00EF7D3C" w:rsidRPr="0080737A">
        <w:rPr>
          <w:rFonts w:ascii="Times New Roman" w:hAnsi="Times New Roman"/>
          <w:sz w:val="24"/>
          <w:szCs w:val="24"/>
        </w:rPr>
        <w:t xml:space="preserve"> </w:t>
      </w:r>
      <w:r w:rsidRPr="0080737A">
        <w:rPr>
          <w:rFonts w:ascii="Times New Roman" w:hAnsi="Times New Roman"/>
          <w:sz w:val="24"/>
          <w:szCs w:val="24"/>
        </w:rPr>
        <w:t>и снижения</w:t>
      </w:r>
      <w:r w:rsidRPr="0080737A">
        <w:rPr>
          <w:rFonts w:ascii="Times New Roman" w:hAnsi="Times New Roman"/>
          <w:spacing w:val="3"/>
          <w:sz w:val="24"/>
          <w:szCs w:val="24"/>
        </w:rPr>
        <w:t xml:space="preserve"> дальности перевозки 1 тонны груза на 2,3% до 8,6 км</w:t>
      </w:r>
      <w:proofErr w:type="gramStart"/>
      <w:r w:rsidRPr="0080737A">
        <w:rPr>
          <w:rFonts w:ascii="Times New Roman" w:hAnsi="Times New Roman"/>
          <w:spacing w:val="3"/>
          <w:sz w:val="24"/>
          <w:szCs w:val="24"/>
        </w:rPr>
        <w:t>.</w:t>
      </w:r>
      <w:proofErr w:type="gramEnd"/>
      <w:r w:rsidR="00EF7D3C" w:rsidRPr="0080737A">
        <w:rPr>
          <w:rFonts w:ascii="Times New Roman" w:hAnsi="Times New Roman"/>
          <w:spacing w:val="3"/>
          <w:sz w:val="24"/>
          <w:szCs w:val="24"/>
        </w:rPr>
        <w:t xml:space="preserve"> </w:t>
      </w:r>
      <w:proofErr w:type="gramStart"/>
      <w:r w:rsidRPr="0080737A">
        <w:rPr>
          <w:rFonts w:ascii="Times New Roman" w:hAnsi="Times New Roman"/>
          <w:spacing w:val="3"/>
          <w:sz w:val="24"/>
          <w:szCs w:val="24"/>
        </w:rPr>
        <w:t>с</w:t>
      </w:r>
      <w:proofErr w:type="gramEnd"/>
      <w:r w:rsidRPr="0080737A">
        <w:rPr>
          <w:rFonts w:ascii="Times New Roman" w:hAnsi="Times New Roman"/>
          <w:spacing w:val="3"/>
          <w:sz w:val="24"/>
          <w:szCs w:val="24"/>
        </w:rPr>
        <w:t>ократился на 1,0%, составив 6 753,7 тыс. т-км.</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Доходы от оказания услуг автомобильным транспортом за рассматриваемый период увеличились на 0,2% по сравнению с аналогичным периодом 2015 года и составили 10 715,6 тыс. руб., что обусловлено ростом общего объема перевезенных грузов. Так, увеличение доходов отмечается по ООО «Ростан плюс» - в 2,8 раза, по ООО «</w:t>
      </w:r>
      <w:proofErr w:type="gramStart"/>
      <w:r w:rsidRPr="0080737A">
        <w:rPr>
          <w:rFonts w:ascii="Times New Roman" w:hAnsi="Times New Roman"/>
          <w:sz w:val="24"/>
          <w:szCs w:val="24"/>
        </w:rPr>
        <w:t>ВИТ-ТРАНС</w:t>
      </w:r>
      <w:proofErr w:type="gramEnd"/>
      <w:r w:rsidRPr="0080737A">
        <w:rPr>
          <w:rFonts w:ascii="Times New Roman" w:hAnsi="Times New Roman"/>
          <w:sz w:val="24"/>
          <w:szCs w:val="24"/>
        </w:rPr>
        <w:t>» - на 61,8%, по ОАО «Машинно-технологическая станция» - на 35,6%, и др.</w:t>
      </w:r>
    </w:p>
    <w:p w:rsidR="0035600F" w:rsidRPr="0080737A" w:rsidRDefault="0035600F" w:rsidP="0035600F">
      <w:pPr>
        <w:spacing w:after="0" w:line="240" w:lineRule="auto"/>
        <w:ind w:firstLine="709"/>
        <w:jc w:val="right"/>
        <w:rPr>
          <w:rFonts w:ascii="Times New Roman" w:hAnsi="Times New Roman"/>
          <w:spacing w:val="3"/>
          <w:sz w:val="24"/>
          <w:szCs w:val="24"/>
        </w:rPr>
      </w:pPr>
      <w:r w:rsidRPr="0080737A">
        <w:rPr>
          <w:rFonts w:ascii="Times New Roman" w:hAnsi="Times New Roman"/>
          <w:spacing w:val="3"/>
          <w:sz w:val="24"/>
          <w:szCs w:val="24"/>
        </w:rPr>
        <w:t>Таблица №</w:t>
      </w:r>
      <w:r w:rsidR="006D561B" w:rsidRPr="0080737A">
        <w:rPr>
          <w:rFonts w:ascii="Times New Roman" w:hAnsi="Times New Roman"/>
          <w:spacing w:val="3"/>
          <w:sz w:val="24"/>
          <w:szCs w:val="24"/>
        </w:rPr>
        <w:t>13</w:t>
      </w:r>
    </w:p>
    <w:p w:rsidR="0035600F" w:rsidRPr="0080737A" w:rsidRDefault="0035600F" w:rsidP="0035600F">
      <w:pPr>
        <w:spacing w:after="0" w:line="240" w:lineRule="auto"/>
        <w:jc w:val="center"/>
        <w:rPr>
          <w:rFonts w:ascii="Times New Roman" w:hAnsi="Times New Roman"/>
          <w:b/>
          <w:sz w:val="24"/>
          <w:szCs w:val="24"/>
        </w:rPr>
      </w:pPr>
      <w:r w:rsidRPr="0080737A">
        <w:rPr>
          <w:rFonts w:ascii="Times New Roman" w:hAnsi="Times New Roman"/>
          <w:b/>
          <w:sz w:val="24"/>
          <w:szCs w:val="24"/>
        </w:rPr>
        <w:t>Показатели работы грузового транспорта общего пользования</w:t>
      </w: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9"/>
        <w:gridCol w:w="1368"/>
        <w:gridCol w:w="1156"/>
        <w:gridCol w:w="1300"/>
        <w:gridCol w:w="1301"/>
      </w:tblGrid>
      <w:tr w:rsidR="0035600F" w:rsidRPr="0080737A" w:rsidTr="006F4E1E">
        <w:trPr>
          <w:trHeight w:val="522"/>
        </w:trPr>
        <w:tc>
          <w:tcPr>
            <w:tcW w:w="4269" w:type="dxa"/>
            <w:vAlign w:val="center"/>
          </w:tcPr>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Показатели</w:t>
            </w:r>
          </w:p>
        </w:tc>
        <w:tc>
          <w:tcPr>
            <w:tcW w:w="1368" w:type="dxa"/>
            <w:vAlign w:val="center"/>
          </w:tcPr>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 xml:space="preserve">Ед. </w:t>
            </w:r>
            <w:proofErr w:type="spellStart"/>
            <w:r w:rsidRPr="0080737A">
              <w:rPr>
                <w:rFonts w:ascii="Times New Roman" w:hAnsi="Times New Roman"/>
                <w:b/>
              </w:rPr>
              <w:t>изм</w:t>
            </w:r>
            <w:proofErr w:type="spellEnd"/>
            <w:r w:rsidRPr="0080737A">
              <w:rPr>
                <w:rFonts w:ascii="Times New Roman" w:hAnsi="Times New Roman"/>
                <w:b/>
              </w:rPr>
              <w:t>.</w:t>
            </w:r>
          </w:p>
        </w:tc>
        <w:tc>
          <w:tcPr>
            <w:tcW w:w="1156" w:type="dxa"/>
            <w:vAlign w:val="center"/>
          </w:tcPr>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Январь-июнь</w:t>
            </w:r>
          </w:p>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2015 г.</w:t>
            </w:r>
          </w:p>
        </w:tc>
        <w:tc>
          <w:tcPr>
            <w:tcW w:w="1300" w:type="dxa"/>
            <w:vAlign w:val="center"/>
          </w:tcPr>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Январь-июнь</w:t>
            </w:r>
          </w:p>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2016 г.</w:t>
            </w:r>
          </w:p>
        </w:tc>
        <w:tc>
          <w:tcPr>
            <w:tcW w:w="1301" w:type="dxa"/>
            <w:vAlign w:val="center"/>
          </w:tcPr>
          <w:p w:rsidR="0035600F" w:rsidRPr="0080737A" w:rsidRDefault="0035600F" w:rsidP="006F4E1E">
            <w:pPr>
              <w:spacing w:after="0" w:line="240" w:lineRule="auto"/>
              <w:ind w:left="-108" w:right="-51"/>
              <w:jc w:val="center"/>
              <w:rPr>
                <w:rFonts w:ascii="Times New Roman" w:hAnsi="Times New Roman"/>
                <w:b/>
                <w:i/>
              </w:rPr>
            </w:pPr>
            <w:r w:rsidRPr="0080737A">
              <w:rPr>
                <w:rFonts w:ascii="Times New Roman" w:hAnsi="Times New Roman"/>
                <w:b/>
                <w:i/>
              </w:rPr>
              <w:t xml:space="preserve">2016 г. </w:t>
            </w:r>
            <w:proofErr w:type="gramStart"/>
            <w:r w:rsidRPr="0080737A">
              <w:rPr>
                <w:rFonts w:ascii="Times New Roman" w:hAnsi="Times New Roman"/>
                <w:b/>
                <w:i/>
              </w:rPr>
              <w:t>в</w:t>
            </w:r>
            <w:proofErr w:type="gramEnd"/>
            <w:r w:rsidRPr="0080737A">
              <w:rPr>
                <w:rFonts w:ascii="Times New Roman" w:hAnsi="Times New Roman"/>
                <w:b/>
                <w:i/>
              </w:rPr>
              <w:t xml:space="preserve"> % к</w:t>
            </w:r>
          </w:p>
          <w:p w:rsidR="0035600F" w:rsidRPr="0080737A" w:rsidRDefault="0035600F" w:rsidP="006F4E1E">
            <w:pPr>
              <w:spacing w:after="0" w:line="240" w:lineRule="auto"/>
              <w:ind w:left="-108" w:right="-51"/>
              <w:jc w:val="center"/>
              <w:rPr>
                <w:rFonts w:ascii="Times New Roman" w:hAnsi="Times New Roman"/>
                <w:b/>
                <w:i/>
              </w:rPr>
            </w:pPr>
            <w:r w:rsidRPr="0080737A">
              <w:rPr>
                <w:rFonts w:ascii="Times New Roman" w:hAnsi="Times New Roman"/>
                <w:b/>
                <w:i/>
              </w:rPr>
              <w:t>2015 г.</w:t>
            </w:r>
          </w:p>
        </w:tc>
      </w:tr>
      <w:tr w:rsidR="0035600F" w:rsidRPr="0080737A" w:rsidTr="006F4E1E">
        <w:trPr>
          <w:trHeight w:val="286"/>
        </w:trPr>
        <w:tc>
          <w:tcPr>
            <w:tcW w:w="4269" w:type="dxa"/>
            <w:vAlign w:val="center"/>
          </w:tcPr>
          <w:p w:rsidR="0035600F" w:rsidRPr="0080737A" w:rsidRDefault="0035600F" w:rsidP="006F4E1E">
            <w:pPr>
              <w:spacing w:after="0" w:line="240" w:lineRule="auto"/>
              <w:rPr>
                <w:rFonts w:ascii="Times New Roman" w:hAnsi="Times New Roman"/>
                <w:vertAlign w:val="superscript"/>
              </w:rPr>
            </w:pPr>
            <w:r w:rsidRPr="0080737A">
              <w:rPr>
                <w:rFonts w:ascii="Times New Roman" w:hAnsi="Times New Roman"/>
                <w:b/>
              </w:rPr>
              <w:t>Объем перевезенных грузов</w:t>
            </w:r>
          </w:p>
        </w:tc>
        <w:tc>
          <w:tcPr>
            <w:tcW w:w="1368"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тыс. т</w:t>
            </w:r>
          </w:p>
        </w:tc>
        <w:tc>
          <w:tcPr>
            <w:tcW w:w="1156"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774,4</w:t>
            </w:r>
          </w:p>
        </w:tc>
        <w:tc>
          <w:tcPr>
            <w:tcW w:w="1300"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786,6</w:t>
            </w:r>
          </w:p>
        </w:tc>
        <w:tc>
          <w:tcPr>
            <w:tcW w:w="1301" w:type="dxa"/>
            <w:vAlign w:val="center"/>
          </w:tcPr>
          <w:p w:rsidR="0035600F" w:rsidRPr="0080737A" w:rsidRDefault="0035600F" w:rsidP="006F4E1E">
            <w:pPr>
              <w:spacing w:after="0" w:line="240" w:lineRule="auto"/>
              <w:ind w:left="-108" w:right="-51"/>
              <w:jc w:val="center"/>
              <w:rPr>
                <w:rFonts w:ascii="Times New Roman" w:hAnsi="Times New Roman"/>
                <w:i/>
              </w:rPr>
            </w:pPr>
            <w:r w:rsidRPr="0080737A">
              <w:rPr>
                <w:rFonts w:ascii="Times New Roman" w:hAnsi="Times New Roman"/>
                <w:i/>
              </w:rPr>
              <w:t>101,6</w:t>
            </w:r>
          </w:p>
        </w:tc>
      </w:tr>
      <w:tr w:rsidR="0035600F" w:rsidRPr="0080737A" w:rsidTr="006F4E1E">
        <w:trPr>
          <w:trHeight w:val="334"/>
        </w:trPr>
        <w:tc>
          <w:tcPr>
            <w:tcW w:w="4269" w:type="dxa"/>
            <w:vAlign w:val="center"/>
          </w:tcPr>
          <w:p w:rsidR="0035600F" w:rsidRPr="0080737A" w:rsidRDefault="0035600F" w:rsidP="006F4E1E">
            <w:pPr>
              <w:spacing w:after="0" w:line="240" w:lineRule="auto"/>
              <w:rPr>
                <w:rFonts w:ascii="Times New Roman" w:hAnsi="Times New Roman"/>
              </w:rPr>
            </w:pPr>
            <w:r w:rsidRPr="0080737A">
              <w:rPr>
                <w:rFonts w:ascii="Times New Roman" w:hAnsi="Times New Roman"/>
                <w:b/>
              </w:rPr>
              <w:t>Грузооборот</w:t>
            </w:r>
          </w:p>
        </w:tc>
        <w:tc>
          <w:tcPr>
            <w:tcW w:w="1368"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тыс. т-км.</w:t>
            </w:r>
          </w:p>
        </w:tc>
        <w:tc>
          <w:tcPr>
            <w:tcW w:w="1156"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6 822,9</w:t>
            </w:r>
          </w:p>
        </w:tc>
        <w:tc>
          <w:tcPr>
            <w:tcW w:w="1300" w:type="dxa"/>
            <w:vAlign w:val="center"/>
          </w:tcPr>
          <w:p w:rsidR="0035600F" w:rsidRPr="0080737A" w:rsidRDefault="0035600F" w:rsidP="006F4E1E">
            <w:pPr>
              <w:spacing w:after="0" w:line="240" w:lineRule="auto"/>
              <w:ind w:right="113"/>
              <w:jc w:val="center"/>
              <w:rPr>
                <w:rFonts w:ascii="Times New Roman" w:hAnsi="Times New Roman"/>
                <w:lang w:val="en-US"/>
              </w:rPr>
            </w:pPr>
            <w:r w:rsidRPr="0080737A">
              <w:rPr>
                <w:rFonts w:ascii="Times New Roman" w:hAnsi="Times New Roman"/>
              </w:rPr>
              <w:t>6 753,</w:t>
            </w:r>
            <w:r w:rsidRPr="0080737A">
              <w:rPr>
                <w:rFonts w:ascii="Times New Roman" w:hAnsi="Times New Roman"/>
                <w:lang w:val="en-US"/>
              </w:rPr>
              <w:t>7</w:t>
            </w:r>
          </w:p>
        </w:tc>
        <w:tc>
          <w:tcPr>
            <w:tcW w:w="1301" w:type="dxa"/>
            <w:vAlign w:val="center"/>
          </w:tcPr>
          <w:p w:rsidR="0035600F" w:rsidRPr="0080737A" w:rsidRDefault="0035600F" w:rsidP="006F4E1E">
            <w:pPr>
              <w:spacing w:after="0" w:line="240" w:lineRule="auto"/>
              <w:ind w:left="-108" w:right="-51"/>
              <w:jc w:val="center"/>
              <w:rPr>
                <w:rFonts w:ascii="Times New Roman" w:hAnsi="Times New Roman"/>
                <w:i/>
                <w:lang w:val="en-US"/>
              </w:rPr>
            </w:pPr>
            <w:r w:rsidRPr="0080737A">
              <w:rPr>
                <w:rFonts w:ascii="Times New Roman" w:hAnsi="Times New Roman"/>
                <w:i/>
              </w:rPr>
              <w:t>99,0</w:t>
            </w:r>
          </w:p>
        </w:tc>
      </w:tr>
      <w:tr w:rsidR="0035600F" w:rsidRPr="0080737A" w:rsidTr="006F4E1E">
        <w:trPr>
          <w:trHeight w:val="325"/>
        </w:trPr>
        <w:tc>
          <w:tcPr>
            <w:tcW w:w="4269" w:type="dxa"/>
            <w:vAlign w:val="center"/>
          </w:tcPr>
          <w:p w:rsidR="0035600F" w:rsidRPr="0080737A" w:rsidRDefault="0035600F" w:rsidP="006F4E1E">
            <w:pPr>
              <w:spacing w:after="0" w:line="240" w:lineRule="auto"/>
              <w:rPr>
                <w:rFonts w:ascii="Times New Roman" w:hAnsi="Times New Roman"/>
                <w:b/>
              </w:rPr>
            </w:pPr>
            <w:r w:rsidRPr="0080737A">
              <w:rPr>
                <w:rFonts w:ascii="Times New Roman" w:hAnsi="Times New Roman"/>
                <w:b/>
              </w:rPr>
              <w:t>Средняя дальность перевозки 1 т груза</w:t>
            </w:r>
          </w:p>
        </w:tc>
        <w:tc>
          <w:tcPr>
            <w:tcW w:w="1368"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км</w:t>
            </w:r>
          </w:p>
        </w:tc>
        <w:tc>
          <w:tcPr>
            <w:tcW w:w="1156" w:type="dxa"/>
            <w:vAlign w:val="center"/>
          </w:tcPr>
          <w:p w:rsidR="0035600F" w:rsidRPr="0080737A" w:rsidRDefault="0035600F" w:rsidP="006F4E1E">
            <w:pPr>
              <w:spacing w:after="0" w:line="240" w:lineRule="auto"/>
              <w:ind w:right="113"/>
              <w:jc w:val="center"/>
              <w:rPr>
                <w:rFonts w:ascii="Times New Roman" w:hAnsi="Times New Roman"/>
                <w:lang w:val="en-US"/>
              </w:rPr>
            </w:pPr>
            <w:r w:rsidRPr="0080737A">
              <w:rPr>
                <w:rFonts w:ascii="Times New Roman" w:hAnsi="Times New Roman"/>
              </w:rPr>
              <w:t>8,</w:t>
            </w:r>
            <w:r w:rsidRPr="0080737A">
              <w:rPr>
                <w:rFonts w:ascii="Times New Roman" w:hAnsi="Times New Roman"/>
                <w:lang w:val="en-US"/>
              </w:rPr>
              <w:t>8</w:t>
            </w:r>
          </w:p>
        </w:tc>
        <w:tc>
          <w:tcPr>
            <w:tcW w:w="1300" w:type="dxa"/>
            <w:vAlign w:val="center"/>
          </w:tcPr>
          <w:p w:rsidR="0035600F" w:rsidRPr="0080737A" w:rsidRDefault="0035600F" w:rsidP="006F4E1E">
            <w:pPr>
              <w:spacing w:after="0" w:line="240" w:lineRule="auto"/>
              <w:ind w:right="113"/>
              <w:jc w:val="center"/>
              <w:rPr>
                <w:rFonts w:ascii="Times New Roman" w:hAnsi="Times New Roman"/>
                <w:lang w:val="en-US"/>
              </w:rPr>
            </w:pPr>
            <w:r w:rsidRPr="0080737A">
              <w:rPr>
                <w:rFonts w:ascii="Times New Roman" w:hAnsi="Times New Roman"/>
              </w:rPr>
              <w:t>8,6</w:t>
            </w:r>
          </w:p>
        </w:tc>
        <w:tc>
          <w:tcPr>
            <w:tcW w:w="1301" w:type="dxa"/>
            <w:vAlign w:val="center"/>
          </w:tcPr>
          <w:p w:rsidR="0035600F" w:rsidRPr="0080737A" w:rsidRDefault="0035600F" w:rsidP="006F4E1E">
            <w:pPr>
              <w:spacing w:after="0" w:line="240" w:lineRule="auto"/>
              <w:ind w:left="-108" w:right="-51"/>
              <w:jc w:val="center"/>
              <w:rPr>
                <w:rFonts w:ascii="Times New Roman" w:hAnsi="Times New Roman"/>
                <w:i/>
              </w:rPr>
            </w:pPr>
            <w:r w:rsidRPr="0080737A">
              <w:rPr>
                <w:rFonts w:ascii="Times New Roman" w:hAnsi="Times New Roman"/>
                <w:i/>
              </w:rPr>
              <w:t>97,7</w:t>
            </w:r>
          </w:p>
        </w:tc>
      </w:tr>
      <w:tr w:rsidR="0035600F" w:rsidRPr="0080737A" w:rsidTr="006F4E1E">
        <w:trPr>
          <w:trHeight w:val="325"/>
        </w:trPr>
        <w:tc>
          <w:tcPr>
            <w:tcW w:w="4269" w:type="dxa"/>
            <w:vAlign w:val="center"/>
          </w:tcPr>
          <w:p w:rsidR="0035600F" w:rsidRPr="0080737A" w:rsidRDefault="0035600F" w:rsidP="006F4E1E">
            <w:pPr>
              <w:spacing w:after="0" w:line="240" w:lineRule="auto"/>
              <w:rPr>
                <w:rFonts w:ascii="Times New Roman" w:hAnsi="Times New Roman"/>
                <w:lang w:val="en-US"/>
              </w:rPr>
            </w:pPr>
            <w:r w:rsidRPr="0080737A">
              <w:rPr>
                <w:rFonts w:ascii="Times New Roman" w:hAnsi="Times New Roman"/>
                <w:b/>
              </w:rPr>
              <w:t>Наличие грузовых автомобилей*</w:t>
            </w:r>
          </w:p>
        </w:tc>
        <w:tc>
          <w:tcPr>
            <w:tcW w:w="1368"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ед.</w:t>
            </w:r>
          </w:p>
        </w:tc>
        <w:tc>
          <w:tcPr>
            <w:tcW w:w="1156" w:type="dxa"/>
            <w:vAlign w:val="center"/>
          </w:tcPr>
          <w:p w:rsidR="0035600F" w:rsidRPr="0080737A" w:rsidRDefault="0035600F" w:rsidP="006F4E1E">
            <w:pPr>
              <w:spacing w:after="0" w:line="240" w:lineRule="auto"/>
              <w:ind w:right="113"/>
              <w:jc w:val="center"/>
              <w:rPr>
                <w:rFonts w:ascii="Times New Roman" w:hAnsi="Times New Roman"/>
                <w:lang w:val="en-US"/>
              </w:rPr>
            </w:pPr>
            <w:r w:rsidRPr="0080737A">
              <w:rPr>
                <w:rFonts w:ascii="Times New Roman" w:hAnsi="Times New Roman"/>
              </w:rPr>
              <w:t>163</w:t>
            </w:r>
          </w:p>
        </w:tc>
        <w:tc>
          <w:tcPr>
            <w:tcW w:w="1300"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152</w:t>
            </w:r>
          </w:p>
        </w:tc>
        <w:tc>
          <w:tcPr>
            <w:tcW w:w="1301" w:type="dxa"/>
            <w:vAlign w:val="center"/>
          </w:tcPr>
          <w:p w:rsidR="0035600F" w:rsidRPr="0080737A" w:rsidRDefault="0035600F" w:rsidP="006F4E1E">
            <w:pPr>
              <w:spacing w:after="0" w:line="240" w:lineRule="auto"/>
              <w:ind w:left="-108" w:right="-51"/>
              <w:jc w:val="center"/>
              <w:rPr>
                <w:rFonts w:ascii="Times New Roman" w:hAnsi="Times New Roman"/>
                <w:i/>
              </w:rPr>
            </w:pPr>
            <w:r w:rsidRPr="0080737A">
              <w:rPr>
                <w:rFonts w:ascii="Times New Roman" w:hAnsi="Times New Roman"/>
                <w:i/>
              </w:rPr>
              <w:t>93,3</w:t>
            </w:r>
          </w:p>
        </w:tc>
      </w:tr>
      <w:tr w:rsidR="0035600F" w:rsidRPr="0080737A" w:rsidTr="006F4E1E">
        <w:trPr>
          <w:trHeight w:val="251"/>
        </w:trPr>
        <w:tc>
          <w:tcPr>
            <w:tcW w:w="4269" w:type="dxa"/>
            <w:vAlign w:val="center"/>
          </w:tcPr>
          <w:p w:rsidR="0035600F" w:rsidRPr="0080737A" w:rsidRDefault="0035600F" w:rsidP="006F4E1E">
            <w:pPr>
              <w:spacing w:after="0" w:line="240" w:lineRule="auto"/>
              <w:rPr>
                <w:rFonts w:ascii="Times New Roman" w:hAnsi="Times New Roman"/>
              </w:rPr>
            </w:pPr>
            <w:r w:rsidRPr="0080737A">
              <w:rPr>
                <w:rFonts w:ascii="Times New Roman" w:hAnsi="Times New Roman"/>
                <w:b/>
              </w:rPr>
              <w:t>Доход от доставки грузов</w:t>
            </w:r>
          </w:p>
        </w:tc>
        <w:tc>
          <w:tcPr>
            <w:tcW w:w="1368"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тыс. руб.</w:t>
            </w:r>
          </w:p>
        </w:tc>
        <w:tc>
          <w:tcPr>
            <w:tcW w:w="1156" w:type="dxa"/>
            <w:vAlign w:val="center"/>
          </w:tcPr>
          <w:p w:rsidR="0035600F" w:rsidRPr="0080737A" w:rsidRDefault="0035600F" w:rsidP="006F4E1E">
            <w:pPr>
              <w:spacing w:after="0" w:line="240" w:lineRule="auto"/>
              <w:ind w:right="113"/>
              <w:jc w:val="center"/>
              <w:rPr>
                <w:rFonts w:ascii="Times New Roman" w:hAnsi="Times New Roman"/>
                <w:lang w:val="en-US"/>
              </w:rPr>
            </w:pPr>
            <w:r w:rsidRPr="0080737A">
              <w:rPr>
                <w:rFonts w:ascii="Times New Roman" w:hAnsi="Times New Roman"/>
              </w:rPr>
              <w:t>10 696,5</w:t>
            </w:r>
          </w:p>
        </w:tc>
        <w:tc>
          <w:tcPr>
            <w:tcW w:w="1300" w:type="dxa"/>
            <w:vAlign w:val="center"/>
          </w:tcPr>
          <w:p w:rsidR="0035600F" w:rsidRPr="0080737A" w:rsidRDefault="0035600F" w:rsidP="006F4E1E">
            <w:pPr>
              <w:spacing w:after="0" w:line="240" w:lineRule="auto"/>
              <w:ind w:right="113"/>
              <w:jc w:val="center"/>
              <w:rPr>
                <w:rFonts w:ascii="Times New Roman" w:hAnsi="Times New Roman"/>
                <w:lang w:val="en-US"/>
              </w:rPr>
            </w:pPr>
            <w:r w:rsidRPr="0080737A">
              <w:rPr>
                <w:rFonts w:ascii="Times New Roman" w:hAnsi="Times New Roman"/>
              </w:rPr>
              <w:t>10 715,6</w:t>
            </w:r>
          </w:p>
        </w:tc>
        <w:tc>
          <w:tcPr>
            <w:tcW w:w="1301" w:type="dxa"/>
            <w:vAlign w:val="center"/>
          </w:tcPr>
          <w:p w:rsidR="0035600F" w:rsidRPr="0080737A" w:rsidRDefault="0035600F" w:rsidP="006F4E1E">
            <w:pPr>
              <w:spacing w:after="0" w:line="240" w:lineRule="auto"/>
              <w:ind w:left="-108" w:right="-51"/>
              <w:jc w:val="center"/>
              <w:rPr>
                <w:rFonts w:ascii="Times New Roman" w:hAnsi="Times New Roman"/>
                <w:i/>
                <w:lang w:val="en-US"/>
              </w:rPr>
            </w:pPr>
            <w:r w:rsidRPr="0080737A">
              <w:rPr>
                <w:rFonts w:ascii="Times New Roman" w:hAnsi="Times New Roman"/>
                <w:i/>
              </w:rPr>
              <w:t>100,</w:t>
            </w:r>
            <w:r w:rsidRPr="0080737A">
              <w:rPr>
                <w:rFonts w:ascii="Times New Roman" w:hAnsi="Times New Roman"/>
                <w:i/>
                <w:lang w:val="en-US"/>
              </w:rPr>
              <w:t>2</w:t>
            </w:r>
          </w:p>
        </w:tc>
      </w:tr>
    </w:tbl>
    <w:p w:rsidR="0035600F" w:rsidRPr="0080737A" w:rsidRDefault="0035600F" w:rsidP="0035600F">
      <w:pPr>
        <w:pStyle w:val="a6"/>
        <w:spacing w:after="0" w:line="240" w:lineRule="auto"/>
        <w:jc w:val="both"/>
        <w:rPr>
          <w:rFonts w:ascii="Times New Roman" w:hAnsi="Times New Roman"/>
          <w:sz w:val="20"/>
          <w:szCs w:val="20"/>
        </w:rPr>
      </w:pPr>
      <w:r w:rsidRPr="0080737A">
        <w:rPr>
          <w:rFonts w:ascii="Times New Roman" w:hAnsi="Times New Roman"/>
          <w:sz w:val="20"/>
          <w:szCs w:val="20"/>
        </w:rPr>
        <w:t>*- без субъектов малого предпринимательства</w:t>
      </w:r>
    </w:p>
    <w:p w:rsidR="0035600F" w:rsidRPr="0080737A" w:rsidRDefault="0035600F" w:rsidP="0035600F">
      <w:pPr>
        <w:pStyle w:val="a6"/>
        <w:spacing w:after="0" w:line="240" w:lineRule="auto"/>
        <w:jc w:val="both"/>
        <w:rPr>
          <w:rFonts w:ascii="Times New Roman" w:hAnsi="Times New Roman"/>
          <w:sz w:val="20"/>
          <w:szCs w:val="20"/>
        </w:rPr>
      </w:pPr>
    </w:p>
    <w:p w:rsidR="0035600F" w:rsidRPr="0080737A" w:rsidRDefault="0035600F" w:rsidP="0035600F">
      <w:pPr>
        <w:spacing w:after="0" w:line="240" w:lineRule="auto"/>
        <w:ind w:firstLine="709"/>
        <w:jc w:val="both"/>
        <w:rPr>
          <w:rFonts w:ascii="Times New Roman" w:hAnsi="Times New Roman"/>
          <w:spacing w:val="3"/>
          <w:sz w:val="24"/>
          <w:szCs w:val="24"/>
        </w:rPr>
      </w:pPr>
      <w:r w:rsidRPr="0080737A">
        <w:rPr>
          <w:rFonts w:ascii="Times New Roman" w:hAnsi="Times New Roman"/>
          <w:spacing w:val="3"/>
          <w:sz w:val="24"/>
          <w:szCs w:val="24"/>
        </w:rPr>
        <w:t xml:space="preserve">В </w:t>
      </w:r>
      <w:r w:rsidRPr="0080737A">
        <w:rPr>
          <w:rFonts w:ascii="Times New Roman" w:hAnsi="Times New Roman"/>
          <w:spacing w:val="3"/>
          <w:sz w:val="24"/>
          <w:szCs w:val="24"/>
          <w:lang w:val="en-US"/>
        </w:rPr>
        <w:t>I</w:t>
      </w:r>
      <w:r w:rsidRPr="0080737A">
        <w:rPr>
          <w:rFonts w:ascii="Times New Roman" w:hAnsi="Times New Roman"/>
          <w:spacing w:val="3"/>
          <w:sz w:val="24"/>
          <w:szCs w:val="24"/>
        </w:rPr>
        <w:t xml:space="preserve"> полугодии 2016 года количество грузовых автомобилей сократилось на 6,7% и составило 152 единицы. Снижение количества автотранспортных средств отмечено н</w:t>
      </w:r>
      <w:proofErr w:type="gramStart"/>
      <w:r w:rsidRPr="0080737A">
        <w:rPr>
          <w:rFonts w:ascii="Times New Roman" w:hAnsi="Times New Roman"/>
          <w:spacing w:val="3"/>
          <w:sz w:val="24"/>
          <w:szCs w:val="24"/>
        </w:rPr>
        <w:t>а ООО</w:t>
      </w:r>
      <w:proofErr w:type="gramEnd"/>
      <w:r w:rsidRPr="0080737A">
        <w:rPr>
          <w:rFonts w:ascii="Times New Roman" w:hAnsi="Times New Roman"/>
          <w:spacing w:val="3"/>
          <w:sz w:val="24"/>
          <w:szCs w:val="24"/>
        </w:rPr>
        <w:t xml:space="preserve"> «Ростан плюс» - на 4 единицы или на 18,2%, на ЗАО «Автотранспортное предприятие №3» - на 4 единицы или на 10,3%.</w:t>
      </w:r>
    </w:p>
    <w:p w:rsidR="0035600F" w:rsidRPr="0080737A" w:rsidRDefault="0035600F" w:rsidP="0035600F">
      <w:pPr>
        <w:spacing w:after="0" w:line="240" w:lineRule="auto"/>
        <w:ind w:firstLine="709"/>
        <w:jc w:val="both"/>
        <w:rPr>
          <w:rFonts w:ascii="Times New Roman" w:hAnsi="Times New Roman"/>
          <w:spacing w:val="4"/>
          <w:sz w:val="24"/>
          <w:szCs w:val="24"/>
        </w:rPr>
      </w:pPr>
      <w:r w:rsidRPr="0080737A">
        <w:rPr>
          <w:rFonts w:ascii="Times New Roman" w:hAnsi="Times New Roman"/>
          <w:spacing w:val="4"/>
          <w:sz w:val="24"/>
          <w:szCs w:val="24"/>
        </w:rPr>
        <w:t xml:space="preserve">Основные показатели работы </w:t>
      </w:r>
      <w:r w:rsidRPr="0080737A">
        <w:rPr>
          <w:rFonts w:ascii="Times New Roman" w:hAnsi="Times New Roman"/>
          <w:b/>
          <w:i/>
          <w:spacing w:val="4"/>
          <w:sz w:val="24"/>
          <w:szCs w:val="24"/>
        </w:rPr>
        <w:t>автомобильного транспорта общего пользования</w:t>
      </w:r>
      <w:r w:rsidRPr="0080737A">
        <w:rPr>
          <w:rFonts w:ascii="Times New Roman" w:hAnsi="Times New Roman"/>
          <w:spacing w:val="4"/>
          <w:sz w:val="24"/>
          <w:szCs w:val="24"/>
        </w:rPr>
        <w:t xml:space="preserve"> в рассматриваемом периоде в целом демонстрируют понижательную динамику развития, что в совокупности с рядом внешних факторов, обусловлено </w:t>
      </w:r>
      <w:r w:rsidRPr="0080737A">
        <w:rPr>
          <w:rFonts w:ascii="Times New Roman" w:hAnsi="Times New Roman"/>
          <w:sz w:val="24"/>
          <w:szCs w:val="24"/>
        </w:rPr>
        <w:t xml:space="preserve">снижением </w:t>
      </w:r>
      <w:r w:rsidRPr="0080737A">
        <w:rPr>
          <w:rFonts w:ascii="Times New Roman" w:hAnsi="Times New Roman"/>
          <w:spacing w:val="4"/>
          <w:sz w:val="24"/>
          <w:szCs w:val="24"/>
        </w:rPr>
        <w:t>пассажиропотока и падением потребительского спроса населения на услуги автомобильного транспорта</w:t>
      </w:r>
      <w:r w:rsidRPr="0080737A">
        <w:rPr>
          <w:rFonts w:ascii="Times New Roman" w:hAnsi="Times New Roman"/>
          <w:sz w:val="24"/>
          <w:szCs w:val="24"/>
        </w:rPr>
        <w:t xml:space="preserve">. Также следует отметить и то, что на отрицательную динамику показателей влияют более низкие тарифы на перевозку пассажиров автомобильным транспортом общего пользования в Республике Молдова и Украине. В результате </w:t>
      </w:r>
      <w:r w:rsidRPr="0080737A">
        <w:rPr>
          <w:rFonts w:ascii="Times New Roman" w:hAnsi="Times New Roman"/>
          <w:spacing w:val="4"/>
          <w:sz w:val="24"/>
          <w:szCs w:val="24"/>
        </w:rPr>
        <w:t xml:space="preserve">автоперевозчиками региона, специализирующимися на предоставлении </w:t>
      </w:r>
      <w:r w:rsidRPr="0080737A">
        <w:rPr>
          <w:rFonts w:ascii="Times New Roman" w:hAnsi="Times New Roman"/>
          <w:spacing w:val="4"/>
          <w:sz w:val="24"/>
          <w:szCs w:val="24"/>
        </w:rPr>
        <w:lastRenderedPageBreak/>
        <w:t>услуг физическим лицам, перевезено 12,2 млн. пассажиров, что на 6,9% ниже соответствующего показателя 2015 года.</w:t>
      </w:r>
    </w:p>
    <w:p w:rsidR="0035600F" w:rsidRPr="0080737A" w:rsidRDefault="0035600F" w:rsidP="0035600F">
      <w:pPr>
        <w:spacing w:after="0" w:line="240" w:lineRule="auto"/>
        <w:ind w:firstLine="709"/>
        <w:jc w:val="both"/>
        <w:rPr>
          <w:rFonts w:ascii="Times New Roman" w:hAnsi="Times New Roman"/>
          <w:spacing w:val="2"/>
          <w:sz w:val="24"/>
          <w:szCs w:val="24"/>
        </w:rPr>
      </w:pPr>
      <w:r w:rsidRPr="0080737A">
        <w:rPr>
          <w:rFonts w:ascii="Times New Roman" w:hAnsi="Times New Roman"/>
          <w:spacing w:val="3"/>
          <w:sz w:val="24"/>
          <w:szCs w:val="24"/>
        </w:rPr>
        <w:t xml:space="preserve">На фоне снижения объема пассажиропотока («-»6,9%), и сокращения средней дальности поездки одного пассажира («-»4,7%) </w:t>
      </w:r>
      <w:r w:rsidRPr="0080737A">
        <w:rPr>
          <w:rFonts w:ascii="Times New Roman" w:hAnsi="Times New Roman"/>
          <w:spacing w:val="4"/>
          <w:sz w:val="24"/>
          <w:szCs w:val="24"/>
        </w:rPr>
        <w:t xml:space="preserve">пассажирооборот в январе-июне 2016 года сократился по сравнению с аналогичным периодом 2015 года на 11,4% и составил 99,5 млн. </w:t>
      </w:r>
      <w:proofErr w:type="spellStart"/>
      <w:r w:rsidRPr="0080737A">
        <w:rPr>
          <w:rFonts w:ascii="Times New Roman" w:hAnsi="Times New Roman"/>
          <w:spacing w:val="4"/>
          <w:sz w:val="24"/>
          <w:szCs w:val="24"/>
        </w:rPr>
        <w:t>пассажиро</w:t>
      </w:r>
      <w:proofErr w:type="spellEnd"/>
      <w:r w:rsidRPr="0080737A">
        <w:rPr>
          <w:rFonts w:ascii="Times New Roman" w:hAnsi="Times New Roman"/>
          <w:spacing w:val="4"/>
          <w:sz w:val="24"/>
          <w:szCs w:val="24"/>
        </w:rPr>
        <w:t xml:space="preserve"> – километров</w:t>
      </w:r>
      <w:r w:rsidRPr="0080737A">
        <w:rPr>
          <w:rFonts w:ascii="Times New Roman" w:hAnsi="Times New Roman"/>
          <w:spacing w:val="3"/>
          <w:sz w:val="24"/>
          <w:szCs w:val="24"/>
        </w:rPr>
        <w:t>. При этом</w:t>
      </w:r>
      <w:proofErr w:type="gramStart"/>
      <w:r w:rsidRPr="0080737A">
        <w:rPr>
          <w:rFonts w:ascii="Times New Roman" w:hAnsi="Times New Roman"/>
          <w:spacing w:val="3"/>
          <w:sz w:val="24"/>
          <w:szCs w:val="24"/>
        </w:rPr>
        <w:t>,</w:t>
      </w:r>
      <w:proofErr w:type="gramEnd"/>
      <w:r w:rsidRPr="0080737A">
        <w:rPr>
          <w:rFonts w:ascii="Times New Roman" w:hAnsi="Times New Roman"/>
          <w:spacing w:val="3"/>
          <w:sz w:val="24"/>
          <w:szCs w:val="24"/>
        </w:rPr>
        <w:t xml:space="preserve"> доходы организаций пассажирского автотранспорта в рассматриваемом периоде</w:t>
      </w:r>
      <w:r w:rsidRPr="0080737A">
        <w:rPr>
          <w:rFonts w:ascii="Times New Roman" w:hAnsi="Times New Roman"/>
          <w:spacing w:val="2"/>
          <w:sz w:val="24"/>
          <w:szCs w:val="24"/>
        </w:rPr>
        <w:t xml:space="preserve"> сложились в сумме 60,5</w:t>
      </w:r>
      <w:r w:rsidRPr="0080737A">
        <w:rPr>
          <w:rFonts w:ascii="Times New Roman" w:hAnsi="Times New Roman"/>
          <w:spacing w:val="3"/>
          <w:sz w:val="24"/>
          <w:szCs w:val="24"/>
        </w:rPr>
        <w:t xml:space="preserve"> млн. руб., что ниже аналогичного показателя 2</w:t>
      </w:r>
      <w:r w:rsidRPr="0080737A">
        <w:rPr>
          <w:rFonts w:ascii="Times New Roman" w:hAnsi="Times New Roman"/>
          <w:spacing w:val="2"/>
          <w:sz w:val="24"/>
          <w:szCs w:val="24"/>
        </w:rPr>
        <w:t xml:space="preserve">015 года </w:t>
      </w:r>
      <w:r w:rsidRPr="0080737A">
        <w:rPr>
          <w:rFonts w:ascii="Times New Roman" w:hAnsi="Times New Roman"/>
          <w:spacing w:val="3"/>
          <w:sz w:val="24"/>
          <w:szCs w:val="24"/>
        </w:rPr>
        <w:t>на 9,1</w:t>
      </w:r>
      <w:r w:rsidRPr="0080737A">
        <w:rPr>
          <w:rFonts w:ascii="Times New Roman" w:hAnsi="Times New Roman"/>
          <w:spacing w:val="2"/>
          <w:sz w:val="24"/>
          <w:szCs w:val="24"/>
        </w:rPr>
        <w:t>%. Так, на ООО «АВЭПС» в результате снижения пассажиропотока и пассажирооборота, отмечено сокращение доходов от оказания услуг по перевозке на 28,1%. На ОАО «</w:t>
      </w:r>
      <w:proofErr w:type="spellStart"/>
      <w:r w:rsidRPr="0080737A">
        <w:rPr>
          <w:rFonts w:ascii="Times New Roman" w:hAnsi="Times New Roman"/>
          <w:spacing w:val="2"/>
          <w:sz w:val="24"/>
          <w:szCs w:val="24"/>
        </w:rPr>
        <w:t>Рыбницкая</w:t>
      </w:r>
      <w:proofErr w:type="spellEnd"/>
      <w:r w:rsidRPr="0080737A">
        <w:rPr>
          <w:rFonts w:ascii="Times New Roman" w:hAnsi="Times New Roman"/>
          <w:spacing w:val="2"/>
          <w:sz w:val="24"/>
          <w:szCs w:val="24"/>
        </w:rPr>
        <w:t xml:space="preserve"> автоколонна 2831» в результате сокращения числа перевезенных пассажиров на 4,6% и пассажирооборота на 19,2% отмечено снижение доходов на 11,9%. Н</w:t>
      </w:r>
      <w:proofErr w:type="gramStart"/>
      <w:r w:rsidRPr="0080737A">
        <w:rPr>
          <w:rFonts w:ascii="Times New Roman" w:hAnsi="Times New Roman"/>
          <w:spacing w:val="2"/>
          <w:sz w:val="24"/>
          <w:szCs w:val="24"/>
        </w:rPr>
        <w:t>а ООО</w:t>
      </w:r>
      <w:proofErr w:type="gramEnd"/>
      <w:r w:rsidRPr="0080737A">
        <w:rPr>
          <w:rFonts w:ascii="Times New Roman" w:hAnsi="Times New Roman"/>
          <w:spacing w:val="2"/>
          <w:sz w:val="24"/>
          <w:szCs w:val="24"/>
        </w:rPr>
        <w:t xml:space="preserve"> «</w:t>
      </w:r>
      <w:proofErr w:type="spellStart"/>
      <w:r w:rsidRPr="0080737A">
        <w:rPr>
          <w:rFonts w:ascii="Times New Roman" w:hAnsi="Times New Roman"/>
          <w:spacing w:val="2"/>
          <w:sz w:val="24"/>
          <w:szCs w:val="24"/>
        </w:rPr>
        <w:t>Горавтотранс</w:t>
      </w:r>
      <w:proofErr w:type="spellEnd"/>
      <w:r w:rsidRPr="0080737A">
        <w:rPr>
          <w:rFonts w:ascii="Times New Roman" w:hAnsi="Times New Roman"/>
          <w:spacing w:val="2"/>
          <w:sz w:val="24"/>
          <w:szCs w:val="24"/>
        </w:rPr>
        <w:t>» соответственно при снижении количества перевезенных пассажиров и пассажирооборота на 5,1%, доходы от оказания услуг по перевозке пассажиров снизились на 5,1%.</w:t>
      </w:r>
    </w:p>
    <w:p w:rsidR="0035600F" w:rsidRPr="0080737A" w:rsidRDefault="0035600F" w:rsidP="0035600F">
      <w:pPr>
        <w:spacing w:after="0" w:line="240" w:lineRule="auto"/>
        <w:ind w:firstLine="709"/>
        <w:jc w:val="right"/>
        <w:rPr>
          <w:rFonts w:ascii="Times New Roman" w:hAnsi="Times New Roman"/>
          <w:spacing w:val="2"/>
          <w:sz w:val="24"/>
          <w:szCs w:val="24"/>
        </w:rPr>
      </w:pPr>
      <w:r w:rsidRPr="0080737A">
        <w:rPr>
          <w:rFonts w:ascii="Times New Roman" w:hAnsi="Times New Roman"/>
          <w:spacing w:val="2"/>
          <w:sz w:val="24"/>
          <w:szCs w:val="24"/>
        </w:rPr>
        <w:t>Таблица №</w:t>
      </w:r>
      <w:r w:rsidR="006D561B" w:rsidRPr="0080737A">
        <w:rPr>
          <w:rFonts w:ascii="Times New Roman" w:hAnsi="Times New Roman"/>
          <w:spacing w:val="2"/>
          <w:sz w:val="24"/>
          <w:szCs w:val="24"/>
        </w:rPr>
        <w:t>14</w:t>
      </w:r>
    </w:p>
    <w:p w:rsidR="0035600F" w:rsidRPr="0080737A" w:rsidRDefault="0035600F" w:rsidP="0035600F">
      <w:pPr>
        <w:spacing w:after="0" w:line="240" w:lineRule="auto"/>
        <w:jc w:val="center"/>
        <w:rPr>
          <w:rFonts w:ascii="Times New Roman" w:hAnsi="Times New Roman"/>
          <w:b/>
          <w:sz w:val="24"/>
          <w:szCs w:val="24"/>
        </w:rPr>
      </w:pPr>
      <w:r w:rsidRPr="0080737A">
        <w:rPr>
          <w:rFonts w:ascii="Times New Roman" w:hAnsi="Times New Roman"/>
          <w:b/>
          <w:sz w:val="24"/>
          <w:szCs w:val="24"/>
        </w:rPr>
        <w:t xml:space="preserve">Показатели работы пассажирского автотранспорта </w:t>
      </w:r>
    </w:p>
    <w:p w:rsidR="0035600F" w:rsidRPr="0080737A" w:rsidRDefault="0035600F" w:rsidP="0035600F">
      <w:pPr>
        <w:spacing w:after="0" w:line="240" w:lineRule="auto"/>
        <w:jc w:val="center"/>
        <w:rPr>
          <w:rFonts w:ascii="Times New Roman" w:hAnsi="Times New Roman"/>
          <w:b/>
          <w:sz w:val="24"/>
          <w:szCs w:val="24"/>
        </w:rPr>
      </w:pPr>
      <w:r w:rsidRPr="0080737A">
        <w:rPr>
          <w:rFonts w:ascii="Times New Roman" w:hAnsi="Times New Roman"/>
          <w:b/>
          <w:sz w:val="24"/>
          <w:szCs w:val="24"/>
        </w:rPr>
        <w:t>общего пользования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1440"/>
        <w:gridCol w:w="1260"/>
        <w:gridCol w:w="1260"/>
        <w:gridCol w:w="1294"/>
      </w:tblGrid>
      <w:tr w:rsidR="0035600F" w:rsidRPr="0080737A" w:rsidTr="006F4E1E">
        <w:tc>
          <w:tcPr>
            <w:tcW w:w="3960" w:type="dxa"/>
            <w:vAlign w:val="center"/>
          </w:tcPr>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Показатели</w:t>
            </w:r>
          </w:p>
        </w:tc>
        <w:tc>
          <w:tcPr>
            <w:tcW w:w="1440" w:type="dxa"/>
            <w:vAlign w:val="center"/>
          </w:tcPr>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 xml:space="preserve">Ед. </w:t>
            </w:r>
            <w:proofErr w:type="spellStart"/>
            <w:r w:rsidRPr="0080737A">
              <w:rPr>
                <w:rFonts w:ascii="Times New Roman" w:hAnsi="Times New Roman"/>
                <w:b/>
              </w:rPr>
              <w:t>изм</w:t>
            </w:r>
            <w:proofErr w:type="spellEnd"/>
            <w:r w:rsidRPr="0080737A">
              <w:rPr>
                <w:rFonts w:ascii="Times New Roman" w:hAnsi="Times New Roman"/>
                <w:b/>
              </w:rPr>
              <w:t>.</w:t>
            </w:r>
          </w:p>
        </w:tc>
        <w:tc>
          <w:tcPr>
            <w:tcW w:w="1260" w:type="dxa"/>
            <w:vAlign w:val="center"/>
          </w:tcPr>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Январь-июнь</w:t>
            </w:r>
          </w:p>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2015 г.</w:t>
            </w:r>
          </w:p>
        </w:tc>
        <w:tc>
          <w:tcPr>
            <w:tcW w:w="1260" w:type="dxa"/>
            <w:vAlign w:val="center"/>
          </w:tcPr>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Январь-июнь</w:t>
            </w:r>
          </w:p>
          <w:p w:rsidR="0035600F" w:rsidRPr="0080737A" w:rsidRDefault="0035600F" w:rsidP="006F4E1E">
            <w:pPr>
              <w:spacing w:after="0" w:line="240" w:lineRule="auto"/>
              <w:jc w:val="center"/>
              <w:rPr>
                <w:rFonts w:ascii="Times New Roman" w:hAnsi="Times New Roman"/>
                <w:b/>
              </w:rPr>
            </w:pPr>
            <w:r w:rsidRPr="0080737A">
              <w:rPr>
                <w:rFonts w:ascii="Times New Roman" w:hAnsi="Times New Roman"/>
                <w:b/>
              </w:rPr>
              <w:t>2016 г.</w:t>
            </w:r>
          </w:p>
        </w:tc>
        <w:tc>
          <w:tcPr>
            <w:tcW w:w="1294" w:type="dxa"/>
            <w:vAlign w:val="center"/>
          </w:tcPr>
          <w:p w:rsidR="0035600F" w:rsidRPr="0080737A" w:rsidRDefault="0035600F" w:rsidP="006F4E1E">
            <w:pPr>
              <w:spacing w:after="0" w:line="240" w:lineRule="auto"/>
              <w:ind w:left="-108" w:right="-51"/>
              <w:jc w:val="center"/>
              <w:rPr>
                <w:rFonts w:ascii="Times New Roman" w:hAnsi="Times New Roman"/>
                <w:b/>
                <w:i/>
              </w:rPr>
            </w:pPr>
            <w:r w:rsidRPr="0080737A">
              <w:rPr>
                <w:rFonts w:ascii="Times New Roman" w:hAnsi="Times New Roman"/>
                <w:b/>
                <w:i/>
              </w:rPr>
              <w:t xml:space="preserve">2016 г. </w:t>
            </w:r>
            <w:proofErr w:type="gramStart"/>
            <w:r w:rsidRPr="0080737A">
              <w:rPr>
                <w:rFonts w:ascii="Times New Roman" w:hAnsi="Times New Roman"/>
                <w:b/>
                <w:i/>
              </w:rPr>
              <w:t>в</w:t>
            </w:r>
            <w:proofErr w:type="gramEnd"/>
            <w:r w:rsidRPr="0080737A">
              <w:rPr>
                <w:rFonts w:ascii="Times New Roman" w:hAnsi="Times New Roman"/>
                <w:b/>
                <w:i/>
              </w:rPr>
              <w:t xml:space="preserve"> % к</w:t>
            </w:r>
          </w:p>
          <w:p w:rsidR="0035600F" w:rsidRPr="0080737A" w:rsidRDefault="0035600F" w:rsidP="006F4E1E">
            <w:pPr>
              <w:spacing w:after="0" w:line="240" w:lineRule="auto"/>
              <w:ind w:left="-108" w:right="-51"/>
              <w:jc w:val="center"/>
              <w:rPr>
                <w:rFonts w:ascii="Times New Roman" w:hAnsi="Times New Roman"/>
                <w:b/>
                <w:i/>
              </w:rPr>
            </w:pPr>
            <w:r w:rsidRPr="0080737A">
              <w:rPr>
                <w:rFonts w:ascii="Times New Roman" w:hAnsi="Times New Roman"/>
                <w:b/>
                <w:i/>
              </w:rPr>
              <w:t>2015 г.</w:t>
            </w:r>
          </w:p>
        </w:tc>
      </w:tr>
      <w:tr w:rsidR="0035600F" w:rsidRPr="0080737A" w:rsidTr="006F4E1E">
        <w:tc>
          <w:tcPr>
            <w:tcW w:w="3960" w:type="dxa"/>
          </w:tcPr>
          <w:p w:rsidR="0035600F" w:rsidRPr="0080737A" w:rsidRDefault="0035600F" w:rsidP="006F4E1E">
            <w:pPr>
              <w:spacing w:after="0" w:line="240" w:lineRule="auto"/>
              <w:rPr>
                <w:rFonts w:ascii="Times New Roman" w:hAnsi="Times New Roman"/>
                <w:vertAlign w:val="superscript"/>
              </w:rPr>
            </w:pPr>
            <w:r w:rsidRPr="0080737A">
              <w:rPr>
                <w:rFonts w:ascii="Times New Roman" w:hAnsi="Times New Roman"/>
                <w:b/>
              </w:rPr>
              <w:t>Перевезено пассажиров</w:t>
            </w:r>
          </w:p>
        </w:tc>
        <w:tc>
          <w:tcPr>
            <w:tcW w:w="1440"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тыс. чел.</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13 085,6</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12 180,8</w:t>
            </w:r>
          </w:p>
        </w:tc>
        <w:tc>
          <w:tcPr>
            <w:tcW w:w="1294" w:type="dxa"/>
            <w:vAlign w:val="center"/>
          </w:tcPr>
          <w:p w:rsidR="0035600F" w:rsidRPr="0080737A" w:rsidRDefault="0035600F" w:rsidP="006F4E1E">
            <w:pPr>
              <w:spacing w:after="0" w:line="240" w:lineRule="auto"/>
              <w:ind w:right="113"/>
              <w:jc w:val="right"/>
              <w:rPr>
                <w:rFonts w:ascii="Times New Roman" w:hAnsi="Times New Roman"/>
                <w:i/>
              </w:rPr>
            </w:pPr>
            <w:r w:rsidRPr="0080737A">
              <w:rPr>
                <w:rFonts w:ascii="Times New Roman" w:hAnsi="Times New Roman"/>
                <w:i/>
              </w:rPr>
              <w:t>93,1</w:t>
            </w:r>
          </w:p>
        </w:tc>
      </w:tr>
      <w:tr w:rsidR="0035600F" w:rsidRPr="0080737A" w:rsidTr="006F4E1E">
        <w:tc>
          <w:tcPr>
            <w:tcW w:w="3960" w:type="dxa"/>
          </w:tcPr>
          <w:p w:rsidR="0035600F" w:rsidRPr="0080737A" w:rsidRDefault="0035600F" w:rsidP="006F4E1E">
            <w:pPr>
              <w:spacing w:after="0" w:line="240" w:lineRule="auto"/>
              <w:rPr>
                <w:rFonts w:ascii="Times New Roman" w:hAnsi="Times New Roman"/>
              </w:rPr>
            </w:pPr>
            <w:r w:rsidRPr="0080737A">
              <w:rPr>
                <w:rFonts w:ascii="Times New Roman" w:hAnsi="Times New Roman"/>
                <w:b/>
              </w:rPr>
              <w:t>Пассажирооборот</w:t>
            </w:r>
          </w:p>
        </w:tc>
        <w:tc>
          <w:tcPr>
            <w:tcW w:w="1440" w:type="dxa"/>
            <w:vAlign w:val="center"/>
          </w:tcPr>
          <w:p w:rsidR="0035600F" w:rsidRPr="0080737A" w:rsidRDefault="0035600F" w:rsidP="006F4E1E">
            <w:pPr>
              <w:spacing w:after="0" w:line="240" w:lineRule="auto"/>
              <w:ind w:left="-108" w:right="-108"/>
              <w:jc w:val="center"/>
              <w:rPr>
                <w:rFonts w:ascii="Times New Roman" w:hAnsi="Times New Roman"/>
              </w:rPr>
            </w:pPr>
            <w:r w:rsidRPr="0080737A">
              <w:rPr>
                <w:rFonts w:ascii="Times New Roman" w:hAnsi="Times New Roman"/>
              </w:rPr>
              <w:t xml:space="preserve">тыс. пас - </w:t>
            </w:r>
            <w:proofErr w:type="gramStart"/>
            <w:r w:rsidRPr="0080737A">
              <w:rPr>
                <w:rFonts w:ascii="Times New Roman" w:hAnsi="Times New Roman"/>
              </w:rPr>
              <w:t>км</w:t>
            </w:r>
            <w:proofErr w:type="gramEnd"/>
            <w:r w:rsidRPr="0080737A">
              <w:rPr>
                <w:rFonts w:ascii="Times New Roman" w:hAnsi="Times New Roman"/>
              </w:rPr>
              <w:t>.</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112 361,2</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99 516,2</w:t>
            </w:r>
          </w:p>
        </w:tc>
        <w:tc>
          <w:tcPr>
            <w:tcW w:w="1294" w:type="dxa"/>
            <w:vAlign w:val="center"/>
          </w:tcPr>
          <w:p w:rsidR="0035600F" w:rsidRPr="0080737A" w:rsidRDefault="0035600F" w:rsidP="006F4E1E">
            <w:pPr>
              <w:spacing w:after="0" w:line="240" w:lineRule="auto"/>
              <w:ind w:right="113"/>
              <w:jc w:val="right"/>
              <w:rPr>
                <w:rFonts w:ascii="Times New Roman" w:hAnsi="Times New Roman"/>
                <w:i/>
              </w:rPr>
            </w:pPr>
            <w:r w:rsidRPr="0080737A">
              <w:rPr>
                <w:rFonts w:ascii="Times New Roman" w:hAnsi="Times New Roman"/>
                <w:i/>
              </w:rPr>
              <w:t>88,6</w:t>
            </w:r>
          </w:p>
        </w:tc>
      </w:tr>
      <w:tr w:rsidR="0035600F" w:rsidRPr="0080737A" w:rsidTr="006F4E1E">
        <w:tc>
          <w:tcPr>
            <w:tcW w:w="3960" w:type="dxa"/>
          </w:tcPr>
          <w:p w:rsidR="0035600F" w:rsidRPr="0080737A" w:rsidRDefault="0035600F" w:rsidP="006F4E1E">
            <w:pPr>
              <w:spacing w:after="0" w:line="240" w:lineRule="auto"/>
              <w:rPr>
                <w:rFonts w:ascii="Times New Roman" w:hAnsi="Times New Roman"/>
                <w:vertAlign w:val="superscript"/>
              </w:rPr>
            </w:pPr>
            <w:r w:rsidRPr="0080737A">
              <w:rPr>
                <w:rFonts w:ascii="Times New Roman" w:hAnsi="Times New Roman"/>
                <w:b/>
              </w:rPr>
              <w:t>Средняя дальность поездки одного пассажира</w:t>
            </w:r>
          </w:p>
        </w:tc>
        <w:tc>
          <w:tcPr>
            <w:tcW w:w="1440"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км</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8,6</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8,2</w:t>
            </w:r>
          </w:p>
        </w:tc>
        <w:tc>
          <w:tcPr>
            <w:tcW w:w="1294" w:type="dxa"/>
            <w:vAlign w:val="center"/>
          </w:tcPr>
          <w:p w:rsidR="0035600F" w:rsidRPr="0080737A" w:rsidRDefault="0035600F" w:rsidP="006F4E1E">
            <w:pPr>
              <w:spacing w:after="0" w:line="240" w:lineRule="auto"/>
              <w:ind w:right="113"/>
              <w:jc w:val="right"/>
              <w:rPr>
                <w:rFonts w:ascii="Times New Roman" w:hAnsi="Times New Roman"/>
                <w:i/>
              </w:rPr>
            </w:pPr>
            <w:r w:rsidRPr="0080737A">
              <w:rPr>
                <w:rFonts w:ascii="Times New Roman" w:hAnsi="Times New Roman"/>
                <w:i/>
              </w:rPr>
              <w:t>95,3</w:t>
            </w:r>
          </w:p>
        </w:tc>
      </w:tr>
      <w:tr w:rsidR="0035600F" w:rsidRPr="0080737A" w:rsidTr="006F4E1E">
        <w:tc>
          <w:tcPr>
            <w:tcW w:w="3960" w:type="dxa"/>
            <w:vAlign w:val="center"/>
          </w:tcPr>
          <w:p w:rsidR="0035600F" w:rsidRPr="0080737A" w:rsidRDefault="0035600F" w:rsidP="006F4E1E">
            <w:pPr>
              <w:spacing w:after="0" w:line="240" w:lineRule="auto"/>
              <w:rPr>
                <w:rFonts w:ascii="Times New Roman" w:hAnsi="Times New Roman"/>
                <w:b/>
              </w:rPr>
            </w:pPr>
            <w:r w:rsidRPr="0080737A">
              <w:rPr>
                <w:rFonts w:ascii="Times New Roman" w:hAnsi="Times New Roman"/>
                <w:b/>
              </w:rPr>
              <w:t>Наличие автобусов (включая маршрутные такси)*</w:t>
            </w:r>
          </w:p>
        </w:tc>
        <w:tc>
          <w:tcPr>
            <w:tcW w:w="1440"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ед.</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281</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275</w:t>
            </w:r>
          </w:p>
        </w:tc>
        <w:tc>
          <w:tcPr>
            <w:tcW w:w="1294" w:type="dxa"/>
            <w:vAlign w:val="center"/>
          </w:tcPr>
          <w:p w:rsidR="0035600F" w:rsidRPr="0080737A" w:rsidRDefault="0035600F" w:rsidP="006F4E1E">
            <w:pPr>
              <w:spacing w:after="0" w:line="240" w:lineRule="auto"/>
              <w:ind w:right="113"/>
              <w:jc w:val="right"/>
              <w:rPr>
                <w:rFonts w:ascii="Times New Roman" w:hAnsi="Times New Roman"/>
                <w:i/>
              </w:rPr>
            </w:pPr>
            <w:r w:rsidRPr="0080737A">
              <w:rPr>
                <w:rFonts w:ascii="Times New Roman" w:hAnsi="Times New Roman"/>
                <w:i/>
              </w:rPr>
              <w:t>97,9</w:t>
            </w:r>
          </w:p>
        </w:tc>
      </w:tr>
      <w:tr w:rsidR="0035600F" w:rsidRPr="0080737A" w:rsidTr="006F4E1E">
        <w:tc>
          <w:tcPr>
            <w:tcW w:w="3960" w:type="dxa"/>
          </w:tcPr>
          <w:p w:rsidR="0035600F" w:rsidRPr="0080737A" w:rsidRDefault="0035600F" w:rsidP="006F4E1E">
            <w:pPr>
              <w:spacing w:after="0" w:line="240" w:lineRule="auto"/>
              <w:rPr>
                <w:rFonts w:ascii="Times New Roman" w:hAnsi="Times New Roman"/>
                <w:vertAlign w:val="superscript"/>
              </w:rPr>
            </w:pPr>
            <w:r w:rsidRPr="0080737A">
              <w:rPr>
                <w:rFonts w:ascii="Times New Roman" w:hAnsi="Times New Roman"/>
                <w:b/>
              </w:rPr>
              <w:t>Доходы от перевозки пассажиров автобусами и легковыми такси</w:t>
            </w:r>
          </w:p>
        </w:tc>
        <w:tc>
          <w:tcPr>
            <w:tcW w:w="1440" w:type="dxa"/>
            <w:vAlign w:val="center"/>
          </w:tcPr>
          <w:p w:rsidR="0035600F" w:rsidRPr="0080737A" w:rsidRDefault="0035600F" w:rsidP="006F4E1E">
            <w:pPr>
              <w:spacing w:after="0" w:line="240" w:lineRule="auto"/>
              <w:ind w:right="113"/>
              <w:jc w:val="center"/>
              <w:rPr>
                <w:rFonts w:ascii="Times New Roman" w:hAnsi="Times New Roman"/>
              </w:rPr>
            </w:pPr>
            <w:r w:rsidRPr="0080737A">
              <w:rPr>
                <w:rFonts w:ascii="Times New Roman" w:hAnsi="Times New Roman"/>
              </w:rPr>
              <w:t>тыс. руб.</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66 547,3</w:t>
            </w:r>
          </w:p>
        </w:tc>
        <w:tc>
          <w:tcPr>
            <w:tcW w:w="1260" w:type="dxa"/>
            <w:vAlign w:val="center"/>
          </w:tcPr>
          <w:p w:rsidR="0035600F" w:rsidRPr="0080737A" w:rsidRDefault="0035600F" w:rsidP="006F4E1E">
            <w:pPr>
              <w:spacing w:after="0" w:line="240" w:lineRule="auto"/>
              <w:ind w:right="113"/>
              <w:jc w:val="right"/>
              <w:rPr>
                <w:rFonts w:ascii="Times New Roman" w:hAnsi="Times New Roman"/>
              </w:rPr>
            </w:pPr>
            <w:r w:rsidRPr="0080737A">
              <w:rPr>
                <w:rFonts w:ascii="Times New Roman" w:hAnsi="Times New Roman"/>
              </w:rPr>
              <w:t>60 459,7</w:t>
            </w:r>
          </w:p>
        </w:tc>
        <w:tc>
          <w:tcPr>
            <w:tcW w:w="1294" w:type="dxa"/>
            <w:vAlign w:val="center"/>
          </w:tcPr>
          <w:p w:rsidR="0035600F" w:rsidRPr="0080737A" w:rsidRDefault="0035600F" w:rsidP="006F4E1E">
            <w:pPr>
              <w:spacing w:after="0" w:line="240" w:lineRule="auto"/>
              <w:ind w:right="113"/>
              <w:jc w:val="right"/>
              <w:rPr>
                <w:rFonts w:ascii="Times New Roman" w:hAnsi="Times New Roman"/>
                <w:i/>
              </w:rPr>
            </w:pPr>
            <w:r w:rsidRPr="0080737A">
              <w:rPr>
                <w:rFonts w:ascii="Times New Roman" w:hAnsi="Times New Roman"/>
                <w:i/>
              </w:rPr>
              <w:t>90,9</w:t>
            </w:r>
          </w:p>
        </w:tc>
      </w:tr>
    </w:tbl>
    <w:p w:rsidR="0035600F" w:rsidRPr="0080737A" w:rsidRDefault="0035600F" w:rsidP="0035600F">
      <w:pPr>
        <w:spacing w:after="0" w:line="240" w:lineRule="auto"/>
        <w:ind w:firstLine="709"/>
        <w:jc w:val="both"/>
        <w:rPr>
          <w:rFonts w:ascii="Times New Roman" w:hAnsi="Times New Roman"/>
          <w:sz w:val="20"/>
          <w:szCs w:val="20"/>
        </w:rPr>
      </w:pP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w:t>
      </w:r>
      <w:r w:rsidR="00EF7D3C" w:rsidRPr="0080737A">
        <w:rPr>
          <w:rFonts w:ascii="Times New Roman" w:hAnsi="Times New Roman"/>
          <w:sz w:val="24"/>
          <w:szCs w:val="24"/>
        </w:rPr>
        <w:t xml:space="preserve"> </w:t>
      </w:r>
      <w:r w:rsidRPr="0080737A">
        <w:rPr>
          <w:rFonts w:ascii="Times New Roman" w:hAnsi="Times New Roman"/>
          <w:b/>
          <w:i/>
          <w:sz w:val="24"/>
          <w:szCs w:val="24"/>
        </w:rPr>
        <w:t xml:space="preserve">электрическим транспортом, </w:t>
      </w:r>
      <w:r w:rsidRPr="0080737A">
        <w:rPr>
          <w:rFonts w:ascii="Times New Roman" w:hAnsi="Times New Roman"/>
          <w:sz w:val="24"/>
          <w:szCs w:val="24"/>
        </w:rPr>
        <w:t>действующим в двух городах республики (город Тирасполь, город Бендеры), перевезено 7,7 млн. пассажиров, что на 4,2% больше аналогичного периода 2015 года.</w:t>
      </w:r>
    </w:p>
    <w:p w:rsidR="0035600F" w:rsidRPr="0080737A" w:rsidRDefault="0035600F" w:rsidP="0035600F">
      <w:pPr>
        <w:spacing w:after="0" w:line="240" w:lineRule="auto"/>
        <w:ind w:firstLine="709"/>
        <w:jc w:val="both"/>
        <w:rPr>
          <w:rFonts w:ascii="Times New Roman" w:hAnsi="Times New Roman"/>
          <w:spacing w:val="2"/>
          <w:sz w:val="24"/>
          <w:szCs w:val="24"/>
        </w:rPr>
      </w:pPr>
      <w:r w:rsidRPr="0080737A">
        <w:rPr>
          <w:rFonts w:ascii="Times New Roman" w:hAnsi="Times New Roman"/>
          <w:spacing w:val="2"/>
          <w:sz w:val="24"/>
          <w:szCs w:val="24"/>
        </w:rPr>
        <w:t xml:space="preserve">На фоне роста пассажиропотока в рассматриваемом периоде отмечается увеличение пассажирооборота электрического транспорта по отношению к соответствующему периоду 2015 года на 4,0% до 78,4 млн. </w:t>
      </w:r>
      <w:proofErr w:type="spellStart"/>
      <w:r w:rsidRPr="0080737A">
        <w:rPr>
          <w:rFonts w:ascii="Times New Roman" w:hAnsi="Times New Roman"/>
          <w:spacing w:val="2"/>
          <w:sz w:val="24"/>
          <w:szCs w:val="24"/>
        </w:rPr>
        <w:t>пассажиро</w:t>
      </w:r>
      <w:proofErr w:type="spellEnd"/>
      <w:r w:rsidRPr="0080737A">
        <w:rPr>
          <w:rFonts w:ascii="Times New Roman" w:hAnsi="Times New Roman"/>
          <w:spacing w:val="2"/>
          <w:sz w:val="24"/>
          <w:szCs w:val="24"/>
        </w:rPr>
        <w:t xml:space="preserve">–километров, при этом доходы троллейбусных парков </w:t>
      </w:r>
      <w:r w:rsidRPr="0080737A">
        <w:rPr>
          <w:rFonts w:ascii="Times New Roman" w:hAnsi="Times New Roman"/>
          <w:sz w:val="24"/>
          <w:szCs w:val="24"/>
        </w:rPr>
        <w:t xml:space="preserve">от перевозки пассажиров и багажа </w:t>
      </w:r>
      <w:r w:rsidRPr="0080737A">
        <w:rPr>
          <w:rFonts w:ascii="Times New Roman" w:hAnsi="Times New Roman"/>
          <w:spacing w:val="2"/>
          <w:sz w:val="24"/>
          <w:szCs w:val="24"/>
        </w:rPr>
        <w:t>(включая трансферты на покрытие потерь от предоставления льгот</w:t>
      </w:r>
      <w:proofErr w:type="gramStart"/>
      <w:r w:rsidRPr="0080737A">
        <w:rPr>
          <w:rFonts w:ascii="Times New Roman" w:hAnsi="Times New Roman"/>
          <w:spacing w:val="2"/>
          <w:sz w:val="24"/>
          <w:szCs w:val="24"/>
        </w:rPr>
        <w:t>)о</w:t>
      </w:r>
      <w:proofErr w:type="gramEnd"/>
      <w:r w:rsidRPr="0080737A">
        <w:rPr>
          <w:rFonts w:ascii="Times New Roman" w:hAnsi="Times New Roman"/>
          <w:spacing w:val="2"/>
          <w:sz w:val="24"/>
          <w:szCs w:val="24"/>
        </w:rPr>
        <w:t>стались практически на уровне базового периода («+» 0,1%), достигнув в стоимостном выражении 17,5 млн. руб.</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b/>
          <w:i/>
          <w:sz w:val="24"/>
          <w:szCs w:val="24"/>
        </w:rPr>
        <w:t>Железнодорожный транспорт</w:t>
      </w:r>
      <w:r w:rsidRPr="0080737A">
        <w:rPr>
          <w:rFonts w:ascii="Times New Roman" w:hAnsi="Times New Roman"/>
          <w:sz w:val="24"/>
          <w:szCs w:val="24"/>
        </w:rPr>
        <w:t xml:space="preserve"> республики представлен ГУКП «Приднестровская железная дорога».</w:t>
      </w:r>
    </w:p>
    <w:p w:rsidR="0035600F" w:rsidRPr="0080737A" w:rsidRDefault="0035600F" w:rsidP="0035600F">
      <w:pPr>
        <w:tabs>
          <w:tab w:val="left" w:pos="1080"/>
          <w:tab w:val="left" w:pos="1260"/>
        </w:tabs>
        <w:spacing w:after="0" w:line="240" w:lineRule="auto"/>
        <w:ind w:firstLine="709"/>
        <w:jc w:val="both"/>
        <w:rPr>
          <w:rFonts w:ascii="Times New Roman" w:hAnsi="Times New Roman"/>
          <w:spacing w:val="1"/>
          <w:sz w:val="24"/>
          <w:szCs w:val="24"/>
        </w:rPr>
      </w:pPr>
      <w:r w:rsidRPr="0080737A">
        <w:rPr>
          <w:rFonts w:ascii="Times New Roman" w:hAnsi="Times New Roman"/>
          <w:spacing w:val="1"/>
          <w:sz w:val="24"/>
          <w:szCs w:val="24"/>
        </w:rPr>
        <w:t>На фоне снижения объемов перевозок грузов в прямом и местном сообщении на 40,3% и транзита на 27,8% общий объем грузовых перевозок на ГУКП «Приднестровская железная дорога» в январе-июне 2016 года сократился на 31,2% и составил 1 140,3 тыс. тонн.</w:t>
      </w:r>
    </w:p>
    <w:p w:rsidR="0035600F" w:rsidRPr="0080737A" w:rsidRDefault="0035600F" w:rsidP="0035600F">
      <w:pPr>
        <w:tabs>
          <w:tab w:val="left" w:pos="1080"/>
          <w:tab w:val="left" w:pos="1260"/>
        </w:tabs>
        <w:spacing w:after="0" w:line="240" w:lineRule="auto"/>
        <w:ind w:firstLine="709"/>
        <w:jc w:val="both"/>
        <w:rPr>
          <w:rFonts w:ascii="Times New Roman" w:hAnsi="Times New Roman"/>
          <w:spacing w:val="1"/>
          <w:sz w:val="24"/>
          <w:szCs w:val="24"/>
        </w:rPr>
      </w:pPr>
      <w:r w:rsidRPr="0080737A">
        <w:rPr>
          <w:rFonts w:ascii="Times New Roman" w:hAnsi="Times New Roman"/>
          <w:spacing w:val="1"/>
          <w:sz w:val="24"/>
          <w:szCs w:val="24"/>
        </w:rPr>
        <w:t xml:space="preserve">Количество обслуженных пассажиров за I полугодие 2016 года в сложившихся социально-экономических условиях функционирования государства, а также учитывая региональную нестабильность, снизилось по сравнению с аналогичным периодом 2015 года на 27,8% и составило 9,1 тыс. человек. Данная ситуация обусловила снижение доходов от оказания услуг пассажирам в рассматриваемом периоде на 21,2% относительно января-июня 2015 года, достигнув в стоимостном выражении </w:t>
      </w:r>
      <w:r w:rsidR="0049074B" w:rsidRPr="0080737A">
        <w:rPr>
          <w:rFonts w:ascii="Times New Roman" w:hAnsi="Times New Roman"/>
          <w:spacing w:val="1"/>
          <w:sz w:val="24"/>
          <w:szCs w:val="24"/>
        </w:rPr>
        <w:t xml:space="preserve">                           </w:t>
      </w:r>
      <w:r w:rsidRPr="0080737A">
        <w:rPr>
          <w:rFonts w:ascii="Times New Roman" w:hAnsi="Times New Roman"/>
          <w:spacing w:val="1"/>
          <w:sz w:val="24"/>
          <w:szCs w:val="24"/>
        </w:rPr>
        <w:t>333,1 тыс. руб.</w:t>
      </w:r>
    </w:p>
    <w:p w:rsidR="0035600F" w:rsidRPr="0080737A" w:rsidRDefault="0035600F" w:rsidP="0035600F">
      <w:pPr>
        <w:spacing w:after="0" w:line="240" w:lineRule="auto"/>
        <w:ind w:firstLine="709"/>
        <w:jc w:val="both"/>
        <w:rPr>
          <w:rFonts w:ascii="Times New Roman" w:hAnsi="Times New Roman"/>
          <w:spacing w:val="1"/>
          <w:sz w:val="24"/>
          <w:szCs w:val="24"/>
        </w:rPr>
      </w:pPr>
      <w:r w:rsidRPr="0080737A">
        <w:rPr>
          <w:rFonts w:ascii="Times New Roman" w:hAnsi="Times New Roman"/>
          <w:sz w:val="24"/>
          <w:szCs w:val="24"/>
        </w:rPr>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w:t>
      </w:r>
      <w:r w:rsidRPr="0080737A">
        <w:rPr>
          <w:rFonts w:ascii="Times New Roman" w:hAnsi="Times New Roman"/>
          <w:spacing w:val="1"/>
          <w:sz w:val="24"/>
          <w:szCs w:val="24"/>
        </w:rPr>
        <w:t xml:space="preserve">после уплаты налогов ГУКП «Приднестровская железная дорога» получен отрицательный финансовый результат, что обусловлено снижением </w:t>
      </w:r>
      <w:r w:rsidRPr="0080737A">
        <w:rPr>
          <w:rFonts w:ascii="Times New Roman" w:hAnsi="Times New Roman"/>
          <w:spacing w:val="1"/>
          <w:sz w:val="24"/>
          <w:szCs w:val="24"/>
        </w:rPr>
        <w:lastRenderedPageBreak/>
        <w:t>производительности труда, а также ростом затрат на 1 рубль реализованных услуг, на фоне сокращения объема оказанных предприятием услуг.</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b/>
          <w:bCs/>
          <w:i/>
          <w:sz w:val="24"/>
          <w:szCs w:val="24"/>
        </w:rPr>
        <w:t>Внутренний водный (речной) транспорт</w:t>
      </w:r>
      <w:r w:rsidRPr="0080737A">
        <w:rPr>
          <w:rFonts w:ascii="Times New Roman" w:hAnsi="Times New Roman"/>
          <w:sz w:val="24"/>
          <w:szCs w:val="24"/>
        </w:rPr>
        <w:t xml:space="preserve"> республики представлен </w:t>
      </w:r>
      <w:proofErr w:type="spellStart"/>
      <w:r w:rsidRPr="0080737A">
        <w:rPr>
          <w:rFonts w:ascii="Times New Roman" w:hAnsi="Times New Roman"/>
          <w:sz w:val="24"/>
          <w:szCs w:val="24"/>
        </w:rPr>
        <w:t>Рыбницким</w:t>
      </w:r>
      <w:proofErr w:type="spellEnd"/>
      <w:r w:rsidRPr="0080737A">
        <w:rPr>
          <w:rFonts w:ascii="Times New Roman" w:hAnsi="Times New Roman"/>
          <w:sz w:val="24"/>
          <w:szCs w:val="24"/>
        </w:rPr>
        <w:t xml:space="preserve"> и Бендерским речными </w:t>
      </w:r>
      <w:proofErr w:type="spellStart"/>
      <w:r w:rsidRPr="0080737A">
        <w:rPr>
          <w:rFonts w:ascii="Times New Roman" w:hAnsi="Times New Roman"/>
          <w:sz w:val="24"/>
          <w:szCs w:val="24"/>
        </w:rPr>
        <w:t>портами</w:t>
      </w:r>
      <w:proofErr w:type="gramStart"/>
      <w:r w:rsidRPr="0080737A">
        <w:rPr>
          <w:rFonts w:ascii="Times New Roman" w:hAnsi="Times New Roman"/>
          <w:sz w:val="24"/>
          <w:szCs w:val="24"/>
        </w:rPr>
        <w:t>.Н</w:t>
      </w:r>
      <w:proofErr w:type="gramEnd"/>
      <w:r w:rsidRPr="0080737A">
        <w:rPr>
          <w:rFonts w:ascii="Times New Roman" w:hAnsi="Times New Roman"/>
          <w:sz w:val="24"/>
          <w:szCs w:val="24"/>
        </w:rPr>
        <w:t>а</w:t>
      </w:r>
      <w:proofErr w:type="spellEnd"/>
      <w:r w:rsidRPr="0080737A">
        <w:rPr>
          <w:rFonts w:ascii="Times New Roman" w:hAnsi="Times New Roman"/>
          <w:sz w:val="24"/>
          <w:szCs w:val="24"/>
        </w:rPr>
        <w:t xml:space="preserve"> фоне роста доходов от реализации песчано-гравийной смеси и проведения дноочистительных работ в 2,3 раза, за счет получения государственного заказа по очистке Набережной р. Днестр в г. Рыбница, на «ОАО </w:t>
      </w:r>
      <w:proofErr w:type="spellStart"/>
      <w:r w:rsidRPr="0080737A">
        <w:rPr>
          <w:rFonts w:ascii="Times New Roman" w:hAnsi="Times New Roman"/>
          <w:sz w:val="24"/>
          <w:szCs w:val="24"/>
        </w:rPr>
        <w:t>Рыбницкий</w:t>
      </w:r>
      <w:proofErr w:type="spellEnd"/>
      <w:r w:rsidRPr="0080737A">
        <w:rPr>
          <w:rFonts w:ascii="Times New Roman" w:hAnsi="Times New Roman"/>
          <w:sz w:val="24"/>
          <w:szCs w:val="24"/>
        </w:rPr>
        <w:t xml:space="preserve"> речной порт» по итогам I полугодия 2016 года получен положительный финансовый результат (92,7 тыс. руб.), в отличие от убытка полученного в аналогичном периоде 2015 года (28,1 тыс. руб.).</w:t>
      </w:r>
    </w:p>
    <w:p w:rsidR="0035600F" w:rsidRPr="0080737A" w:rsidRDefault="0035600F" w:rsidP="0035600F">
      <w:pPr>
        <w:spacing w:after="0" w:line="240" w:lineRule="auto"/>
        <w:ind w:firstLine="709"/>
        <w:jc w:val="both"/>
        <w:rPr>
          <w:rFonts w:ascii="Times New Roman" w:hAnsi="Times New Roman"/>
          <w:spacing w:val="1"/>
          <w:sz w:val="24"/>
          <w:szCs w:val="24"/>
        </w:rPr>
      </w:pPr>
      <w:r w:rsidRPr="0080737A">
        <w:rPr>
          <w:rFonts w:ascii="Times New Roman" w:hAnsi="Times New Roman"/>
          <w:sz w:val="24"/>
          <w:szCs w:val="24"/>
        </w:rPr>
        <w:t>На ОАО</w:t>
      </w:r>
      <w:proofErr w:type="gramStart"/>
      <w:r w:rsidRPr="0080737A">
        <w:rPr>
          <w:rFonts w:ascii="Times New Roman" w:hAnsi="Times New Roman"/>
          <w:sz w:val="24"/>
          <w:szCs w:val="24"/>
        </w:rPr>
        <w:t>«Б</w:t>
      </w:r>
      <w:proofErr w:type="gramEnd"/>
      <w:r w:rsidRPr="0080737A">
        <w:rPr>
          <w:rFonts w:ascii="Times New Roman" w:hAnsi="Times New Roman"/>
          <w:sz w:val="24"/>
          <w:szCs w:val="24"/>
        </w:rPr>
        <w:t xml:space="preserve">ендерский речной порт» отмечен рост доходов от реализуемой песчано-гравийной смеси на 6,1%, в составе выручки предприятия доходы от реализации песчано-гравийной смеси в январе-июне 2016 года составили 76,3% (против 77,4% в I полугодии 2015 года). Однако в связи со снижением объема доходов от оказания услуг по пассажирским перевозкам на 8,1%, отсутствием заказов по санации русла реки Днестр и выполнению дноуглубительных работ, по итогам </w:t>
      </w:r>
      <w:r w:rsidRPr="0080737A">
        <w:rPr>
          <w:rFonts w:ascii="Times New Roman" w:hAnsi="Times New Roman"/>
          <w:sz w:val="24"/>
          <w:szCs w:val="24"/>
          <w:lang w:val="en-US"/>
        </w:rPr>
        <w:t>I</w:t>
      </w:r>
      <w:r w:rsidRPr="0080737A">
        <w:rPr>
          <w:rFonts w:ascii="Times New Roman" w:hAnsi="Times New Roman"/>
          <w:sz w:val="24"/>
          <w:szCs w:val="24"/>
        </w:rPr>
        <w:t xml:space="preserve"> полугодия 2016 года на предприятии наблюдается отрицательное значение финансового результата до налогообложения в размере 360,7 тыс. руб.</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Наиболее значимыми негативными факторами, оказывающими влияние на результаты работы предприятий речного транспорта, являются:</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отсутствие государственного заказа на выполнение дноуглубительных работ по судовому ходу;</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уменьшение рынка сбыта песчано-гравийной смеси в условиях снижения покупательной способности;</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недостаток техники: погрузчики, самосвалы, оборудование по промывке песка;</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отсутствие инвесторов в части использования территории, зданий и сооружений судоремонтного участка, а также грузового района Варница;</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пробелы в нормативно-правовой базе, регламентирующей деятельность в области внутреннего водного транспорта;</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 </w:t>
      </w:r>
      <w:proofErr w:type="spellStart"/>
      <w:r w:rsidRPr="0080737A">
        <w:rPr>
          <w:rFonts w:ascii="Times New Roman" w:hAnsi="Times New Roman"/>
          <w:sz w:val="24"/>
          <w:szCs w:val="24"/>
        </w:rPr>
        <w:t>неурегулированность</w:t>
      </w:r>
      <w:proofErr w:type="spellEnd"/>
      <w:r w:rsidRPr="0080737A">
        <w:rPr>
          <w:rFonts w:ascii="Times New Roman" w:hAnsi="Times New Roman"/>
          <w:sz w:val="24"/>
          <w:szCs w:val="24"/>
        </w:rPr>
        <w:t xml:space="preserve"> межгосударственных отношений в сфере грузовых перевозок водным транспортом;</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не соответствие качества реализуемой песчано-гравийной смеси техническим требованиям, в результате чего дорожные службы отказываются закупать речной песок и песчано-гравийную смесь;</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снижение пассажиропотока и падение спроса на прогулочные катания по реке;</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навигационная обстановка водных путей находится в критической ситуации, а именно, в настоящее время протяженность эксплуатируемых водных путей на р. Днестр сократилась до 170 км.</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pacing w:val="6"/>
          <w:sz w:val="24"/>
          <w:szCs w:val="24"/>
        </w:rPr>
        <w:t xml:space="preserve">Принимая во внимание сложившуюся в транспортной сфере республики ситуацию, </w:t>
      </w:r>
      <w:r w:rsidRPr="0080737A">
        <w:rPr>
          <w:rFonts w:ascii="Times New Roman" w:hAnsi="Times New Roman"/>
          <w:b/>
          <w:i/>
          <w:spacing w:val="6"/>
          <w:sz w:val="24"/>
          <w:szCs w:val="24"/>
        </w:rPr>
        <w:t>государственная политика в области координации и развития транспорта</w:t>
      </w:r>
      <w:r w:rsidR="00EF7D3C" w:rsidRPr="0080737A">
        <w:rPr>
          <w:rFonts w:ascii="Times New Roman" w:hAnsi="Times New Roman"/>
          <w:b/>
          <w:i/>
          <w:spacing w:val="6"/>
          <w:sz w:val="24"/>
          <w:szCs w:val="24"/>
        </w:rPr>
        <w:t xml:space="preserve"> </w:t>
      </w:r>
      <w:r w:rsidRPr="0080737A">
        <w:rPr>
          <w:rFonts w:ascii="Times New Roman" w:hAnsi="Times New Roman"/>
          <w:sz w:val="24"/>
          <w:szCs w:val="24"/>
        </w:rPr>
        <w:t>была</w:t>
      </w:r>
      <w:r w:rsidRPr="0080737A">
        <w:rPr>
          <w:rFonts w:ascii="Times New Roman" w:hAnsi="Times New Roman"/>
          <w:spacing w:val="6"/>
          <w:sz w:val="24"/>
          <w:szCs w:val="24"/>
        </w:rPr>
        <w:t xml:space="preserve"> направлена на </w:t>
      </w:r>
      <w:r w:rsidRPr="0080737A">
        <w:rPr>
          <w:rFonts w:ascii="Times New Roman" w:hAnsi="Times New Roman"/>
          <w:sz w:val="24"/>
          <w:szCs w:val="24"/>
        </w:rPr>
        <w:t>улучшение качества обслуживания пассажиров, рационального использования средств республиканского бюджета при финансировании льготных категорий граждан</w:t>
      </w:r>
      <w:r w:rsidRPr="0080737A">
        <w:rPr>
          <w:rFonts w:ascii="Times New Roman" w:hAnsi="Times New Roman"/>
          <w:spacing w:val="6"/>
          <w:sz w:val="24"/>
          <w:szCs w:val="24"/>
        </w:rPr>
        <w:t>.</w:t>
      </w:r>
      <w:r w:rsidRPr="0080737A">
        <w:rPr>
          <w:rFonts w:ascii="Times New Roman" w:hAnsi="Times New Roman"/>
          <w:sz w:val="24"/>
          <w:szCs w:val="24"/>
        </w:rPr>
        <w:t xml:space="preserve"> В целях проведения контроля корректности предоставления транспортными организациями сумм потерь от перевозки льготных категорий граждан, представляемых к возмещению из Республиканского бюджета, Министерством регионального развития, транспорта и связи проводится аналитический учет информации об объемах оказанных услуг организациями-перевозчиками.</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Для улучшения ведения финансово-хозяйственной деятельности необходима разработка государственной программы по борьбе с незаконными перевозками пассажиров, увеличение штрафных санкций за осуществление незаконных перевозок пассажиров и багажа, а также введение на территории Приднестровской Молдавской Республики автоматизированной системы оплаты проезда.</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Таким образом, ряд сложностей, связанных с высоким тарифом на перевозку пассажиров транспортом общего пользования в сравнении с Республикой Молдова и </w:t>
      </w:r>
      <w:r w:rsidRPr="0080737A">
        <w:rPr>
          <w:rFonts w:ascii="Times New Roman" w:hAnsi="Times New Roman"/>
          <w:sz w:val="24"/>
          <w:szCs w:val="24"/>
        </w:rPr>
        <w:lastRenderedPageBreak/>
        <w:t xml:space="preserve">Украиной, отсутствием жестких санкций при нарушении транспортного законодательства, непредставлением со стороны Республики Молдова разрешительных документов на осуществление международных грузовых и пассажирских перевозок, в совокупности с трудностями в </w:t>
      </w:r>
      <w:proofErr w:type="gramStart"/>
      <w:r w:rsidRPr="0080737A">
        <w:rPr>
          <w:rFonts w:ascii="Times New Roman" w:hAnsi="Times New Roman"/>
          <w:sz w:val="24"/>
          <w:szCs w:val="24"/>
        </w:rPr>
        <w:t>функционировании</w:t>
      </w:r>
      <w:proofErr w:type="gramEnd"/>
      <w:r w:rsidRPr="0080737A">
        <w:rPr>
          <w:rFonts w:ascii="Times New Roman" w:hAnsi="Times New Roman"/>
          <w:sz w:val="24"/>
          <w:szCs w:val="24"/>
        </w:rPr>
        <w:t xml:space="preserve"> как промышленных предприятий, так и экономики в целом, оказали определяющее влияние на итоги развития отрасли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w:t>
      </w:r>
    </w:p>
    <w:p w:rsidR="00335844" w:rsidRPr="0080737A" w:rsidRDefault="00335844" w:rsidP="00335844">
      <w:pPr>
        <w:shd w:val="clear" w:color="auto" w:fill="FFFFFF"/>
        <w:spacing w:after="0" w:line="240" w:lineRule="auto"/>
        <w:ind w:firstLine="709"/>
        <w:jc w:val="both"/>
        <w:rPr>
          <w:rFonts w:ascii="Times New Roman" w:hAnsi="Times New Roman"/>
          <w:sz w:val="24"/>
          <w:szCs w:val="24"/>
        </w:rPr>
      </w:pPr>
    </w:p>
    <w:p w:rsidR="00335844" w:rsidRPr="0080737A" w:rsidRDefault="00335844" w:rsidP="00335844">
      <w:pPr>
        <w:widowControl w:val="0"/>
        <w:autoSpaceDE w:val="0"/>
        <w:autoSpaceDN w:val="0"/>
        <w:adjustRightInd w:val="0"/>
        <w:spacing w:after="0" w:line="240" w:lineRule="auto"/>
        <w:ind w:firstLine="709"/>
        <w:jc w:val="both"/>
        <w:rPr>
          <w:rFonts w:ascii="Times New Roman" w:hAnsi="Times New Roman"/>
          <w:b/>
          <w:sz w:val="24"/>
          <w:szCs w:val="24"/>
        </w:rPr>
      </w:pPr>
      <w:r w:rsidRPr="0080737A">
        <w:rPr>
          <w:rFonts w:ascii="Times New Roman" w:hAnsi="Times New Roman"/>
          <w:b/>
          <w:sz w:val="24"/>
          <w:szCs w:val="24"/>
        </w:rPr>
        <w:t>Связь</w:t>
      </w:r>
    </w:p>
    <w:p w:rsidR="00335844" w:rsidRPr="0080737A" w:rsidRDefault="00335844" w:rsidP="00335844">
      <w:pPr>
        <w:pStyle w:val="ae"/>
        <w:ind w:firstLine="709"/>
        <w:jc w:val="left"/>
        <w:rPr>
          <w:b/>
          <w:sz w:val="24"/>
          <w:szCs w:val="24"/>
        </w:rPr>
      </w:pP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Несмотря на то, что отрасль связи является одной из наиболее динамично развивающихся отраслей экономики, в условиях дестабилизирующего воздействия внешних и внутренних факторов,</w:t>
      </w:r>
      <w:r w:rsidR="00EF7D3C" w:rsidRPr="0080737A">
        <w:rPr>
          <w:rFonts w:ascii="Times New Roman" w:hAnsi="Times New Roman"/>
          <w:sz w:val="24"/>
          <w:szCs w:val="24"/>
        </w:rPr>
        <w:t xml:space="preserve"> </w:t>
      </w:r>
      <w:r w:rsidRPr="0080737A">
        <w:rPr>
          <w:rFonts w:ascii="Times New Roman" w:hAnsi="Times New Roman"/>
          <w:sz w:val="24"/>
          <w:szCs w:val="24"/>
        </w:rPr>
        <w:t xml:space="preserve">влияющих на развитие и деловую активность предприятий, темпы прироста суммарного дохода от предоставления услуг связи в январе-июне 2016 года в реальном выражении несколько замедлились. Так, совокупный доход от основной деятельности организаций, предоставляющих услуги связи, с учетом субъектов малого предпринимательства, сложился в размере355,4млн. руб., что на 2,8%ниже уровня января-июня 2015 года. </w:t>
      </w:r>
    </w:p>
    <w:p w:rsidR="00834CD9" w:rsidRPr="0080737A" w:rsidRDefault="00834CD9" w:rsidP="00834CD9">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Доход от основной деятельности, полученный ключевыми представителями отрасли (без субъектов малого предпринимательства), в текущем периоде уменьшился на 2,9% к уровню января-июня 2015 года, составив 354,8 млн. руб. Существенная доля полученной</w:t>
      </w:r>
      <w:r w:rsidR="00EF7D3C" w:rsidRPr="0080737A">
        <w:rPr>
          <w:rFonts w:ascii="Times New Roman" w:hAnsi="Times New Roman"/>
          <w:sz w:val="24"/>
          <w:szCs w:val="24"/>
        </w:rPr>
        <w:t xml:space="preserve"> </w:t>
      </w:r>
      <w:r w:rsidRPr="0080737A">
        <w:rPr>
          <w:rFonts w:ascii="Times New Roman" w:hAnsi="Times New Roman"/>
          <w:sz w:val="24"/>
          <w:szCs w:val="24"/>
        </w:rPr>
        <w:t>прибыли приходится на услуги электросвязи (телекоммуникации) - 99,3% или 352,2млн. руб., доходы от услуг предоставления почтовой связи составляют лишь 0,7% или 2,6млн. руб.</w:t>
      </w:r>
      <w:proofErr w:type="gramEnd"/>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анализируемом периоде основное влияние на снижение совокупной величины доходов от предоставления услуг телекоммуникаций оказало</w:t>
      </w:r>
      <w:r w:rsidR="00EF7D3C" w:rsidRPr="0080737A">
        <w:rPr>
          <w:rFonts w:ascii="Times New Roman" w:hAnsi="Times New Roman"/>
          <w:sz w:val="24"/>
          <w:szCs w:val="24"/>
        </w:rPr>
        <w:t xml:space="preserve"> </w:t>
      </w:r>
      <w:r w:rsidRPr="0080737A">
        <w:rPr>
          <w:rFonts w:ascii="Times New Roman" w:hAnsi="Times New Roman"/>
          <w:sz w:val="24"/>
          <w:szCs w:val="24"/>
        </w:rPr>
        <w:t xml:space="preserve">уменьшение суммы доходов по таким </w:t>
      </w:r>
      <w:proofErr w:type="spellStart"/>
      <w:r w:rsidRPr="0080737A">
        <w:rPr>
          <w:rFonts w:ascii="Times New Roman" w:hAnsi="Times New Roman"/>
          <w:sz w:val="24"/>
          <w:szCs w:val="24"/>
        </w:rPr>
        <w:t>подотраслям</w:t>
      </w:r>
      <w:proofErr w:type="spellEnd"/>
      <w:r w:rsidRPr="0080737A">
        <w:rPr>
          <w:rFonts w:ascii="Times New Roman" w:hAnsi="Times New Roman"/>
          <w:sz w:val="24"/>
          <w:szCs w:val="24"/>
        </w:rPr>
        <w:t xml:space="preserve"> электросвязи как: фиксированная связь («-»9,5%) и мобильная связь («-»2,2%). По остальным </w:t>
      </w:r>
      <w:proofErr w:type="spellStart"/>
      <w:r w:rsidRPr="0080737A">
        <w:rPr>
          <w:rFonts w:ascii="Times New Roman" w:hAnsi="Times New Roman"/>
          <w:sz w:val="24"/>
          <w:szCs w:val="24"/>
        </w:rPr>
        <w:t>подотраслям</w:t>
      </w:r>
      <w:proofErr w:type="spellEnd"/>
      <w:r w:rsidRPr="0080737A">
        <w:rPr>
          <w:rFonts w:ascii="Times New Roman" w:hAnsi="Times New Roman"/>
          <w:sz w:val="24"/>
          <w:szCs w:val="24"/>
        </w:rPr>
        <w:t xml:space="preserve"> зафиксирован прирост: передача данных и доступ к глобальной сети Интернет («+»1,0%), телевизионное вещание («+»0,3%), радиовещание («+»1,5%), телеграфная связь («+»1,3%).</w:t>
      </w:r>
    </w:p>
    <w:p w:rsidR="00834CD9" w:rsidRPr="0080737A" w:rsidRDefault="00834CD9" w:rsidP="00834CD9">
      <w:pPr>
        <w:spacing w:after="0" w:line="240" w:lineRule="auto"/>
        <w:ind w:left="-993" w:right="-568"/>
        <w:jc w:val="center"/>
        <w:rPr>
          <w:rFonts w:ascii="Times New Roman" w:hAnsi="Times New Roman"/>
          <w:sz w:val="24"/>
          <w:szCs w:val="24"/>
        </w:rPr>
      </w:pPr>
      <w:r w:rsidRPr="0080737A">
        <w:rPr>
          <w:rFonts w:ascii="Times New Roman" w:hAnsi="Times New Roman"/>
          <w:noProof/>
          <w:sz w:val="24"/>
          <w:szCs w:val="24"/>
        </w:rPr>
        <w:drawing>
          <wp:inline distT="0" distB="0" distL="0" distR="0">
            <wp:extent cx="7019925" cy="30003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34CD9" w:rsidRPr="0080737A" w:rsidRDefault="00834CD9" w:rsidP="00834CD9">
      <w:pPr>
        <w:spacing w:after="0" w:line="240" w:lineRule="auto"/>
        <w:ind w:right="-1" w:firstLine="709"/>
        <w:jc w:val="both"/>
        <w:rPr>
          <w:rFonts w:ascii="Times New Roman" w:hAnsi="Times New Roman"/>
          <w:sz w:val="24"/>
          <w:szCs w:val="24"/>
        </w:rPr>
      </w:pPr>
    </w:p>
    <w:p w:rsidR="00834CD9" w:rsidRPr="0080737A" w:rsidRDefault="00834CD9" w:rsidP="00834CD9">
      <w:pPr>
        <w:spacing w:after="0" w:line="240" w:lineRule="auto"/>
        <w:ind w:right="-1" w:firstLine="709"/>
        <w:jc w:val="both"/>
        <w:rPr>
          <w:rFonts w:ascii="Times New Roman" w:hAnsi="Times New Roman"/>
          <w:sz w:val="24"/>
          <w:szCs w:val="24"/>
        </w:rPr>
      </w:pPr>
      <w:r w:rsidRPr="0080737A">
        <w:rPr>
          <w:rFonts w:ascii="Times New Roman" w:hAnsi="Times New Roman"/>
          <w:sz w:val="24"/>
          <w:szCs w:val="24"/>
        </w:rPr>
        <w:t>В сфере оказания услуг электросвязи лидером по-прежнему остается СЗАО «</w:t>
      </w:r>
      <w:proofErr w:type="spellStart"/>
      <w:r w:rsidRPr="0080737A">
        <w:rPr>
          <w:rFonts w:ascii="Times New Roman" w:hAnsi="Times New Roman"/>
          <w:sz w:val="24"/>
          <w:szCs w:val="24"/>
        </w:rPr>
        <w:t>Интерднестрком</w:t>
      </w:r>
      <w:proofErr w:type="spellEnd"/>
      <w:r w:rsidRPr="0080737A">
        <w:rPr>
          <w:rFonts w:ascii="Times New Roman" w:hAnsi="Times New Roman"/>
          <w:sz w:val="24"/>
          <w:szCs w:val="24"/>
        </w:rPr>
        <w:t xml:space="preserve">», на долю которого приходится 329,7 млн. руб. (в первом полугодии 2015 года – 341,6 млн. руб.) или 93,6% суммарного дохода от предоставления услуг электросвязи. </w:t>
      </w:r>
    </w:p>
    <w:p w:rsidR="00834CD9" w:rsidRPr="0080737A" w:rsidRDefault="00834CD9" w:rsidP="00834CD9">
      <w:pPr>
        <w:spacing w:after="0" w:line="240" w:lineRule="auto"/>
        <w:ind w:right="-1" w:firstLine="709"/>
        <w:jc w:val="both"/>
        <w:rPr>
          <w:rFonts w:ascii="Times New Roman" w:hAnsi="Times New Roman"/>
          <w:sz w:val="24"/>
          <w:szCs w:val="24"/>
        </w:rPr>
      </w:pPr>
      <w:r w:rsidRPr="0080737A">
        <w:rPr>
          <w:rFonts w:ascii="Times New Roman" w:hAnsi="Times New Roman"/>
          <w:sz w:val="24"/>
          <w:szCs w:val="24"/>
        </w:rPr>
        <w:t>СЗАО «</w:t>
      </w:r>
      <w:proofErr w:type="spellStart"/>
      <w:r w:rsidRPr="0080737A">
        <w:rPr>
          <w:rFonts w:ascii="Times New Roman" w:hAnsi="Times New Roman"/>
          <w:sz w:val="24"/>
          <w:szCs w:val="24"/>
        </w:rPr>
        <w:t>Интерднестрком</w:t>
      </w:r>
      <w:proofErr w:type="spellEnd"/>
      <w:r w:rsidRPr="0080737A">
        <w:rPr>
          <w:rFonts w:ascii="Times New Roman" w:hAnsi="Times New Roman"/>
          <w:sz w:val="24"/>
          <w:szCs w:val="24"/>
        </w:rPr>
        <w:t xml:space="preserve">» также является самым крупным оператором фиксированной связи (местной, междугородной и международной телефонной связи, в </w:t>
      </w:r>
      <w:r w:rsidRPr="0080737A">
        <w:rPr>
          <w:rFonts w:ascii="Times New Roman" w:hAnsi="Times New Roman"/>
          <w:sz w:val="24"/>
          <w:szCs w:val="24"/>
        </w:rPr>
        <w:lastRenderedPageBreak/>
        <w:t>том числе с применением технологии WLL), занимающий наибольший удельный вес(98,0%) по использованию монтированной емкости.</w:t>
      </w:r>
    </w:p>
    <w:p w:rsidR="00834CD9" w:rsidRPr="0080737A" w:rsidRDefault="00834CD9" w:rsidP="00834CD9">
      <w:pPr>
        <w:spacing w:after="0" w:line="240" w:lineRule="auto"/>
        <w:ind w:right="-1" w:firstLine="709"/>
        <w:jc w:val="both"/>
        <w:rPr>
          <w:rFonts w:ascii="Times New Roman" w:hAnsi="Times New Roman"/>
          <w:bCs/>
          <w:sz w:val="24"/>
          <w:szCs w:val="24"/>
        </w:rPr>
      </w:pPr>
      <w:proofErr w:type="gramStart"/>
      <w:r w:rsidRPr="0080737A">
        <w:rPr>
          <w:rFonts w:ascii="Times New Roman" w:hAnsi="Times New Roman"/>
          <w:sz w:val="24"/>
          <w:szCs w:val="24"/>
        </w:rPr>
        <w:t xml:space="preserve">Повышенный потребительский спрос на более доступные и высокотехнологичные услуги на базе IP технологий, стал основной причиной сокращения количества зарегистрированных абонентов </w:t>
      </w:r>
      <w:r w:rsidRPr="0080737A">
        <w:rPr>
          <w:rFonts w:ascii="Times New Roman" w:hAnsi="Times New Roman"/>
          <w:sz w:val="24"/>
          <w:szCs w:val="24"/>
          <w:u w:val="single"/>
        </w:rPr>
        <w:t>фиксированной электросвязи</w:t>
      </w:r>
      <w:r w:rsidRPr="0080737A">
        <w:rPr>
          <w:rFonts w:ascii="Times New Roman" w:hAnsi="Times New Roman"/>
          <w:sz w:val="24"/>
          <w:szCs w:val="24"/>
        </w:rPr>
        <w:t xml:space="preserve"> к уровню января-июня </w:t>
      </w:r>
      <w:r w:rsidRPr="0080737A">
        <w:rPr>
          <w:rFonts w:ascii="Times New Roman" w:hAnsi="Times New Roman"/>
          <w:sz w:val="24"/>
          <w:szCs w:val="24"/>
        </w:rPr>
        <w:br/>
        <w:t>2015 года («-»</w:t>
      </w:r>
      <w:r w:rsidRPr="0080737A">
        <w:rPr>
          <w:rFonts w:ascii="Times New Roman" w:hAnsi="Times New Roman"/>
          <w:bCs/>
          <w:sz w:val="24"/>
          <w:szCs w:val="24"/>
        </w:rPr>
        <w:t xml:space="preserve">7 655 абонента), составив 190 318 абонентов, из которых 147 709 (77,6%) </w:t>
      </w:r>
      <w:r w:rsidRPr="0080737A">
        <w:rPr>
          <w:rFonts w:ascii="Times New Roman" w:hAnsi="Times New Roman"/>
          <w:sz w:val="24"/>
          <w:szCs w:val="24"/>
        </w:rPr>
        <w:t>проживают в городских населенных пунктах, а 42 609 (22,4%) - в сельских населенных пунктах.</w:t>
      </w:r>
      <w:proofErr w:type="gramEnd"/>
    </w:p>
    <w:p w:rsidR="00834CD9" w:rsidRPr="0080737A" w:rsidRDefault="00834CD9" w:rsidP="00834CD9">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В голосовом исходящем трафике фиксированной связи наибольший удельный вес принадлежит трафику фиксированных местных сетей - 74,9%, соединения с абонентами сотовой мобильной связью составляют 15,6%, трафик к междугородным и международным сетям составляет 6,0% и 3,9%соответственно.</w:t>
      </w:r>
    </w:p>
    <w:p w:rsidR="00834CD9" w:rsidRPr="0080737A" w:rsidRDefault="00834CD9" w:rsidP="00834CD9">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В рассматриваемом периоде численность исходящих местных телефонных соединений по городской и сельской телефонной сети уменьшилась на 4,3% или на 3 344,5 тыс. звонков и составила 54 061,6 тыс. соединений. Продолжительность местных телефонных соединений (исходящий трафик) снизилась на 8,5% до 114 080,9 тыс. минут. Длительность одного среднестатистического исходящего разговора абонента местной телефонной сети составила 2,1 минуты.</w:t>
      </w:r>
    </w:p>
    <w:p w:rsidR="00834CD9" w:rsidRPr="0080737A" w:rsidRDefault="00834CD9" w:rsidP="00834CD9">
      <w:pPr>
        <w:spacing w:after="0" w:line="240" w:lineRule="auto"/>
        <w:ind w:firstLine="720"/>
        <w:jc w:val="both"/>
        <w:rPr>
          <w:rFonts w:ascii="Times New Roman" w:hAnsi="Times New Roman"/>
          <w:sz w:val="24"/>
          <w:szCs w:val="24"/>
        </w:rPr>
      </w:pPr>
      <w:r w:rsidRPr="0080737A">
        <w:rPr>
          <w:rFonts w:ascii="Times New Roman" w:hAnsi="Times New Roman"/>
          <w:sz w:val="24"/>
          <w:szCs w:val="24"/>
        </w:rPr>
        <w:t xml:space="preserve">Количество исходящих местных телефонных соединений с абонентами сети сотовой мобильной связи уменьшилось на 1,0% и составило 20 600,6 тыс. соединений. Продолжительность исходящего одного среднестатистического разговора абонентов местных телефонных сетей с абонентами сети сотовой мобильной связи составляет 1,16 минуты. </w:t>
      </w:r>
    </w:p>
    <w:p w:rsidR="00834CD9" w:rsidRPr="0080737A" w:rsidRDefault="00834CD9" w:rsidP="00834CD9">
      <w:pPr>
        <w:spacing w:after="0" w:line="240" w:lineRule="auto"/>
        <w:ind w:firstLine="709"/>
        <w:jc w:val="both"/>
        <w:rPr>
          <w:rFonts w:ascii="Times New Roman" w:hAnsi="Times New Roman"/>
          <w:bCs/>
          <w:sz w:val="24"/>
          <w:szCs w:val="24"/>
        </w:rPr>
      </w:pPr>
      <w:r w:rsidRPr="0080737A">
        <w:rPr>
          <w:rFonts w:ascii="Times New Roman" w:hAnsi="Times New Roman"/>
          <w:bCs/>
          <w:sz w:val="24"/>
          <w:szCs w:val="24"/>
        </w:rPr>
        <w:t>Число абонентов мобильной сотовой связи составляет 327 658, что на 2,2% меньше базового уровня января-июня 2015 года. О</w:t>
      </w:r>
      <w:r w:rsidRPr="0080737A">
        <w:rPr>
          <w:rFonts w:ascii="Times New Roman" w:hAnsi="Times New Roman"/>
          <w:sz w:val="24"/>
          <w:szCs w:val="24"/>
        </w:rPr>
        <w:t>бщий объем голосового трафика (исходящего и входящего) в мобильных сетях составил 335 221,6 тыс. минут (5 587,0 тыс. часов) и уменьшился по сравнению с аналогичным периодом прошлого года на 31 679,2 тыс. минут (на 8,6%).</w:t>
      </w: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Среднемесячное количество минут (исходящих и входящих), потребленных одним пользователем в мобильных сетях (показатель M</w:t>
      </w:r>
      <w:proofErr w:type="gramStart"/>
      <w:r w:rsidRPr="0080737A">
        <w:rPr>
          <w:rFonts w:ascii="Times New Roman" w:hAnsi="Times New Roman"/>
          <w:sz w:val="24"/>
          <w:szCs w:val="24"/>
        </w:rPr>
        <w:t>О</w:t>
      </w:r>
      <w:proofErr w:type="gramEnd"/>
      <w:r w:rsidRPr="0080737A">
        <w:rPr>
          <w:rFonts w:ascii="Times New Roman" w:hAnsi="Times New Roman"/>
          <w:sz w:val="24"/>
          <w:szCs w:val="24"/>
        </w:rPr>
        <w:t>U), в анализируемом периоде составляет 165 минут (2,75 часа) в месяц, сократившись к аналогичному периоду прошлого года на 9,3%. Из общего</w:t>
      </w:r>
      <w:r w:rsidR="00EF7D3C" w:rsidRPr="0080737A">
        <w:rPr>
          <w:rFonts w:ascii="Times New Roman" w:hAnsi="Times New Roman"/>
          <w:sz w:val="24"/>
          <w:szCs w:val="24"/>
        </w:rPr>
        <w:t xml:space="preserve"> </w:t>
      </w:r>
      <w:r w:rsidRPr="0080737A">
        <w:rPr>
          <w:rFonts w:ascii="Times New Roman" w:hAnsi="Times New Roman"/>
          <w:sz w:val="24"/>
          <w:szCs w:val="24"/>
        </w:rPr>
        <w:t xml:space="preserve">количества потребленных минут одним пользователем в мобильных сетях соединений по территории Республики составляет 164. </w:t>
      </w: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Для абонентов сотовой мобильной связи обеспечена услуга международного роуминга более чем с 200 странами, также предоставлена возможность высокоскоростного доступа к глобальной сети Интернет, услуги мобильного телевидения.</w:t>
      </w: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Построение на всей территории Приднестровья </w:t>
      </w:r>
      <w:proofErr w:type="spellStart"/>
      <w:r w:rsidRPr="0080737A">
        <w:rPr>
          <w:rFonts w:ascii="Times New Roman" w:hAnsi="Times New Roman"/>
          <w:sz w:val="24"/>
          <w:szCs w:val="24"/>
        </w:rPr>
        <w:t>мультисервисной</w:t>
      </w:r>
      <w:proofErr w:type="spellEnd"/>
      <w:r w:rsidRPr="0080737A">
        <w:rPr>
          <w:rFonts w:ascii="Times New Roman" w:hAnsi="Times New Roman"/>
          <w:sz w:val="24"/>
          <w:szCs w:val="24"/>
        </w:rPr>
        <w:t xml:space="preserve"> транспортной высокоскоростной сети на базе технологии IP, позволяющей передавать трафик любого типа, дало возможность операторам электросвязи обеспечить широкополосный доступ в Интернет, радиовещание, доступ к информационным серверам, аудио архивам. </w:t>
      </w: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Так, в январе-июне 2016 года численность абонентов, подключенных к </w:t>
      </w:r>
      <w:r w:rsidRPr="0080737A">
        <w:rPr>
          <w:rFonts w:ascii="Times New Roman" w:hAnsi="Times New Roman"/>
          <w:sz w:val="24"/>
          <w:szCs w:val="24"/>
          <w:u w:val="single"/>
        </w:rPr>
        <w:t>глобальной сети Интернет</w:t>
      </w:r>
      <w:r w:rsidRPr="0080737A">
        <w:rPr>
          <w:rFonts w:ascii="Times New Roman" w:hAnsi="Times New Roman"/>
          <w:sz w:val="24"/>
          <w:szCs w:val="24"/>
        </w:rPr>
        <w:t xml:space="preserve"> (кроме сетей мобильной связи) составила 108 237 абонентов, из которых: 97,0% или 104 996 абонентов физические лица, а 3,0% или 3 241 абонент – юридические лица. Для юридических лиц предоставлена возможность оптимизировать структуры своих компьютерных сетей, объединив свои филиалы на основе существующей инфраструктуры и сетей передачи данных операторов электросвязи. </w:t>
      </w:r>
    </w:p>
    <w:p w:rsidR="00834CD9" w:rsidRPr="0080737A" w:rsidRDefault="00834CD9" w:rsidP="00834CD9">
      <w:pPr>
        <w:autoSpaceDE w:val="0"/>
        <w:autoSpaceDN w:val="0"/>
        <w:adjustRightInd w:val="0"/>
        <w:spacing w:after="0" w:line="240" w:lineRule="auto"/>
        <w:ind w:firstLine="720"/>
        <w:jc w:val="both"/>
        <w:rPr>
          <w:rFonts w:ascii="Times New Roman" w:hAnsi="Times New Roman"/>
          <w:sz w:val="24"/>
          <w:szCs w:val="24"/>
        </w:rPr>
      </w:pPr>
      <w:r w:rsidRPr="0080737A">
        <w:rPr>
          <w:rFonts w:ascii="Times New Roman" w:hAnsi="Times New Roman"/>
          <w:sz w:val="24"/>
          <w:szCs w:val="24"/>
        </w:rPr>
        <w:t xml:space="preserve">Производственно-технологический комплекс технических и транспортных средств, обеспечивающий прием, обработку, перевозку, доставку (вручение) почтовых отправлений, а также осуществляющий переводы денежных средств, представлен государственным унитарным предприятием </w:t>
      </w:r>
      <w:r w:rsidRPr="0080737A">
        <w:rPr>
          <w:rFonts w:ascii="Times New Roman" w:hAnsi="Times New Roman"/>
          <w:sz w:val="24"/>
          <w:szCs w:val="24"/>
          <w:u w:val="single"/>
        </w:rPr>
        <w:t>почтовой связи</w:t>
      </w:r>
      <w:r w:rsidRPr="0080737A">
        <w:rPr>
          <w:rFonts w:ascii="Times New Roman" w:hAnsi="Times New Roman"/>
          <w:sz w:val="24"/>
          <w:szCs w:val="24"/>
        </w:rPr>
        <w:t xml:space="preserve"> ГУП «Почта Приднестровья», (в состав которого входят 6 дочерних предприятий), а также предприятиями негосударственной формы собственности: ООО «СПН», ООО «</w:t>
      </w:r>
      <w:proofErr w:type="spellStart"/>
      <w:r w:rsidRPr="0080737A">
        <w:rPr>
          <w:rFonts w:ascii="Times New Roman" w:hAnsi="Times New Roman"/>
          <w:sz w:val="24"/>
          <w:szCs w:val="24"/>
        </w:rPr>
        <w:t>Деливири</w:t>
      </w:r>
      <w:proofErr w:type="spellEnd"/>
      <w:r w:rsidRPr="0080737A">
        <w:rPr>
          <w:rFonts w:ascii="Times New Roman" w:hAnsi="Times New Roman"/>
          <w:sz w:val="24"/>
          <w:szCs w:val="24"/>
        </w:rPr>
        <w:t xml:space="preserve"> Интернет </w:t>
      </w:r>
      <w:proofErr w:type="spellStart"/>
      <w:r w:rsidRPr="0080737A">
        <w:rPr>
          <w:rFonts w:ascii="Times New Roman" w:hAnsi="Times New Roman"/>
          <w:sz w:val="24"/>
          <w:szCs w:val="24"/>
        </w:rPr>
        <w:t>Парсел</w:t>
      </w:r>
      <w:proofErr w:type="spellEnd"/>
      <w:r w:rsidRPr="0080737A">
        <w:rPr>
          <w:rFonts w:ascii="Times New Roman" w:hAnsi="Times New Roman"/>
          <w:sz w:val="24"/>
          <w:szCs w:val="24"/>
        </w:rPr>
        <w:t>», ООО «</w:t>
      </w:r>
      <w:proofErr w:type="spellStart"/>
      <w:r w:rsidRPr="0080737A">
        <w:rPr>
          <w:rFonts w:ascii="Times New Roman" w:hAnsi="Times New Roman"/>
          <w:sz w:val="24"/>
          <w:szCs w:val="24"/>
        </w:rPr>
        <w:t>Авиаэкспресс</w:t>
      </w:r>
      <w:proofErr w:type="spellEnd"/>
      <w:r w:rsidRPr="0080737A">
        <w:rPr>
          <w:rFonts w:ascii="Times New Roman" w:hAnsi="Times New Roman"/>
          <w:sz w:val="24"/>
          <w:szCs w:val="24"/>
        </w:rPr>
        <w:t>».</w:t>
      </w: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lastRenderedPageBreak/>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w:t>
      </w:r>
      <w:r w:rsidR="00EF7D3C" w:rsidRPr="0080737A">
        <w:rPr>
          <w:rFonts w:ascii="Times New Roman" w:hAnsi="Times New Roman"/>
          <w:sz w:val="24"/>
          <w:szCs w:val="24"/>
        </w:rPr>
        <w:t xml:space="preserve"> </w:t>
      </w:r>
      <w:r w:rsidRPr="0080737A">
        <w:rPr>
          <w:rFonts w:ascii="Times New Roman" w:hAnsi="Times New Roman"/>
          <w:sz w:val="24"/>
          <w:szCs w:val="24"/>
        </w:rPr>
        <w:t>доходы, полученные от основной деятельности всеми предприятиями почтовой связи,</w:t>
      </w:r>
      <w:r w:rsidR="00EF7D3C" w:rsidRPr="0080737A">
        <w:rPr>
          <w:rFonts w:ascii="Times New Roman" w:hAnsi="Times New Roman"/>
          <w:sz w:val="24"/>
          <w:szCs w:val="24"/>
        </w:rPr>
        <w:t xml:space="preserve"> </w:t>
      </w:r>
      <w:r w:rsidRPr="0080737A">
        <w:rPr>
          <w:rFonts w:ascii="Times New Roman" w:hAnsi="Times New Roman"/>
          <w:sz w:val="24"/>
          <w:szCs w:val="24"/>
        </w:rPr>
        <w:t>сложились в размере 2 858,2 тыс. руб., сократившись к базовому уровню 2015 года на 10,5%.</w:t>
      </w:r>
    </w:p>
    <w:p w:rsidR="00834CD9" w:rsidRPr="0080737A" w:rsidRDefault="00834CD9" w:rsidP="00834CD9">
      <w:pPr>
        <w:spacing w:after="0" w:line="240" w:lineRule="auto"/>
        <w:ind w:firstLine="709"/>
        <w:jc w:val="both"/>
        <w:rPr>
          <w:rFonts w:ascii="Times New Roman" w:hAnsi="Times New Roman"/>
          <w:sz w:val="24"/>
          <w:szCs w:val="24"/>
        </w:rPr>
      </w:pPr>
    </w:p>
    <w:p w:rsidR="00834CD9" w:rsidRPr="0080737A" w:rsidRDefault="00834CD9" w:rsidP="00834CD9">
      <w:pPr>
        <w:spacing w:after="0" w:line="240" w:lineRule="auto"/>
        <w:ind w:left="-284"/>
        <w:jc w:val="center"/>
        <w:rPr>
          <w:rFonts w:ascii="Times New Roman" w:hAnsi="Times New Roman"/>
          <w:sz w:val="24"/>
          <w:szCs w:val="24"/>
        </w:rPr>
      </w:pPr>
      <w:r w:rsidRPr="0080737A">
        <w:rPr>
          <w:rFonts w:ascii="Times New Roman" w:hAnsi="Times New Roman"/>
          <w:noProof/>
          <w:sz w:val="28"/>
          <w:szCs w:val="28"/>
        </w:rPr>
        <w:drawing>
          <wp:inline distT="0" distB="0" distL="0" distR="0">
            <wp:extent cx="6200775" cy="2581275"/>
            <wp:effectExtent l="1905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Несмотря на то, что тарифы на пересылку по всем видам услуг почтовой связи остались на уровне января-июня минувшего года, снижение исходящего почтового обмена</w:t>
      </w:r>
      <w:r w:rsidR="00EF7D3C" w:rsidRPr="0080737A">
        <w:rPr>
          <w:rFonts w:ascii="Times New Roman" w:hAnsi="Times New Roman"/>
          <w:sz w:val="24"/>
          <w:szCs w:val="24"/>
        </w:rPr>
        <w:t xml:space="preserve"> </w:t>
      </w:r>
      <w:r w:rsidRPr="0080737A">
        <w:rPr>
          <w:rFonts w:ascii="Times New Roman" w:hAnsi="Times New Roman"/>
          <w:sz w:val="24"/>
          <w:szCs w:val="24"/>
        </w:rPr>
        <w:t xml:space="preserve">оказало отрицательное влияние на совокупную величину доходов от основной деятельности </w:t>
      </w:r>
      <w:r w:rsidRPr="0080737A">
        <w:rPr>
          <w:rFonts w:ascii="Times New Roman" w:hAnsi="Times New Roman"/>
          <w:i/>
          <w:sz w:val="24"/>
          <w:szCs w:val="24"/>
        </w:rPr>
        <w:t>государственных предприятий почтовой связи</w:t>
      </w:r>
      <w:r w:rsidRPr="0080737A">
        <w:rPr>
          <w:rFonts w:ascii="Times New Roman" w:hAnsi="Times New Roman"/>
          <w:sz w:val="24"/>
          <w:szCs w:val="24"/>
        </w:rPr>
        <w:t>.</w:t>
      </w:r>
      <w:r w:rsidR="00EF7D3C" w:rsidRPr="0080737A">
        <w:rPr>
          <w:rFonts w:ascii="Times New Roman" w:hAnsi="Times New Roman"/>
          <w:sz w:val="24"/>
          <w:szCs w:val="24"/>
        </w:rPr>
        <w:t xml:space="preserve"> </w:t>
      </w:r>
      <w:r w:rsidRPr="0080737A">
        <w:rPr>
          <w:rFonts w:ascii="Times New Roman" w:hAnsi="Times New Roman"/>
          <w:sz w:val="24"/>
          <w:szCs w:val="24"/>
        </w:rPr>
        <w:t>Так, по отношению к уровню января-июня 2015 года их величина сократилось на 4,1% и сложилось в сумме 2 554,8 тыс. руб., в том числе:</w:t>
      </w:r>
    </w:p>
    <w:p w:rsidR="00834CD9" w:rsidRPr="0080737A" w:rsidRDefault="00834CD9" w:rsidP="00834CD9">
      <w:pPr>
        <w:tabs>
          <w:tab w:val="left" w:pos="1080"/>
        </w:tabs>
        <w:spacing w:after="0" w:line="240" w:lineRule="auto"/>
        <w:ind w:firstLine="709"/>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t xml:space="preserve">отправление посылок– </w:t>
      </w:r>
      <w:proofErr w:type="gramStart"/>
      <w:r w:rsidRPr="0080737A">
        <w:rPr>
          <w:rFonts w:ascii="Times New Roman" w:hAnsi="Times New Roman"/>
          <w:sz w:val="24"/>
          <w:szCs w:val="24"/>
        </w:rPr>
        <w:t>на</w:t>
      </w:r>
      <w:proofErr w:type="gramEnd"/>
      <w:r w:rsidRPr="0080737A">
        <w:rPr>
          <w:rFonts w:ascii="Times New Roman" w:hAnsi="Times New Roman"/>
          <w:sz w:val="24"/>
          <w:szCs w:val="24"/>
        </w:rPr>
        <w:t xml:space="preserve"> 27,6% до 60,7 тыс. руб.;</w:t>
      </w:r>
    </w:p>
    <w:p w:rsidR="00834CD9" w:rsidRPr="0080737A" w:rsidRDefault="00834CD9" w:rsidP="00834CD9">
      <w:pPr>
        <w:tabs>
          <w:tab w:val="left" w:pos="1080"/>
        </w:tabs>
        <w:spacing w:after="0" w:line="240" w:lineRule="auto"/>
        <w:ind w:firstLine="709"/>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t xml:space="preserve">отправление ускоренной почты </w:t>
      </w:r>
      <w:r w:rsidRPr="0080737A">
        <w:rPr>
          <w:rFonts w:ascii="Times New Roman" w:hAnsi="Times New Roman"/>
          <w:sz w:val="24"/>
          <w:szCs w:val="24"/>
          <w:lang w:val="en-US"/>
        </w:rPr>
        <w:t>EMS</w:t>
      </w:r>
      <w:r w:rsidRPr="0080737A">
        <w:rPr>
          <w:rFonts w:ascii="Times New Roman" w:hAnsi="Times New Roman"/>
          <w:sz w:val="24"/>
          <w:szCs w:val="24"/>
        </w:rPr>
        <w:t xml:space="preserve"> – на 28,4% до 4,8 тыс. руб.;</w:t>
      </w:r>
    </w:p>
    <w:p w:rsidR="00834CD9" w:rsidRPr="0080737A" w:rsidRDefault="00834CD9" w:rsidP="00834CD9">
      <w:pPr>
        <w:tabs>
          <w:tab w:val="left" w:pos="1080"/>
        </w:tabs>
        <w:spacing w:after="0" w:line="240" w:lineRule="auto"/>
        <w:ind w:firstLine="709"/>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t xml:space="preserve">отправление заказной и ценной письменной корреспонденции - на15,1% до </w:t>
      </w:r>
      <w:r w:rsidRPr="0080737A">
        <w:rPr>
          <w:rFonts w:ascii="Times New Roman" w:hAnsi="Times New Roman"/>
          <w:sz w:val="24"/>
          <w:szCs w:val="24"/>
        </w:rPr>
        <w:br/>
        <w:t>15,2 тыс. руб.)</w:t>
      </w:r>
    </w:p>
    <w:p w:rsidR="00834CD9" w:rsidRPr="0080737A" w:rsidRDefault="00834CD9" w:rsidP="00834CD9">
      <w:pPr>
        <w:tabs>
          <w:tab w:val="left" w:pos="1080"/>
        </w:tabs>
        <w:spacing w:after="0" w:line="240" w:lineRule="auto"/>
        <w:ind w:firstLine="709"/>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t>прочие доходы – на 7,0% до 21,4 тыс. руб.</w:t>
      </w:r>
    </w:p>
    <w:p w:rsidR="00834CD9" w:rsidRPr="0080737A" w:rsidRDefault="00834CD9" w:rsidP="00834CD9">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суммарная величина доходов организаций почтовой связи (без учета стоимости товаров по цене поставщика), включающая в себя как доходы от основной, так и от непрофильной и торговой деятельности, снизилась на 1,2% и составила 5 075,9 тыс. </w:t>
      </w:r>
      <w:proofErr w:type="spellStart"/>
      <w:r w:rsidRPr="0080737A">
        <w:rPr>
          <w:rFonts w:ascii="Times New Roman" w:hAnsi="Times New Roman"/>
          <w:sz w:val="24"/>
          <w:szCs w:val="24"/>
        </w:rPr>
        <w:t>руб</w:t>
      </w:r>
      <w:proofErr w:type="spellEnd"/>
      <w:r w:rsidRPr="0080737A">
        <w:rPr>
          <w:rFonts w:ascii="Times New Roman" w:hAnsi="Times New Roman"/>
          <w:sz w:val="24"/>
          <w:szCs w:val="24"/>
        </w:rPr>
        <w:t>, из нее:</w:t>
      </w:r>
    </w:p>
    <w:p w:rsidR="00834CD9" w:rsidRPr="0080737A" w:rsidRDefault="00834CD9" w:rsidP="00834CD9">
      <w:pPr>
        <w:tabs>
          <w:tab w:val="left" w:pos="1134"/>
        </w:tabs>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t xml:space="preserve">доходы от непрофильной деятельности (прием коммунальных платежей, платежей за оказание услуг связи, ксерокопирование) возросли на 4,9% до </w:t>
      </w:r>
      <w:r w:rsidRPr="0080737A">
        <w:rPr>
          <w:rFonts w:ascii="Times New Roman" w:hAnsi="Times New Roman"/>
          <w:sz w:val="24"/>
          <w:szCs w:val="24"/>
        </w:rPr>
        <w:br/>
        <w:t>1 766,2 тыс. руб.;</w:t>
      </w:r>
    </w:p>
    <w:p w:rsidR="00834CD9" w:rsidRPr="0080737A" w:rsidRDefault="00834CD9" w:rsidP="00834CD9">
      <w:pPr>
        <w:tabs>
          <w:tab w:val="left" w:pos="1134"/>
        </w:tabs>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t>доходы от торговой деятельности сократились на 4,5% до 754,8 тыс. руб.</w:t>
      </w:r>
    </w:p>
    <w:p w:rsidR="00834CD9" w:rsidRPr="0080737A" w:rsidRDefault="00834CD9" w:rsidP="00834CD9">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Также дополнительным источником пополнения оборотных средств являются </w:t>
      </w:r>
      <w:proofErr w:type="spellStart"/>
      <w:r w:rsidRPr="0080737A">
        <w:rPr>
          <w:rFonts w:ascii="Times New Roman" w:hAnsi="Times New Roman"/>
          <w:sz w:val="24"/>
          <w:szCs w:val="24"/>
        </w:rPr>
        <w:t>доходыот</w:t>
      </w:r>
      <w:proofErr w:type="spellEnd"/>
      <w:r w:rsidRPr="0080737A">
        <w:rPr>
          <w:rFonts w:ascii="Times New Roman" w:hAnsi="Times New Roman"/>
          <w:sz w:val="24"/>
          <w:szCs w:val="24"/>
        </w:rPr>
        <w:t xml:space="preserve"> сдачи имущества в аренду, суммарная величина которых за I полугодие 2016 года составила 168,2 тыс. руб., уменьшившись на 3,6%.</w:t>
      </w: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рассматриваемом периоде текущие затраты государственных предприятий почтовой связи по основным видам деятельности остались практически на уровне базового показателя минувшего года, составив 11 856,0 тыс. руб. или 100,1%. </w:t>
      </w: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структуре текущих расходов 62,0% или 7 357,9 тыс. руб</w:t>
      </w:r>
      <w:proofErr w:type="gramStart"/>
      <w:r w:rsidRPr="0080737A">
        <w:rPr>
          <w:rFonts w:ascii="Times New Roman" w:hAnsi="Times New Roman"/>
          <w:sz w:val="24"/>
          <w:szCs w:val="24"/>
        </w:rPr>
        <w:t>.п</w:t>
      </w:r>
      <w:proofErr w:type="gramEnd"/>
      <w:r w:rsidRPr="0080737A">
        <w:rPr>
          <w:rFonts w:ascii="Times New Roman" w:hAnsi="Times New Roman"/>
          <w:sz w:val="24"/>
          <w:szCs w:val="24"/>
        </w:rPr>
        <w:t xml:space="preserve">ришлось на оплату труда работников и уплату единого социального налога (ЕСН), абсолютная величина которых снизилась на 24,0% в связи с выплатой образовавшейся задолженности по заработной плате. </w:t>
      </w:r>
    </w:p>
    <w:p w:rsidR="00834CD9" w:rsidRPr="0080737A" w:rsidRDefault="00834CD9" w:rsidP="00834CD9">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Кредиторская задолженность по оплате труда и единому социальному налогу по состоянию на 01 июля 2016 года, после предоставления дотаций из республиканского бюджета</w:t>
      </w:r>
      <w:r w:rsidR="00174F6B" w:rsidRPr="0080737A">
        <w:rPr>
          <w:rFonts w:ascii="Times New Roman" w:hAnsi="Times New Roman"/>
          <w:sz w:val="24"/>
          <w:szCs w:val="24"/>
        </w:rPr>
        <w:t xml:space="preserve"> </w:t>
      </w:r>
      <w:r w:rsidRPr="0080737A">
        <w:rPr>
          <w:rFonts w:ascii="Times New Roman" w:hAnsi="Times New Roman"/>
          <w:sz w:val="24"/>
          <w:szCs w:val="24"/>
        </w:rPr>
        <w:t>в сумме 13 403 тыс. руб., составила 1 916 тыс. руб. (в том числе: задолженность по оплате труда – 1 606,0 тыс. руб.,</w:t>
      </w:r>
      <w:r w:rsidR="00174F6B" w:rsidRPr="0080737A">
        <w:rPr>
          <w:rFonts w:ascii="Times New Roman" w:hAnsi="Times New Roman"/>
          <w:sz w:val="24"/>
          <w:szCs w:val="24"/>
        </w:rPr>
        <w:t xml:space="preserve"> </w:t>
      </w:r>
      <w:r w:rsidRPr="0080737A">
        <w:rPr>
          <w:rFonts w:ascii="Times New Roman" w:hAnsi="Times New Roman"/>
          <w:sz w:val="24"/>
          <w:szCs w:val="24"/>
        </w:rPr>
        <w:t xml:space="preserve">по ЕСН - 310,0 тыс. руб.), общая сумма кредиторской </w:t>
      </w:r>
      <w:r w:rsidRPr="0080737A">
        <w:rPr>
          <w:rFonts w:ascii="Times New Roman" w:hAnsi="Times New Roman"/>
          <w:sz w:val="24"/>
          <w:szCs w:val="24"/>
        </w:rPr>
        <w:lastRenderedPageBreak/>
        <w:t xml:space="preserve">задолженности сократилась по сравнению с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полугодием 2015</w:t>
      </w:r>
      <w:proofErr w:type="gramEnd"/>
      <w:r w:rsidRPr="0080737A">
        <w:rPr>
          <w:rFonts w:ascii="Times New Roman" w:hAnsi="Times New Roman"/>
          <w:sz w:val="24"/>
          <w:szCs w:val="24"/>
        </w:rPr>
        <w:t xml:space="preserve"> года на 35,8% до </w:t>
      </w:r>
      <w:r w:rsidRPr="0080737A">
        <w:rPr>
          <w:rFonts w:ascii="Times New Roman" w:hAnsi="Times New Roman"/>
          <w:sz w:val="24"/>
          <w:szCs w:val="24"/>
        </w:rPr>
        <w:br/>
        <w:t xml:space="preserve">6 051 тыс. руб. </w:t>
      </w:r>
    </w:p>
    <w:p w:rsidR="00834CD9" w:rsidRPr="0080737A" w:rsidRDefault="00834CD9" w:rsidP="00834CD9">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целях повышения качества предоставляемых услуг на почтовых отделениях Республики запущена электронная программа для считывания </w:t>
      </w:r>
      <w:proofErr w:type="spellStart"/>
      <w:proofErr w:type="gramStart"/>
      <w:r w:rsidRPr="0080737A">
        <w:rPr>
          <w:rFonts w:ascii="Times New Roman" w:hAnsi="Times New Roman"/>
          <w:sz w:val="24"/>
          <w:szCs w:val="24"/>
        </w:rPr>
        <w:t>штрих-кодов</w:t>
      </w:r>
      <w:proofErr w:type="spellEnd"/>
      <w:proofErr w:type="gramEnd"/>
      <w:r w:rsidRPr="0080737A">
        <w:rPr>
          <w:rFonts w:ascii="Times New Roman" w:hAnsi="Times New Roman"/>
          <w:sz w:val="24"/>
          <w:szCs w:val="24"/>
        </w:rPr>
        <w:t xml:space="preserve">, позволяющая отслеживать местонахождение международных почтовых отправлений (входящих/исходящих) по </w:t>
      </w:r>
      <w:proofErr w:type="spellStart"/>
      <w:r w:rsidRPr="0080737A">
        <w:rPr>
          <w:rFonts w:ascii="Times New Roman" w:hAnsi="Times New Roman"/>
          <w:sz w:val="24"/>
          <w:szCs w:val="24"/>
        </w:rPr>
        <w:t>трек-кодам</w:t>
      </w:r>
      <w:proofErr w:type="spellEnd"/>
      <w:r w:rsidRPr="0080737A">
        <w:rPr>
          <w:rFonts w:ascii="Times New Roman" w:hAnsi="Times New Roman"/>
          <w:sz w:val="24"/>
          <w:szCs w:val="24"/>
        </w:rPr>
        <w:t>, которая размещается на официальном сайте ГУП «Почта Приднестровья».</w:t>
      </w:r>
    </w:p>
    <w:p w:rsidR="00834CD9" w:rsidRPr="0080737A" w:rsidRDefault="00834CD9" w:rsidP="00834CD9">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Несмотря на то,</w:t>
      </w:r>
      <w:r w:rsidR="00557D3D" w:rsidRPr="0080737A">
        <w:rPr>
          <w:rFonts w:ascii="Times New Roman" w:hAnsi="Times New Roman"/>
          <w:sz w:val="24"/>
          <w:szCs w:val="24"/>
        </w:rPr>
        <w:t xml:space="preserve"> </w:t>
      </w:r>
      <w:r w:rsidRPr="0080737A">
        <w:rPr>
          <w:rFonts w:ascii="Times New Roman" w:hAnsi="Times New Roman"/>
          <w:sz w:val="24"/>
          <w:szCs w:val="24"/>
        </w:rPr>
        <w:t>что отрасль связи является неотъемлемой частью производственной и социальной инфраструктуры государства, функционирующей как взаимоувязанный производственно-хозяйственный комплекс, предназначенный для удовлетворения нужд граждан, органов государственной власти, обороны и безопасности, основной проблемой государственных предприятий почтовой связи по-прежнему остается отсутствие финансовых средств для осуществления необходимых работ по реконструкции и капитальному ремонту, приобретению автотранспорта и техническому перевооружению.</w:t>
      </w:r>
      <w:proofErr w:type="gramEnd"/>
    </w:p>
    <w:p w:rsidR="00834CD9" w:rsidRPr="0080737A" w:rsidRDefault="00834CD9" w:rsidP="00335844">
      <w:pPr>
        <w:pStyle w:val="ae"/>
        <w:ind w:firstLine="709"/>
        <w:jc w:val="left"/>
        <w:rPr>
          <w:b/>
          <w:sz w:val="24"/>
          <w:szCs w:val="24"/>
        </w:rPr>
      </w:pPr>
    </w:p>
    <w:p w:rsidR="00335844" w:rsidRPr="0080737A" w:rsidRDefault="00335844" w:rsidP="00335844">
      <w:pPr>
        <w:spacing w:after="0" w:line="240" w:lineRule="auto"/>
        <w:ind w:firstLine="709"/>
        <w:rPr>
          <w:rFonts w:ascii="Times New Roman" w:hAnsi="Times New Roman"/>
          <w:b/>
          <w:sz w:val="24"/>
          <w:szCs w:val="24"/>
        </w:rPr>
      </w:pPr>
      <w:r w:rsidRPr="0080737A">
        <w:rPr>
          <w:rFonts w:ascii="Times New Roman" w:hAnsi="Times New Roman"/>
          <w:b/>
          <w:sz w:val="24"/>
          <w:szCs w:val="24"/>
        </w:rPr>
        <w:t>Потребительский рынок</w:t>
      </w:r>
    </w:p>
    <w:p w:rsidR="00335844" w:rsidRPr="0080737A" w:rsidRDefault="00335844" w:rsidP="00335844">
      <w:pPr>
        <w:spacing w:after="0" w:line="240" w:lineRule="auto"/>
        <w:ind w:firstLine="709"/>
        <w:jc w:val="both"/>
        <w:rPr>
          <w:rFonts w:ascii="Times New Roman" w:hAnsi="Times New Roman"/>
          <w:sz w:val="24"/>
          <w:szCs w:val="24"/>
        </w:rPr>
      </w:pPr>
    </w:p>
    <w:p w:rsidR="0035600F" w:rsidRPr="0080737A" w:rsidRDefault="0035600F" w:rsidP="0035600F">
      <w:pPr>
        <w:spacing w:after="0" w:line="240" w:lineRule="auto"/>
        <w:ind w:firstLine="709"/>
        <w:jc w:val="both"/>
        <w:rPr>
          <w:rFonts w:ascii="Times New Roman" w:eastAsiaTheme="minorEastAsia" w:hAnsi="Times New Roman"/>
          <w:b/>
          <w:sz w:val="24"/>
          <w:u w:val="single"/>
          <w:shd w:val="clear" w:color="auto" w:fill="FFFFFF"/>
        </w:rPr>
      </w:pPr>
      <w:r w:rsidRPr="0080737A">
        <w:rPr>
          <w:rFonts w:ascii="Times New Roman" w:eastAsiaTheme="minorEastAsia" w:hAnsi="Times New Roman"/>
          <w:sz w:val="24"/>
          <w:szCs w:val="24"/>
        </w:rPr>
        <w:t>На фоне усугубления ситуации в сфере доходов населения и проблем, характеризующих ситуацию на валютном рынке, динамика потребительского рынка в январе-июне 2016 года определялась объемами и структурой импортных поступлений в республику, динамикой цен, доступностью потребительского кредита и рядом других факторов.</w:t>
      </w:r>
    </w:p>
    <w:p w:rsidR="0035600F" w:rsidRPr="0080737A" w:rsidRDefault="0035600F" w:rsidP="0035600F">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В складывающихся условиях ёмкость потребительского рынка по итогам рассматриваемого периода сократилась на 6,2% до 3 574,9 млн. руб. При этом розничный товарооборот уступил уровню показателя I полугодия предыдущего года 7,9% (в сопоставимых ценах), составив 2 486,1 млн. руб., потребление услуг сократилось на 2,1% (в сопоставимых ценах) до </w:t>
      </w:r>
      <w:r w:rsidRPr="0080737A">
        <w:rPr>
          <w:rFonts w:ascii="Times New Roman" w:eastAsiaTheme="minorEastAsia" w:hAnsi="Times New Roman" w:cstheme="minorBidi"/>
          <w:sz w:val="24"/>
          <w:szCs w:val="24"/>
        </w:rPr>
        <w:t xml:space="preserve">1 088,9 млн. руб. </w:t>
      </w:r>
      <w:proofErr w:type="gramEnd"/>
    </w:p>
    <w:p w:rsidR="0035600F" w:rsidRPr="0080737A" w:rsidRDefault="0035600F" w:rsidP="0035600F">
      <w:pPr>
        <w:spacing w:after="0" w:line="240" w:lineRule="auto"/>
        <w:ind w:firstLine="709"/>
        <w:jc w:val="both"/>
        <w:rPr>
          <w:rFonts w:ascii="Times New Roman" w:hAnsi="Times New Roman"/>
          <w:sz w:val="24"/>
          <w:szCs w:val="24"/>
        </w:rPr>
      </w:pPr>
    </w:p>
    <w:p w:rsidR="0035600F" w:rsidRPr="0080737A" w:rsidRDefault="0035600F" w:rsidP="0035600F">
      <w:pPr>
        <w:spacing w:after="0" w:line="240" w:lineRule="auto"/>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5940425" cy="2305050"/>
            <wp:effectExtent l="19050" t="0" r="3175" b="0"/>
            <wp:docPr id="1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5600F" w:rsidRPr="0080737A" w:rsidRDefault="0035600F" w:rsidP="0035600F">
      <w:pPr>
        <w:spacing w:after="0" w:line="240" w:lineRule="auto"/>
        <w:ind w:firstLine="709"/>
        <w:jc w:val="both"/>
        <w:rPr>
          <w:rFonts w:ascii="Times New Roman" w:hAnsi="Times New Roman"/>
          <w:b/>
          <w:sz w:val="24"/>
          <w:szCs w:val="24"/>
        </w:rPr>
      </w:pPr>
    </w:p>
    <w:p w:rsidR="0035600F" w:rsidRPr="0080737A" w:rsidRDefault="0035600F" w:rsidP="0035600F">
      <w:pPr>
        <w:spacing w:after="0" w:line="240" w:lineRule="auto"/>
        <w:ind w:firstLine="709"/>
        <w:jc w:val="both"/>
        <w:rPr>
          <w:rFonts w:ascii="Times New Roman" w:hAnsi="Times New Roman"/>
          <w:b/>
          <w:sz w:val="24"/>
          <w:szCs w:val="24"/>
        </w:rPr>
      </w:pPr>
      <w:r w:rsidRPr="0080737A">
        <w:rPr>
          <w:rFonts w:ascii="Times New Roman" w:hAnsi="Times New Roman"/>
          <w:b/>
          <w:sz w:val="24"/>
          <w:szCs w:val="24"/>
        </w:rPr>
        <w:t>Розничная торговля</w:t>
      </w:r>
    </w:p>
    <w:p w:rsidR="0035600F" w:rsidRPr="0080737A" w:rsidRDefault="0035600F" w:rsidP="0035600F">
      <w:pPr>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В </w:t>
      </w:r>
      <w:r w:rsidRPr="0080737A">
        <w:rPr>
          <w:rFonts w:ascii="Times New Roman" w:eastAsia="Calibri" w:hAnsi="Times New Roman" w:cstheme="minorBidi"/>
          <w:sz w:val="24"/>
          <w:szCs w:val="24"/>
          <w:lang w:eastAsia="en-US"/>
        </w:rPr>
        <w:t xml:space="preserve">январе-июне </w:t>
      </w:r>
      <w:r w:rsidRPr="0080737A">
        <w:rPr>
          <w:rFonts w:ascii="Times New Roman" w:eastAsia="Calibri" w:hAnsi="Times New Roman"/>
          <w:sz w:val="24"/>
          <w:szCs w:val="24"/>
          <w:lang w:eastAsia="en-US"/>
        </w:rPr>
        <w:t>201</w:t>
      </w:r>
      <w:r w:rsidRPr="0080737A">
        <w:rPr>
          <w:rFonts w:ascii="Times New Roman" w:eastAsia="Calibri" w:hAnsi="Times New Roman" w:cstheme="minorBidi"/>
          <w:sz w:val="24"/>
          <w:szCs w:val="24"/>
          <w:lang w:eastAsia="en-US"/>
        </w:rPr>
        <w:t>6</w:t>
      </w:r>
      <w:r w:rsidRPr="0080737A">
        <w:rPr>
          <w:rFonts w:ascii="Times New Roman" w:eastAsia="Calibri" w:hAnsi="Times New Roman"/>
          <w:sz w:val="24"/>
          <w:szCs w:val="24"/>
          <w:lang w:eastAsia="en-US"/>
        </w:rPr>
        <w:t xml:space="preserve"> год</w:t>
      </w:r>
      <w:r w:rsidRPr="0080737A">
        <w:rPr>
          <w:rFonts w:ascii="Times New Roman" w:eastAsia="Calibri" w:hAnsi="Times New Roman" w:cstheme="minorBidi"/>
          <w:sz w:val="24"/>
          <w:szCs w:val="24"/>
          <w:lang w:eastAsia="en-US"/>
        </w:rPr>
        <w:t>а</w:t>
      </w:r>
      <w:r w:rsidRPr="0080737A">
        <w:rPr>
          <w:rFonts w:ascii="Times New Roman" w:eastAsia="Calibri" w:hAnsi="Times New Roman"/>
          <w:sz w:val="24"/>
          <w:szCs w:val="24"/>
          <w:lang w:eastAsia="en-US"/>
        </w:rPr>
        <w:t xml:space="preserve"> сфера розничной торговли демонстрировала сокращение показателей, характеризующих данную сферу. </w:t>
      </w:r>
      <w:r w:rsidRPr="0080737A">
        <w:rPr>
          <w:rFonts w:ascii="Times New Roman" w:eastAsiaTheme="minorEastAsia" w:hAnsi="Times New Roman" w:cstheme="minorBidi"/>
          <w:sz w:val="24"/>
          <w:szCs w:val="24"/>
        </w:rPr>
        <w:t>Воздействие группы факторов, связанных с нестабильной экономической конъюнктурой в совокупности с углублением структурных деформаций реального сектора экономики, отражаются на доходах и на потребительском поведении населения.</w:t>
      </w:r>
    </w:p>
    <w:p w:rsidR="0035600F" w:rsidRPr="0080737A" w:rsidRDefault="0035600F" w:rsidP="0035600F">
      <w:pPr>
        <w:spacing w:after="0" w:line="240" w:lineRule="auto"/>
        <w:ind w:firstLine="709"/>
        <w:jc w:val="both"/>
        <w:rPr>
          <w:rFonts w:ascii="Times New Roman" w:eastAsia="Calibri" w:hAnsi="Times New Roman"/>
          <w:sz w:val="24"/>
          <w:szCs w:val="24"/>
          <w:lang w:eastAsia="en-US"/>
        </w:rPr>
      </w:pPr>
      <w:r w:rsidRPr="0080737A">
        <w:rPr>
          <w:rFonts w:ascii="Times New Roman" w:eastAsia="Calibri" w:hAnsi="Times New Roman"/>
          <w:sz w:val="24"/>
          <w:szCs w:val="24"/>
          <w:lang w:eastAsia="en-US"/>
        </w:rPr>
        <w:t xml:space="preserve">Так, суммарная стоимость приобретённых населением товаров по итогам </w:t>
      </w:r>
      <w:r w:rsidRPr="0080737A">
        <w:rPr>
          <w:rFonts w:ascii="Times New Roman" w:eastAsia="Calibri" w:hAnsi="Times New Roman" w:cstheme="minorBidi"/>
          <w:sz w:val="24"/>
          <w:szCs w:val="24"/>
          <w:lang w:eastAsia="en-US"/>
        </w:rPr>
        <w:t>первых шести месяцев</w:t>
      </w:r>
      <w:r w:rsidRPr="0080737A">
        <w:rPr>
          <w:rFonts w:ascii="Times New Roman" w:eastAsia="Calibri" w:hAnsi="Times New Roman"/>
          <w:sz w:val="24"/>
          <w:szCs w:val="24"/>
          <w:lang w:eastAsia="en-US"/>
        </w:rPr>
        <w:t xml:space="preserve"> в текущих ценах уступила базовому показателю 201</w:t>
      </w:r>
      <w:r w:rsidRPr="0080737A">
        <w:rPr>
          <w:rFonts w:ascii="Times New Roman" w:eastAsia="Calibri" w:hAnsi="Times New Roman" w:cstheme="minorBidi"/>
          <w:sz w:val="24"/>
          <w:szCs w:val="24"/>
          <w:lang w:eastAsia="en-US"/>
        </w:rPr>
        <w:t>5</w:t>
      </w:r>
      <w:r w:rsidRPr="0080737A">
        <w:rPr>
          <w:rFonts w:ascii="Times New Roman" w:eastAsia="Calibri" w:hAnsi="Times New Roman"/>
          <w:sz w:val="24"/>
          <w:szCs w:val="24"/>
          <w:lang w:eastAsia="en-US"/>
        </w:rPr>
        <w:t xml:space="preserve"> года </w:t>
      </w:r>
      <w:r w:rsidRPr="0080737A">
        <w:rPr>
          <w:rFonts w:ascii="Times New Roman" w:eastAsia="Calibri" w:hAnsi="Times New Roman" w:cstheme="minorBidi"/>
          <w:sz w:val="24"/>
          <w:szCs w:val="24"/>
          <w:lang w:eastAsia="en-US"/>
        </w:rPr>
        <w:t>9,1</w:t>
      </w:r>
      <w:r w:rsidRPr="0080737A">
        <w:rPr>
          <w:rFonts w:ascii="Times New Roman" w:eastAsia="Calibri" w:hAnsi="Times New Roman"/>
          <w:sz w:val="24"/>
          <w:szCs w:val="24"/>
          <w:lang w:eastAsia="en-US"/>
        </w:rPr>
        <w:t xml:space="preserve">%, а с учетом уравновешивания динамики доходов населения и роста цен (в сопоставимых ценах) – </w:t>
      </w:r>
      <w:r w:rsidRPr="0080737A">
        <w:rPr>
          <w:rFonts w:ascii="Times New Roman" w:eastAsia="Calibri" w:hAnsi="Times New Roman" w:cstheme="minorBidi"/>
          <w:sz w:val="24"/>
          <w:szCs w:val="24"/>
          <w:lang w:eastAsia="en-US"/>
        </w:rPr>
        <w:t>7,9</w:t>
      </w:r>
      <w:r w:rsidRPr="0080737A">
        <w:rPr>
          <w:rFonts w:ascii="Times New Roman" w:eastAsia="Calibri" w:hAnsi="Times New Roman"/>
          <w:sz w:val="24"/>
          <w:szCs w:val="24"/>
          <w:lang w:eastAsia="en-US"/>
        </w:rPr>
        <w:t xml:space="preserve">%, составив </w:t>
      </w:r>
      <w:r w:rsidRPr="0080737A">
        <w:rPr>
          <w:rFonts w:ascii="Times New Roman" w:eastAsia="Calibri" w:hAnsi="Times New Roman" w:cstheme="minorBidi"/>
          <w:sz w:val="24"/>
          <w:szCs w:val="24"/>
          <w:lang w:eastAsia="en-US"/>
        </w:rPr>
        <w:t>2</w:t>
      </w:r>
      <w:r w:rsidR="0049074B" w:rsidRPr="0080737A">
        <w:rPr>
          <w:rFonts w:ascii="Times New Roman" w:eastAsia="Calibri" w:hAnsi="Times New Roman"/>
          <w:sz w:val="24"/>
          <w:szCs w:val="24"/>
          <w:lang w:eastAsia="en-US"/>
        </w:rPr>
        <w:t> 486,1 млн. руб.</w:t>
      </w:r>
    </w:p>
    <w:p w:rsidR="0049074B" w:rsidRPr="0080737A" w:rsidRDefault="0049074B" w:rsidP="0035600F">
      <w:pPr>
        <w:spacing w:after="0" w:line="240" w:lineRule="auto"/>
        <w:ind w:firstLine="709"/>
        <w:jc w:val="both"/>
        <w:rPr>
          <w:rFonts w:ascii="Times New Roman" w:eastAsia="Calibri" w:hAnsi="Times New Roman"/>
          <w:sz w:val="24"/>
          <w:szCs w:val="24"/>
          <w:lang w:eastAsia="en-US"/>
        </w:rPr>
      </w:pPr>
    </w:p>
    <w:p w:rsidR="0035600F" w:rsidRPr="0080737A" w:rsidRDefault="0035600F" w:rsidP="0035600F">
      <w:pPr>
        <w:spacing w:after="0"/>
        <w:jc w:val="center"/>
        <w:rPr>
          <w:rFonts w:ascii="Times New Roman" w:eastAsiaTheme="minorEastAsia" w:hAnsi="Times New Roman"/>
          <w:b/>
          <w:sz w:val="24"/>
          <w:szCs w:val="24"/>
        </w:rPr>
      </w:pPr>
      <w:r w:rsidRPr="0080737A">
        <w:rPr>
          <w:rFonts w:ascii="Times New Roman" w:eastAsiaTheme="minorEastAsia" w:hAnsi="Times New Roman"/>
          <w:b/>
          <w:sz w:val="24"/>
          <w:szCs w:val="24"/>
        </w:rPr>
        <w:t xml:space="preserve">Динамика розничного </w:t>
      </w:r>
      <w:proofErr w:type="spellStart"/>
      <w:r w:rsidRPr="0080737A">
        <w:rPr>
          <w:rFonts w:ascii="Times New Roman" w:eastAsiaTheme="minorEastAsia" w:hAnsi="Times New Roman"/>
          <w:b/>
          <w:sz w:val="24"/>
          <w:szCs w:val="24"/>
        </w:rPr>
        <w:t>товарооборота,%</w:t>
      </w:r>
      <w:proofErr w:type="spellEnd"/>
    </w:p>
    <w:p w:rsidR="0035600F" w:rsidRPr="0080737A" w:rsidRDefault="0035600F" w:rsidP="0035600F">
      <w:pPr>
        <w:spacing w:after="0"/>
        <w:jc w:val="center"/>
        <w:rPr>
          <w:rFonts w:ascii="Times New Roman" w:eastAsiaTheme="minorEastAsia" w:hAnsi="Times New Roman"/>
          <w:b/>
          <w:sz w:val="24"/>
          <w:szCs w:val="24"/>
        </w:rPr>
      </w:pPr>
    </w:p>
    <w:p w:rsidR="0035600F" w:rsidRPr="0080737A" w:rsidRDefault="0035600F" w:rsidP="0035600F">
      <w:pPr>
        <w:spacing w:after="0" w:line="240" w:lineRule="auto"/>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5486400" cy="2162175"/>
            <wp:effectExtent l="19050" t="0" r="0" b="0"/>
            <wp:docPr id="1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5600F" w:rsidRPr="0080737A" w:rsidRDefault="0035600F" w:rsidP="0035600F">
      <w:pPr>
        <w:spacing w:after="0" w:line="240" w:lineRule="auto"/>
        <w:jc w:val="both"/>
        <w:rPr>
          <w:rFonts w:ascii="Times New Roman" w:eastAsia="Calibri" w:hAnsi="Times New Roman" w:cstheme="minorBidi"/>
          <w:sz w:val="24"/>
          <w:szCs w:val="24"/>
          <w:lang w:eastAsia="en-US"/>
        </w:rPr>
      </w:pPr>
      <w:r w:rsidRPr="0080737A">
        <w:rPr>
          <w:rFonts w:ascii="Times New Roman" w:eastAsia="Calibri" w:hAnsi="Times New Roman" w:cstheme="minorBidi"/>
          <w:noProof/>
          <w:sz w:val="24"/>
          <w:szCs w:val="24"/>
          <w:lang w:eastAsia="en-US"/>
        </w:rPr>
        <w:t xml:space="preserve">Снижение доходов населения в совокупности с </w:t>
      </w:r>
      <w:r w:rsidRPr="0080737A">
        <w:rPr>
          <w:rFonts w:ascii="Times New Roman" w:hAnsi="Times New Roman"/>
          <w:sz w:val="24"/>
          <w:szCs w:val="24"/>
        </w:rPr>
        <w:t xml:space="preserve">переориентацией населения на самостоятельные закупки в близлежащих странах </w:t>
      </w:r>
      <w:r w:rsidRPr="0080737A">
        <w:rPr>
          <w:rFonts w:ascii="Times New Roman" w:eastAsia="Calibri" w:hAnsi="Times New Roman" w:cstheme="minorBidi"/>
          <w:sz w:val="24"/>
          <w:szCs w:val="24"/>
          <w:lang w:eastAsia="en-US"/>
        </w:rPr>
        <w:t>обусловили снижение реализации продовольственных товаров на 5,6% до 1 194,4 млн. руб. Объем приобретения населением товаров длительного пользования (непродовольственные товары) в сопоставимой оценке сократился на 9,9%, сформировав 1 291,7 млн. руб. совокупной емкости товарного рынка. На фоне более активного сокращения реализации непродовольственных товаров их долевое представительство в товарной структуре розничных продаж снизилось до 52,0% против 53,0% в январе-июне 2015 года, при этом доля реализации продуктов питания соответственно расширилась до 48,0% против 47,0% в базовом периоде минувшего года.</w:t>
      </w:r>
    </w:p>
    <w:p w:rsidR="0035600F" w:rsidRPr="0080737A" w:rsidRDefault="0035600F" w:rsidP="0035600F">
      <w:pPr>
        <w:spacing w:after="0" w:line="240" w:lineRule="auto"/>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5943600" cy="1695450"/>
            <wp:effectExtent l="0" t="0" r="0" b="0"/>
            <wp:docPr id="1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5600F" w:rsidRPr="0080737A" w:rsidRDefault="0035600F" w:rsidP="0035600F">
      <w:pPr>
        <w:spacing w:after="0" w:line="240" w:lineRule="auto"/>
        <w:ind w:firstLine="709"/>
        <w:jc w:val="both"/>
        <w:rPr>
          <w:rFonts w:ascii="Times New Roman" w:eastAsia="Calibri" w:hAnsi="Times New Roman" w:cstheme="minorBidi"/>
          <w:sz w:val="24"/>
          <w:szCs w:val="24"/>
          <w:lang w:eastAsia="en-US"/>
        </w:rPr>
      </w:pPr>
      <w:r w:rsidRPr="0080737A">
        <w:rPr>
          <w:rFonts w:ascii="Times New Roman" w:eastAsia="Calibri" w:hAnsi="Times New Roman" w:cstheme="minorBidi"/>
          <w:sz w:val="24"/>
          <w:szCs w:val="24"/>
          <w:lang w:eastAsia="en-US"/>
        </w:rPr>
        <w:t>Основная часть товарооборота (98,1%) в январе-июне текущего года была сформирована негосударственными организациями, включая физических лиц, в том числе на субъекты предпринимательства приходилось по оценке порядка 23,6% от общего объема розничных продаж.</w:t>
      </w:r>
    </w:p>
    <w:p w:rsidR="0035600F" w:rsidRPr="0080737A" w:rsidRDefault="0035600F" w:rsidP="0035600F">
      <w:pPr>
        <w:spacing w:after="0" w:line="240" w:lineRule="auto"/>
        <w:ind w:firstLine="709"/>
        <w:jc w:val="both"/>
        <w:rPr>
          <w:rFonts w:ascii="Times New Roman" w:eastAsia="Calibri" w:hAnsi="Times New Roman" w:cstheme="minorBidi"/>
          <w:sz w:val="24"/>
          <w:szCs w:val="24"/>
          <w:lang w:eastAsia="en-US"/>
        </w:rPr>
      </w:pPr>
      <w:r w:rsidRPr="0080737A">
        <w:rPr>
          <w:rFonts w:ascii="Times New Roman" w:eastAsia="Calibri" w:hAnsi="Times New Roman" w:cstheme="minorBidi"/>
          <w:sz w:val="24"/>
          <w:szCs w:val="24"/>
          <w:lang w:eastAsia="en-US"/>
        </w:rPr>
        <w:t xml:space="preserve">Деятельность организаций общественного питания в рассматриваемом периоде также характеризовалась сужением спроса на услуги данного сегмента рынка. В результате, абсолютная величина выручки </w:t>
      </w:r>
      <w:r w:rsidRPr="0080737A">
        <w:rPr>
          <w:rFonts w:ascii="Times New Roman" w:eastAsia="Calibri" w:hAnsi="Times New Roman" w:cstheme="minorBidi"/>
          <w:b/>
          <w:sz w:val="24"/>
          <w:szCs w:val="24"/>
          <w:lang w:eastAsia="en-US"/>
        </w:rPr>
        <w:t>организаций</w:t>
      </w:r>
      <w:r w:rsidR="00557D3D" w:rsidRPr="0080737A">
        <w:rPr>
          <w:rFonts w:ascii="Times New Roman" w:eastAsia="Calibri" w:hAnsi="Times New Roman" w:cstheme="minorBidi"/>
          <w:b/>
          <w:sz w:val="24"/>
          <w:szCs w:val="24"/>
          <w:lang w:eastAsia="en-US"/>
        </w:rPr>
        <w:t xml:space="preserve"> </w:t>
      </w:r>
      <w:r w:rsidRPr="0080737A">
        <w:rPr>
          <w:rFonts w:ascii="Times New Roman" w:eastAsia="Calibri" w:hAnsi="Times New Roman" w:cstheme="minorBidi"/>
          <w:b/>
          <w:sz w:val="24"/>
          <w:szCs w:val="24"/>
          <w:lang w:eastAsia="en-US"/>
        </w:rPr>
        <w:t>общественного питания</w:t>
      </w:r>
      <w:r w:rsidRPr="0080737A">
        <w:rPr>
          <w:rFonts w:ascii="Times New Roman" w:eastAsia="Calibri" w:hAnsi="Times New Roman" w:cstheme="minorBidi"/>
          <w:sz w:val="24"/>
          <w:szCs w:val="24"/>
          <w:lang w:eastAsia="en-US"/>
        </w:rPr>
        <w:t xml:space="preserve"> в </w:t>
      </w:r>
      <w:r w:rsidRPr="0080737A">
        <w:rPr>
          <w:rFonts w:ascii="Times New Roman" w:eastAsia="Calibri" w:hAnsi="Times New Roman" w:cstheme="minorBidi"/>
          <w:sz w:val="24"/>
          <w:szCs w:val="24"/>
          <w:lang w:val="en-US" w:eastAsia="en-US"/>
        </w:rPr>
        <w:t>I</w:t>
      </w:r>
      <w:r w:rsidRPr="0080737A">
        <w:rPr>
          <w:rFonts w:ascii="Times New Roman" w:eastAsia="Calibri" w:hAnsi="Times New Roman" w:cstheme="minorBidi"/>
          <w:sz w:val="24"/>
          <w:szCs w:val="24"/>
          <w:lang w:eastAsia="en-US"/>
        </w:rPr>
        <w:t xml:space="preserve"> полугодии 2016 года составила 76,6 млн. руб. («-»5,9% в сопоставимых ценах). При этом 24,3% емкости оборота организаций общественного питания была сформирована в организациях государственной и муниципальной формы собственности с сокращением объема на 8,0%. Преобладающая доля (75,7%) оборота организаций общественного питания пришлась на организации негосударственной формы собственности, сократившие объем розничных продаж на 7,1%.</w:t>
      </w:r>
    </w:p>
    <w:p w:rsidR="0035600F" w:rsidRPr="0080737A" w:rsidRDefault="0035600F" w:rsidP="0035600F">
      <w:pPr>
        <w:spacing w:after="0" w:line="240" w:lineRule="auto"/>
        <w:ind w:firstLine="709"/>
        <w:rPr>
          <w:rFonts w:ascii="Times New Roman" w:hAnsi="Times New Roman"/>
          <w:b/>
          <w:sz w:val="24"/>
          <w:szCs w:val="24"/>
        </w:rPr>
      </w:pPr>
    </w:p>
    <w:p w:rsidR="0035600F" w:rsidRPr="0080737A" w:rsidRDefault="0035600F" w:rsidP="0035600F">
      <w:pPr>
        <w:spacing w:after="0" w:line="240" w:lineRule="auto"/>
        <w:ind w:firstLine="709"/>
        <w:rPr>
          <w:rFonts w:ascii="Times New Roman" w:hAnsi="Times New Roman"/>
          <w:b/>
          <w:sz w:val="24"/>
          <w:szCs w:val="24"/>
        </w:rPr>
      </w:pPr>
      <w:r w:rsidRPr="0080737A">
        <w:rPr>
          <w:rFonts w:ascii="Times New Roman" w:hAnsi="Times New Roman"/>
          <w:b/>
          <w:sz w:val="24"/>
          <w:szCs w:val="24"/>
        </w:rPr>
        <w:t>Рынок платных услуг населению</w:t>
      </w:r>
    </w:p>
    <w:p w:rsidR="0035600F" w:rsidRPr="0080737A" w:rsidRDefault="0035600F" w:rsidP="0035600F">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Абсолютная стоимость услуг, оказанных населению через все каналы реализации, в январе-июне текущего года сократилась по отношению к сопоставимому показателю </w:t>
      </w:r>
      <w:r w:rsidR="00445605" w:rsidRPr="0080737A">
        <w:rPr>
          <w:rFonts w:ascii="Times New Roman" w:hAnsi="Times New Roman"/>
          <w:sz w:val="24"/>
          <w:szCs w:val="24"/>
        </w:rPr>
        <w:t xml:space="preserve">          </w:t>
      </w:r>
      <w:r w:rsidRPr="0080737A">
        <w:rPr>
          <w:rFonts w:ascii="Times New Roman" w:hAnsi="Times New Roman"/>
          <w:sz w:val="24"/>
          <w:szCs w:val="24"/>
        </w:rPr>
        <w:t xml:space="preserve">2015 года на 1,8% (в текущих ценах) до 1 088,9 млн. руб. При этом с учетом </w:t>
      </w:r>
      <w:r w:rsidRPr="0080737A">
        <w:rPr>
          <w:rFonts w:ascii="Times New Roman" w:hAnsi="Times New Roman"/>
          <w:sz w:val="24"/>
          <w:szCs w:val="24"/>
        </w:rPr>
        <w:lastRenderedPageBreak/>
        <w:t>уравновешивания динамики цен объем платных услуг населению (в сопоставимых ценах) сократился на 2,1%.</w:t>
      </w:r>
    </w:p>
    <w:p w:rsidR="0035600F" w:rsidRPr="0080737A" w:rsidRDefault="0035600F" w:rsidP="0035600F">
      <w:pPr>
        <w:spacing w:after="0" w:line="240" w:lineRule="auto"/>
        <w:ind w:firstLine="709"/>
        <w:jc w:val="center"/>
        <w:rPr>
          <w:rFonts w:ascii="Times New Roman" w:eastAsiaTheme="minorEastAsia" w:hAnsi="Times New Roman"/>
          <w:b/>
          <w:sz w:val="24"/>
          <w:szCs w:val="24"/>
        </w:rPr>
      </w:pPr>
      <w:r w:rsidRPr="0080737A">
        <w:rPr>
          <w:rFonts w:ascii="Times New Roman" w:eastAsiaTheme="minorEastAsia" w:hAnsi="Times New Roman"/>
          <w:b/>
          <w:sz w:val="24"/>
          <w:szCs w:val="24"/>
        </w:rPr>
        <w:t>Динамика платных услуг населению (в процентах к предыдущему году)</w:t>
      </w:r>
    </w:p>
    <w:p w:rsidR="0035600F" w:rsidRPr="0080737A" w:rsidRDefault="0035600F" w:rsidP="0035600F">
      <w:pPr>
        <w:spacing w:after="0" w:line="240" w:lineRule="auto"/>
        <w:jc w:val="both"/>
        <w:rPr>
          <w:rFonts w:ascii="Times New Roman" w:eastAsia="Calibri" w:hAnsi="Times New Roman" w:cstheme="minorBidi"/>
          <w:sz w:val="24"/>
          <w:szCs w:val="24"/>
          <w:lang w:eastAsia="en-US"/>
        </w:rPr>
      </w:pPr>
      <w:r w:rsidRPr="0080737A">
        <w:rPr>
          <w:rFonts w:ascii="Times New Roman" w:eastAsia="Calibri" w:hAnsi="Times New Roman" w:cstheme="minorBidi"/>
          <w:noProof/>
          <w:sz w:val="24"/>
          <w:szCs w:val="24"/>
        </w:rPr>
        <w:drawing>
          <wp:inline distT="0" distB="0" distL="0" distR="0">
            <wp:extent cx="5743575" cy="1828800"/>
            <wp:effectExtent l="19050" t="0" r="0" b="0"/>
            <wp:docPr id="1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5600F" w:rsidRPr="0080737A" w:rsidRDefault="0035600F" w:rsidP="0035600F">
      <w:pPr>
        <w:spacing w:after="0" w:line="240" w:lineRule="auto"/>
        <w:ind w:firstLine="709"/>
        <w:jc w:val="both"/>
        <w:rPr>
          <w:rFonts w:ascii="Times New Roman" w:eastAsia="Calibri" w:hAnsi="Times New Roman" w:cstheme="minorBidi"/>
          <w:sz w:val="24"/>
          <w:szCs w:val="24"/>
          <w:lang w:eastAsia="en-US"/>
        </w:rPr>
      </w:pPr>
      <w:r w:rsidRPr="0080737A">
        <w:rPr>
          <w:rFonts w:ascii="Times New Roman" w:eastAsia="Calibri" w:hAnsi="Times New Roman" w:cstheme="minorBidi"/>
          <w:sz w:val="24"/>
          <w:szCs w:val="24"/>
          <w:lang w:eastAsia="en-US"/>
        </w:rPr>
        <w:t xml:space="preserve">Частными организациями в январе-июне 2016 года оказано по оценке 45,1% общего объема услуг. На долю государственных и муниципальных организаций в рассматриваемом периоде приходилось 54,9% общего объема платных услуг населению. </w:t>
      </w:r>
    </w:p>
    <w:p w:rsidR="0035600F" w:rsidRPr="0080737A" w:rsidRDefault="0035600F" w:rsidP="0035600F">
      <w:pPr>
        <w:spacing w:after="0" w:line="240" w:lineRule="auto"/>
        <w:jc w:val="both"/>
        <w:rPr>
          <w:rFonts w:ascii="Times New Roman" w:eastAsia="Calibri" w:hAnsi="Times New Roman" w:cstheme="minorBidi"/>
          <w:sz w:val="24"/>
          <w:szCs w:val="24"/>
          <w:lang w:eastAsia="en-US"/>
        </w:rPr>
      </w:pPr>
    </w:p>
    <w:p w:rsidR="0035600F" w:rsidRPr="0080737A" w:rsidRDefault="0035600F" w:rsidP="0035600F">
      <w:pPr>
        <w:widowControl w:val="0"/>
        <w:spacing w:after="0" w:line="240" w:lineRule="auto"/>
        <w:ind w:firstLine="720"/>
        <w:jc w:val="center"/>
        <w:rPr>
          <w:rFonts w:ascii="Times New Roman" w:eastAsia="Calibri" w:hAnsi="Times New Roman" w:cstheme="minorBidi"/>
          <w:b/>
          <w:sz w:val="24"/>
          <w:szCs w:val="24"/>
          <w:lang w:eastAsia="en-US"/>
        </w:rPr>
      </w:pPr>
      <w:r w:rsidRPr="0080737A">
        <w:rPr>
          <w:rFonts w:ascii="Times New Roman" w:eastAsia="Calibri" w:hAnsi="Times New Roman" w:cstheme="minorBidi"/>
          <w:b/>
          <w:sz w:val="24"/>
          <w:szCs w:val="24"/>
          <w:lang w:eastAsia="en-US"/>
        </w:rPr>
        <w:t>Структура потребительских услуг по формам собственности, %</w:t>
      </w:r>
    </w:p>
    <w:p w:rsidR="0035600F" w:rsidRPr="0080737A" w:rsidRDefault="0035600F" w:rsidP="0035600F">
      <w:pPr>
        <w:spacing w:after="0" w:line="240" w:lineRule="auto"/>
        <w:jc w:val="both"/>
        <w:rPr>
          <w:rFonts w:ascii="Times New Roman" w:eastAsia="Calibri" w:hAnsi="Times New Roman" w:cstheme="minorBidi"/>
          <w:sz w:val="24"/>
          <w:szCs w:val="24"/>
          <w:lang w:eastAsia="en-US"/>
        </w:rPr>
      </w:pPr>
      <w:r w:rsidRPr="0080737A">
        <w:rPr>
          <w:rFonts w:ascii="Times New Roman" w:eastAsia="Calibri" w:hAnsi="Times New Roman" w:cstheme="minorBidi"/>
          <w:noProof/>
          <w:sz w:val="24"/>
          <w:szCs w:val="24"/>
        </w:rPr>
        <w:drawing>
          <wp:inline distT="0" distB="0" distL="0" distR="0">
            <wp:extent cx="3019425" cy="1924050"/>
            <wp:effectExtent l="19050" t="0" r="0" b="0"/>
            <wp:docPr id="13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80737A">
        <w:rPr>
          <w:rFonts w:ascii="Times New Roman" w:eastAsia="Calibri" w:hAnsi="Times New Roman" w:cstheme="minorBidi"/>
          <w:noProof/>
          <w:sz w:val="24"/>
          <w:szCs w:val="24"/>
        </w:rPr>
        <w:drawing>
          <wp:inline distT="0" distB="0" distL="0" distR="0">
            <wp:extent cx="2667000" cy="1819275"/>
            <wp:effectExtent l="19050" t="0" r="0" b="0"/>
            <wp:docPr id="13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5600F" w:rsidRPr="0080737A" w:rsidRDefault="0035600F" w:rsidP="0035600F">
      <w:pPr>
        <w:spacing w:after="0" w:line="240" w:lineRule="auto"/>
        <w:ind w:firstLine="709"/>
        <w:jc w:val="both"/>
        <w:rPr>
          <w:rFonts w:ascii="Times New Roman" w:eastAsia="Calibri" w:hAnsi="Times New Roman" w:cstheme="minorBidi"/>
          <w:sz w:val="24"/>
          <w:szCs w:val="24"/>
          <w:lang w:eastAsia="en-US"/>
        </w:rPr>
      </w:pPr>
    </w:p>
    <w:p w:rsidR="0035600F" w:rsidRPr="0080737A" w:rsidRDefault="0035600F" w:rsidP="0035600F">
      <w:pPr>
        <w:widowControl w:val="0"/>
        <w:tabs>
          <w:tab w:val="left" w:pos="7088"/>
        </w:tabs>
        <w:spacing w:after="0" w:line="240" w:lineRule="auto"/>
        <w:ind w:firstLine="720"/>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t xml:space="preserve">Потребительский спрос населения к потреблению отдельных видов бытовых услуг в рассматриваемом периоде, предопределил сокращение их совокупного объема на 0,2% (в сопоставимых ценах) до 35,2 млн. руб., сохранив при  этом долевое участие в структуре потребительского рынка на уровне 3,2%. </w:t>
      </w:r>
    </w:p>
    <w:p w:rsidR="0035600F" w:rsidRPr="0080737A" w:rsidRDefault="0035600F" w:rsidP="0035600F">
      <w:pPr>
        <w:widowControl w:val="0"/>
        <w:spacing w:after="0" w:line="240" w:lineRule="auto"/>
        <w:ind w:firstLine="720"/>
        <w:jc w:val="both"/>
        <w:rPr>
          <w:rFonts w:ascii="Times New Roman" w:eastAsia="Calibri" w:hAnsi="Times New Roman" w:cstheme="minorBidi"/>
          <w:sz w:val="24"/>
          <w:szCs w:val="24"/>
          <w:lang w:eastAsia="en-US"/>
        </w:rPr>
      </w:pPr>
      <w:r w:rsidRPr="0080737A">
        <w:rPr>
          <w:rFonts w:ascii="Times New Roman" w:eastAsia="Calibri" w:hAnsi="Times New Roman" w:cstheme="minorBidi"/>
          <w:sz w:val="24"/>
          <w:szCs w:val="24"/>
          <w:lang w:eastAsia="en-US"/>
        </w:rPr>
        <w:t xml:space="preserve">Таким образом, </w:t>
      </w:r>
      <w:r w:rsidRPr="0080737A">
        <w:rPr>
          <w:rFonts w:ascii="Times New Roman" w:eastAsiaTheme="minorEastAsia" w:hAnsi="Times New Roman" w:cstheme="minorBidi"/>
          <w:sz w:val="24"/>
          <w:szCs w:val="24"/>
        </w:rPr>
        <w:t xml:space="preserve">воздействие группы факторов, связанных с нестабильной внешнеполитической и экономической конъюнктурой ситуацией в совокупности с углублением структурных деформаций реального сектора экономики и нестабильной ситуацией на валютном рынке, отражаются на потребительском поведении населения и сказываются на динамике развития потребительского рынка в целом. </w:t>
      </w:r>
    </w:p>
    <w:p w:rsidR="00335844" w:rsidRPr="0080737A" w:rsidRDefault="00335844" w:rsidP="00335844">
      <w:pPr>
        <w:spacing w:after="0" w:line="240" w:lineRule="auto"/>
        <w:ind w:firstLine="709"/>
        <w:contextualSpacing/>
        <w:jc w:val="both"/>
        <w:rPr>
          <w:rFonts w:ascii="Times New Roman" w:hAnsi="Times New Roman"/>
          <w:b/>
          <w:sz w:val="24"/>
          <w:szCs w:val="24"/>
        </w:rPr>
      </w:pPr>
    </w:p>
    <w:p w:rsidR="00335844" w:rsidRPr="0080737A" w:rsidRDefault="00335844" w:rsidP="00335844">
      <w:pPr>
        <w:spacing w:after="0" w:line="240" w:lineRule="auto"/>
        <w:ind w:firstLine="709"/>
        <w:contextualSpacing/>
        <w:rPr>
          <w:rFonts w:ascii="Times New Roman" w:hAnsi="Times New Roman"/>
          <w:b/>
          <w:sz w:val="24"/>
          <w:szCs w:val="24"/>
        </w:rPr>
      </w:pPr>
      <w:r w:rsidRPr="0080737A">
        <w:rPr>
          <w:rFonts w:ascii="Times New Roman" w:hAnsi="Times New Roman"/>
          <w:b/>
          <w:sz w:val="24"/>
          <w:szCs w:val="24"/>
        </w:rPr>
        <w:t>Ценовая и тарифная политика</w:t>
      </w:r>
    </w:p>
    <w:p w:rsidR="00335844" w:rsidRPr="0080737A" w:rsidRDefault="00335844" w:rsidP="00335844">
      <w:pPr>
        <w:spacing w:after="0" w:line="240" w:lineRule="auto"/>
        <w:ind w:firstLine="708"/>
        <w:jc w:val="both"/>
        <w:rPr>
          <w:rFonts w:ascii="Times New Roman" w:hAnsi="Times New Roman"/>
          <w:sz w:val="24"/>
          <w:szCs w:val="24"/>
        </w:rPr>
      </w:pPr>
    </w:p>
    <w:p w:rsidR="002610C6" w:rsidRPr="0080737A" w:rsidRDefault="002610C6" w:rsidP="002610C6">
      <w:pPr>
        <w:spacing w:after="0" w:line="240" w:lineRule="auto"/>
        <w:ind w:firstLine="709"/>
        <w:contextualSpacing/>
        <w:rPr>
          <w:rFonts w:ascii="Times New Roman" w:eastAsiaTheme="minorEastAsia" w:hAnsi="Times New Roman" w:cstheme="minorBidi"/>
          <w:b/>
          <w:sz w:val="24"/>
          <w:szCs w:val="24"/>
        </w:rPr>
      </w:pPr>
      <w:r w:rsidRPr="0080737A">
        <w:rPr>
          <w:rFonts w:ascii="Times New Roman" w:eastAsiaTheme="minorEastAsia" w:hAnsi="Times New Roman" w:cstheme="minorBidi"/>
          <w:b/>
          <w:sz w:val="24"/>
          <w:szCs w:val="24"/>
        </w:rPr>
        <w:t>Тарифная политика в сфере естественных монополий</w:t>
      </w:r>
    </w:p>
    <w:p w:rsidR="002610C6" w:rsidRPr="0080737A" w:rsidRDefault="002610C6" w:rsidP="002610C6">
      <w:pPr>
        <w:spacing w:after="0" w:line="240" w:lineRule="auto"/>
        <w:ind w:firstLine="709"/>
        <w:jc w:val="both"/>
        <w:rPr>
          <w:rFonts w:ascii="Times New Roman" w:hAnsi="Times New Roman"/>
          <w:bCs/>
          <w:sz w:val="24"/>
          <w:szCs w:val="24"/>
        </w:rPr>
      </w:pPr>
      <w:r w:rsidRPr="0080737A">
        <w:rPr>
          <w:rFonts w:ascii="Times New Roman" w:hAnsi="Times New Roman"/>
          <w:bCs/>
          <w:sz w:val="24"/>
          <w:szCs w:val="24"/>
        </w:rPr>
        <w:t>Предельные уровни тарифов на услуги, оказываемые в сфере естественных монополий, сформированы на 2016 год с учетом норм действующего законодательства в области ценообразования, а также следующих факторов:</w:t>
      </w:r>
    </w:p>
    <w:p w:rsidR="002610C6" w:rsidRPr="0080737A" w:rsidRDefault="002610C6" w:rsidP="002610C6">
      <w:pPr>
        <w:spacing w:after="0" w:line="240" w:lineRule="auto"/>
        <w:ind w:firstLine="709"/>
        <w:jc w:val="both"/>
        <w:rPr>
          <w:rFonts w:ascii="Times New Roman" w:hAnsi="Times New Roman"/>
          <w:bCs/>
          <w:sz w:val="24"/>
          <w:szCs w:val="24"/>
        </w:rPr>
      </w:pPr>
      <w:r w:rsidRPr="0080737A">
        <w:rPr>
          <w:rFonts w:ascii="Times New Roman" w:hAnsi="Times New Roman"/>
          <w:bCs/>
          <w:sz w:val="24"/>
          <w:szCs w:val="24"/>
        </w:rPr>
        <w:t>а) изменения цен на сырье и материалы, тарифов на энергоносители;</w:t>
      </w:r>
    </w:p>
    <w:p w:rsidR="002610C6" w:rsidRPr="0080737A" w:rsidRDefault="002610C6" w:rsidP="002610C6">
      <w:pPr>
        <w:spacing w:after="0" w:line="240" w:lineRule="auto"/>
        <w:ind w:firstLine="709"/>
        <w:jc w:val="both"/>
        <w:rPr>
          <w:rFonts w:ascii="Times New Roman" w:hAnsi="Times New Roman"/>
          <w:bCs/>
          <w:sz w:val="24"/>
          <w:szCs w:val="24"/>
        </w:rPr>
      </w:pPr>
      <w:r w:rsidRPr="0080737A">
        <w:rPr>
          <w:rFonts w:ascii="Times New Roman" w:hAnsi="Times New Roman"/>
          <w:bCs/>
          <w:sz w:val="24"/>
          <w:szCs w:val="24"/>
        </w:rPr>
        <w:t>б) влияния прогнозируемой инфляции;</w:t>
      </w:r>
    </w:p>
    <w:p w:rsidR="002610C6" w:rsidRPr="0080737A" w:rsidRDefault="002610C6" w:rsidP="002610C6">
      <w:pPr>
        <w:spacing w:after="0" w:line="240" w:lineRule="auto"/>
        <w:ind w:firstLine="709"/>
        <w:jc w:val="both"/>
        <w:rPr>
          <w:rFonts w:ascii="Times New Roman" w:hAnsi="Times New Roman"/>
          <w:bCs/>
          <w:sz w:val="24"/>
          <w:szCs w:val="24"/>
        </w:rPr>
      </w:pPr>
      <w:r w:rsidRPr="0080737A">
        <w:rPr>
          <w:rFonts w:ascii="Times New Roman" w:hAnsi="Times New Roman"/>
          <w:bCs/>
          <w:sz w:val="24"/>
          <w:szCs w:val="24"/>
        </w:rPr>
        <w:t>в) фактических результатов деятельности субъектов естественных монополий по итогам работы за прошедший расчетный период регулирования.</w:t>
      </w:r>
    </w:p>
    <w:p w:rsidR="002610C6" w:rsidRPr="0080737A" w:rsidRDefault="002610C6" w:rsidP="002610C6">
      <w:pPr>
        <w:tabs>
          <w:tab w:val="left" w:pos="993"/>
        </w:tabs>
        <w:spacing w:after="0" w:line="240" w:lineRule="auto"/>
        <w:ind w:firstLine="709"/>
        <w:jc w:val="both"/>
        <w:rPr>
          <w:rFonts w:ascii="Times New Roman" w:hAnsi="Times New Roman"/>
          <w:bCs/>
          <w:sz w:val="24"/>
          <w:szCs w:val="24"/>
        </w:rPr>
      </w:pPr>
      <w:r w:rsidRPr="0080737A">
        <w:rPr>
          <w:rFonts w:ascii="Times New Roman" w:hAnsi="Times New Roman"/>
          <w:bCs/>
          <w:sz w:val="24"/>
          <w:szCs w:val="24"/>
        </w:rPr>
        <w:t xml:space="preserve">В целях поддержания платежеспособности населения республики с 1 января по 30 июня 2016 года предельные уровни тарифов на услуги газоснабжения, электроснабжения, водоснабжения и водоотведения, а также на услуги теплоснабжения для социальной </w:t>
      </w:r>
      <w:r w:rsidRPr="0080737A">
        <w:rPr>
          <w:rFonts w:ascii="Times New Roman" w:hAnsi="Times New Roman"/>
          <w:bCs/>
          <w:sz w:val="24"/>
          <w:szCs w:val="24"/>
        </w:rPr>
        <w:lastRenderedPageBreak/>
        <w:t>категории населения</w:t>
      </w:r>
      <w:r w:rsidRPr="0080737A">
        <w:rPr>
          <w:rFonts w:ascii="Times New Roman" w:hAnsi="Times New Roman"/>
          <w:bCs/>
          <w:sz w:val="24"/>
          <w:vertAlign w:val="superscript"/>
        </w:rPr>
        <w:footnoteReference w:id="2"/>
      </w:r>
      <w:r w:rsidRPr="0080737A">
        <w:rPr>
          <w:rFonts w:ascii="Times New Roman" w:hAnsi="Times New Roman"/>
          <w:bCs/>
          <w:sz w:val="24"/>
          <w:szCs w:val="24"/>
        </w:rPr>
        <w:t xml:space="preserve"> на 2016 год установлены на уровне предельных тарифов, действовавших в 2015 году.</w:t>
      </w:r>
    </w:p>
    <w:p w:rsidR="002610C6" w:rsidRPr="0080737A" w:rsidRDefault="002610C6" w:rsidP="002610C6">
      <w:pPr>
        <w:spacing w:after="0" w:line="240" w:lineRule="auto"/>
        <w:ind w:firstLine="709"/>
        <w:jc w:val="both"/>
        <w:rPr>
          <w:rFonts w:ascii="Times New Roman" w:hAnsi="Times New Roman"/>
          <w:bCs/>
          <w:i/>
          <w:sz w:val="24"/>
          <w:szCs w:val="24"/>
        </w:rPr>
      </w:pPr>
      <w:proofErr w:type="gramStart"/>
      <w:r w:rsidRPr="0080737A">
        <w:rPr>
          <w:rFonts w:ascii="Times New Roman" w:hAnsi="Times New Roman"/>
          <w:bCs/>
          <w:sz w:val="24"/>
          <w:szCs w:val="24"/>
        </w:rPr>
        <w:t xml:space="preserve">С 1 марта 2016 года в целях оказания дополнительной государственной поддержки отечественным производителям основных продуктов питания (мяса, молока, куриных яиц), улучшения условий для выпуска конкурентоспособной продукций с учетом девальвации национальной валюты в сопредельных государствах и сохранения рабочих мест введена новая категория потребителей услуг газоснабжения и услуг в сфере электроэнергетики </w:t>
      </w:r>
      <w:r w:rsidRPr="0080737A">
        <w:rPr>
          <w:rFonts w:ascii="Times New Roman" w:hAnsi="Times New Roman"/>
          <w:bCs/>
          <w:i/>
          <w:sz w:val="24"/>
          <w:szCs w:val="24"/>
        </w:rPr>
        <w:t>«организации, осуществляющие производство мяса, молока, куриных яиц и (или) переработку мясомолочного</w:t>
      </w:r>
      <w:proofErr w:type="gramEnd"/>
      <w:r w:rsidRPr="0080737A">
        <w:rPr>
          <w:rFonts w:ascii="Times New Roman" w:hAnsi="Times New Roman"/>
          <w:bCs/>
          <w:i/>
          <w:sz w:val="24"/>
          <w:szCs w:val="24"/>
        </w:rPr>
        <w:t xml:space="preserve"> сырья,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не менее 70 процентов». </w:t>
      </w:r>
    </w:p>
    <w:p w:rsidR="002610C6" w:rsidRPr="0080737A" w:rsidRDefault="002610C6" w:rsidP="002610C6">
      <w:pPr>
        <w:spacing w:after="0" w:line="240" w:lineRule="auto"/>
        <w:ind w:firstLine="709"/>
        <w:contextualSpacing/>
        <w:jc w:val="both"/>
        <w:rPr>
          <w:rFonts w:ascii="Times New Roman" w:hAnsi="Times New Roman"/>
          <w:sz w:val="24"/>
          <w:szCs w:val="24"/>
          <w:lang w:eastAsia="en-US"/>
        </w:rPr>
      </w:pPr>
      <w:r w:rsidRPr="0080737A">
        <w:rPr>
          <w:rFonts w:ascii="Times New Roman" w:hAnsi="Times New Roman"/>
          <w:sz w:val="24"/>
          <w:szCs w:val="24"/>
          <w:lang w:eastAsia="en-US"/>
        </w:rPr>
        <w:t xml:space="preserve">С 1 мая 2016 года для бытовых потребителей сельских населенных пунктов (сельских поселений) снижены предельные уровни тарифов на услуги газоснабжения (на 18,36%) за объем, потребленный в пределах установленного лимита, и электроэнергии (на 17,5%) за объем, потребленный до 150 </w:t>
      </w:r>
      <w:proofErr w:type="spellStart"/>
      <w:r w:rsidRPr="0080737A">
        <w:rPr>
          <w:rFonts w:ascii="Times New Roman" w:hAnsi="Times New Roman"/>
          <w:sz w:val="24"/>
          <w:szCs w:val="24"/>
          <w:lang w:eastAsia="en-US"/>
        </w:rPr>
        <w:t>кВт</w:t>
      </w:r>
      <w:proofErr w:type="gramStart"/>
      <w:r w:rsidRPr="0080737A">
        <w:rPr>
          <w:rFonts w:ascii="Times New Roman" w:hAnsi="Times New Roman"/>
          <w:sz w:val="24"/>
          <w:szCs w:val="24"/>
          <w:lang w:eastAsia="en-US"/>
        </w:rPr>
        <w:t>.ч</w:t>
      </w:r>
      <w:proofErr w:type="spellEnd"/>
      <w:proofErr w:type="gramEnd"/>
      <w:r w:rsidRPr="0080737A">
        <w:rPr>
          <w:rFonts w:ascii="Times New Roman" w:hAnsi="Times New Roman"/>
          <w:sz w:val="24"/>
          <w:szCs w:val="24"/>
          <w:lang w:eastAsia="en-US"/>
        </w:rPr>
        <w:t>.</w:t>
      </w:r>
    </w:p>
    <w:p w:rsidR="002610C6" w:rsidRPr="0080737A" w:rsidRDefault="002610C6" w:rsidP="002610C6">
      <w:pPr>
        <w:spacing w:after="0" w:line="240" w:lineRule="auto"/>
        <w:ind w:firstLine="567"/>
        <w:jc w:val="both"/>
        <w:rPr>
          <w:rFonts w:ascii="Times New Roman" w:eastAsiaTheme="minorEastAsia" w:hAnsi="Times New Roman" w:cstheme="minorBidi"/>
          <w:bCs/>
          <w:sz w:val="24"/>
          <w:szCs w:val="24"/>
        </w:rPr>
      </w:pPr>
      <w:r w:rsidRPr="0080737A">
        <w:rPr>
          <w:rFonts w:ascii="Times New Roman" w:eastAsiaTheme="minorEastAsia" w:hAnsi="Times New Roman" w:cstheme="minorBidi"/>
          <w:bCs/>
          <w:sz w:val="24"/>
          <w:szCs w:val="24"/>
        </w:rPr>
        <w:t xml:space="preserve">С 1 января по 30 июня 2016 года тарифы на услуги газоснабжения, электроэнергетики для всего населения, а также на услуги по снабжению тепловой энергией (отопление и подогрев воды) для социальной категории населения снижены на 7%. </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color w:val="000000"/>
          <w:sz w:val="24"/>
          <w:szCs w:val="24"/>
          <w:lang w:bidi="ru-RU"/>
        </w:rPr>
        <w:t xml:space="preserve">Предельные и применяемые уровни тарифов на коммунальные услуги по </w:t>
      </w:r>
      <w:r w:rsidRPr="0080737A">
        <w:rPr>
          <w:rFonts w:ascii="Times New Roman" w:hAnsi="Times New Roman"/>
          <w:sz w:val="24"/>
          <w:szCs w:val="24"/>
          <w:lang w:eastAsia="en-US"/>
        </w:rPr>
        <w:t xml:space="preserve">различным категориям потребителей в </w:t>
      </w:r>
      <w:r w:rsidRPr="0080737A">
        <w:rPr>
          <w:rFonts w:ascii="Times New Roman" w:hAnsi="Times New Roman"/>
          <w:bCs/>
          <w:sz w:val="24"/>
          <w:szCs w:val="24"/>
          <w:lang w:val="en-US" w:eastAsia="en-US"/>
        </w:rPr>
        <w:t>I</w:t>
      </w:r>
      <w:r w:rsidRPr="0080737A">
        <w:rPr>
          <w:rFonts w:ascii="Times New Roman" w:hAnsi="Times New Roman"/>
          <w:bCs/>
          <w:sz w:val="24"/>
          <w:szCs w:val="24"/>
          <w:lang w:eastAsia="en-US"/>
        </w:rPr>
        <w:t xml:space="preserve"> полугодии 2016 года </w:t>
      </w:r>
      <w:r w:rsidRPr="0080737A">
        <w:rPr>
          <w:rFonts w:ascii="Times New Roman" w:hAnsi="Times New Roman"/>
          <w:bCs/>
          <w:iCs/>
          <w:sz w:val="24"/>
          <w:szCs w:val="24"/>
        </w:rPr>
        <w:t>установлены в следующих</w:t>
      </w:r>
      <w:r w:rsidRPr="0080737A">
        <w:rPr>
          <w:rFonts w:ascii="Times New Roman" w:hAnsi="Times New Roman"/>
          <w:color w:val="000000"/>
          <w:sz w:val="24"/>
          <w:szCs w:val="24"/>
          <w:lang w:bidi="ru-RU"/>
        </w:rPr>
        <w:t xml:space="preserve"> размерах и </w:t>
      </w:r>
      <w:r w:rsidRPr="0080737A">
        <w:rPr>
          <w:rFonts w:ascii="Times New Roman" w:hAnsi="Times New Roman"/>
          <w:bCs/>
          <w:sz w:val="24"/>
          <w:szCs w:val="24"/>
          <w:lang w:eastAsia="en-US"/>
        </w:rPr>
        <w:t xml:space="preserve">в сравнении с действовавшими тарифами в I полугодии 2015 года демонстрируют </w:t>
      </w:r>
      <w:r w:rsidRPr="0080737A">
        <w:rPr>
          <w:rFonts w:ascii="Times New Roman" w:hAnsi="Times New Roman"/>
          <w:color w:val="000000"/>
          <w:sz w:val="24"/>
          <w:szCs w:val="24"/>
          <w:lang w:bidi="ru-RU"/>
        </w:rPr>
        <w:t>следующую динамику:</w:t>
      </w:r>
    </w:p>
    <w:p w:rsidR="002610C6" w:rsidRPr="0080737A" w:rsidRDefault="002610C6" w:rsidP="002610C6">
      <w:pPr>
        <w:widowControl w:val="0"/>
        <w:spacing w:after="0" w:line="240" w:lineRule="auto"/>
        <w:ind w:firstLine="709"/>
        <w:jc w:val="both"/>
        <w:rPr>
          <w:rFonts w:ascii="Times New Roman" w:hAnsi="Times New Roman"/>
          <w:b/>
          <w:color w:val="000000"/>
          <w:sz w:val="24"/>
          <w:szCs w:val="24"/>
          <w:lang w:bidi="ru-RU"/>
        </w:rPr>
      </w:pPr>
    </w:p>
    <w:p w:rsidR="002610C6" w:rsidRPr="0080737A" w:rsidRDefault="002610C6" w:rsidP="002610C6">
      <w:pPr>
        <w:widowControl w:val="0"/>
        <w:spacing w:after="0" w:line="240" w:lineRule="auto"/>
        <w:ind w:firstLine="709"/>
        <w:jc w:val="both"/>
        <w:rPr>
          <w:rFonts w:ascii="Times New Roman" w:hAnsi="Times New Roman"/>
          <w:b/>
          <w:color w:val="000000"/>
          <w:sz w:val="24"/>
          <w:szCs w:val="24"/>
          <w:lang w:bidi="ru-RU"/>
        </w:rPr>
      </w:pPr>
      <w:r w:rsidRPr="0080737A">
        <w:rPr>
          <w:rFonts w:ascii="Times New Roman" w:hAnsi="Times New Roman"/>
          <w:b/>
          <w:color w:val="000000"/>
          <w:sz w:val="24"/>
          <w:szCs w:val="24"/>
          <w:lang w:bidi="ru-RU"/>
        </w:rPr>
        <w:t>1. Тарифы на услуги газоснабжения:</w:t>
      </w:r>
    </w:p>
    <w:p w:rsidR="002610C6" w:rsidRPr="0080737A" w:rsidRDefault="002610C6" w:rsidP="002610C6">
      <w:pPr>
        <w:widowControl w:val="0"/>
        <w:spacing w:after="0" w:line="240" w:lineRule="auto"/>
        <w:ind w:firstLine="709"/>
        <w:jc w:val="both"/>
        <w:rPr>
          <w:rFonts w:ascii="Times New Roman" w:hAnsi="Times New Roman"/>
          <w:sz w:val="24"/>
          <w:szCs w:val="24"/>
          <w:u w:val="single"/>
          <w:lang w:eastAsia="en-US"/>
        </w:rPr>
      </w:pPr>
      <w:r w:rsidRPr="0080737A">
        <w:rPr>
          <w:rFonts w:ascii="Times New Roman" w:hAnsi="Times New Roman"/>
          <w:sz w:val="24"/>
          <w:szCs w:val="24"/>
          <w:u w:val="single"/>
          <w:lang w:eastAsia="en-US"/>
        </w:rPr>
        <w:t>а) тарифы на природный газ, транспортируемый по магистральным трубопроводам и распределительным сетям и отпускаемый:</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color w:val="000000"/>
          <w:sz w:val="24"/>
          <w:szCs w:val="24"/>
          <w:lang w:bidi="ru-RU"/>
        </w:rPr>
        <w:t xml:space="preserve">1) для бытовых потребителей (абонентов): </w:t>
      </w:r>
      <w:r w:rsidRPr="0080737A">
        <w:rPr>
          <w:rFonts w:ascii="Times New Roman" w:hAnsi="Times New Roman"/>
          <w:i/>
          <w:color w:val="000000"/>
          <w:sz w:val="24"/>
          <w:szCs w:val="24"/>
          <w:lang w:bidi="ru-RU"/>
        </w:rPr>
        <w:t>предельные уровни тарифов</w:t>
      </w:r>
      <w:r w:rsidRPr="0080737A">
        <w:rPr>
          <w:rFonts w:ascii="Times New Roman" w:hAnsi="Times New Roman"/>
          <w:color w:val="000000"/>
          <w:sz w:val="24"/>
          <w:szCs w:val="24"/>
          <w:lang w:bidi="ru-RU"/>
        </w:rPr>
        <w:t xml:space="preserve"> сохранены на уровне, установленных предельных тарифов действовавших в 2015 году (0,87 руб. </w:t>
      </w:r>
      <w:r w:rsidRPr="0080737A">
        <w:rPr>
          <w:rFonts w:ascii="Times New Roman" w:hAnsi="Times New Roman"/>
          <w:sz w:val="24"/>
          <w:szCs w:val="24"/>
          <w:lang w:eastAsia="en-US"/>
        </w:rPr>
        <w:t xml:space="preserve">за </w:t>
      </w:r>
      <w:r w:rsidR="00445605" w:rsidRPr="0080737A">
        <w:rPr>
          <w:rFonts w:ascii="Times New Roman" w:hAnsi="Times New Roman"/>
          <w:sz w:val="24"/>
          <w:szCs w:val="24"/>
          <w:lang w:eastAsia="en-US"/>
        </w:rPr>
        <w:t xml:space="preserve">           </w:t>
      </w:r>
      <w:r w:rsidRPr="0080737A">
        <w:rPr>
          <w:rFonts w:ascii="Times New Roman" w:hAnsi="Times New Roman"/>
          <w:sz w:val="24"/>
          <w:szCs w:val="24"/>
          <w:lang w:eastAsia="en-US"/>
        </w:rPr>
        <w:t xml:space="preserve">1 куб. </w:t>
      </w:r>
      <w:proofErr w:type="gramStart"/>
      <w:r w:rsidRPr="0080737A">
        <w:rPr>
          <w:rFonts w:ascii="Times New Roman" w:hAnsi="Times New Roman"/>
          <w:sz w:val="24"/>
          <w:szCs w:val="24"/>
          <w:lang w:eastAsia="en-US"/>
        </w:rPr>
        <w:t>м</w:t>
      </w:r>
      <w:proofErr w:type="gramEnd"/>
      <w:r w:rsidRPr="0080737A">
        <w:rPr>
          <w:rFonts w:ascii="Times New Roman" w:hAnsi="Times New Roman"/>
          <w:sz w:val="24"/>
          <w:szCs w:val="24"/>
          <w:lang w:eastAsia="en-US"/>
        </w:rPr>
        <w:t>, за объем, потребленный свыше</w:t>
      </w:r>
      <w:r w:rsidRPr="0080737A">
        <w:rPr>
          <w:rFonts w:ascii="Times New Roman" w:hAnsi="Times New Roman"/>
          <w:color w:val="000000"/>
          <w:sz w:val="24"/>
          <w:szCs w:val="24"/>
          <w:lang w:bidi="ru-RU"/>
        </w:rPr>
        <w:t xml:space="preserve"> установленного лимита - 1,12 руб. </w:t>
      </w:r>
      <w:r w:rsidRPr="0080737A">
        <w:rPr>
          <w:rFonts w:ascii="Times New Roman" w:hAnsi="Times New Roman"/>
          <w:sz w:val="24"/>
          <w:szCs w:val="24"/>
          <w:lang w:eastAsia="en-US"/>
        </w:rPr>
        <w:t>за 1 куб. м;</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color w:val="000000"/>
          <w:sz w:val="24"/>
          <w:szCs w:val="24"/>
          <w:lang w:bidi="ru-RU"/>
        </w:rPr>
        <w:t xml:space="preserve">2) для бытовых потребителей (абонентов) сельских населенных пунктов (сельских поселений): </w:t>
      </w:r>
      <w:r w:rsidRPr="0080737A">
        <w:rPr>
          <w:rFonts w:ascii="Times New Roman" w:hAnsi="Times New Roman"/>
          <w:i/>
          <w:color w:val="000000"/>
          <w:sz w:val="24"/>
          <w:szCs w:val="24"/>
          <w:lang w:bidi="ru-RU"/>
        </w:rPr>
        <w:t>предельный тариф</w:t>
      </w:r>
      <w:r w:rsidRPr="0080737A">
        <w:rPr>
          <w:rFonts w:ascii="Times New Roman" w:hAnsi="Times New Roman"/>
          <w:color w:val="000000"/>
          <w:sz w:val="24"/>
          <w:szCs w:val="24"/>
          <w:lang w:bidi="ru-RU"/>
        </w:rPr>
        <w:t xml:space="preserve"> в пределах установленного лимита с 1 мая текущего года установлен на уровне 0,71 руб.</w:t>
      </w:r>
      <w:r w:rsidRPr="0080737A">
        <w:rPr>
          <w:rFonts w:ascii="Times New Roman" w:hAnsi="Times New Roman"/>
          <w:sz w:val="24"/>
          <w:szCs w:val="24"/>
          <w:lang w:eastAsia="en-US"/>
        </w:rPr>
        <w:t xml:space="preserve"> за 1 куб. </w:t>
      </w:r>
      <w:proofErr w:type="gramStart"/>
      <w:r w:rsidRPr="0080737A">
        <w:rPr>
          <w:rFonts w:ascii="Times New Roman" w:hAnsi="Times New Roman"/>
          <w:sz w:val="24"/>
          <w:szCs w:val="24"/>
          <w:lang w:eastAsia="en-US"/>
        </w:rPr>
        <w:t>м</w:t>
      </w:r>
      <w:proofErr w:type="gramEnd"/>
      <w:r w:rsidRPr="0080737A">
        <w:rPr>
          <w:rFonts w:ascii="Times New Roman" w:hAnsi="Times New Roman"/>
          <w:color w:val="000000"/>
          <w:sz w:val="24"/>
          <w:szCs w:val="24"/>
          <w:lang w:bidi="ru-RU"/>
        </w:rPr>
        <w:t xml:space="preserve">, </w:t>
      </w:r>
      <w:r w:rsidRPr="0080737A">
        <w:rPr>
          <w:rFonts w:ascii="Times New Roman" w:hAnsi="Times New Roman"/>
          <w:sz w:val="24"/>
          <w:szCs w:val="24"/>
          <w:lang w:eastAsia="en-US"/>
        </w:rPr>
        <w:t>за объем, потребленный свыше установленного лимита</w:t>
      </w:r>
      <w:r w:rsidRPr="0080737A">
        <w:rPr>
          <w:rFonts w:ascii="Times New Roman" w:hAnsi="Times New Roman"/>
          <w:color w:val="000000"/>
          <w:sz w:val="24"/>
          <w:szCs w:val="24"/>
          <w:lang w:bidi="ru-RU"/>
        </w:rPr>
        <w:t xml:space="preserve"> </w:t>
      </w:r>
      <w:r w:rsidRPr="0080737A">
        <w:rPr>
          <w:rFonts w:ascii="Times New Roman" w:hAnsi="Times New Roman"/>
          <w:i/>
          <w:color w:val="000000"/>
          <w:sz w:val="24"/>
          <w:szCs w:val="24"/>
          <w:lang w:bidi="ru-RU"/>
        </w:rPr>
        <w:t xml:space="preserve">предельный </w:t>
      </w:r>
      <w:r w:rsidRPr="0080737A">
        <w:rPr>
          <w:rFonts w:ascii="Times New Roman" w:hAnsi="Times New Roman"/>
          <w:color w:val="000000"/>
          <w:sz w:val="24"/>
          <w:szCs w:val="24"/>
          <w:lang w:bidi="ru-RU"/>
        </w:rPr>
        <w:t>тариф утвержден в размере 1,12</w:t>
      </w:r>
      <w:r w:rsidRPr="0080737A">
        <w:rPr>
          <w:rFonts w:ascii="Times New Roman" w:hAnsi="Times New Roman"/>
          <w:sz w:val="24"/>
          <w:szCs w:val="24"/>
          <w:lang w:eastAsia="en-US"/>
        </w:rPr>
        <w:t xml:space="preserve"> за 1 куб. м; </w:t>
      </w:r>
    </w:p>
    <w:p w:rsidR="002610C6" w:rsidRPr="0080737A" w:rsidRDefault="002610C6" w:rsidP="002610C6">
      <w:pPr>
        <w:widowControl w:val="0"/>
        <w:spacing w:after="0" w:line="240" w:lineRule="auto"/>
        <w:ind w:firstLine="709"/>
        <w:jc w:val="both"/>
        <w:rPr>
          <w:rFonts w:ascii="Times New Roman" w:hAnsi="Times New Roman"/>
          <w:sz w:val="24"/>
          <w:szCs w:val="24"/>
          <w:lang w:eastAsia="en-US"/>
        </w:rPr>
      </w:pPr>
      <w:proofErr w:type="gramStart"/>
      <w:r w:rsidRPr="0080737A">
        <w:rPr>
          <w:rFonts w:ascii="Times New Roman" w:hAnsi="Times New Roman"/>
          <w:color w:val="000000"/>
          <w:sz w:val="24"/>
          <w:szCs w:val="24"/>
          <w:lang w:bidi="ru-RU"/>
        </w:rPr>
        <w:t xml:space="preserve">3) для организаций, осуществляющих производство </w:t>
      </w:r>
      <w:r w:rsidRPr="0080737A">
        <w:rPr>
          <w:rFonts w:ascii="Times New Roman" w:hAnsi="Times New Roman"/>
          <w:color w:val="000000"/>
          <w:sz w:val="24"/>
          <w:szCs w:val="24"/>
        </w:rPr>
        <w:t>промышленной продукции,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не менее 70 процентов предельные уровни тарифов снижены на 49,6% по отношению к базовому уровню и установлены в размере 1 717,16</w:t>
      </w:r>
      <w:r w:rsidRPr="0080737A">
        <w:rPr>
          <w:rFonts w:ascii="Times New Roman" w:hAnsi="Times New Roman"/>
          <w:sz w:val="24"/>
          <w:szCs w:val="24"/>
          <w:lang w:eastAsia="en-US"/>
        </w:rPr>
        <w:t xml:space="preserve"> руб. за тыс. куб. м;</w:t>
      </w:r>
      <w:proofErr w:type="gramEnd"/>
    </w:p>
    <w:p w:rsidR="00445605" w:rsidRPr="0080737A" w:rsidRDefault="002610C6" w:rsidP="00445605">
      <w:pPr>
        <w:widowControl w:val="0"/>
        <w:spacing w:after="0" w:line="240" w:lineRule="auto"/>
        <w:ind w:firstLine="709"/>
        <w:jc w:val="both"/>
        <w:rPr>
          <w:rFonts w:ascii="Times New Roman" w:hAnsi="Times New Roman"/>
          <w:sz w:val="24"/>
          <w:szCs w:val="24"/>
          <w:lang w:eastAsia="en-US"/>
        </w:rPr>
      </w:pPr>
      <w:proofErr w:type="gramStart"/>
      <w:r w:rsidRPr="0080737A">
        <w:rPr>
          <w:rFonts w:ascii="Times New Roman" w:hAnsi="Times New Roman"/>
          <w:color w:val="000000"/>
          <w:sz w:val="24"/>
          <w:szCs w:val="24"/>
          <w:lang w:bidi="ru-RU"/>
        </w:rPr>
        <w:t xml:space="preserve">4) для организаций, осуществляющих производство мяса, молока, куриных яиц и (или) переработку мясомолочного сырья, в общем объеме дохода от продаж (выручки) </w:t>
      </w:r>
      <w:r w:rsidR="00445605" w:rsidRPr="0080737A">
        <w:rPr>
          <w:rFonts w:ascii="Times New Roman" w:hAnsi="Times New Roman"/>
          <w:color w:val="000000"/>
          <w:sz w:val="24"/>
          <w:szCs w:val="24"/>
          <w:lang w:bidi="ru-RU"/>
        </w:rPr>
        <w:t xml:space="preserve">которых доля дохода от продаж (выручки) собственного производства по итогам последнего отчетного периода составляет не менее 70 процентов с 1 марта 2016 года </w:t>
      </w:r>
      <w:r w:rsidR="00445605" w:rsidRPr="0080737A">
        <w:rPr>
          <w:rFonts w:ascii="Times New Roman" w:hAnsi="Times New Roman"/>
          <w:color w:val="000000"/>
          <w:sz w:val="24"/>
          <w:szCs w:val="24"/>
          <w:lang w:bidi="ru-RU"/>
        </w:rPr>
        <w:lastRenderedPageBreak/>
        <w:t xml:space="preserve">предельный установлен на уровне 1 308,75 </w:t>
      </w:r>
      <w:r w:rsidR="00445605" w:rsidRPr="0080737A">
        <w:rPr>
          <w:rFonts w:ascii="Times New Roman" w:hAnsi="Times New Roman"/>
          <w:sz w:val="24"/>
          <w:szCs w:val="24"/>
          <w:lang w:eastAsia="en-US"/>
        </w:rPr>
        <w:t>руб. за тыс. куб. м;</w:t>
      </w:r>
      <w:proofErr w:type="gramEnd"/>
    </w:p>
    <w:p w:rsidR="002610C6" w:rsidRPr="0080737A" w:rsidRDefault="002610C6" w:rsidP="002610C6">
      <w:pPr>
        <w:widowControl w:val="0"/>
        <w:spacing w:after="0" w:line="240" w:lineRule="auto"/>
        <w:ind w:firstLine="709"/>
        <w:jc w:val="both"/>
        <w:rPr>
          <w:rFonts w:ascii="Times New Roman" w:hAnsi="Times New Roman"/>
          <w:sz w:val="24"/>
          <w:szCs w:val="24"/>
          <w:lang w:eastAsia="en-US"/>
        </w:rPr>
      </w:pPr>
      <w:r w:rsidRPr="0080737A">
        <w:rPr>
          <w:rFonts w:ascii="Times New Roman" w:hAnsi="Times New Roman"/>
          <w:sz w:val="24"/>
          <w:szCs w:val="24"/>
          <w:lang w:eastAsia="en-US"/>
        </w:rPr>
        <w:t xml:space="preserve">5) для прочих потребителей предельный тариф установлен в размере 3 517,22 руб. за тыс. куб. </w:t>
      </w:r>
      <w:r w:rsidRPr="0080737A">
        <w:rPr>
          <w:rFonts w:ascii="Times New Roman" w:hAnsi="Times New Roman"/>
          <w:color w:val="000000"/>
          <w:sz w:val="24"/>
          <w:szCs w:val="24"/>
        </w:rPr>
        <w:t xml:space="preserve">с минимальным приростом </w:t>
      </w:r>
      <w:r w:rsidRPr="0080737A">
        <w:rPr>
          <w:rFonts w:ascii="Times New Roman" w:hAnsi="Times New Roman"/>
          <w:sz w:val="24"/>
          <w:szCs w:val="24"/>
          <w:lang w:eastAsia="en-US"/>
        </w:rPr>
        <w:t>по отношению к базовым показателям минувшего года</w:t>
      </w:r>
      <w:r w:rsidRPr="0080737A">
        <w:rPr>
          <w:rFonts w:ascii="Times New Roman" w:hAnsi="Times New Roman"/>
          <w:color w:val="000000"/>
          <w:sz w:val="24"/>
          <w:szCs w:val="24"/>
        </w:rPr>
        <w:t>(«+» 0,02%)</w:t>
      </w:r>
      <w:r w:rsidRPr="0080737A">
        <w:rPr>
          <w:rFonts w:ascii="Times New Roman" w:hAnsi="Times New Roman"/>
          <w:sz w:val="24"/>
          <w:szCs w:val="24"/>
          <w:lang w:eastAsia="en-US"/>
        </w:rPr>
        <w:t xml:space="preserve">; </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sz w:val="24"/>
          <w:szCs w:val="24"/>
          <w:lang w:eastAsia="en-US"/>
        </w:rPr>
        <w:t>6)</w:t>
      </w:r>
      <w:r w:rsidRPr="0080737A">
        <w:rPr>
          <w:rFonts w:ascii="Times New Roman" w:hAnsi="Times New Roman"/>
          <w:bCs/>
          <w:color w:val="000000"/>
          <w:sz w:val="24"/>
          <w:szCs w:val="24"/>
          <w:lang w:bidi="ru-RU"/>
        </w:rPr>
        <w:t xml:space="preserve"> организациям, учредителем либо акционером которых являются организации, зарегистрированные в государствах и на территориях, предоставляющих льготный режим налогообложения и (или) </w:t>
      </w:r>
      <w:r w:rsidRPr="0080737A">
        <w:rPr>
          <w:rFonts w:ascii="Times New Roman" w:hAnsi="Times New Roman"/>
          <w:color w:val="000000"/>
          <w:sz w:val="24"/>
          <w:szCs w:val="24"/>
        </w:rPr>
        <w:t xml:space="preserve">не предусматривающих раскрытия и предоставления информации при проведении финансовых операций предельный тариф установлен с минимальным приростом («+» 0,02%) на уровне 3 997,23 </w:t>
      </w:r>
      <w:r w:rsidRPr="0080737A">
        <w:rPr>
          <w:rFonts w:ascii="Times New Roman" w:hAnsi="Times New Roman"/>
          <w:sz w:val="24"/>
          <w:szCs w:val="24"/>
          <w:lang w:eastAsia="en-US"/>
        </w:rPr>
        <w:t>руб. за тыс. куб. м</w:t>
      </w:r>
      <w:r w:rsidRPr="0080737A">
        <w:rPr>
          <w:rFonts w:ascii="Times New Roman" w:hAnsi="Times New Roman"/>
          <w:color w:val="000000"/>
          <w:sz w:val="24"/>
          <w:szCs w:val="24"/>
          <w:lang w:bidi="ru-RU"/>
        </w:rPr>
        <w:t>;</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color w:val="000000"/>
          <w:sz w:val="24"/>
          <w:szCs w:val="24"/>
          <w:lang w:bidi="ru-RU"/>
        </w:rPr>
        <w:t xml:space="preserve">б) </w:t>
      </w:r>
      <w:r w:rsidRPr="0080737A">
        <w:rPr>
          <w:rFonts w:ascii="Times New Roman" w:hAnsi="Times New Roman"/>
          <w:sz w:val="24"/>
          <w:szCs w:val="24"/>
          <w:u w:val="single"/>
          <w:lang w:eastAsia="en-US"/>
        </w:rPr>
        <w:t>тарифы на природный газ, транспортируемый по магистральным трубопроводам и отпускаемый</w:t>
      </w:r>
      <w:r w:rsidRPr="0080737A">
        <w:rPr>
          <w:rFonts w:ascii="Times New Roman" w:hAnsi="Times New Roman"/>
          <w:sz w:val="24"/>
          <w:szCs w:val="24"/>
          <w:lang w:eastAsia="en-US"/>
        </w:rPr>
        <w:t>:</w:t>
      </w:r>
    </w:p>
    <w:p w:rsidR="002610C6" w:rsidRPr="0080737A" w:rsidRDefault="002610C6" w:rsidP="002610C6">
      <w:pPr>
        <w:widowControl w:val="0"/>
        <w:spacing w:after="0" w:line="240" w:lineRule="auto"/>
        <w:ind w:firstLine="709"/>
        <w:jc w:val="both"/>
        <w:rPr>
          <w:rFonts w:ascii="Times New Roman" w:hAnsi="Times New Roman"/>
          <w:sz w:val="24"/>
          <w:szCs w:val="24"/>
          <w:lang w:eastAsia="en-US"/>
        </w:rPr>
      </w:pPr>
      <w:proofErr w:type="gramStart"/>
      <w:r w:rsidRPr="0080737A">
        <w:rPr>
          <w:rFonts w:ascii="Times New Roman" w:hAnsi="Times New Roman"/>
          <w:color w:val="000000"/>
          <w:sz w:val="24"/>
          <w:szCs w:val="24"/>
          <w:lang w:bidi="ru-RU"/>
        </w:rPr>
        <w:t xml:space="preserve">1. организациям, осуществляющих производство </w:t>
      </w:r>
      <w:r w:rsidRPr="0080737A">
        <w:rPr>
          <w:rFonts w:ascii="Times New Roman" w:hAnsi="Times New Roman"/>
          <w:color w:val="000000"/>
          <w:sz w:val="24"/>
          <w:szCs w:val="24"/>
        </w:rPr>
        <w:t>промышленной продукции,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не менее 70 процентов предельный тариф установлен в размере 1 460,6</w:t>
      </w:r>
      <w:r w:rsidRPr="0080737A">
        <w:rPr>
          <w:rFonts w:ascii="Times New Roman" w:hAnsi="Times New Roman"/>
          <w:sz w:val="24"/>
          <w:szCs w:val="24"/>
          <w:lang w:eastAsia="en-US"/>
        </w:rPr>
        <w:t xml:space="preserve"> руб. за тыс. куб. м и снижен по отношению к базовому уровню минувшего года </w:t>
      </w:r>
      <w:r w:rsidRPr="0080737A">
        <w:rPr>
          <w:rFonts w:ascii="Times New Roman" w:hAnsi="Times New Roman"/>
          <w:color w:val="000000"/>
          <w:sz w:val="24"/>
          <w:szCs w:val="24"/>
        </w:rPr>
        <w:t xml:space="preserve">53,6; </w:t>
      </w:r>
      <w:proofErr w:type="gramEnd"/>
    </w:p>
    <w:p w:rsidR="002610C6" w:rsidRPr="0080737A" w:rsidRDefault="002610C6" w:rsidP="002610C6">
      <w:pPr>
        <w:widowControl w:val="0"/>
        <w:spacing w:after="0" w:line="240" w:lineRule="auto"/>
        <w:ind w:firstLine="709"/>
        <w:jc w:val="both"/>
        <w:rPr>
          <w:rFonts w:ascii="Times New Roman" w:hAnsi="Times New Roman"/>
          <w:sz w:val="24"/>
          <w:szCs w:val="24"/>
          <w:lang w:eastAsia="en-US"/>
        </w:rPr>
      </w:pPr>
      <w:proofErr w:type="gramStart"/>
      <w:r w:rsidRPr="0080737A">
        <w:rPr>
          <w:rFonts w:ascii="Times New Roman" w:hAnsi="Times New Roman"/>
          <w:sz w:val="24"/>
          <w:szCs w:val="24"/>
          <w:lang w:eastAsia="en-US"/>
        </w:rPr>
        <w:t>2.</w:t>
      </w:r>
      <w:r w:rsidRPr="0080737A">
        <w:rPr>
          <w:rFonts w:ascii="Times New Roman" w:hAnsi="Times New Roman"/>
          <w:color w:val="000000"/>
          <w:sz w:val="24"/>
          <w:szCs w:val="24"/>
          <w:lang w:bidi="ru-RU"/>
        </w:rPr>
        <w:t xml:space="preserve"> организациям, осуществляющих производство мяса, молока, куриных яиц и (или) переработку мясомолочного сырья, в общем объеме дохода от продаж (выручки) которых доля дохода от продаж (выручки) собственного производства по итогам последнего отчетного периода составляет не менее 70 процентов с 1 марта 2016 года предельный тариф установлен на уровне 1,052,21 </w:t>
      </w:r>
      <w:r w:rsidRPr="0080737A">
        <w:rPr>
          <w:rFonts w:ascii="Times New Roman" w:hAnsi="Times New Roman"/>
          <w:sz w:val="24"/>
          <w:szCs w:val="24"/>
          <w:lang w:eastAsia="en-US"/>
        </w:rPr>
        <w:t>руб. за тыс. куб. м;</w:t>
      </w:r>
      <w:proofErr w:type="gramEnd"/>
    </w:p>
    <w:p w:rsidR="002610C6" w:rsidRPr="0080737A" w:rsidRDefault="002610C6" w:rsidP="002610C6">
      <w:pPr>
        <w:widowControl w:val="0"/>
        <w:spacing w:after="0" w:line="240" w:lineRule="auto"/>
        <w:ind w:firstLine="709"/>
        <w:jc w:val="both"/>
        <w:rPr>
          <w:rFonts w:ascii="Times New Roman" w:hAnsi="Times New Roman"/>
          <w:sz w:val="24"/>
          <w:szCs w:val="24"/>
          <w:lang w:eastAsia="en-US"/>
        </w:rPr>
      </w:pPr>
      <w:r w:rsidRPr="0080737A">
        <w:rPr>
          <w:rFonts w:ascii="Times New Roman" w:hAnsi="Times New Roman"/>
          <w:sz w:val="24"/>
          <w:szCs w:val="24"/>
          <w:lang w:eastAsia="en-US"/>
        </w:rPr>
        <w:t>3. прочим потребителям предельный тариф сохранен на уровне действовавшего в 2015 году (3 260,68 руб. за тыс. куб. м)</w:t>
      </w:r>
      <w:r w:rsidR="00445605" w:rsidRPr="0080737A">
        <w:rPr>
          <w:rFonts w:ascii="Times New Roman" w:hAnsi="Times New Roman"/>
          <w:sz w:val="24"/>
          <w:szCs w:val="24"/>
          <w:lang w:eastAsia="en-US"/>
        </w:rPr>
        <w:t>;</w:t>
      </w:r>
    </w:p>
    <w:p w:rsidR="002610C6" w:rsidRPr="0080737A" w:rsidRDefault="002610C6" w:rsidP="002610C6">
      <w:pPr>
        <w:widowControl w:val="0"/>
        <w:spacing w:after="0" w:line="240" w:lineRule="auto"/>
        <w:ind w:firstLine="709"/>
        <w:jc w:val="both"/>
        <w:rPr>
          <w:rFonts w:ascii="Times New Roman" w:hAnsi="Times New Roman"/>
          <w:sz w:val="24"/>
          <w:szCs w:val="24"/>
          <w:lang w:eastAsia="en-US"/>
        </w:rPr>
      </w:pPr>
      <w:proofErr w:type="gramStart"/>
      <w:r w:rsidRPr="0080737A">
        <w:rPr>
          <w:rFonts w:ascii="Times New Roman" w:hAnsi="Times New Roman"/>
          <w:sz w:val="24"/>
          <w:szCs w:val="24"/>
          <w:lang w:eastAsia="en-US"/>
        </w:rPr>
        <w:t>4.</w:t>
      </w:r>
      <w:r w:rsidRPr="0080737A">
        <w:rPr>
          <w:rFonts w:ascii="Times New Roman" w:hAnsi="Times New Roman"/>
          <w:bCs/>
          <w:color w:val="000000"/>
          <w:sz w:val="24"/>
          <w:szCs w:val="24"/>
          <w:lang w:bidi="ru-RU"/>
        </w:rPr>
        <w:t xml:space="preserve"> организациям, учредителем либо акционером которых являются организации, зарегистрированные в государствах и на территориях, предоставляющих льготный режим налогообложения и (или) </w:t>
      </w:r>
      <w:r w:rsidRPr="0080737A">
        <w:rPr>
          <w:rFonts w:ascii="Times New Roman" w:hAnsi="Times New Roman"/>
          <w:color w:val="000000"/>
          <w:sz w:val="24"/>
          <w:szCs w:val="24"/>
        </w:rPr>
        <w:t xml:space="preserve">не предусматривающих раскрытия и предоставления информации при проведении финансовых операций предельный тариф сохранен на уровне действовавших в 2015 году (3 740,69 </w:t>
      </w:r>
      <w:r w:rsidRPr="0080737A">
        <w:rPr>
          <w:rFonts w:ascii="Times New Roman" w:hAnsi="Times New Roman"/>
          <w:sz w:val="24"/>
          <w:szCs w:val="24"/>
          <w:lang w:eastAsia="en-US"/>
        </w:rPr>
        <w:t>руб. за тыс. куб. м</w:t>
      </w:r>
      <w:proofErr w:type="gramEnd"/>
    </w:p>
    <w:p w:rsidR="002610C6" w:rsidRPr="0080737A" w:rsidRDefault="002610C6" w:rsidP="002610C6">
      <w:pPr>
        <w:spacing w:after="0" w:line="240" w:lineRule="auto"/>
        <w:ind w:firstLine="709"/>
        <w:rPr>
          <w:rFonts w:ascii="Times New Roman" w:eastAsiaTheme="minorEastAsia" w:hAnsi="Times New Roman" w:cstheme="minorBidi"/>
          <w:b/>
          <w:sz w:val="24"/>
          <w:szCs w:val="24"/>
          <w:lang w:eastAsia="en-US"/>
        </w:rPr>
      </w:pPr>
    </w:p>
    <w:p w:rsidR="002610C6" w:rsidRPr="0080737A" w:rsidRDefault="002610C6" w:rsidP="002610C6">
      <w:pPr>
        <w:spacing w:after="0" w:line="240" w:lineRule="auto"/>
        <w:ind w:firstLine="709"/>
        <w:rPr>
          <w:rFonts w:ascii="Times New Roman" w:eastAsiaTheme="minorEastAsia" w:hAnsi="Times New Roman" w:cstheme="minorBidi"/>
          <w:b/>
          <w:sz w:val="16"/>
          <w:szCs w:val="16"/>
          <w:lang w:eastAsia="en-US"/>
        </w:rPr>
      </w:pPr>
      <w:r w:rsidRPr="0080737A">
        <w:rPr>
          <w:rFonts w:ascii="Times New Roman" w:eastAsiaTheme="minorEastAsia" w:hAnsi="Times New Roman" w:cstheme="minorBidi"/>
          <w:b/>
          <w:sz w:val="24"/>
          <w:szCs w:val="24"/>
          <w:lang w:eastAsia="en-US"/>
        </w:rPr>
        <w:t>2. Услуги по снабжению электрической энергией:</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u w:val="single"/>
          <w:lang w:eastAsia="en-US"/>
        </w:rPr>
      </w:pPr>
      <w:r w:rsidRPr="0080737A">
        <w:rPr>
          <w:rFonts w:ascii="Times New Roman" w:eastAsiaTheme="minorEastAsia" w:hAnsi="Times New Roman" w:cstheme="minorBidi"/>
          <w:sz w:val="24"/>
          <w:szCs w:val="24"/>
          <w:u w:val="single"/>
          <w:lang w:eastAsia="en-US"/>
        </w:rPr>
        <w:t xml:space="preserve">а) тариф на электрическую энергию, отпускаемую </w:t>
      </w:r>
      <w:r w:rsidRPr="0080737A">
        <w:rPr>
          <w:rFonts w:ascii="Times New Roman" w:hAnsi="Times New Roman"/>
          <w:color w:val="000000"/>
          <w:sz w:val="24"/>
          <w:szCs w:val="24"/>
          <w:u w:val="single"/>
        </w:rPr>
        <w:t>организациям, осуществляющим производство промышленной продукции,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не менее 70</w:t>
      </w:r>
      <w:r w:rsidRPr="0080737A">
        <w:rPr>
          <w:rFonts w:ascii="Times New Roman" w:eastAsiaTheme="minorEastAsia" w:hAnsi="Times New Roman" w:cstheme="minorBidi"/>
          <w:sz w:val="24"/>
          <w:szCs w:val="24"/>
          <w:u w:val="single"/>
          <w:lang w:eastAsia="en-US"/>
        </w:rPr>
        <w:t>:</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 xml:space="preserve">1) присоединенным к передающим сетям предельный тариф установлен в размере – 0,73 руб. за 1 </w:t>
      </w:r>
      <w:proofErr w:type="spellStart"/>
      <w:r w:rsidRPr="0080737A">
        <w:rPr>
          <w:rFonts w:ascii="Times New Roman" w:eastAsiaTheme="minorEastAsia" w:hAnsi="Times New Roman" w:cstheme="minorBidi"/>
          <w:sz w:val="24"/>
          <w:szCs w:val="24"/>
          <w:lang w:eastAsia="en-US"/>
        </w:rPr>
        <w:t>кВт</w:t>
      </w:r>
      <w:proofErr w:type="gramStart"/>
      <w:r w:rsidRPr="0080737A">
        <w:rPr>
          <w:rFonts w:ascii="Times New Roman" w:eastAsiaTheme="minorEastAsia" w:hAnsi="Times New Roman" w:cstheme="minorBidi"/>
          <w:sz w:val="24"/>
          <w:szCs w:val="24"/>
          <w:lang w:eastAsia="en-US"/>
        </w:rPr>
        <w:t>.ч</w:t>
      </w:r>
      <w:proofErr w:type="spellEnd"/>
      <w:proofErr w:type="gramEnd"/>
      <w:r w:rsidRPr="0080737A">
        <w:rPr>
          <w:rFonts w:ascii="Times New Roman" w:eastAsiaTheme="minorEastAsia" w:hAnsi="Times New Roman" w:cstheme="minorBidi"/>
          <w:sz w:val="24"/>
          <w:szCs w:val="24"/>
          <w:lang w:eastAsia="en-US"/>
        </w:rPr>
        <w:t xml:space="preserve">, что на 20,7% ниже базового уровня тарифа, установленного в </w:t>
      </w:r>
      <w:r w:rsidRPr="0080737A">
        <w:rPr>
          <w:rFonts w:ascii="Times New Roman" w:eastAsiaTheme="minorEastAsia" w:hAnsi="Times New Roman" w:cstheme="minorBidi"/>
          <w:bCs/>
          <w:sz w:val="24"/>
          <w:szCs w:val="24"/>
          <w:lang w:val="en-US" w:eastAsia="en-US"/>
        </w:rPr>
        <w:t>I</w:t>
      </w:r>
      <w:r w:rsidRPr="0080737A">
        <w:rPr>
          <w:rFonts w:ascii="Times New Roman" w:eastAsiaTheme="minorEastAsia" w:hAnsi="Times New Roman" w:cstheme="minorBidi"/>
          <w:bCs/>
          <w:sz w:val="24"/>
          <w:szCs w:val="24"/>
          <w:lang w:eastAsia="en-US"/>
        </w:rPr>
        <w:t xml:space="preserve"> полугодии 2015 года</w:t>
      </w:r>
      <w:r w:rsidRPr="0080737A">
        <w:rPr>
          <w:rFonts w:ascii="Times New Roman" w:eastAsiaTheme="minorEastAsia" w:hAnsi="Times New Roman" w:cstheme="minorBidi"/>
          <w:sz w:val="24"/>
          <w:szCs w:val="24"/>
          <w:lang w:eastAsia="en-US"/>
        </w:rPr>
        <w:t>;</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 xml:space="preserve">2) присоединенным к распределительным сетям предельный тариф установлен в размере 0,99 руб. за 1 </w:t>
      </w:r>
      <w:proofErr w:type="spellStart"/>
      <w:r w:rsidRPr="0080737A">
        <w:rPr>
          <w:rFonts w:ascii="Times New Roman" w:eastAsiaTheme="minorEastAsia" w:hAnsi="Times New Roman" w:cstheme="minorBidi"/>
          <w:sz w:val="24"/>
          <w:szCs w:val="24"/>
          <w:lang w:eastAsia="en-US"/>
        </w:rPr>
        <w:t>кВт</w:t>
      </w:r>
      <w:proofErr w:type="gramStart"/>
      <w:r w:rsidRPr="0080737A">
        <w:rPr>
          <w:rFonts w:ascii="Times New Roman" w:eastAsiaTheme="minorEastAsia" w:hAnsi="Times New Roman" w:cstheme="minorBidi"/>
          <w:sz w:val="24"/>
          <w:szCs w:val="24"/>
          <w:lang w:eastAsia="en-US"/>
        </w:rPr>
        <w:t>.ч</w:t>
      </w:r>
      <w:proofErr w:type="spellEnd"/>
      <w:proofErr w:type="gramEnd"/>
      <w:r w:rsidRPr="0080737A">
        <w:rPr>
          <w:rFonts w:ascii="Times New Roman" w:eastAsiaTheme="minorEastAsia" w:hAnsi="Times New Roman" w:cstheme="minorBidi"/>
          <w:sz w:val="24"/>
          <w:szCs w:val="24"/>
          <w:lang w:eastAsia="en-US"/>
        </w:rPr>
        <w:t xml:space="preserve">, что на 15,4% ниже уровня тарифа, установленного в </w:t>
      </w:r>
      <w:r w:rsidRPr="0080737A">
        <w:rPr>
          <w:rFonts w:ascii="Times New Roman" w:eastAsiaTheme="minorEastAsia" w:hAnsi="Times New Roman" w:cstheme="minorBidi"/>
          <w:bCs/>
          <w:sz w:val="24"/>
          <w:szCs w:val="24"/>
          <w:lang w:val="en-US" w:eastAsia="en-US"/>
        </w:rPr>
        <w:t>I</w:t>
      </w:r>
      <w:r w:rsidRPr="0080737A">
        <w:rPr>
          <w:rFonts w:ascii="Times New Roman" w:eastAsiaTheme="minorEastAsia" w:hAnsi="Times New Roman" w:cstheme="minorBidi"/>
          <w:bCs/>
          <w:sz w:val="24"/>
          <w:szCs w:val="24"/>
          <w:lang w:eastAsia="en-US"/>
        </w:rPr>
        <w:t xml:space="preserve"> полугодии 2015 года</w:t>
      </w:r>
      <w:r w:rsidRPr="0080737A">
        <w:rPr>
          <w:rFonts w:ascii="Times New Roman" w:eastAsiaTheme="minorEastAsia" w:hAnsi="Times New Roman" w:cstheme="minorBidi"/>
          <w:sz w:val="24"/>
          <w:szCs w:val="24"/>
          <w:lang w:eastAsia="en-US"/>
        </w:rPr>
        <w:t>;</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u w:val="single"/>
          <w:lang w:eastAsia="en-US"/>
        </w:rPr>
      </w:pPr>
      <w:r w:rsidRPr="0080737A">
        <w:rPr>
          <w:rFonts w:ascii="Times New Roman" w:eastAsiaTheme="minorEastAsia" w:hAnsi="Times New Roman" w:cstheme="minorBidi"/>
          <w:sz w:val="24"/>
          <w:szCs w:val="24"/>
          <w:u w:val="single"/>
          <w:lang w:eastAsia="en-US"/>
        </w:rPr>
        <w:t xml:space="preserve">б) тариф на электрическую энергию с 1 марта текущего года, отпускаемую организациям, осуществляющим производство мяса, молока, куриных яиц и (или) переработку мясомолочного сырья,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не менее 70 процентов: </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 xml:space="preserve">1) присоединенным к передающим сетям предельный и применяемый тариф установлен в размере 0,60 руб. за 1 </w:t>
      </w:r>
      <w:proofErr w:type="spellStart"/>
      <w:r w:rsidRPr="0080737A">
        <w:rPr>
          <w:rFonts w:ascii="Times New Roman" w:eastAsiaTheme="minorEastAsia" w:hAnsi="Times New Roman" w:cstheme="minorBidi"/>
          <w:sz w:val="24"/>
          <w:szCs w:val="24"/>
          <w:lang w:eastAsia="en-US"/>
        </w:rPr>
        <w:t>кВт</w:t>
      </w:r>
      <w:proofErr w:type="gramStart"/>
      <w:r w:rsidRPr="0080737A">
        <w:rPr>
          <w:rFonts w:ascii="Times New Roman" w:eastAsiaTheme="minorEastAsia" w:hAnsi="Times New Roman" w:cstheme="minorBidi"/>
          <w:sz w:val="24"/>
          <w:szCs w:val="24"/>
          <w:lang w:eastAsia="en-US"/>
        </w:rPr>
        <w:t>.ч</w:t>
      </w:r>
      <w:proofErr w:type="spellEnd"/>
      <w:proofErr w:type="gramEnd"/>
      <w:r w:rsidRPr="0080737A">
        <w:rPr>
          <w:rFonts w:ascii="Times New Roman" w:eastAsiaTheme="minorEastAsia" w:hAnsi="Times New Roman" w:cstheme="minorBidi"/>
          <w:sz w:val="24"/>
          <w:szCs w:val="24"/>
          <w:lang w:eastAsia="en-US"/>
        </w:rPr>
        <w:t>;</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u w:val="single"/>
          <w:lang w:eastAsia="en-US"/>
        </w:rPr>
      </w:pPr>
      <w:r w:rsidRPr="0080737A">
        <w:rPr>
          <w:rFonts w:ascii="Times New Roman" w:eastAsiaTheme="minorEastAsia" w:hAnsi="Times New Roman" w:cstheme="minorBidi"/>
          <w:sz w:val="24"/>
          <w:szCs w:val="24"/>
          <w:u w:val="single"/>
          <w:lang w:eastAsia="en-US"/>
        </w:rPr>
        <w:t>в) тариф на электрическую энергию, прочим потребителям:</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 xml:space="preserve">1) присоединенным к передающим сетям – 0,94 руб. за 1 </w:t>
      </w:r>
      <w:proofErr w:type="spellStart"/>
      <w:r w:rsidRPr="0080737A">
        <w:rPr>
          <w:rFonts w:ascii="Times New Roman" w:eastAsiaTheme="minorEastAsia" w:hAnsi="Times New Roman" w:cstheme="minorBidi"/>
          <w:sz w:val="24"/>
          <w:szCs w:val="24"/>
          <w:lang w:eastAsia="en-US"/>
        </w:rPr>
        <w:t>кВт</w:t>
      </w:r>
      <w:proofErr w:type="gramStart"/>
      <w:r w:rsidRPr="0080737A">
        <w:rPr>
          <w:rFonts w:ascii="Times New Roman" w:eastAsiaTheme="minorEastAsia" w:hAnsi="Times New Roman" w:cstheme="minorBidi"/>
          <w:sz w:val="24"/>
          <w:szCs w:val="24"/>
          <w:lang w:eastAsia="en-US"/>
        </w:rPr>
        <w:t>.ч</w:t>
      </w:r>
      <w:proofErr w:type="spellEnd"/>
      <w:proofErr w:type="gramEnd"/>
      <w:r w:rsidRPr="0080737A">
        <w:rPr>
          <w:rFonts w:ascii="Times New Roman" w:eastAsiaTheme="minorEastAsia" w:hAnsi="Times New Roman" w:cstheme="minorBidi"/>
          <w:sz w:val="24"/>
          <w:szCs w:val="24"/>
          <w:lang w:eastAsia="en-US"/>
        </w:rPr>
        <w:t xml:space="preserve">, что на 1,1% ниже предельного уровня тарифа, действующего в </w:t>
      </w:r>
      <w:r w:rsidRPr="0080737A">
        <w:rPr>
          <w:rFonts w:ascii="Times New Roman" w:eastAsiaTheme="minorEastAsia" w:hAnsi="Times New Roman" w:cstheme="minorBidi"/>
          <w:bCs/>
          <w:sz w:val="24"/>
          <w:szCs w:val="24"/>
          <w:lang w:val="en-US" w:eastAsia="en-US"/>
        </w:rPr>
        <w:t>I</w:t>
      </w:r>
      <w:r w:rsidRPr="0080737A">
        <w:rPr>
          <w:rFonts w:ascii="Times New Roman" w:eastAsiaTheme="minorEastAsia" w:hAnsi="Times New Roman" w:cstheme="minorBidi"/>
          <w:bCs/>
          <w:sz w:val="24"/>
          <w:szCs w:val="24"/>
          <w:lang w:eastAsia="en-US"/>
        </w:rPr>
        <w:t xml:space="preserve"> полугодии 2015 года</w:t>
      </w:r>
      <w:r w:rsidRPr="0080737A">
        <w:rPr>
          <w:rFonts w:ascii="Times New Roman" w:eastAsiaTheme="minorEastAsia" w:hAnsi="Times New Roman" w:cstheme="minorBidi"/>
          <w:sz w:val="24"/>
          <w:szCs w:val="24"/>
          <w:lang w:eastAsia="en-US"/>
        </w:rPr>
        <w:t>;</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 xml:space="preserve">2) присоединенным к распределительным сетям – 1,20 руб. за 1 </w:t>
      </w:r>
      <w:proofErr w:type="spellStart"/>
      <w:r w:rsidRPr="0080737A">
        <w:rPr>
          <w:rFonts w:ascii="Times New Roman" w:eastAsiaTheme="minorEastAsia" w:hAnsi="Times New Roman" w:cstheme="minorBidi"/>
          <w:sz w:val="24"/>
          <w:szCs w:val="24"/>
          <w:lang w:eastAsia="en-US"/>
        </w:rPr>
        <w:t>кВт</w:t>
      </w:r>
      <w:proofErr w:type="gramStart"/>
      <w:r w:rsidRPr="0080737A">
        <w:rPr>
          <w:rFonts w:ascii="Times New Roman" w:eastAsiaTheme="minorEastAsia" w:hAnsi="Times New Roman" w:cstheme="minorBidi"/>
          <w:sz w:val="24"/>
          <w:szCs w:val="24"/>
          <w:lang w:eastAsia="en-US"/>
        </w:rPr>
        <w:t>.ч</w:t>
      </w:r>
      <w:proofErr w:type="spellEnd"/>
      <w:proofErr w:type="gramEnd"/>
      <w:r w:rsidRPr="0080737A">
        <w:rPr>
          <w:rFonts w:ascii="Times New Roman" w:eastAsiaTheme="minorEastAsia" w:hAnsi="Times New Roman" w:cstheme="minorBidi"/>
          <w:sz w:val="24"/>
          <w:szCs w:val="24"/>
          <w:lang w:eastAsia="en-US"/>
        </w:rPr>
        <w:t>, (сохранен на уровне действовавшего предельного тарифа в базовом периоде);</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u w:val="single"/>
          <w:lang w:eastAsia="en-US"/>
        </w:rPr>
      </w:pPr>
      <w:r w:rsidRPr="0080737A">
        <w:rPr>
          <w:rFonts w:ascii="Times New Roman" w:eastAsiaTheme="minorEastAsia" w:hAnsi="Times New Roman" w:cstheme="minorBidi"/>
          <w:sz w:val="24"/>
          <w:szCs w:val="24"/>
          <w:u w:val="single"/>
          <w:lang w:eastAsia="en-US"/>
        </w:rPr>
        <w:lastRenderedPageBreak/>
        <w:t>г) организациям, учредителем либо акционером которых являются организации, зарегистрированные в государствах и на территориях, предоставляющих льготный режим налогообложения и (или) не предусматривающих раскрытия и предоставления информации при проведении финансовых операций:</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 xml:space="preserve">1) присоединенным к передающим сетям предельный тариф снижен до 1,03 руб. за 1 </w:t>
      </w:r>
      <w:proofErr w:type="spellStart"/>
      <w:r w:rsidRPr="0080737A">
        <w:rPr>
          <w:rFonts w:ascii="Times New Roman" w:eastAsiaTheme="minorEastAsia" w:hAnsi="Times New Roman" w:cstheme="minorBidi"/>
          <w:sz w:val="24"/>
          <w:szCs w:val="24"/>
          <w:lang w:eastAsia="en-US"/>
        </w:rPr>
        <w:t>кВт</w:t>
      </w:r>
      <w:proofErr w:type="gramStart"/>
      <w:r w:rsidRPr="0080737A">
        <w:rPr>
          <w:rFonts w:ascii="Times New Roman" w:eastAsiaTheme="minorEastAsia" w:hAnsi="Times New Roman" w:cstheme="minorBidi"/>
          <w:sz w:val="24"/>
          <w:szCs w:val="24"/>
          <w:lang w:eastAsia="en-US"/>
        </w:rPr>
        <w:t>.ч</w:t>
      </w:r>
      <w:proofErr w:type="spellEnd"/>
      <w:proofErr w:type="gramEnd"/>
      <w:r w:rsidRPr="0080737A">
        <w:rPr>
          <w:rFonts w:ascii="Times New Roman" w:eastAsiaTheme="minorEastAsia" w:hAnsi="Times New Roman" w:cstheme="minorBidi"/>
          <w:sz w:val="24"/>
          <w:szCs w:val="24"/>
          <w:lang w:eastAsia="en-US"/>
        </w:rPr>
        <w:t>, или на1,0%;</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 xml:space="preserve">2) присоединенным к распределительным сетям предельный тариф сохранен на уровне действовавшего предельного тарифа в базовом периоде и установлен на уровне 1,29 руб. за 1 </w:t>
      </w:r>
      <w:proofErr w:type="spellStart"/>
      <w:r w:rsidRPr="0080737A">
        <w:rPr>
          <w:rFonts w:ascii="Times New Roman" w:eastAsiaTheme="minorEastAsia" w:hAnsi="Times New Roman" w:cstheme="minorBidi"/>
          <w:sz w:val="24"/>
          <w:szCs w:val="24"/>
          <w:lang w:eastAsia="en-US"/>
        </w:rPr>
        <w:t>кВт</w:t>
      </w:r>
      <w:proofErr w:type="gramStart"/>
      <w:r w:rsidRPr="0080737A">
        <w:rPr>
          <w:rFonts w:ascii="Times New Roman" w:eastAsiaTheme="minorEastAsia" w:hAnsi="Times New Roman" w:cstheme="minorBidi"/>
          <w:sz w:val="24"/>
          <w:szCs w:val="24"/>
          <w:lang w:eastAsia="en-US"/>
        </w:rPr>
        <w:t>.ч</w:t>
      </w:r>
      <w:proofErr w:type="spellEnd"/>
      <w:proofErr w:type="gramEnd"/>
      <w:r w:rsidRPr="0080737A">
        <w:rPr>
          <w:rFonts w:ascii="Times New Roman" w:eastAsiaTheme="minorEastAsia" w:hAnsi="Times New Roman" w:cstheme="minorBidi"/>
          <w:sz w:val="24"/>
          <w:szCs w:val="24"/>
          <w:lang w:eastAsia="en-US"/>
        </w:rPr>
        <w:t>;</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proofErr w:type="spellStart"/>
      <w:r w:rsidRPr="0080737A">
        <w:rPr>
          <w:rFonts w:ascii="Times New Roman" w:eastAsiaTheme="minorEastAsia" w:hAnsi="Times New Roman" w:cstheme="minorBidi"/>
          <w:sz w:val="24"/>
          <w:szCs w:val="24"/>
          <w:u w:val="single"/>
          <w:lang w:eastAsia="en-US"/>
        </w:rPr>
        <w:t>д</w:t>
      </w:r>
      <w:proofErr w:type="spellEnd"/>
      <w:r w:rsidRPr="0080737A">
        <w:rPr>
          <w:rFonts w:ascii="Times New Roman" w:eastAsiaTheme="minorEastAsia" w:hAnsi="Times New Roman" w:cstheme="minorBidi"/>
          <w:sz w:val="24"/>
          <w:szCs w:val="24"/>
          <w:u w:val="single"/>
          <w:lang w:eastAsia="en-US"/>
        </w:rPr>
        <w:t>)  тариф на электрическую энергию, отпускаемую населению на бытовые нужды</w:t>
      </w:r>
      <w:r w:rsidRPr="0080737A">
        <w:rPr>
          <w:rFonts w:ascii="Times New Roman" w:eastAsiaTheme="minorEastAsia" w:hAnsi="Times New Roman" w:cstheme="minorBidi"/>
          <w:sz w:val="24"/>
          <w:szCs w:val="24"/>
          <w:lang w:eastAsia="en-US"/>
        </w:rPr>
        <w:t>:</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 xml:space="preserve">1) предельный тариф за объем, потребленный в пределах лимита сохранен на уровне действовавшего в </w:t>
      </w:r>
      <w:r w:rsidRPr="0080737A">
        <w:rPr>
          <w:rFonts w:ascii="Times New Roman" w:eastAsiaTheme="minorEastAsia" w:hAnsi="Times New Roman" w:cstheme="minorBidi"/>
          <w:sz w:val="24"/>
          <w:szCs w:val="24"/>
          <w:lang w:val="en-US" w:eastAsia="en-US"/>
        </w:rPr>
        <w:t>I</w:t>
      </w:r>
      <w:r w:rsidRPr="0080737A">
        <w:rPr>
          <w:rFonts w:ascii="Times New Roman" w:eastAsiaTheme="minorEastAsia" w:hAnsi="Times New Roman" w:cstheme="minorBidi"/>
          <w:sz w:val="24"/>
          <w:szCs w:val="24"/>
          <w:lang w:eastAsia="en-US"/>
        </w:rPr>
        <w:t xml:space="preserve"> полугодии 2015 года и установлен в размере </w:t>
      </w:r>
      <w:r w:rsidRPr="0080737A">
        <w:rPr>
          <w:rFonts w:ascii="Times New Roman" w:eastAsiaTheme="minorEastAsia" w:hAnsi="Times New Roman" w:cstheme="minorBidi"/>
          <w:sz w:val="24"/>
          <w:szCs w:val="24"/>
          <w:lang w:eastAsia="en-US"/>
        </w:rPr>
        <w:br/>
        <w:t>0,57 руб. за 1 кВт</w:t>
      </w:r>
      <w:proofErr w:type="gramStart"/>
      <w:r w:rsidRPr="0080737A">
        <w:rPr>
          <w:rFonts w:ascii="Times New Roman" w:eastAsiaTheme="minorEastAsia" w:hAnsi="Times New Roman" w:cstheme="minorBidi"/>
          <w:sz w:val="24"/>
          <w:szCs w:val="24"/>
          <w:lang w:eastAsia="en-US"/>
        </w:rPr>
        <w:t>.</w:t>
      </w:r>
      <w:proofErr w:type="gramEnd"/>
      <w:r w:rsidRPr="0080737A">
        <w:rPr>
          <w:rFonts w:ascii="Times New Roman" w:eastAsiaTheme="minorEastAsia" w:hAnsi="Times New Roman" w:cstheme="minorBidi"/>
          <w:sz w:val="24"/>
          <w:szCs w:val="24"/>
          <w:lang w:eastAsia="en-US"/>
        </w:rPr>
        <w:t xml:space="preserve"> </w:t>
      </w:r>
      <w:proofErr w:type="gramStart"/>
      <w:r w:rsidRPr="0080737A">
        <w:rPr>
          <w:rFonts w:ascii="Times New Roman" w:eastAsiaTheme="minorEastAsia" w:hAnsi="Times New Roman" w:cstheme="minorBidi"/>
          <w:sz w:val="24"/>
          <w:szCs w:val="24"/>
          <w:lang w:eastAsia="en-US"/>
        </w:rPr>
        <w:t>ч</w:t>
      </w:r>
      <w:proofErr w:type="gramEnd"/>
      <w:r w:rsidRPr="0080737A">
        <w:rPr>
          <w:rFonts w:ascii="Times New Roman" w:eastAsiaTheme="minorEastAsia" w:hAnsi="Times New Roman" w:cstheme="minorBidi"/>
          <w:sz w:val="24"/>
          <w:szCs w:val="24"/>
          <w:lang w:eastAsia="en-US"/>
        </w:rPr>
        <w:t>;</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 xml:space="preserve">2)  предельный тариф за объем, потребленный свыше 150 </w:t>
      </w:r>
      <w:proofErr w:type="spellStart"/>
      <w:r w:rsidRPr="0080737A">
        <w:rPr>
          <w:rFonts w:ascii="Times New Roman" w:eastAsiaTheme="minorEastAsia" w:hAnsi="Times New Roman" w:cstheme="minorBidi"/>
          <w:sz w:val="24"/>
          <w:szCs w:val="24"/>
          <w:lang w:eastAsia="en-US"/>
        </w:rPr>
        <w:t>кВт</w:t>
      </w:r>
      <w:proofErr w:type="gramStart"/>
      <w:r w:rsidRPr="0080737A">
        <w:rPr>
          <w:rFonts w:ascii="Times New Roman" w:eastAsiaTheme="minorEastAsia" w:hAnsi="Times New Roman" w:cstheme="minorBidi"/>
          <w:sz w:val="24"/>
          <w:szCs w:val="24"/>
          <w:lang w:eastAsia="en-US"/>
        </w:rPr>
        <w:t>.ч</w:t>
      </w:r>
      <w:proofErr w:type="spellEnd"/>
      <w:proofErr w:type="gramEnd"/>
      <w:r w:rsidRPr="0080737A">
        <w:rPr>
          <w:rFonts w:ascii="Times New Roman" w:eastAsiaTheme="minorEastAsia" w:hAnsi="Times New Roman" w:cstheme="minorBidi"/>
          <w:sz w:val="24"/>
          <w:szCs w:val="24"/>
          <w:lang w:eastAsia="en-US"/>
        </w:rPr>
        <w:t xml:space="preserve"> - 0,72 руб. за 1 </w:t>
      </w:r>
      <w:proofErr w:type="spellStart"/>
      <w:r w:rsidRPr="0080737A">
        <w:rPr>
          <w:rFonts w:ascii="Times New Roman" w:eastAsiaTheme="minorEastAsia" w:hAnsi="Times New Roman" w:cstheme="minorBidi"/>
          <w:sz w:val="24"/>
          <w:szCs w:val="24"/>
          <w:lang w:eastAsia="en-US"/>
        </w:rPr>
        <w:t>кВт.ч</w:t>
      </w:r>
      <w:proofErr w:type="spellEnd"/>
      <w:r w:rsidRPr="0080737A">
        <w:rPr>
          <w:rFonts w:ascii="Times New Roman" w:eastAsiaTheme="minorEastAsia" w:hAnsi="Times New Roman" w:cstheme="minorBidi"/>
          <w:sz w:val="24"/>
          <w:szCs w:val="24"/>
          <w:lang w:eastAsia="en-US"/>
        </w:rPr>
        <w:t xml:space="preserve"> (сохранен на уровне предельного тарифа, действующего в </w:t>
      </w:r>
      <w:r w:rsidRPr="0080737A">
        <w:rPr>
          <w:rFonts w:ascii="Times New Roman" w:eastAsiaTheme="minorEastAsia" w:hAnsi="Times New Roman" w:cstheme="minorBidi"/>
          <w:bCs/>
          <w:sz w:val="24"/>
          <w:szCs w:val="24"/>
          <w:lang w:val="en-US" w:eastAsia="en-US"/>
        </w:rPr>
        <w:t>I</w:t>
      </w:r>
      <w:r w:rsidRPr="0080737A">
        <w:rPr>
          <w:rFonts w:ascii="Times New Roman" w:eastAsiaTheme="minorEastAsia" w:hAnsi="Times New Roman" w:cstheme="minorBidi"/>
          <w:bCs/>
          <w:sz w:val="24"/>
          <w:szCs w:val="24"/>
          <w:lang w:eastAsia="en-US"/>
        </w:rPr>
        <w:t xml:space="preserve"> полугодии 2015 года)</w:t>
      </w:r>
      <w:r w:rsidRPr="0080737A">
        <w:rPr>
          <w:rFonts w:ascii="Times New Roman" w:eastAsiaTheme="minorEastAsia" w:hAnsi="Times New Roman" w:cstheme="minorBidi"/>
          <w:sz w:val="24"/>
          <w:szCs w:val="24"/>
          <w:lang w:eastAsia="en-US"/>
        </w:rPr>
        <w:t>;</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3)</w:t>
      </w:r>
      <w:r w:rsidRPr="0080737A">
        <w:rPr>
          <w:rFonts w:ascii="Times New Roman" w:hAnsi="Times New Roman"/>
          <w:color w:val="000000"/>
          <w:sz w:val="20"/>
          <w:szCs w:val="20"/>
        </w:rPr>
        <w:t xml:space="preserve"> </w:t>
      </w:r>
      <w:r w:rsidRPr="0080737A">
        <w:rPr>
          <w:rFonts w:ascii="Times New Roman" w:eastAsiaTheme="minorEastAsia" w:hAnsi="Times New Roman" w:cstheme="minorBidi"/>
          <w:sz w:val="24"/>
          <w:szCs w:val="24"/>
          <w:lang w:eastAsia="en-US"/>
        </w:rPr>
        <w:t xml:space="preserve">предельный тариф для </w:t>
      </w:r>
      <w:r w:rsidRPr="0080737A">
        <w:rPr>
          <w:rFonts w:ascii="Times New Roman" w:hAnsi="Times New Roman"/>
          <w:color w:val="000000"/>
          <w:sz w:val="24"/>
          <w:szCs w:val="24"/>
        </w:rPr>
        <w:t xml:space="preserve">населения сельских населенных пунктов (сельских поселений) за объем электроэнергии, потребленный до 150 </w:t>
      </w:r>
      <w:proofErr w:type="spellStart"/>
      <w:r w:rsidRPr="0080737A">
        <w:rPr>
          <w:rFonts w:ascii="Times New Roman" w:hAnsi="Times New Roman"/>
          <w:color w:val="000000"/>
          <w:sz w:val="24"/>
          <w:szCs w:val="24"/>
        </w:rPr>
        <w:t>кВт</w:t>
      </w:r>
      <w:proofErr w:type="gramStart"/>
      <w:r w:rsidRPr="0080737A">
        <w:rPr>
          <w:rFonts w:ascii="Times New Roman" w:hAnsi="Times New Roman"/>
          <w:color w:val="000000"/>
          <w:sz w:val="24"/>
          <w:szCs w:val="24"/>
        </w:rPr>
        <w:t>.ч</w:t>
      </w:r>
      <w:proofErr w:type="spellEnd"/>
      <w:proofErr w:type="gramEnd"/>
      <w:r w:rsidRPr="0080737A">
        <w:rPr>
          <w:rFonts w:ascii="Times New Roman" w:hAnsi="Times New Roman"/>
          <w:color w:val="000000"/>
          <w:sz w:val="24"/>
          <w:szCs w:val="24"/>
        </w:rPr>
        <w:t xml:space="preserve"> в месяц с 1 мая установлен в размере 0,47</w:t>
      </w:r>
      <w:r w:rsidRPr="0080737A">
        <w:rPr>
          <w:rFonts w:ascii="Times New Roman" w:eastAsiaTheme="minorEastAsia" w:hAnsi="Times New Roman" w:cstheme="minorBidi"/>
          <w:sz w:val="24"/>
          <w:szCs w:val="24"/>
          <w:lang w:eastAsia="en-US"/>
        </w:rPr>
        <w:t xml:space="preserve"> руб. за 1 кВт. ч;</w:t>
      </w:r>
      <w:r w:rsidRPr="0080737A">
        <w:rPr>
          <w:rFonts w:ascii="Times New Roman" w:hAnsi="Times New Roman"/>
          <w:color w:val="000000"/>
          <w:sz w:val="24"/>
          <w:szCs w:val="24"/>
        </w:rPr>
        <w:t xml:space="preserve"> </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p>
    <w:p w:rsidR="002610C6" w:rsidRPr="0080737A" w:rsidRDefault="002610C6" w:rsidP="002610C6">
      <w:pPr>
        <w:spacing w:after="0" w:line="240" w:lineRule="auto"/>
        <w:ind w:firstLine="709"/>
        <w:jc w:val="both"/>
        <w:rPr>
          <w:rFonts w:ascii="Times New Roman" w:eastAsiaTheme="minorEastAsia" w:hAnsi="Times New Roman" w:cstheme="minorBidi"/>
          <w:b/>
          <w:sz w:val="24"/>
          <w:szCs w:val="24"/>
          <w:lang w:eastAsia="en-US"/>
        </w:rPr>
      </w:pPr>
      <w:r w:rsidRPr="0080737A">
        <w:rPr>
          <w:rFonts w:ascii="Times New Roman" w:eastAsiaTheme="minorEastAsia" w:hAnsi="Times New Roman" w:cstheme="minorBidi"/>
          <w:b/>
          <w:sz w:val="24"/>
          <w:szCs w:val="24"/>
          <w:lang w:eastAsia="en-US"/>
        </w:rPr>
        <w:t>3. Услуги по снабжению тепловой энергией (отопление и подогрев воды):</w:t>
      </w:r>
    </w:p>
    <w:p w:rsidR="002610C6" w:rsidRPr="0080737A" w:rsidRDefault="002610C6" w:rsidP="002610C6">
      <w:pPr>
        <w:widowControl w:val="0"/>
        <w:shd w:val="clear" w:color="auto" w:fill="FFFFFF"/>
        <w:spacing w:after="0" w:line="240" w:lineRule="auto"/>
        <w:ind w:firstLine="709"/>
        <w:jc w:val="both"/>
        <w:rPr>
          <w:rFonts w:ascii="Times New Roman" w:hAnsi="Times New Roman"/>
          <w:i/>
          <w:color w:val="000000"/>
          <w:sz w:val="24"/>
          <w:szCs w:val="24"/>
          <w:lang w:bidi="ru-RU"/>
        </w:rPr>
      </w:pPr>
      <w:r w:rsidRPr="0080737A">
        <w:rPr>
          <w:rFonts w:ascii="Times New Roman" w:hAnsi="Times New Roman"/>
          <w:i/>
          <w:color w:val="000000"/>
          <w:sz w:val="24"/>
          <w:szCs w:val="24"/>
          <w:lang w:bidi="ru-RU"/>
        </w:rPr>
        <w:t>1) Тарифы на отопление для бытовых нужд населения:</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color w:val="000000"/>
          <w:sz w:val="24"/>
          <w:szCs w:val="24"/>
          <w:lang w:bidi="ru-RU"/>
        </w:rPr>
        <w:t xml:space="preserve">а) предельные тарифы </w:t>
      </w:r>
      <w:r w:rsidRPr="0080737A">
        <w:rPr>
          <w:rFonts w:ascii="Times New Roman" w:hAnsi="Times New Roman"/>
          <w:color w:val="000000"/>
          <w:sz w:val="24"/>
          <w:szCs w:val="24"/>
          <w:u w:val="single"/>
          <w:lang w:bidi="ru-RU"/>
        </w:rPr>
        <w:t>для всех категорий населения</w:t>
      </w:r>
      <w:r w:rsidRPr="0080737A">
        <w:rPr>
          <w:rFonts w:ascii="Times New Roman" w:hAnsi="Times New Roman"/>
          <w:color w:val="000000"/>
          <w:sz w:val="24"/>
          <w:szCs w:val="24"/>
          <w:lang w:bidi="ru-RU"/>
        </w:rPr>
        <w:t xml:space="preserve"> по всем городам и населенным пунктам республики в I полугодии 2016 года сохранены на уровне тарифов, действовавших в базовом периоде 2015 года;</w:t>
      </w:r>
    </w:p>
    <w:p w:rsidR="002610C6" w:rsidRPr="0080737A" w:rsidRDefault="002610C6" w:rsidP="002610C6">
      <w:pPr>
        <w:spacing w:after="0" w:line="240" w:lineRule="auto"/>
        <w:ind w:firstLine="709"/>
        <w:jc w:val="both"/>
        <w:rPr>
          <w:rFonts w:ascii="Times New Roman" w:eastAsiaTheme="minorEastAsia" w:hAnsi="Times New Roman" w:cstheme="minorBidi"/>
          <w:i/>
          <w:sz w:val="24"/>
          <w:szCs w:val="24"/>
          <w:lang w:eastAsia="en-US"/>
        </w:rPr>
      </w:pPr>
      <w:r w:rsidRPr="0080737A">
        <w:rPr>
          <w:rFonts w:ascii="Times New Roman" w:eastAsiaTheme="minorEastAsia" w:hAnsi="Times New Roman" w:cstheme="minorBidi"/>
          <w:i/>
          <w:sz w:val="24"/>
          <w:szCs w:val="24"/>
          <w:lang w:eastAsia="en-US"/>
        </w:rPr>
        <w:t>2)</w:t>
      </w:r>
      <w:r w:rsidRPr="0080737A">
        <w:rPr>
          <w:rFonts w:ascii="Times New Roman" w:hAnsi="Times New Roman"/>
          <w:bCs/>
          <w:i/>
          <w:color w:val="000000"/>
          <w:sz w:val="24"/>
          <w:szCs w:val="24"/>
        </w:rPr>
        <w:t xml:space="preserve"> Тарифы на подогрев воды для бытовых нужд населения при наличии приборов учета тепловой энергии:</w:t>
      </w:r>
    </w:p>
    <w:p w:rsidR="002610C6" w:rsidRPr="0080737A" w:rsidRDefault="002610C6" w:rsidP="002610C6">
      <w:pPr>
        <w:spacing w:after="0" w:line="240" w:lineRule="auto"/>
        <w:ind w:firstLine="709"/>
        <w:jc w:val="both"/>
        <w:rPr>
          <w:rFonts w:ascii="Times New Roman" w:eastAsiaTheme="minorEastAsia" w:hAnsi="Times New Roman"/>
          <w:i/>
          <w:sz w:val="24"/>
          <w:szCs w:val="24"/>
          <w:u w:val="single"/>
          <w:lang w:eastAsia="en-US"/>
        </w:rPr>
      </w:pPr>
      <w:r w:rsidRPr="0080737A">
        <w:rPr>
          <w:rFonts w:ascii="Times New Roman" w:eastAsiaTheme="minorEastAsia" w:hAnsi="Times New Roman"/>
          <w:color w:val="000000"/>
          <w:sz w:val="24"/>
          <w:szCs w:val="24"/>
          <w:lang w:bidi="ru-RU"/>
        </w:rPr>
        <w:t xml:space="preserve">а) предельные тарифы </w:t>
      </w:r>
      <w:r w:rsidRPr="0080737A">
        <w:rPr>
          <w:rFonts w:ascii="Times New Roman" w:eastAsiaTheme="minorEastAsia" w:hAnsi="Times New Roman"/>
          <w:color w:val="000000"/>
          <w:sz w:val="24"/>
          <w:szCs w:val="24"/>
          <w:u w:val="single"/>
          <w:lang w:bidi="ru-RU"/>
        </w:rPr>
        <w:t>для социальной категории</w:t>
      </w:r>
      <w:r w:rsidRPr="0080737A">
        <w:rPr>
          <w:rFonts w:ascii="Times New Roman" w:eastAsiaTheme="minorEastAsia" w:hAnsi="Times New Roman"/>
          <w:color w:val="000000"/>
          <w:sz w:val="24"/>
          <w:szCs w:val="24"/>
          <w:lang w:bidi="ru-RU"/>
        </w:rPr>
        <w:t xml:space="preserve"> населения по всем городам и населенным пунктам республики в I полугодии 2016 года сохранены на уровне тарифов, действовавших в базовом периоде 2015 года;</w:t>
      </w:r>
    </w:p>
    <w:p w:rsidR="002610C6" w:rsidRPr="0080737A" w:rsidRDefault="002610C6" w:rsidP="002610C6">
      <w:pPr>
        <w:widowControl w:val="0"/>
        <w:shd w:val="clear" w:color="auto" w:fill="FFFFFF"/>
        <w:spacing w:after="0" w:line="240" w:lineRule="auto"/>
        <w:ind w:firstLine="709"/>
        <w:jc w:val="both"/>
        <w:rPr>
          <w:rFonts w:ascii="Times New Roman" w:hAnsi="Times New Roman"/>
          <w:color w:val="000000"/>
          <w:sz w:val="24"/>
          <w:szCs w:val="24"/>
          <w:lang w:bidi="ru-RU"/>
        </w:rPr>
      </w:pPr>
      <w:r w:rsidRPr="0080737A">
        <w:rPr>
          <w:rFonts w:ascii="Times New Roman" w:hAnsi="Times New Roman"/>
          <w:sz w:val="24"/>
          <w:szCs w:val="24"/>
          <w:lang w:eastAsia="en-US"/>
        </w:rPr>
        <w:t>б)</w:t>
      </w:r>
      <w:r w:rsidRPr="0080737A">
        <w:rPr>
          <w:rFonts w:ascii="Times New Roman" w:hAnsi="Times New Roman"/>
          <w:i/>
          <w:sz w:val="24"/>
          <w:szCs w:val="24"/>
          <w:lang w:eastAsia="en-US"/>
        </w:rPr>
        <w:t xml:space="preserve"> </w:t>
      </w:r>
      <w:r w:rsidRPr="0080737A">
        <w:rPr>
          <w:rFonts w:ascii="Times New Roman" w:hAnsi="Times New Roman"/>
          <w:color w:val="000000"/>
          <w:sz w:val="24"/>
          <w:szCs w:val="24"/>
          <w:lang w:bidi="ru-RU"/>
        </w:rPr>
        <w:t xml:space="preserve">предельные тарифы </w:t>
      </w:r>
      <w:r w:rsidRPr="0080737A">
        <w:rPr>
          <w:rFonts w:ascii="Times New Roman" w:hAnsi="Times New Roman"/>
          <w:color w:val="000000"/>
          <w:sz w:val="24"/>
          <w:szCs w:val="24"/>
          <w:u w:val="single"/>
          <w:lang w:bidi="ru-RU"/>
        </w:rPr>
        <w:t>для иных физических лиц</w:t>
      </w:r>
      <w:r w:rsidRPr="0080737A">
        <w:rPr>
          <w:rFonts w:ascii="Times New Roman" w:hAnsi="Times New Roman"/>
          <w:color w:val="000000"/>
          <w:sz w:val="24"/>
          <w:szCs w:val="24"/>
          <w:lang w:bidi="ru-RU"/>
        </w:rPr>
        <w:t xml:space="preserve"> по всем городам и населенным пунктам республики в I полугодии 2016 года </w:t>
      </w:r>
      <w:proofErr w:type="gramStart"/>
      <w:r w:rsidRPr="0080737A">
        <w:rPr>
          <w:rFonts w:ascii="Times New Roman" w:hAnsi="Times New Roman"/>
          <w:color w:val="000000"/>
          <w:sz w:val="24"/>
          <w:szCs w:val="24"/>
          <w:lang w:bidi="ru-RU"/>
        </w:rPr>
        <w:t>сохранен</w:t>
      </w:r>
      <w:proofErr w:type="gramEnd"/>
      <w:r w:rsidRPr="0080737A">
        <w:rPr>
          <w:rFonts w:ascii="Times New Roman" w:hAnsi="Times New Roman"/>
          <w:color w:val="000000"/>
          <w:sz w:val="24"/>
          <w:szCs w:val="24"/>
          <w:lang w:bidi="ru-RU"/>
        </w:rPr>
        <w:t xml:space="preserve"> на уровне тарифа, действовавших с 1 марта по 31 декабря 2015 года, за исключением города Бендеры (снижение на 0,13%), города </w:t>
      </w:r>
      <w:proofErr w:type="spellStart"/>
      <w:r w:rsidRPr="0080737A">
        <w:rPr>
          <w:rFonts w:ascii="Times New Roman" w:hAnsi="Times New Roman"/>
          <w:color w:val="000000"/>
          <w:sz w:val="24"/>
          <w:szCs w:val="24"/>
          <w:lang w:bidi="ru-RU"/>
        </w:rPr>
        <w:t>Днестровск</w:t>
      </w:r>
      <w:proofErr w:type="spellEnd"/>
      <w:r w:rsidRPr="0080737A">
        <w:rPr>
          <w:rFonts w:ascii="Times New Roman" w:hAnsi="Times New Roman"/>
          <w:color w:val="000000"/>
          <w:sz w:val="24"/>
          <w:szCs w:val="24"/>
          <w:lang w:bidi="ru-RU"/>
        </w:rPr>
        <w:t xml:space="preserve"> и села Незавертайловка (повышение на 0,94%);</w:t>
      </w:r>
    </w:p>
    <w:p w:rsidR="002610C6" w:rsidRPr="0080737A" w:rsidRDefault="002610C6" w:rsidP="002610C6">
      <w:pPr>
        <w:widowControl w:val="0"/>
        <w:shd w:val="clear" w:color="auto" w:fill="FFFFFF"/>
        <w:spacing w:after="0" w:line="240" w:lineRule="auto"/>
        <w:ind w:firstLine="709"/>
        <w:jc w:val="both"/>
        <w:rPr>
          <w:rFonts w:ascii="Times New Roman" w:hAnsi="Times New Roman"/>
          <w:i/>
          <w:color w:val="000000"/>
          <w:sz w:val="24"/>
          <w:szCs w:val="24"/>
          <w:lang w:bidi="ru-RU"/>
        </w:rPr>
      </w:pPr>
      <w:r w:rsidRPr="0080737A">
        <w:rPr>
          <w:rFonts w:ascii="Times New Roman" w:hAnsi="Times New Roman"/>
          <w:i/>
          <w:color w:val="000000"/>
          <w:sz w:val="24"/>
          <w:szCs w:val="24"/>
          <w:lang w:bidi="ru-RU"/>
        </w:rPr>
        <w:t>3)</w:t>
      </w:r>
      <w:r w:rsidRPr="0080737A">
        <w:rPr>
          <w:rFonts w:ascii="Times New Roman" w:hAnsi="Times New Roman"/>
          <w:bCs/>
          <w:i/>
          <w:color w:val="000000"/>
          <w:sz w:val="20"/>
          <w:szCs w:val="20"/>
        </w:rPr>
        <w:t xml:space="preserve"> </w:t>
      </w:r>
      <w:r w:rsidRPr="0080737A">
        <w:rPr>
          <w:rFonts w:ascii="Times New Roman" w:hAnsi="Times New Roman"/>
          <w:bCs/>
          <w:i/>
          <w:color w:val="000000"/>
          <w:sz w:val="24"/>
          <w:szCs w:val="24"/>
        </w:rPr>
        <w:t>Тарифы</w:t>
      </w:r>
      <w:r w:rsidRPr="0080737A">
        <w:rPr>
          <w:rFonts w:ascii="Times New Roman" w:hAnsi="Times New Roman"/>
          <w:bCs/>
          <w:i/>
          <w:color w:val="000000"/>
          <w:sz w:val="24"/>
          <w:szCs w:val="24"/>
          <w:lang w:bidi="ru-RU"/>
        </w:rPr>
        <w:t xml:space="preserve"> на подогрев воды для бытовых нужд населения при отсутствии приборов учета тепловой энергии в домах со всеми удобствами:</w:t>
      </w:r>
    </w:p>
    <w:p w:rsidR="002610C6" w:rsidRPr="0080737A" w:rsidRDefault="002610C6" w:rsidP="002610C6">
      <w:pPr>
        <w:spacing w:after="0" w:line="240" w:lineRule="auto"/>
        <w:ind w:firstLine="709"/>
        <w:jc w:val="both"/>
        <w:rPr>
          <w:rFonts w:ascii="Times New Roman" w:eastAsiaTheme="minorEastAsia" w:hAnsi="Times New Roman"/>
          <w:i/>
          <w:sz w:val="24"/>
          <w:szCs w:val="24"/>
          <w:u w:val="single"/>
          <w:lang w:eastAsia="en-US"/>
        </w:rPr>
      </w:pPr>
      <w:r w:rsidRPr="0080737A">
        <w:rPr>
          <w:rFonts w:ascii="Times New Roman" w:eastAsiaTheme="minorEastAsia" w:hAnsi="Times New Roman"/>
          <w:color w:val="000000"/>
          <w:sz w:val="24"/>
          <w:szCs w:val="24"/>
          <w:lang w:bidi="ru-RU"/>
        </w:rPr>
        <w:t xml:space="preserve">а) предельные тарифы </w:t>
      </w:r>
      <w:r w:rsidRPr="0080737A">
        <w:rPr>
          <w:rFonts w:ascii="Times New Roman" w:eastAsiaTheme="minorEastAsia" w:hAnsi="Times New Roman"/>
          <w:color w:val="000000"/>
          <w:sz w:val="24"/>
          <w:szCs w:val="24"/>
          <w:u w:val="single"/>
          <w:lang w:bidi="ru-RU"/>
        </w:rPr>
        <w:t>для социальной категории</w:t>
      </w:r>
      <w:r w:rsidRPr="0080737A">
        <w:rPr>
          <w:rFonts w:ascii="Times New Roman" w:eastAsiaTheme="minorEastAsia" w:hAnsi="Times New Roman"/>
          <w:color w:val="000000"/>
          <w:sz w:val="24"/>
          <w:szCs w:val="24"/>
          <w:lang w:bidi="ru-RU"/>
        </w:rPr>
        <w:t xml:space="preserve"> населения по всем городам и населенным пунктам республики в I полугодии 2016 года сохранены на уровне тарифов, действовавших в базовом периоде 2015 года;</w:t>
      </w:r>
    </w:p>
    <w:p w:rsidR="002610C6" w:rsidRPr="0080737A" w:rsidRDefault="002610C6" w:rsidP="002610C6">
      <w:pPr>
        <w:widowControl w:val="0"/>
        <w:shd w:val="clear" w:color="auto" w:fill="FFFFFF"/>
        <w:spacing w:after="0" w:line="240" w:lineRule="auto"/>
        <w:ind w:firstLine="709"/>
        <w:jc w:val="both"/>
        <w:rPr>
          <w:rFonts w:ascii="Times New Roman" w:hAnsi="Times New Roman"/>
          <w:color w:val="000000"/>
          <w:sz w:val="24"/>
          <w:szCs w:val="24"/>
          <w:lang w:bidi="ru-RU"/>
        </w:rPr>
      </w:pPr>
      <w:r w:rsidRPr="0080737A">
        <w:rPr>
          <w:rFonts w:ascii="Times New Roman" w:hAnsi="Times New Roman"/>
          <w:sz w:val="24"/>
          <w:szCs w:val="24"/>
          <w:lang w:eastAsia="en-US"/>
        </w:rPr>
        <w:t>б)</w:t>
      </w:r>
      <w:r w:rsidRPr="0080737A">
        <w:rPr>
          <w:rFonts w:ascii="Times New Roman" w:hAnsi="Times New Roman"/>
          <w:i/>
          <w:sz w:val="24"/>
          <w:szCs w:val="24"/>
          <w:lang w:eastAsia="en-US"/>
        </w:rPr>
        <w:t xml:space="preserve"> </w:t>
      </w:r>
      <w:r w:rsidRPr="0080737A">
        <w:rPr>
          <w:rFonts w:ascii="Times New Roman" w:hAnsi="Times New Roman"/>
          <w:color w:val="000000"/>
          <w:sz w:val="24"/>
          <w:szCs w:val="24"/>
          <w:lang w:bidi="ru-RU"/>
        </w:rPr>
        <w:t xml:space="preserve">предельные тарифы </w:t>
      </w:r>
      <w:r w:rsidRPr="0080737A">
        <w:rPr>
          <w:rFonts w:ascii="Times New Roman" w:hAnsi="Times New Roman"/>
          <w:color w:val="000000"/>
          <w:sz w:val="24"/>
          <w:szCs w:val="24"/>
          <w:u w:val="single"/>
          <w:lang w:bidi="ru-RU"/>
        </w:rPr>
        <w:t>для иных физических лиц</w:t>
      </w:r>
      <w:r w:rsidRPr="0080737A">
        <w:rPr>
          <w:rFonts w:ascii="Times New Roman" w:hAnsi="Times New Roman"/>
          <w:color w:val="000000"/>
          <w:sz w:val="24"/>
          <w:szCs w:val="24"/>
          <w:lang w:bidi="ru-RU"/>
        </w:rPr>
        <w:t xml:space="preserve"> по всем городам и населенным пунктам республики в I полугодии 2016 года сохранены на уровне тарифов, действовавших с 1 марта по 31 декабря 2015 года, за исключением города Бендеры (снижение на 0,1%), города </w:t>
      </w:r>
      <w:proofErr w:type="spellStart"/>
      <w:r w:rsidRPr="0080737A">
        <w:rPr>
          <w:rFonts w:ascii="Times New Roman" w:hAnsi="Times New Roman"/>
          <w:color w:val="000000"/>
          <w:sz w:val="24"/>
          <w:szCs w:val="24"/>
          <w:lang w:bidi="ru-RU"/>
        </w:rPr>
        <w:t>Днестровск</w:t>
      </w:r>
      <w:proofErr w:type="spellEnd"/>
      <w:r w:rsidRPr="0080737A">
        <w:rPr>
          <w:rFonts w:ascii="Times New Roman" w:hAnsi="Times New Roman"/>
          <w:color w:val="000000"/>
          <w:sz w:val="24"/>
          <w:szCs w:val="24"/>
          <w:lang w:bidi="ru-RU"/>
        </w:rPr>
        <w:t xml:space="preserve"> и села Незавертайловка (повышение на 0,96%);</w:t>
      </w:r>
    </w:p>
    <w:p w:rsidR="002610C6" w:rsidRPr="0080737A" w:rsidRDefault="002610C6" w:rsidP="002610C6">
      <w:pPr>
        <w:widowControl w:val="0"/>
        <w:shd w:val="clear" w:color="auto" w:fill="FFFFFF"/>
        <w:spacing w:after="0" w:line="240" w:lineRule="auto"/>
        <w:ind w:firstLine="709"/>
        <w:jc w:val="both"/>
        <w:rPr>
          <w:rFonts w:ascii="Times New Roman" w:hAnsi="Times New Roman"/>
          <w:i/>
          <w:color w:val="000000"/>
          <w:sz w:val="24"/>
          <w:szCs w:val="24"/>
          <w:lang w:bidi="ru-RU"/>
        </w:rPr>
      </w:pPr>
      <w:r w:rsidRPr="0080737A">
        <w:rPr>
          <w:rFonts w:ascii="Times New Roman" w:hAnsi="Times New Roman"/>
          <w:color w:val="000000"/>
          <w:sz w:val="24"/>
          <w:szCs w:val="24"/>
          <w:lang w:bidi="ru-RU"/>
        </w:rPr>
        <w:t>4)</w:t>
      </w:r>
      <w:r w:rsidRPr="0080737A">
        <w:rPr>
          <w:rFonts w:ascii="Times New Roman" w:hAnsi="Times New Roman"/>
          <w:bCs/>
          <w:i/>
          <w:color w:val="000000"/>
          <w:sz w:val="24"/>
          <w:szCs w:val="24"/>
        </w:rPr>
        <w:t xml:space="preserve"> Тарифы на</w:t>
      </w:r>
      <w:r w:rsidRPr="0080737A">
        <w:rPr>
          <w:rFonts w:ascii="Times New Roman" w:hAnsi="Times New Roman"/>
          <w:bCs/>
          <w:i/>
          <w:color w:val="000000"/>
          <w:sz w:val="24"/>
          <w:szCs w:val="24"/>
          <w:lang w:bidi="ru-RU"/>
        </w:rPr>
        <w:t xml:space="preserve"> подогрев воды для бытовых нужд населения при отсутствии приборов учета тепловой энергии в домах с частичными удобствами:</w:t>
      </w:r>
    </w:p>
    <w:p w:rsidR="002610C6" w:rsidRPr="0080737A" w:rsidRDefault="002610C6" w:rsidP="002610C6">
      <w:pPr>
        <w:spacing w:after="0" w:line="240" w:lineRule="auto"/>
        <w:ind w:firstLine="709"/>
        <w:jc w:val="both"/>
        <w:rPr>
          <w:rFonts w:ascii="Times New Roman" w:eastAsiaTheme="minorEastAsia" w:hAnsi="Times New Roman"/>
          <w:i/>
          <w:sz w:val="24"/>
          <w:szCs w:val="24"/>
          <w:u w:val="single"/>
          <w:lang w:eastAsia="en-US"/>
        </w:rPr>
      </w:pPr>
      <w:r w:rsidRPr="0080737A">
        <w:rPr>
          <w:rFonts w:ascii="Times New Roman" w:eastAsiaTheme="minorEastAsia" w:hAnsi="Times New Roman"/>
          <w:color w:val="000000"/>
          <w:sz w:val="24"/>
          <w:szCs w:val="24"/>
          <w:lang w:bidi="ru-RU"/>
        </w:rPr>
        <w:t xml:space="preserve">а) предельные тарифы </w:t>
      </w:r>
      <w:r w:rsidRPr="0080737A">
        <w:rPr>
          <w:rFonts w:ascii="Times New Roman" w:eastAsiaTheme="minorEastAsia" w:hAnsi="Times New Roman"/>
          <w:color w:val="000000"/>
          <w:sz w:val="24"/>
          <w:szCs w:val="24"/>
          <w:u w:val="single"/>
          <w:lang w:bidi="ru-RU"/>
        </w:rPr>
        <w:t>для социальной категории</w:t>
      </w:r>
      <w:r w:rsidRPr="0080737A">
        <w:rPr>
          <w:rFonts w:ascii="Times New Roman" w:eastAsiaTheme="minorEastAsia" w:hAnsi="Times New Roman"/>
          <w:color w:val="000000"/>
          <w:sz w:val="24"/>
          <w:szCs w:val="24"/>
          <w:lang w:bidi="ru-RU"/>
        </w:rPr>
        <w:t xml:space="preserve"> населения по всем городам и населенным пунктам республики в I полугодии 2016 года сохранены на уровне тарифов, действовавших в базовом периоде 2015 года;</w:t>
      </w:r>
    </w:p>
    <w:p w:rsidR="002610C6" w:rsidRPr="0080737A" w:rsidRDefault="002610C6" w:rsidP="002610C6">
      <w:pPr>
        <w:widowControl w:val="0"/>
        <w:shd w:val="clear" w:color="auto" w:fill="FFFFFF"/>
        <w:spacing w:after="0" w:line="240" w:lineRule="auto"/>
        <w:ind w:firstLine="709"/>
        <w:jc w:val="both"/>
        <w:rPr>
          <w:rFonts w:ascii="Times New Roman" w:hAnsi="Times New Roman"/>
          <w:color w:val="000000"/>
          <w:sz w:val="24"/>
          <w:szCs w:val="24"/>
          <w:lang w:bidi="ru-RU"/>
        </w:rPr>
      </w:pPr>
      <w:r w:rsidRPr="0080737A">
        <w:rPr>
          <w:rFonts w:ascii="Times New Roman" w:hAnsi="Times New Roman"/>
          <w:sz w:val="24"/>
          <w:szCs w:val="24"/>
          <w:lang w:eastAsia="en-US"/>
        </w:rPr>
        <w:t>б)</w:t>
      </w:r>
      <w:r w:rsidRPr="0080737A">
        <w:rPr>
          <w:rFonts w:ascii="Times New Roman" w:hAnsi="Times New Roman"/>
          <w:i/>
          <w:sz w:val="24"/>
          <w:szCs w:val="24"/>
          <w:lang w:eastAsia="en-US"/>
        </w:rPr>
        <w:t xml:space="preserve"> </w:t>
      </w:r>
      <w:r w:rsidRPr="0080737A">
        <w:rPr>
          <w:rFonts w:ascii="Times New Roman" w:hAnsi="Times New Roman"/>
          <w:color w:val="000000"/>
          <w:sz w:val="24"/>
          <w:szCs w:val="24"/>
          <w:lang w:bidi="ru-RU"/>
        </w:rPr>
        <w:t xml:space="preserve">предельные тарифы </w:t>
      </w:r>
      <w:r w:rsidRPr="0080737A">
        <w:rPr>
          <w:rFonts w:ascii="Times New Roman" w:hAnsi="Times New Roman"/>
          <w:color w:val="000000"/>
          <w:sz w:val="24"/>
          <w:szCs w:val="24"/>
          <w:u w:val="single"/>
          <w:lang w:bidi="ru-RU"/>
        </w:rPr>
        <w:t>для иных физических лиц</w:t>
      </w:r>
      <w:r w:rsidRPr="0080737A">
        <w:rPr>
          <w:rFonts w:ascii="Times New Roman" w:hAnsi="Times New Roman"/>
          <w:color w:val="000000"/>
          <w:sz w:val="24"/>
          <w:szCs w:val="24"/>
          <w:lang w:bidi="ru-RU"/>
        </w:rPr>
        <w:t xml:space="preserve"> по всем городам и населенным пунктам республики в I полугодии 2016 года сохранены на уровне тарифов, действовавших с 1 марта по 31 декабря 2015 года, за исключением города Бендеры (снижение на 0,1%), города </w:t>
      </w:r>
      <w:proofErr w:type="spellStart"/>
      <w:r w:rsidRPr="0080737A">
        <w:rPr>
          <w:rFonts w:ascii="Times New Roman" w:hAnsi="Times New Roman"/>
          <w:color w:val="000000"/>
          <w:sz w:val="24"/>
          <w:szCs w:val="24"/>
          <w:lang w:bidi="ru-RU"/>
        </w:rPr>
        <w:t>Днестровск</w:t>
      </w:r>
      <w:proofErr w:type="spellEnd"/>
      <w:r w:rsidRPr="0080737A">
        <w:rPr>
          <w:rFonts w:ascii="Times New Roman" w:hAnsi="Times New Roman"/>
          <w:color w:val="000000"/>
          <w:sz w:val="24"/>
          <w:szCs w:val="24"/>
          <w:lang w:bidi="ru-RU"/>
        </w:rPr>
        <w:t xml:space="preserve"> и села Незавертайловка (повышение на 0,97%);</w:t>
      </w:r>
    </w:p>
    <w:p w:rsidR="002610C6" w:rsidRPr="0080737A" w:rsidRDefault="002610C6" w:rsidP="002610C6">
      <w:pPr>
        <w:widowControl w:val="0"/>
        <w:shd w:val="clear" w:color="auto" w:fill="FFFFFF"/>
        <w:spacing w:after="0" w:line="240" w:lineRule="auto"/>
        <w:ind w:firstLine="709"/>
        <w:jc w:val="both"/>
        <w:rPr>
          <w:rFonts w:ascii="Times New Roman" w:hAnsi="Times New Roman"/>
          <w:i/>
          <w:color w:val="000000"/>
          <w:sz w:val="24"/>
          <w:szCs w:val="24"/>
          <w:lang w:bidi="ru-RU"/>
        </w:rPr>
      </w:pPr>
      <w:r w:rsidRPr="0080737A">
        <w:rPr>
          <w:rFonts w:ascii="Times New Roman" w:hAnsi="Times New Roman"/>
          <w:i/>
          <w:color w:val="000000"/>
          <w:sz w:val="24"/>
          <w:szCs w:val="24"/>
          <w:lang w:bidi="ru-RU"/>
        </w:rPr>
        <w:t>5)</w:t>
      </w:r>
      <w:r w:rsidRPr="0080737A">
        <w:rPr>
          <w:rFonts w:ascii="Times New Roman" w:hAnsi="Times New Roman"/>
          <w:b/>
          <w:bCs/>
          <w:color w:val="000000"/>
          <w:sz w:val="20"/>
          <w:szCs w:val="20"/>
        </w:rPr>
        <w:t xml:space="preserve"> </w:t>
      </w:r>
      <w:r w:rsidRPr="0080737A">
        <w:rPr>
          <w:rFonts w:ascii="Times New Roman" w:hAnsi="Times New Roman"/>
          <w:bCs/>
          <w:i/>
          <w:color w:val="000000"/>
          <w:sz w:val="24"/>
          <w:szCs w:val="24"/>
        </w:rPr>
        <w:t>Тарифы на</w:t>
      </w:r>
      <w:r w:rsidRPr="0080737A">
        <w:rPr>
          <w:rFonts w:ascii="Times New Roman" w:hAnsi="Times New Roman"/>
          <w:bCs/>
          <w:i/>
          <w:color w:val="000000"/>
          <w:sz w:val="24"/>
          <w:szCs w:val="24"/>
          <w:lang w:bidi="ru-RU"/>
        </w:rPr>
        <w:t xml:space="preserve"> подогрев воды для бытовых нужд населения при отсутствии приборов учета тепловой энергии в домах более 12 этажей:</w:t>
      </w:r>
    </w:p>
    <w:p w:rsidR="002610C6" w:rsidRPr="0080737A" w:rsidRDefault="002610C6" w:rsidP="002610C6">
      <w:pPr>
        <w:spacing w:after="0" w:line="240" w:lineRule="auto"/>
        <w:ind w:firstLine="709"/>
        <w:jc w:val="both"/>
        <w:rPr>
          <w:rFonts w:ascii="Times New Roman" w:eastAsiaTheme="minorEastAsia" w:hAnsi="Times New Roman" w:cstheme="minorBidi"/>
          <w:i/>
          <w:sz w:val="24"/>
          <w:szCs w:val="24"/>
          <w:u w:val="single"/>
          <w:lang w:eastAsia="en-US"/>
        </w:rPr>
      </w:pPr>
      <w:r w:rsidRPr="0080737A">
        <w:rPr>
          <w:rFonts w:ascii="Times New Roman" w:eastAsiaTheme="minorEastAsia" w:hAnsi="Times New Roman"/>
          <w:color w:val="000000"/>
          <w:sz w:val="24"/>
          <w:szCs w:val="24"/>
          <w:lang w:bidi="ru-RU"/>
        </w:rPr>
        <w:lastRenderedPageBreak/>
        <w:t xml:space="preserve">а) предельные тарифы </w:t>
      </w:r>
      <w:r w:rsidRPr="0080737A">
        <w:rPr>
          <w:rFonts w:ascii="Times New Roman" w:eastAsiaTheme="minorEastAsia" w:hAnsi="Times New Roman"/>
          <w:color w:val="000000"/>
          <w:sz w:val="24"/>
          <w:szCs w:val="24"/>
          <w:u w:val="single"/>
          <w:lang w:bidi="ru-RU"/>
        </w:rPr>
        <w:t>для всех категорий</w:t>
      </w:r>
      <w:r w:rsidRPr="0080737A">
        <w:rPr>
          <w:rFonts w:ascii="Times New Roman" w:eastAsiaTheme="minorEastAsia" w:hAnsi="Times New Roman"/>
          <w:color w:val="000000"/>
          <w:sz w:val="24"/>
          <w:szCs w:val="24"/>
          <w:lang w:bidi="ru-RU"/>
        </w:rPr>
        <w:t xml:space="preserve"> населения по всем в I полугодии 2016 года сохранены на уровне тарифов, действовавших в базовом периоде 2015 года;</w:t>
      </w:r>
    </w:p>
    <w:p w:rsidR="002610C6" w:rsidRPr="0080737A" w:rsidRDefault="002610C6" w:rsidP="002610C6">
      <w:pPr>
        <w:spacing w:after="0" w:line="240" w:lineRule="auto"/>
        <w:ind w:firstLine="709"/>
        <w:jc w:val="both"/>
        <w:rPr>
          <w:rFonts w:ascii="Times New Roman" w:eastAsiaTheme="minorEastAsia" w:hAnsi="Times New Roman" w:cstheme="minorBidi"/>
          <w:i/>
          <w:sz w:val="24"/>
          <w:szCs w:val="24"/>
          <w:lang w:eastAsia="en-US"/>
        </w:rPr>
      </w:pPr>
      <w:r w:rsidRPr="0080737A">
        <w:rPr>
          <w:rFonts w:ascii="Times New Roman" w:eastAsiaTheme="minorEastAsia" w:hAnsi="Times New Roman" w:cstheme="minorBidi"/>
          <w:i/>
          <w:sz w:val="24"/>
          <w:szCs w:val="24"/>
          <w:lang w:eastAsia="en-US"/>
        </w:rPr>
        <w:t>6)</w:t>
      </w:r>
      <w:r w:rsidRPr="0080737A">
        <w:rPr>
          <w:rFonts w:ascii="Times New Roman" w:hAnsi="Times New Roman"/>
          <w:b/>
          <w:bCs/>
          <w:color w:val="000000"/>
          <w:sz w:val="20"/>
          <w:szCs w:val="20"/>
        </w:rPr>
        <w:t xml:space="preserve"> </w:t>
      </w:r>
      <w:r w:rsidRPr="0080737A">
        <w:rPr>
          <w:rFonts w:ascii="Times New Roman" w:hAnsi="Times New Roman"/>
          <w:bCs/>
          <w:i/>
          <w:color w:val="000000"/>
          <w:sz w:val="24"/>
          <w:szCs w:val="24"/>
        </w:rPr>
        <w:t>Тарифы</w:t>
      </w:r>
      <w:r w:rsidRPr="0080737A">
        <w:rPr>
          <w:rFonts w:ascii="Times New Roman" w:hAnsi="Times New Roman"/>
          <w:b/>
          <w:bCs/>
          <w:color w:val="000000"/>
          <w:sz w:val="20"/>
          <w:szCs w:val="20"/>
        </w:rPr>
        <w:t xml:space="preserve"> </w:t>
      </w:r>
      <w:r w:rsidRPr="0080737A">
        <w:rPr>
          <w:rFonts w:ascii="Times New Roman" w:hAnsi="Times New Roman"/>
          <w:bCs/>
          <w:i/>
          <w:color w:val="000000"/>
          <w:sz w:val="24"/>
          <w:szCs w:val="24"/>
        </w:rPr>
        <w:t>на отпуск тепловой энергии промышленным и прочим потребителям:</w:t>
      </w:r>
    </w:p>
    <w:p w:rsidR="002610C6" w:rsidRPr="0080737A" w:rsidRDefault="002610C6" w:rsidP="002610C6">
      <w:pPr>
        <w:spacing w:after="0" w:line="240" w:lineRule="auto"/>
        <w:ind w:firstLine="709"/>
        <w:jc w:val="both"/>
        <w:rPr>
          <w:rFonts w:ascii="Times New Roman" w:hAnsi="Times New Roman"/>
          <w:color w:val="000000"/>
          <w:sz w:val="24"/>
          <w:szCs w:val="24"/>
          <w:lang w:bidi="ru-RU"/>
        </w:rPr>
      </w:pPr>
      <w:r w:rsidRPr="0080737A">
        <w:rPr>
          <w:rFonts w:ascii="Times New Roman" w:eastAsiaTheme="minorEastAsia" w:hAnsi="Times New Roman"/>
          <w:color w:val="000000"/>
          <w:sz w:val="24"/>
          <w:szCs w:val="24"/>
          <w:lang w:bidi="ru-RU"/>
        </w:rPr>
        <w:t xml:space="preserve">а) предельные тарифы на данную услугу в </w:t>
      </w:r>
      <w:r w:rsidRPr="0080737A">
        <w:rPr>
          <w:rFonts w:ascii="Times New Roman" w:hAnsi="Times New Roman"/>
          <w:color w:val="000000"/>
          <w:sz w:val="20"/>
          <w:szCs w:val="20"/>
        </w:rPr>
        <w:t xml:space="preserve">г. </w:t>
      </w:r>
      <w:r w:rsidRPr="0080737A">
        <w:rPr>
          <w:rFonts w:ascii="Times New Roman" w:hAnsi="Times New Roman"/>
          <w:color w:val="000000"/>
          <w:sz w:val="24"/>
          <w:szCs w:val="24"/>
        </w:rPr>
        <w:t xml:space="preserve">Тирасполь, г. Рыбница, г. Дубоссары, г. Каменка, г. </w:t>
      </w:r>
      <w:proofErr w:type="spellStart"/>
      <w:r w:rsidRPr="0080737A">
        <w:rPr>
          <w:rFonts w:ascii="Times New Roman" w:hAnsi="Times New Roman"/>
          <w:color w:val="000000"/>
          <w:sz w:val="24"/>
          <w:szCs w:val="24"/>
        </w:rPr>
        <w:t>Слободзея</w:t>
      </w:r>
      <w:proofErr w:type="spellEnd"/>
      <w:r w:rsidRPr="0080737A">
        <w:rPr>
          <w:rFonts w:ascii="Times New Roman" w:hAnsi="Times New Roman"/>
          <w:color w:val="000000"/>
          <w:sz w:val="24"/>
          <w:szCs w:val="24"/>
        </w:rPr>
        <w:t xml:space="preserve">, г. Григориополь повысились на 1,66%, в </w:t>
      </w:r>
      <w:r w:rsidRPr="0080737A">
        <w:rPr>
          <w:rFonts w:ascii="Times New Roman" w:hAnsi="Times New Roman"/>
          <w:color w:val="000000"/>
          <w:sz w:val="24"/>
          <w:szCs w:val="24"/>
          <w:lang w:bidi="ru-RU"/>
        </w:rPr>
        <w:t xml:space="preserve">г. </w:t>
      </w:r>
      <w:proofErr w:type="spellStart"/>
      <w:r w:rsidRPr="0080737A">
        <w:rPr>
          <w:rFonts w:ascii="Times New Roman" w:hAnsi="Times New Roman"/>
          <w:color w:val="000000"/>
          <w:sz w:val="24"/>
          <w:szCs w:val="24"/>
          <w:lang w:bidi="ru-RU"/>
        </w:rPr>
        <w:t>Днестровск</w:t>
      </w:r>
      <w:proofErr w:type="spellEnd"/>
      <w:r w:rsidRPr="0080737A">
        <w:rPr>
          <w:rFonts w:ascii="Times New Roman" w:hAnsi="Times New Roman"/>
          <w:color w:val="000000"/>
          <w:sz w:val="24"/>
          <w:szCs w:val="24"/>
          <w:lang w:bidi="ru-RU"/>
        </w:rPr>
        <w:t xml:space="preserve"> и </w:t>
      </w:r>
      <w:proofErr w:type="gramStart"/>
      <w:r w:rsidRPr="0080737A">
        <w:rPr>
          <w:rFonts w:ascii="Times New Roman" w:hAnsi="Times New Roman"/>
          <w:color w:val="000000"/>
          <w:sz w:val="24"/>
          <w:szCs w:val="24"/>
          <w:lang w:bidi="ru-RU"/>
        </w:rPr>
        <w:t>с</w:t>
      </w:r>
      <w:proofErr w:type="gramEnd"/>
      <w:r w:rsidRPr="0080737A">
        <w:rPr>
          <w:rFonts w:ascii="Times New Roman" w:hAnsi="Times New Roman"/>
          <w:color w:val="000000"/>
          <w:sz w:val="24"/>
          <w:szCs w:val="24"/>
          <w:lang w:bidi="ru-RU"/>
        </w:rPr>
        <w:t xml:space="preserve">. Незавертайловка соответственно на 13,01%, при этом </w:t>
      </w:r>
      <w:proofErr w:type="spellStart"/>
      <w:r w:rsidRPr="0080737A">
        <w:rPr>
          <w:rFonts w:ascii="Times New Roman" w:hAnsi="Times New Roman"/>
          <w:color w:val="000000"/>
          <w:sz w:val="24"/>
          <w:szCs w:val="24"/>
          <w:lang w:bidi="ru-RU"/>
        </w:rPr>
        <w:t>вг</w:t>
      </w:r>
      <w:proofErr w:type="spellEnd"/>
      <w:r w:rsidRPr="0080737A">
        <w:rPr>
          <w:rFonts w:ascii="Times New Roman" w:hAnsi="Times New Roman"/>
          <w:color w:val="000000"/>
          <w:sz w:val="24"/>
          <w:szCs w:val="24"/>
          <w:lang w:bidi="ru-RU"/>
        </w:rPr>
        <w:t>. Бендеры снижение составило 1,09%.</w:t>
      </w:r>
    </w:p>
    <w:p w:rsidR="00445605" w:rsidRPr="0080737A" w:rsidRDefault="00445605" w:rsidP="002610C6">
      <w:pPr>
        <w:spacing w:after="0" w:line="240" w:lineRule="auto"/>
        <w:ind w:firstLine="709"/>
        <w:jc w:val="both"/>
        <w:rPr>
          <w:rFonts w:ascii="Times New Roman" w:eastAsiaTheme="minorEastAsia" w:hAnsi="Times New Roman" w:cstheme="minorBidi"/>
          <w:i/>
          <w:sz w:val="24"/>
          <w:szCs w:val="24"/>
          <w:u w:val="single"/>
          <w:lang w:eastAsia="en-US"/>
        </w:rPr>
      </w:pPr>
    </w:p>
    <w:p w:rsidR="002610C6" w:rsidRPr="0080737A" w:rsidRDefault="002610C6" w:rsidP="002610C6">
      <w:pPr>
        <w:spacing w:after="0" w:line="240" w:lineRule="auto"/>
        <w:ind w:firstLine="709"/>
        <w:jc w:val="both"/>
        <w:rPr>
          <w:rFonts w:ascii="Times New Roman" w:eastAsiaTheme="minorEastAsia" w:hAnsi="Times New Roman" w:cstheme="minorBidi"/>
          <w:b/>
          <w:sz w:val="24"/>
          <w:szCs w:val="24"/>
          <w:lang w:eastAsia="en-US"/>
        </w:rPr>
      </w:pPr>
      <w:r w:rsidRPr="0080737A">
        <w:rPr>
          <w:rFonts w:ascii="Times New Roman" w:eastAsiaTheme="minorEastAsia" w:hAnsi="Times New Roman" w:cstheme="minorBidi"/>
          <w:b/>
          <w:sz w:val="24"/>
          <w:szCs w:val="24"/>
          <w:lang w:eastAsia="en-US"/>
        </w:rPr>
        <w:t>4. Услуги водоснабжения и водоотведения (канализация):</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i/>
          <w:color w:val="000000"/>
          <w:sz w:val="24"/>
          <w:szCs w:val="24"/>
          <w:lang w:bidi="ru-RU"/>
        </w:rPr>
        <w:t>1) тарифы на услуги водоснабжения</w:t>
      </w:r>
      <w:r w:rsidRPr="0080737A">
        <w:rPr>
          <w:rFonts w:ascii="Times New Roman" w:hAnsi="Times New Roman"/>
          <w:color w:val="000000"/>
          <w:sz w:val="24"/>
          <w:szCs w:val="24"/>
          <w:lang w:bidi="ru-RU"/>
        </w:rPr>
        <w:t>:</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color w:val="000000"/>
          <w:sz w:val="24"/>
          <w:szCs w:val="24"/>
          <w:lang w:bidi="ru-RU"/>
        </w:rPr>
        <w:t xml:space="preserve">а) для населения с приборами учета расхода воды, без приборов расхода воды, а также для организаций и учреждений, финансируемых из бюджетов всех уровней сохранены на уровне предельных тарифов, установленных в базовом периоде 2015 года и установлены на уровне 4,52 руб. за 1 куб. </w:t>
      </w:r>
      <w:proofErr w:type="gramStart"/>
      <w:r w:rsidRPr="0080737A">
        <w:rPr>
          <w:rFonts w:ascii="Times New Roman" w:hAnsi="Times New Roman"/>
          <w:color w:val="000000"/>
          <w:sz w:val="24"/>
          <w:szCs w:val="24"/>
          <w:lang w:bidi="ru-RU"/>
        </w:rPr>
        <w:t>м</w:t>
      </w:r>
      <w:proofErr w:type="gramEnd"/>
      <w:r w:rsidRPr="0080737A">
        <w:rPr>
          <w:rFonts w:ascii="Times New Roman" w:hAnsi="Times New Roman"/>
          <w:color w:val="000000"/>
          <w:sz w:val="24"/>
          <w:szCs w:val="24"/>
          <w:lang w:bidi="ru-RU"/>
        </w:rPr>
        <w:t>;</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sz w:val="24"/>
          <w:szCs w:val="24"/>
          <w:lang w:eastAsia="en-US"/>
        </w:rPr>
        <w:t>б)</w:t>
      </w:r>
      <w:r w:rsidRPr="0080737A">
        <w:rPr>
          <w:rFonts w:ascii="Times New Roman" w:hAnsi="Times New Roman"/>
          <w:b/>
          <w:sz w:val="24"/>
          <w:szCs w:val="24"/>
          <w:lang w:eastAsia="en-US"/>
        </w:rPr>
        <w:t xml:space="preserve"> </w:t>
      </w:r>
      <w:r w:rsidRPr="0080737A">
        <w:rPr>
          <w:rFonts w:ascii="Times New Roman" w:hAnsi="Times New Roman"/>
          <w:color w:val="000000"/>
          <w:sz w:val="24"/>
          <w:szCs w:val="24"/>
          <w:lang w:bidi="ru-RU"/>
        </w:rPr>
        <w:t xml:space="preserve">для промышленных потребителей </w:t>
      </w:r>
      <w:proofErr w:type="gramStart"/>
      <w:r w:rsidRPr="0080737A">
        <w:rPr>
          <w:rFonts w:ascii="Times New Roman" w:hAnsi="Times New Roman"/>
          <w:color w:val="000000"/>
          <w:sz w:val="24"/>
          <w:szCs w:val="24"/>
          <w:lang w:bidi="ru-RU"/>
        </w:rPr>
        <w:t>сохранены</w:t>
      </w:r>
      <w:proofErr w:type="gramEnd"/>
      <w:r w:rsidRPr="0080737A">
        <w:rPr>
          <w:rFonts w:ascii="Times New Roman" w:hAnsi="Times New Roman"/>
          <w:color w:val="000000"/>
          <w:sz w:val="24"/>
          <w:szCs w:val="24"/>
          <w:lang w:bidi="ru-RU"/>
        </w:rPr>
        <w:t xml:space="preserve"> на уровне предельных тарифов, установленных в базовом периоде 2015 года и установлены на уровне 4,52 руб. за 1 куб. м; для прочих потребителей увеличены на 22,1% в сравнении с предельными уровнями тарифов, установленными в I полугодии 2015 года до 5,52 руб. за 1 куб. м;</w:t>
      </w:r>
    </w:p>
    <w:p w:rsidR="002610C6" w:rsidRPr="0080737A" w:rsidRDefault="002610C6" w:rsidP="002610C6">
      <w:pPr>
        <w:spacing w:after="0" w:line="240" w:lineRule="auto"/>
        <w:ind w:firstLine="709"/>
        <w:jc w:val="both"/>
        <w:rPr>
          <w:rFonts w:ascii="Times New Roman" w:eastAsiaTheme="minorEastAsia" w:hAnsi="Times New Roman" w:cstheme="minorBidi"/>
          <w:i/>
          <w:sz w:val="24"/>
          <w:szCs w:val="24"/>
          <w:lang w:eastAsia="en-US"/>
        </w:rPr>
      </w:pPr>
      <w:r w:rsidRPr="0080737A">
        <w:rPr>
          <w:rFonts w:ascii="Times New Roman" w:eastAsiaTheme="minorEastAsia" w:hAnsi="Times New Roman" w:cstheme="minorBidi"/>
          <w:i/>
          <w:sz w:val="24"/>
          <w:szCs w:val="24"/>
          <w:lang w:eastAsia="en-US"/>
        </w:rPr>
        <w:t>2</w:t>
      </w:r>
      <w:r w:rsidRPr="0080737A">
        <w:rPr>
          <w:rFonts w:ascii="Times New Roman" w:eastAsiaTheme="minorEastAsia" w:hAnsi="Times New Roman" w:cstheme="minorBidi"/>
          <w:i/>
          <w:sz w:val="24"/>
          <w:szCs w:val="24"/>
          <w:lang w:eastAsia="en-US" w:bidi="ru-RU"/>
        </w:rPr>
        <w:t>) тарифы на услуги водоотведения (канализация)</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color w:val="000000"/>
          <w:sz w:val="24"/>
          <w:szCs w:val="24"/>
          <w:lang w:bidi="ru-RU"/>
        </w:rPr>
        <w:t xml:space="preserve">а) для населения, а также для организаций и учреждений, финансируемых из бюджетов всех уровней тарифы сохранены на уровне предельных тарифов, установленных в базовом периоде 2015 года и установлены на уровне 3,89 руб. за 1 куб. </w:t>
      </w:r>
      <w:proofErr w:type="gramStart"/>
      <w:r w:rsidRPr="0080737A">
        <w:rPr>
          <w:rFonts w:ascii="Times New Roman" w:hAnsi="Times New Roman"/>
          <w:color w:val="000000"/>
          <w:sz w:val="24"/>
          <w:szCs w:val="24"/>
          <w:lang w:bidi="ru-RU"/>
        </w:rPr>
        <w:t>м</w:t>
      </w:r>
      <w:proofErr w:type="gramEnd"/>
      <w:r w:rsidRPr="0080737A">
        <w:rPr>
          <w:rFonts w:ascii="Times New Roman" w:hAnsi="Times New Roman"/>
          <w:color w:val="000000"/>
          <w:sz w:val="24"/>
          <w:szCs w:val="24"/>
          <w:lang w:bidi="ru-RU"/>
        </w:rPr>
        <w:t>;</w:t>
      </w:r>
    </w:p>
    <w:p w:rsidR="002610C6" w:rsidRPr="0080737A" w:rsidRDefault="002610C6" w:rsidP="002610C6">
      <w:pPr>
        <w:widowControl w:val="0"/>
        <w:spacing w:after="0" w:line="240" w:lineRule="auto"/>
        <w:ind w:firstLine="709"/>
        <w:jc w:val="both"/>
        <w:rPr>
          <w:rFonts w:ascii="Times New Roman" w:hAnsi="Times New Roman"/>
          <w:color w:val="000000"/>
          <w:sz w:val="24"/>
          <w:szCs w:val="24"/>
          <w:lang w:bidi="ru-RU"/>
        </w:rPr>
      </w:pPr>
      <w:r w:rsidRPr="0080737A">
        <w:rPr>
          <w:rFonts w:ascii="Times New Roman" w:hAnsi="Times New Roman"/>
          <w:sz w:val="24"/>
          <w:szCs w:val="24"/>
          <w:lang w:eastAsia="en-US"/>
        </w:rPr>
        <w:t>б)</w:t>
      </w:r>
      <w:r w:rsidRPr="0080737A">
        <w:rPr>
          <w:rFonts w:ascii="Times New Roman" w:hAnsi="Times New Roman"/>
          <w:b/>
          <w:sz w:val="24"/>
          <w:szCs w:val="24"/>
          <w:lang w:eastAsia="en-US"/>
        </w:rPr>
        <w:t xml:space="preserve"> </w:t>
      </w:r>
      <w:r w:rsidRPr="0080737A">
        <w:rPr>
          <w:rFonts w:ascii="Times New Roman" w:hAnsi="Times New Roman"/>
          <w:color w:val="000000"/>
          <w:sz w:val="24"/>
          <w:szCs w:val="24"/>
          <w:lang w:bidi="ru-RU"/>
        </w:rPr>
        <w:t xml:space="preserve">для промышленных потребителей и прочих потребителей </w:t>
      </w:r>
      <w:proofErr w:type="gramStart"/>
      <w:r w:rsidRPr="0080737A">
        <w:rPr>
          <w:rFonts w:ascii="Times New Roman" w:hAnsi="Times New Roman"/>
          <w:color w:val="000000"/>
          <w:sz w:val="24"/>
          <w:szCs w:val="24"/>
          <w:lang w:bidi="ru-RU"/>
        </w:rPr>
        <w:t>увеличены</w:t>
      </w:r>
      <w:proofErr w:type="gramEnd"/>
      <w:r w:rsidRPr="0080737A">
        <w:rPr>
          <w:rFonts w:ascii="Times New Roman" w:hAnsi="Times New Roman"/>
          <w:color w:val="000000"/>
          <w:sz w:val="24"/>
          <w:szCs w:val="24"/>
          <w:lang w:bidi="ru-RU"/>
        </w:rPr>
        <w:t xml:space="preserve"> на 24,9% в сравнении с предельными уровнями тарифов, установленными в I полугодии 2015 года до 4,86 руб. за 1 куб. м.</w:t>
      </w:r>
    </w:p>
    <w:p w:rsidR="00445605" w:rsidRPr="0080737A" w:rsidRDefault="00445605" w:rsidP="002610C6">
      <w:pPr>
        <w:widowControl w:val="0"/>
        <w:spacing w:after="0" w:line="240" w:lineRule="auto"/>
        <w:ind w:firstLine="709"/>
        <w:jc w:val="both"/>
        <w:rPr>
          <w:rFonts w:ascii="Times New Roman" w:hAnsi="Times New Roman"/>
          <w:color w:val="000000"/>
          <w:sz w:val="24"/>
          <w:szCs w:val="24"/>
          <w:lang w:bidi="ru-RU"/>
        </w:rPr>
      </w:pPr>
    </w:p>
    <w:p w:rsidR="002610C6" w:rsidRPr="0080737A" w:rsidRDefault="002610C6" w:rsidP="002610C6">
      <w:pPr>
        <w:spacing w:after="0" w:line="240" w:lineRule="auto"/>
        <w:ind w:firstLine="709"/>
        <w:jc w:val="both"/>
        <w:rPr>
          <w:rFonts w:ascii="Times New Roman" w:eastAsiaTheme="minorEastAsia" w:hAnsi="Times New Roman" w:cstheme="minorBidi"/>
          <w:b/>
          <w:sz w:val="24"/>
          <w:szCs w:val="24"/>
          <w:lang w:eastAsia="en-US"/>
        </w:rPr>
      </w:pPr>
      <w:r w:rsidRPr="0080737A">
        <w:rPr>
          <w:rFonts w:ascii="Times New Roman" w:eastAsiaTheme="minorEastAsia" w:hAnsi="Times New Roman" w:cstheme="minorBidi"/>
          <w:b/>
          <w:sz w:val="24"/>
          <w:szCs w:val="24"/>
          <w:lang w:eastAsia="en-US"/>
        </w:rPr>
        <w:t>Услуги на перевозку пассажиров электрическим транспортом и услуги железнодорожного транспорта в местном сообщении</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cstheme="minorBidi"/>
          <w:sz w:val="24"/>
          <w:szCs w:val="24"/>
          <w:lang w:eastAsia="en-US"/>
        </w:rPr>
        <w:t>В период с 1 января по 30 июня 2016 года тарифы на услуги по перевозке пассажиров электрическим транспортом утверждены на уровне действующих тарифов в 2015 году.</w:t>
      </w:r>
    </w:p>
    <w:p w:rsidR="00445605" w:rsidRPr="0080737A" w:rsidRDefault="002610C6" w:rsidP="00445605">
      <w:pPr>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lang w:eastAsia="en-US"/>
        </w:rPr>
        <w:t xml:space="preserve">Предельные уровни тарифов на услуги железнодорожного транспорта в местном сообщении в 2016 году по сравнению с предельными уровнями тарифов, утвержденными в 2015 году, увеличены на 4,0 %, что обусловлено </w:t>
      </w:r>
      <w:r w:rsidRPr="0080737A">
        <w:rPr>
          <w:rFonts w:ascii="Times New Roman" w:eastAsiaTheme="minorEastAsia" w:hAnsi="Times New Roman" w:cstheme="minorBidi"/>
          <w:sz w:val="24"/>
          <w:szCs w:val="24"/>
        </w:rPr>
        <w:t>обеспечением покрытия экономически обоснованных затрат и получением обоснованной нормы прибыли (рентабельности) в регулируемой деятельности.</w:t>
      </w:r>
    </w:p>
    <w:p w:rsidR="002610C6" w:rsidRPr="0080737A" w:rsidRDefault="002610C6" w:rsidP="002610C6">
      <w:pPr>
        <w:spacing w:after="0" w:line="240" w:lineRule="auto"/>
        <w:ind w:firstLine="709"/>
        <w:jc w:val="both"/>
        <w:rPr>
          <w:rFonts w:ascii="Times New Roman" w:eastAsia="MS Mincho" w:hAnsi="Times New Roman" w:cstheme="minorBidi"/>
          <w:b/>
          <w:bCs/>
          <w:sz w:val="24"/>
          <w:szCs w:val="24"/>
        </w:rPr>
      </w:pPr>
      <w:r w:rsidRPr="0080737A">
        <w:rPr>
          <w:rFonts w:ascii="Times New Roman" w:eastAsiaTheme="minorEastAsia" w:hAnsi="Times New Roman" w:cstheme="minorBidi"/>
          <w:b/>
          <w:sz w:val="24"/>
          <w:szCs w:val="24"/>
        </w:rPr>
        <w:t xml:space="preserve">Ценовая (тарифная) политика в </w:t>
      </w:r>
      <w:r w:rsidRPr="0080737A">
        <w:rPr>
          <w:rFonts w:ascii="Times New Roman" w:eastAsia="MS Mincho" w:hAnsi="Times New Roman" w:cstheme="minorBidi"/>
          <w:b/>
          <w:bCs/>
          <w:sz w:val="24"/>
          <w:szCs w:val="24"/>
        </w:rPr>
        <w:t xml:space="preserve">сфере социально значимых товаров </w:t>
      </w:r>
      <w:r w:rsidRPr="0080737A">
        <w:rPr>
          <w:rFonts w:ascii="Times New Roman" w:eastAsia="MS Mincho" w:hAnsi="Times New Roman" w:cstheme="minorBidi"/>
          <w:b/>
          <w:bCs/>
          <w:sz w:val="24"/>
          <w:szCs w:val="24"/>
        </w:rPr>
        <w:br/>
        <w:t>(работ, услуг)</w:t>
      </w:r>
    </w:p>
    <w:p w:rsidR="002610C6" w:rsidRPr="0080737A" w:rsidRDefault="002610C6" w:rsidP="002610C6">
      <w:pPr>
        <w:spacing w:after="0" w:line="240" w:lineRule="auto"/>
        <w:ind w:firstLine="709"/>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Ценовая (тарифная) политика в 2016 году в сфере социально значимых товаров (работ, услуг) сформирована с учетом норм действующего законодательства в области ценообразования и влиянием следующих факторов:</w:t>
      </w:r>
    </w:p>
    <w:p w:rsidR="002610C6" w:rsidRPr="0080737A" w:rsidRDefault="002610C6" w:rsidP="002610C6">
      <w:pPr>
        <w:spacing w:after="0" w:line="240" w:lineRule="auto"/>
        <w:ind w:firstLine="709"/>
        <w:jc w:val="both"/>
        <w:rPr>
          <w:rFonts w:ascii="Times New Roman" w:eastAsia="MS Mincho" w:hAnsi="Times New Roman" w:cs="Calibri"/>
          <w:bCs/>
          <w:sz w:val="24"/>
          <w:szCs w:val="24"/>
        </w:rPr>
      </w:pPr>
      <w:r w:rsidRPr="0080737A">
        <w:rPr>
          <w:rFonts w:ascii="Times New Roman" w:eastAsia="MS Mincho" w:hAnsi="Times New Roman" w:cstheme="minorBidi"/>
          <w:bCs/>
          <w:sz w:val="24"/>
          <w:szCs w:val="24"/>
        </w:rPr>
        <w:noBreakHyphen/>
        <w:t> изменения цен на сырье и материалы, тарифов на энергоносители;</w:t>
      </w:r>
    </w:p>
    <w:p w:rsidR="002610C6" w:rsidRPr="0080737A" w:rsidRDefault="002610C6" w:rsidP="002610C6">
      <w:pPr>
        <w:spacing w:after="0" w:line="240" w:lineRule="auto"/>
        <w:ind w:firstLine="709"/>
        <w:jc w:val="both"/>
        <w:rPr>
          <w:rFonts w:ascii="Times New Roman" w:eastAsia="MS Mincho" w:hAnsi="Times New Roman" w:cs="Calibri"/>
          <w:bCs/>
          <w:sz w:val="24"/>
          <w:szCs w:val="24"/>
        </w:rPr>
      </w:pPr>
      <w:r w:rsidRPr="0080737A">
        <w:rPr>
          <w:rFonts w:ascii="Times New Roman" w:eastAsia="MS Mincho" w:hAnsi="Times New Roman" w:cstheme="minorBidi"/>
          <w:bCs/>
          <w:sz w:val="24"/>
          <w:szCs w:val="24"/>
        </w:rPr>
        <w:noBreakHyphen/>
        <w:t> влияния прогнозируемого уровня инфляции в размере 2%;</w:t>
      </w:r>
    </w:p>
    <w:p w:rsidR="002610C6" w:rsidRPr="0080737A" w:rsidRDefault="002610C6" w:rsidP="002610C6">
      <w:pPr>
        <w:spacing w:after="0" w:line="240" w:lineRule="auto"/>
        <w:ind w:firstLine="709"/>
        <w:jc w:val="both"/>
        <w:rPr>
          <w:rFonts w:ascii="Times New Roman" w:eastAsia="MS Mincho" w:hAnsi="Times New Roman"/>
          <w:bCs/>
          <w:sz w:val="24"/>
          <w:szCs w:val="24"/>
        </w:rPr>
      </w:pPr>
      <w:r w:rsidRPr="0080737A">
        <w:rPr>
          <w:rFonts w:ascii="Times New Roman" w:eastAsia="MS Mincho" w:hAnsi="Times New Roman" w:cstheme="minorBidi"/>
          <w:bCs/>
          <w:sz w:val="24"/>
          <w:szCs w:val="24"/>
        </w:rPr>
        <w:noBreakHyphen/>
        <w:t> фактических результатов деятельности хозяйствующих субъектов, производящих (осуществляющих, оказывающих) социально значимые товары (работы, услуги), по итогам работы за прошедший расчетный период регулирования.</w:t>
      </w:r>
    </w:p>
    <w:p w:rsidR="002610C6" w:rsidRPr="0080737A" w:rsidRDefault="002610C6" w:rsidP="002610C6">
      <w:pPr>
        <w:spacing w:after="0" w:line="240" w:lineRule="auto"/>
        <w:ind w:firstLine="567"/>
        <w:jc w:val="both"/>
        <w:rPr>
          <w:rFonts w:ascii="Times New Roman" w:eastAsiaTheme="minorEastAsia" w:hAnsi="Times New Roman" w:cstheme="minorBidi"/>
          <w:sz w:val="24"/>
          <w:szCs w:val="24"/>
        </w:rPr>
      </w:pPr>
      <w:r w:rsidRPr="0080737A">
        <w:rPr>
          <w:rFonts w:ascii="Times New Roman" w:eastAsia="MS Mincho" w:hAnsi="Times New Roman" w:cstheme="minorBidi"/>
          <w:bCs/>
          <w:sz w:val="24"/>
          <w:szCs w:val="24"/>
        </w:rPr>
        <w:t xml:space="preserve">В 2015 году по сравнению с 2014 годом предельные отпускные цены  на муку для хлебопечения, хлеб и хлебобулочные изделия увеличены в среднем по республике на 14,0% и на 9,28% соответственно, что обусловлено удорожанием </w:t>
      </w:r>
      <w:r w:rsidRPr="0080737A">
        <w:rPr>
          <w:rFonts w:ascii="Times New Roman" w:eastAsiaTheme="minorEastAsia" w:hAnsi="Times New Roman" w:cstheme="minorBidi"/>
          <w:sz w:val="24"/>
          <w:szCs w:val="24"/>
        </w:rPr>
        <w:t>стоимости зерна продовольственной пшеницы урожая 2014 года, а также ростом затрат на энергоресурсы.</w:t>
      </w:r>
    </w:p>
    <w:p w:rsidR="002610C6" w:rsidRPr="0080737A" w:rsidRDefault="002610C6" w:rsidP="002610C6">
      <w:pPr>
        <w:spacing w:after="0" w:line="240" w:lineRule="auto"/>
        <w:ind w:firstLine="567"/>
        <w:jc w:val="both"/>
        <w:rPr>
          <w:rFonts w:ascii="Times New Roman" w:eastAsia="MS Mincho" w:hAnsi="Times New Roman" w:cstheme="minorBidi"/>
          <w:bCs/>
          <w:sz w:val="24"/>
          <w:szCs w:val="24"/>
          <w:u w:val="single"/>
        </w:rPr>
      </w:pPr>
      <w:r w:rsidRPr="0080737A">
        <w:rPr>
          <w:rFonts w:ascii="Times New Roman" w:eastAsia="MS Mincho" w:hAnsi="Times New Roman" w:cstheme="minorBidi"/>
          <w:bCs/>
          <w:sz w:val="24"/>
          <w:szCs w:val="24"/>
          <w:u w:val="single"/>
        </w:rPr>
        <w:t xml:space="preserve">а) мука для хлебопечения </w:t>
      </w:r>
    </w:p>
    <w:p w:rsidR="002610C6" w:rsidRPr="0080737A" w:rsidRDefault="002610C6" w:rsidP="002610C6">
      <w:pPr>
        <w:spacing w:after="0" w:line="240" w:lineRule="auto"/>
        <w:ind w:firstLine="567"/>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 xml:space="preserve">С 1 января 2016 года предельные отпускные цены на муку для хлебопечения в результате падения стоимости 1 тонны зерна продовольственной пшеницы на 10,2% </w:t>
      </w:r>
      <w:r w:rsidRPr="0080737A">
        <w:rPr>
          <w:rFonts w:ascii="Times New Roman" w:eastAsia="MS Mincho" w:hAnsi="Times New Roman" w:cstheme="minorBidi"/>
          <w:bCs/>
          <w:sz w:val="24"/>
          <w:szCs w:val="24"/>
        </w:rPr>
        <w:lastRenderedPageBreak/>
        <w:t xml:space="preserve">снижены по сравнению с предельными отпускными ценами, действовавшими с 1 января 2015 года, </w:t>
      </w:r>
      <w:proofErr w:type="gramStart"/>
      <w:r w:rsidRPr="0080737A">
        <w:rPr>
          <w:rFonts w:ascii="Times New Roman" w:eastAsia="MS Mincho" w:hAnsi="Times New Roman" w:cstheme="minorBidi"/>
          <w:bCs/>
          <w:sz w:val="24"/>
          <w:szCs w:val="24"/>
        </w:rPr>
        <w:t>на</w:t>
      </w:r>
      <w:proofErr w:type="gramEnd"/>
      <w:r w:rsidRPr="0080737A">
        <w:rPr>
          <w:rFonts w:ascii="Times New Roman" w:eastAsia="MS Mincho" w:hAnsi="Times New Roman" w:cstheme="minorBidi"/>
          <w:bCs/>
          <w:sz w:val="24"/>
          <w:szCs w:val="24"/>
        </w:rPr>
        <w:t>:</w:t>
      </w:r>
    </w:p>
    <w:p w:rsidR="002610C6" w:rsidRPr="0080737A" w:rsidRDefault="002610C6" w:rsidP="002610C6">
      <w:pPr>
        <w:spacing w:after="0" w:line="240" w:lineRule="auto"/>
        <w:ind w:firstLine="567"/>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 муку пшеничную высшего сорта на 4,4%;</w:t>
      </w:r>
    </w:p>
    <w:p w:rsidR="002610C6" w:rsidRPr="0080737A" w:rsidRDefault="002610C6" w:rsidP="002610C6">
      <w:pPr>
        <w:spacing w:after="0" w:line="240" w:lineRule="auto"/>
        <w:ind w:firstLine="567"/>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 муку пшеничную сорт «Днестровский» на 9,9%;</w:t>
      </w:r>
    </w:p>
    <w:p w:rsidR="002610C6" w:rsidRPr="0080737A" w:rsidRDefault="002610C6" w:rsidP="002610C6">
      <w:pPr>
        <w:spacing w:after="0" w:line="240" w:lineRule="auto"/>
        <w:ind w:firstLine="567"/>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 муку пшеничную первый сорт на 3,6%;</w:t>
      </w:r>
    </w:p>
    <w:p w:rsidR="002610C6" w:rsidRPr="0080737A" w:rsidRDefault="002610C6" w:rsidP="002610C6">
      <w:pPr>
        <w:spacing w:after="0" w:line="240" w:lineRule="auto"/>
        <w:ind w:firstLine="567"/>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 xml:space="preserve">– муку пшеничную второй сорт на 2,1%; </w:t>
      </w:r>
    </w:p>
    <w:p w:rsidR="002610C6" w:rsidRPr="0080737A" w:rsidRDefault="002610C6" w:rsidP="002610C6">
      <w:pPr>
        <w:spacing w:after="0" w:line="240" w:lineRule="auto"/>
        <w:ind w:firstLine="567"/>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 муку ржаную на 0,4%.</w:t>
      </w:r>
    </w:p>
    <w:p w:rsidR="002610C6" w:rsidRPr="0080737A" w:rsidRDefault="002610C6" w:rsidP="002610C6">
      <w:pPr>
        <w:spacing w:after="0" w:line="240" w:lineRule="auto"/>
        <w:ind w:firstLine="567"/>
        <w:jc w:val="both"/>
        <w:rPr>
          <w:rFonts w:ascii="Times New Roman" w:eastAsia="MS Mincho" w:hAnsi="Times New Roman" w:cstheme="minorBidi"/>
          <w:bCs/>
          <w:sz w:val="24"/>
          <w:szCs w:val="24"/>
          <w:u w:val="single"/>
        </w:rPr>
      </w:pPr>
      <w:r w:rsidRPr="0080737A">
        <w:rPr>
          <w:rFonts w:ascii="Times New Roman" w:eastAsia="MS Mincho" w:hAnsi="Times New Roman" w:cstheme="minorBidi"/>
          <w:bCs/>
          <w:sz w:val="24"/>
          <w:szCs w:val="24"/>
          <w:u w:val="single"/>
        </w:rPr>
        <w:t>б) хлеб и хлебобулочные изделия</w:t>
      </w:r>
    </w:p>
    <w:p w:rsidR="002610C6" w:rsidRPr="0080737A" w:rsidRDefault="002610C6" w:rsidP="002610C6">
      <w:pPr>
        <w:shd w:val="clear" w:color="auto" w:fill="FFFFFF"/>
        <w:tabs>
          <w:tab w:val="left" w:pos="784"/>
        </w:tabs>
        <w:spacing w:after="0" w:line="285" w:lineRule="atLeast"/>
        <w:ind w:firstLine="567"/>
        <w:jc w:val="both"/>
        <w:textAlignment w:val="baseline"/>
        <w:rPr>
          <w:rFonts w:ascii="Times New Roman" w:eastAsia="MS Mincho" w:hAnsi="Times New Roman"/>
          <w:bCs/>
          <w:sz w:val="24"/>
          <w:szCs w:val="24"/>
        </w:rPr>
      </w:pPr>
      <w:r w:rsidRPr="0080737A">
        <w:rPr>
          <w:rFonts w:ascii="Times New Roman" w:eastAsia="MS Mincho" w:hAnsi="Times New Roman"/>
          <w:bCs/>
          <w:sz w:val="24"/>
          <w:szCs w:val="24"/>
          <w:lang w:eastAsia="en-US"/>
        </w:rPr>
        <w:t xml:space="preserve">С 1 января 2016 года в результате </w:t>
      </w:r>
      <w:r w:rsidRPr="0080737A">
        <w:rPr>
          <w:rFonts w:ascii="Times New Roman" w:eastAsia="MS Mincho" w:hAnsi="Times New Roman"/>
          <w:bCs/>
          <w:sz w:val="24"/>
          <w:szCs w:val="24"/>
        </w:rPr>
        <w:t xml:space="preserve">падения цены на муку для хлебопечения и снижения уровня рентабельности на регулируемые виды хлеба на 5,0%, </w:t>
      </w:r>
      <w:r w:rsidRPr="0080737A">
        <w:rPr>
          <w:rFonts w:ascii="Times New Roman" w:eastAsia="MS Mincho" w:hAnsi="Times New Roman"/>
          <w:bCs/>
          <w:sz w:val="24"/>
          <w:szCs w:val="24"/>
          <w:lang w:eastAsia="en-US"/>
        </w:rPr>
        <w:t xml:space="preserve">предельные отпускные цены на хлеб и хлебобулочные изделия </w:t>
      </w:r>
      <w:r w:rsidRPr="0080737A">
        <w:rPr>
          <w:rFonts w:ascii="Times New Roman" w:eastAsia="MS Mincho" w:hAnsi="Times New Roman"/>
          <w:bCs/>
          <w:sz w:val="24"/>
          <w:szCs w:val="24"/>
        </w:rPr>
        <w:t xml:space="preserve">изменились </w:t>
      </w:r>
      <w:r w:rsidRPr="0080737A">
        <w:rPr>
          <w:rFonts w:ascii="Times New Roman" w:eastAsia="MS Mincho" w:hAnsi="Times New Roman"/>
          <w:bCs/>
          <w:sz w:val="24"/>
          <w:szCs w:val="24"/>
          <w:lang w:eastAsia="en-US"/>
        </w:rPr>
        <w:t xml:space="preserve">по сравнению с предельными отпускными ценами, </w:t>
      </w:r>
      <w:r w:rsidRPr="0080737A">
        <w:rPr>
          <w:rFonts w:ascii="Times New Roman" w:eastAsia="MS Mincho" w:hAnsi="Times New Roman"/>
          <w:bCs/>
          <w:sz w:val="24"/>
          <w:szCs w:val="24"/>
        </w:rPr>
        <w:t>действовавшими в 2015 году</w:t>
      </w:r>
      <w:r w:rsidRPr="0080737A">
        <w:rPr>
          <w:rFonts w:ascii="Times New Roman" w:eastAsia="MS Mincho" w:hAnsi="Times New Roman"/>
          <w:bCs/>
          <w:sz w:val="24"/>
          <w:szCs w:val="24"/>
          <w:lang w:eastAsia="en-US"/>
        </w:rPr>
        <w:t xml:space="preserve"> следующим образом:</w:t>
      </w:r>
    </w:p>
    <w:p w:rsidR="002610C6" w:rsidRPr="0080737A" w:rsidRDefault="002610C6" w:rsidP="002610C6">
      <w:pPr>
        <w:numPr>
          <w:ilvl w:val="0"/>
          <w:numId w:val="4"/>
        </w:numPr>
        <w:tabs>
          <w:tab w:val="left" w:pos="784"/>
        </w:tabs>
        <w:spacing w:after="0" w:line="240" w:lineRule="auto"/>
        <w:ind w:left="0" w:firstLine="567"/>
        <w:jc w:val="both"/>
        <w:rPr>
          <w:rFonts w:ascii="Times New Roman" w:eastAsia="MS Mincho" w:hAnsi="Times New Roman" w:cstheme="minorBidi"/>
          <w:bCs/>
          <w:sz w:val="24"/>
          <w:szCs w:val="24"/>
          <w:lang w:eastAsia="en-US"/>
        </w:rPr>
      </w:pPr>
      <w:r w:rsidRPr="0080737A">
        <w:rPr>
          <w:rFonts w:ascii="Times New Roman" w:eastAsia="MS Mincho" w:hAnsi="Times New Roman" w:cstheme="minorBidi"/>
          <w:bCs/>
          <w:sz w:val="24"/>
          <w:szCs w:val="24"/>
          <w:lang w:eastAsia="en-US"/>
        </w:rPr>
        <w:t xml:space="preserve">по ЗАО «Тираспольский </w:t>
      </w:r>
      <w:proofErr w:type="spellStart"/>
      <w:r w:rsidRPr="0080737A">
        <w:rPr>
          <w:rFonts w:ascii="Times New Roman" w:eastAsia="MS Mincho" w:hAnsi="Times New Roman" w:cstheme="minorBidi"/>
          <w:bCs/>
          <w:sz w:val="24"/>
          <w:szCs w:val="24"/>
          <w:lang w:eastAsia="en-US"/>
        </w:rPr>
        <w:t>хлебокомбинат</w:t>
      </w:r>
      <w:proofErr w:type="spellEnd"/>
      <w:r w:rsidRPr="0080737A">
        <w:rPr>
          <w:rFonts w:ascii="Times New Roman" w:eastAsia="MS Mincho" w:hAnsi="Times New Roman" w:cstheme="minorBidi"/>
          <w:bCs/>
          <w:sz w:val="24"/>
          <w:szCs w:val="24"/>
          <w:lang w:eastAsia="en-US"/>
        </w:rPr>
        <w:t>» цены на батон из муки высшего сорта снижены на 3,4%, при этом цены на хлеб из муки пшеничной 1 сорта и на хлеб из смеси муки пшеничной 1 и 2 сорта остались неизменными;</w:t>
      </w:r>
    </w:p>
    <w:p w:rsidR="002610C6" w:rsidRPr="0080737A" w:rsidRDefault="002610C6" w:rsidP="002610C6">
      <w:pPr>
        <w:numPr>
          <w:ilvl w:val="0"/>
          <w:numId w:val="4"/>
        </w:numPr>
        <w:tabs>
          <w:tab w:val="left" w:pos="784"/>
        </w:tabs>
        <w:spacing w:after="0" w:line="240" w:lineRule="auto"/>
        <w:ind w:left="0" w:firstLine="567"/>
        <w:jc w:val="both"/>
        <w:rPr>
          <w:rFonts w:ascii="Times New Roman" w:eastAsia="MS Mincho" w:hAnsi="Times New Roman" w:cstheme="minorBidi"/>
          <w:bCs/>
          <w:sz w:val="24"/>
          <w:szCs w:val="24"/>
          <w:lang w:eastAsia="en-US"/>
        </w:rPr>
      </w:pPr>
      <w:r w:rsidRPr="0080737A">
        <w:rPr>
          <w:rFonts w:ascii="Times New Roman" w:eastAsia="MS Mincho" w:hAnsi="Times New Roman" w:cstheme="minorBidi"/>
          <w:bCs/>
          <w:sz w:val="24"/>
          <w:szCs w:val="24"/>
          <w:lang w:eastAsia="en-US"/>
        </w:rPr>
        <w:t>по ГУП «Бендерский хлеб» цены не изменились на хлеб из смеси муки пшеничной 1 и 2 сорта, снижены цены на 3,0% и 3,15% соответственно на хлеб из муки пшеничной 1 сорта и батон из муки высшего сорта;</w:t>
      </w:r>
    </w:p>
    <w:p w:rsidR="002610C6" w:rsidRPr="0080737A" w:rsidRDefault="002610C6" w:rsidP="002610C6">
      <w:pPr>
        <w:numPr>
          <w:ilvl w:val="0"/>
          <w:numId w:val="4"/>
        </w:numPr>
        <w:tabs>
          <w:tab w:val="left" w:pos="784"/>
        </w:tabs>
        <w:spacing w:after="0" w:line="240" w:lineRule="auto"/>
        <w:ind w:left="0" w:firstLine="567"/>
        <w:jc w:val="both"/>
        <w:rPr>
          <w:rFonts w:ascii="Times New Roman" w:eastAsia="MS Mincho" w:hAnsi="Times New Roman" w:cstheme="minorBidi"/>
          <w:bCs/>
          <w:sz w:val="24"/>
          <w:szCs w:val="24"/>
          <w:lang w:eastAsia="en-US"/>
        </w:rPr>
      </w:pPr>
      <w:r w:rsidRPr="0080737A">
        <w:rPr>
          <w:rFonts w:ascii="Times New Roman" w:eastAsia="MS Mincho" w:hAnsi="Times New Roman" w:cstheme="minorBidi"/>
          <w:bCs/>
          <w:sz w:val="24"/>
          <w:szCs w:val="24"/>
          <w:lang w:eastAsia="en-US"/>
        </w:rPr>
        <w:t>по ЗАО «</w:t>
      </w:r>
      <w:proofErr w:type="spellStart"/>
      <w:r w:rsidRPr="0080737A">
        <w:rPr>
          <w:rFonts w:ascii="Times New Roman" w:eastAsia="MS Mincho" w:hAnsi="Times New Roman" w:cstheme="minorBidi"/>
          <w:bCs/>
          <w:sz w:val="24"/>
          <w:szCs w:val="24"/>
          <w:lang w:eastAsia="en-US"/>
        </w:rPr>
        <w:t>Рыбницкий</w:t>
      </w:r>
      <w:proofErr w:type="spellEnd"/>
      <w:r w:rsidRPr="0080737A">
        <w:rPr>
          <w:rFonts w:ascii="Times New Roman" w:eastAsia="MS Mincho" w:hAnsi="Times New Roman" w:cstheme="minorBidi"/>
          <w:bCs/>
          <w:sz w:val="24"/>
          <w:szCs w:val="24"/>
          <w:lang w:eastAsia="en-US"/>
        </w:rPr>
        <w:t xml:space="preserve"> </w:t>
      </w:r>
      <w:proofErr w:type="spellStart"/>
      <w:r w:rsidRPr="0080737A">
        <w:rPr>
          <w:rFonts w:ascii="Times New Roman" w:eastAsia="MS Mincho" w:hAnsi="Times New Roman" w:cstheme="minorBidi"/>
          <w:bCs/>
          <w:sz w:val="24"/>
          <w:szCs w:val="24"/>
          <w:lang w:eastAsia="en-US"/>
        </w:rPr>
        <w:t>хлебокомбинат</w:t>
      </w:r>
      <w:proofErr w:type="spellEnd"/>
      <w:r w:rsidRPr="0080737A">
        <w:rPr>
          <w:rFonts w:ascii="Times New Roman" w:eastAsia="MS Mincho" w:hAnsi="Times New Roman" w:cstheme="minorBidi"/>
          <w:bCs/>
          <w:sz w:val="24"/>
          <w:szCs w:val="24"/>
          <w:lang w:eastAsia="en-US"/>
        </w:rPr>
        <w:t>» цены на регулируемые виды хлеба не изменились.</w:t>
      </w:r>
    </w:p>
    <w:p w:rsidR="002610C6" w:rsidRPr="0080737A" w:rsidRDefault="002610C6" w:rsidP="002610C6">
      <w:pPr>
        <w:spacing w:after="0" w:line="240" w:lineRule="auto"/>
        <w:ind w:firstLine="567"/>
        <w:jc w:val="both"/>
        <w:rPr>
          <w:rFonts w:ascii="Times New Roman" w:eastAsia="MS Mincho" w:hAnsi="Times New Roman" w:cstheme="minorBidi"/>
          <w:bCs/>
          <w:sz w:val="24"/>
          <w:szCs w:val="24"/>
          <w:u w:val="single"/>
        </w:rPr>
      </w:pPr>
      <w:r w:rsidRPr="0080737A">
        <w:rPr>
          <w:rFonts w:ascii="Times New Roman" w:eastAsia="MS Mincho" w:hAnsi="Times New Roman" w:cstheme="minorBidi"/>
          <w:bCs/>
          <w:sz w:val="24"/>
          <w:szCs w:val="24"/>
          <w:u w:val="single"/>
        </w:rPr>
        <w:t>в) услуги телефонной сети и телеграфной связи</w:t>
      </w:r>
    </w:p>
    <w:p w:rsidR="00445605" w:rsidRPr="0080737A" w:rsidRDefault="002610C6" w:rsidP="00901829">
      <w:pPr>
        <w:spacing w:after="0" w:line="240" w:lineRule="auto"/>
        <w:ind w:firstLine="567"/>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 xml:space="preserve">С 1 января 2016 года предельные уровни тарифов на услуги телефонной сети увеличены в среднем на 4,35% по сравнению с действовавшими тарифами в </w:t>
      </w:r>
      <w:r w:rsidRPr="0080737A">
        <w:rPr>
          <w:rFonts w:ascii="Times New Roman" w:eastAsia="MS Mincho" w:hAnsi="Times New Roman" w:cstheme="minorBidi"/>
          <w:bCs/>
          <w:sz w:val="24"/>
          <w:szCs w:val="24"/>
        </w:rPr>
        <w:br/>
        <w:t>2015 году. Предельные уровни тарифов на услуги телеграфной связи с 1 января 2016 года увеличены в среднем на 6,34% по сравнению с действовавшими тарифами в</w:t>
      </w:r>
      <w:r w:rsidRPr="0080737A">
        <w:rPr>
          <w:rFonts w:ascii="Times New Roman" w:eastAsia="MS Mincho" w:hAnsi="Times New Roman" w:cstheme="minorBidi"/>
          <w:bCs/>
          <w:sz w:val="24"/>
          <w:szCs w:val="24"/>
        </w:rPr>
        <w:br/>
        <w:t xml:space="preserve">2015 году. </w:t>
      </w:r>
    </w:p>
    <w:p w:rsidR="002610C6" w:rsidRPr="0080737A" w:rsidRDefault="002610C6" w:rsidP="002610C6">
      <w:pPr>
        <w:spacing w:after="0" w:line="240" w:lineRule="auto"/>
        <w:ind w:firstLine="709"/>
        <w:jc w:val="both"/>
        <w:rPr>
          <w:rFonts w:ascii="Times New Roman" w:eastAsia="MS Mincho" w:hAnsi="Times New Roman" w:cstheme="minorBidi"/>
          <w:b/>
          <w:bCs/>
          <w:sz w:val="16"/>
          <w:szCs w:val="16"/>
        </w:rPr>
      </w:pPr>
      <w:r w:rsidRPr="0080737A">
        <w:rPr>
          <w:rFonts w:ascii="Times New Roman" w:eastAsia="MS Mincho" w:hAnsi="Times New Roman" w:cstheme="minorBidi"/>
          <w:b/>
          <w:bCs/>
          <w:sz w:val="24"/>
          <w:szCs w:val="24"/>
        </w:rPr>
        <w:t>Тарифная политика в сфере услуг государственных и муниципальных  учреждений</w:t>
      </w:r>
    </w:p>
    <w:p w:rsidR="00445605" w:rsidRPr="0080737A" w:rsidRDefault="002610C6" w:rsidP="00445605">
      <w:pPr>
        <w:spacing w:after="0" w:line="240" w:lineRule="auto"/>
        <w:ind w:firstLine="709"/>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Предельные уровни тарифов на услуги государственных и муниципальных учреждений в 2016 году по сравнению с предельными уровнями тарифов, действовавшими в 2015 году, снижены в среднем на 1,9%.</w:t>
      </w:r>
    </w:p>
    <w:p w:rsidR="002610C6" w:rsidRPr="0080737A" w:rsidRDefault="002610C6" w:rsidP="002610C6">
      <w:pPr>
        <w:spacing w:after="0" w:line="240" w:lineRule="auto"/>
        <w:ind w:firstLine="709"/>
        <w:jc w:val="both"/>
        <w:rPr>
          <w:rFonts w:ascii="Times New Roman" w:eastAsia="MS Mincho" w:hAnsi="Times New Roman" w:cstheme="minorBidi"/>
          <w:b/>
          <w:bCs/>
          <w:sz w:val="16"/>
          <w:szCs w:val="16"/>
        </w:rPr>
      </w:pPr>
      <w:r w:rsidRPr="0080737A">
        <w:rPr>
          <w:rFonts w:ascii="Times New Roman" w:eastAsia="MS Mincho" w:hAnsi="Times New Roman" w:cstheme="minorBidi"/>
          <w:b/>
          <w:bCs/>
          <w:sz w:val="24"/>
          <w:szCs w:val="24"/>
        </w:rPr>
        <w:t>Тарифная политика в сфере работ, услуг по стандартизации, метрологии и обязательной сертификации продукции и услуг</w:t>
      </w:r>
    </w:p>
    <w:p w:rsidR="002610C6" w:rsidRPr="0080737A" w:rsidRDefault="002610C6" w:rsidP="00445605">
      <w:pPr>
        <w:spacing w:after="0" w:line="240" w:lineRule="auto"/>
        <w:ind w:firstLine="567"/>
        <w:jc w:val="both"/>
        <w:rPr>
          <w:rFonts w:ascii="Times New Roman" w:eastAsia="MS Mincho" w:hAnsi="Times New Roman" w:cstheme="minorBidi"/>
          <w:bCs/>
          <w:sz w:val="24"/>
          <w:szCs w:val="24"/>
        </w:rPr>
      </w:pPr>
      <w:r w:rsidRPr="0080737A">
        <w:rPr>
          <w:rFonts w:ascii="Times New Roman" w:eastAsia="MS Mincho" w:hAnsi="Times New Roman" w:cstheme="minorBidi"/>
          <w:bCs/>
          <w:sz w:val="24"/>
          <w:szCs w:val="24"/>
        </w:rPr>
        <w:t>Предельные уровни тарифов на услуги по стандартизации, метрологии в 2016 году снижены в среднем на 0,4 процента по сравнению с тарифами, действовавшими</w:t>
      </w:r>
      <w:r w:rsidRPr="0080737A">
        <w:rPr>
          <w:rFonts w:ascii="Times New Roman" w:eastAsia="MS Mincho" w:hAnsi="Times New Roman" w:cstheme="minorBidi"/>
          <w:bCs/>
          <w:sz w:val="24"/>
          <w:szCs w:val="24"/>
        </w:rPr>
        <w:br/>
        <w:t>в 2015 году, на услуги по обязательной сертификации продукции установлены на уровне предельных уровней тарифов, утвержденных на 2015 год.</w:t>
      </w:r>
    </w:p>
    <w:p w:rsidR="002610C6" w:rsidRPr="0080737A" w:rsidRDefault="002610C6" w:rsidP="002610C6">
      <w:pPr>
        <w:spacing w:after="0" w:line="240" w:lineRule="auto"/>
        <w:ind w:firstLine="709"/>
        <w:jc w:val="both"/>
        <w:rPr>
          <w:rFonts w:ascii="Times New Roman" w:eastAsiaTheme="minorEastAsia" w:hAnsi="Times New Roman" w:cstheme="minorBidi"/>
          <w:b/>
          <w:sz w:val="24"/>
          <w:szCs w:val="24"/>
        </w:rPr>
      </w:pPr>
      <w:r w:rsidRPr="0080737A">
        <w:rPr>
          <w:rFonts w:ascii="Times New Roman" w:eastAsiaTheme="minorEastAsia" w:hAnsi="Times New Roman" w:cstheme="minorBidi"/>
          <w:b/>
          <w:sz w:val="24"/>
          <w:szCs w:val="24"/>
        </w:rPr>
        <w:t>Инфляционные процессы</w:t>
      </w:r>
    </w:p>
    <w:p w:rsidR="002610C6" w:rsidRPr="0080737A" w:rsidRDefault="002610C6" w:rsidP="002610C6">
      <w:pPr>
        <w:spacing w:after="0" w:line="240" w:lineRule="auto"/>
        <w:ind w:firstLine="709"/>
        <w:jc w:val="both"/>
        <w:rPr>
          <w:rFonts w:ascii="Times New Roman" w:eastAsiaTheme="minorEastAsia" w:hAnsi="Times New Roman"/>
          <w:sz w:val="24"/>
        </w:rPr>
      </w:pPr>
      <w:r w:rsidRPr="0080737A">
        <w:rPr>
          <w:rFonts w:ascii="Times New Roman" w:eastAsiaTheme="minorEastAsia" w:hAnsi="Times New Roman"/>
          <w:sz w:val="24"/>
        </w:rPr>
        <w:t xml:space="preserve">В январе-июне 2016 года под влиянием </w:t>
      </w:r>
      <w:r w:rsidRPr="0080737A">
        <w:rPr>
          <w:rFonts w:ascii="Times New Roman" w:hAnsi="Times New Roman"/>
          <w:sz w:val="24"/>
          <w:szCs w:val="24"/>
        </w:rPr>
        <w:t xml:space="preserve">характерных для данного периода сезонных факторов, а также сохраняющегося дисбаланса на валютном рынке </w:t>
      </w:r>
      <w:r w:rsidRPr="0080737A">
        <w:rPr>
          <w:rFonts w:ascii="Times New Roman" w:eastAsiaTheme="minorEastAsia" w:hAnsi="Times New Roman"/>
          <w:sz w:val="24"/>
        </w:rPr>
        <w:t>отмечается ускорение инфляционных процессов на внутреннем потребительском рынке.</w:t>
      </w:r>
    </w:p>
    <w:p w:rsidR="002610C6" w:rsidRPr="0080737A" w:rsidRDefault="002610C6" w:rsidP="00445605">
      <w:pPr>
        <w:spacing w:after="0" w:line="240" w:lineRule="auto"/>
        <w:ind w:firstLine="709"/>
        <w:jc w:val="both"/>
        <w:rPr>
          <w:rFonts w:ascii="Times New Roman" w:hAnsi="Times New Roman"/>
          <w:sz w:val="24"/>
          <w:szCs w:val="24"/>
        </w:rPr>
      </w:pPr>
      <w:r w:rsidRPr="0080737A">
        <w:rPr>
          <w:rFonts w:ascii="Times New Roman" w:eastAsiaTheme="minorEastAsia" w:hAnsi="Times New Roman"/>
          <w:sz w:val="24"/>
        </w:rPr>
        <w:t>В целом сводный индекс потребительских цен (инфляция) по итогам января-июня 2016 года с</w:t>
      </w:r>
      <w:r w:rsidRPr="0080737A">
        <w:rPr>
          <w:rFonts w:ascii="Times New Roman" w:eastAsiaTheme="minorEastAsia" w:hAnsi="Times New Roman"/>
          <w:sz w:val="24"/>
          <w:szCs w:val="24"/>
        </w:rPr>
        <w:t>ложился на уровне 103,75% против 100,22% в январе-июне 2015 года.</w:t>
      </w:r>
    </w:p>
    <w:p w:rsidR="002610C6" w:rsidRPr="0080737A" w:rsidRDefault="002610C6" w:rsidP="002610C6">
      <w:pPr>
        <w:shd w:val="clear" w:color="auto" w:fill="FFFFFF"/>
        <w:spacing w:after="0" w:line="240" w:lineRule="auto"/>
        <w:ind w:hanging="426"/>
        <w:jc w:val="both"/>
        <w:rPr>
          <w:rFonts w:ascii="Times New Roman" w:eastAsiaTheme="minorEastAsia" w:hAnsi="Times New Roman" w:cstheme="minorBidi"/>
          <w:sz w:val="24"/>
          <w:szCs w:val="24"/>
        </w:rPr>
      </w:pPr>
      <w:r w:rsidRPr="0080737A">
        <w:rPr>
          <w:rFonts w:ascii="Times New Roman" w:eastAsiaTheme="minorEastAsia" w:hAnsi="Times New Roman" w:cstheme="minorBidi"/>
          <w:noProof/>
          <w:sz w:val="24"/>
          <w:szCs w:val="24"/>
        </w:rPr>
        <w:drawing>
          <wp:inline distT="0" distB="0" distL="0" distR="0">
            <wp:extent cx="6296025" cy="1800225"/>
            <wp:effectExtent l="0" t="0" r="0" b="0"/>
            <wp:docPr id="3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610C6" w:rsidRPr="0080737A" w:rsidRDefault="002610C6" w:rsidP="002610C6">
      <w:pPr>
        <w:shd w:val="clear" w:color="auto" w:fill="FFFFFF"/>
        <w:spacing w:after="0" w:line="240" w:lineRule="auto"/>
        <w:ind w:firstLine="709"/>
        <w:jc w:val="both"/>
        <w:rPr>
          <w:rFonts w:ascii="Times New Roman" w:eastAsiaTheme="minorEastAsia" w:hAnsi="Times New Roman" w:cstheme="minorBidi"/>
          <w:sz w:val="24"/>
          <w:szCs w:val="24"/>
        </w:rPr>
      </w:pPr>
      <w:r w:rsidRPr="0080737A">
        <w:rPr>
          <w:rFonts w:ascii="Times New Roman" w:eastAsiaTheme="minorEastAsia" w:hAnsi="Times New Roman" w:cstheme="minorBidi"/>
          <w:sz w:val="24"/>
          <w:szCs w:val="24"/>
        </w:rPr>
        <w:lastRenderedPageBreak/>
        <w:t>Динамика сводного индекса потребительских цен (инфляции) за предыдущие годы представлена в следующем виде:</w:t>
      </w:r>
    </w:p>
    <w:p w:rsidR="002610C6" w:rsidRPr="0080737A" w:rsidRDefault="002610C6" w:rsidP="002610C6">
      <w:pPr>
        <w:shd w:val="clear" w:color="auto" w:fill="FFFFFF"/>
        <w:spacing w:after="0" w:line="240" w:lineRule="auto"/>
        <w:ind w:firstLine="709"/>
        <w:jc w:val="both"/>
        <w:rPr>
          <w:rFonts w:ascii="Times New Roman" w:eastAsiaTheme="minorEastAsia" w:hAnsi="Times New Roman" w:cstheme="minorBidi"/>
          <w:sz w:val="24"/>
          <w:szCs w:val="24"/>
        </w:rPr>
      </w:pPr>
    </w:p>
    <w:p w:rsidR="002610C6" w:rsidRPr="0080737A" w:rsidRDefault="002610C6" w:rsidP="002610C6">
      <w:pPr>
        <w:spacing w:after="0" w:line="240" w:lineRule="auto"/>
        <w:jc w:val="both"/>
        <w:rPr>
          <w:rFonts w:ascii="Times New Roman" w:eastAsiaTheme="minorEastAsia" w:hAnsi="Times New Roman" w:cstheme="minorBidi"/>
          <w:bCs/>
          <w:color w:val="000000"/>
          <w:sz w:val="24"/>
          <w:shd w:val="clear" w:color="auto" w:fill="FFFFFF"/>
        </w:rPr>
      </w:pPr>
      <w:r w:rsidRPr="0080737A">
        <w:rPr>
          <w:rFonts w:ascii="Times New Roman" w:eastAsiaTheme="minorEastAsia" w:hAnsi="Times New Roman" w:cstheme="minorBidi"/>
          <w:bCs/>
          <w:noProof/>
          <w:color w:val="00B0F0"/>
          <w:sz w:val="24"/>
          <w:shd w:val="clear" w:color="auto" w:fill="FFFFFF"/>
        </w:rPr>
        <w:drawing>
          <wp:inline distT="0" distB="0" distL="0" distR="0">
            <wp:extent cx="5939790" cy="2009103"/>
            <wp:effectExtent l="19050" t="0" r="3810"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610C6" w:rsidRPr="0080737A" w:rsidRDefault="002610C6" w:rsidP="002610C6">
      <w:pPr>
        <w:spacing w:after="0" w:line="240" w:lineRule="auto"/>
        <w:ind w:firstLine="709"/>
        <w:jc w:val="both"/>
        <w:rPr>
          <w:rFonts w:ascii="Times New Roman" w:eastAsiaTheme="minorEastAsia" w:hAnsi="Times New Roman"/>
          <w:bCs/>
          <w:color w:val="000000"/>
          <w:sz w:val="24"/>
          <w:shd w:val="clear" w:color="auto" w:fill="FFFFFF"/>
        </w:rPr>
      </w:pPr>
      <w:proofErr w:type="gramStart"/>
      <w:r w:rsidRPr="0080737A">
        <w:rPr>
          <w:rFonts w:ascii="Times New Roman" w:eastAsiaTheme="minorEastAsia" w:hAnsi="Times New Roman" w:cstheme="minorBidi"/>
          <w:bCs/>
          <w:color w:val="000000"/>
          <w:sz w:val="24"/>
          <w:shd w:val="clear" w:color="auto" w:fill="FFFFFF"/>
        </w:rPr>
        <w:t xml:space="preserve">Инфляционные процессы по большинству видов товаров (удорожание стоимости мясопродуктов – на 5,35%, рыбопродуктов – на 6,83%, сахара – на 12,05%, масла и жиров – на 8,67%, плодоовощной продукции, включая картофель – на 15,92%, </w:t>
      </w:r>
      <w:r w:rsidRPr="0080737A">
        <w:rPr>
          <w:rFonts w:ascii="Times New Roman" w:eastAsiaTheme="minorEastAsia" w:hAnsi="Times New Roman"/>
          <w:bCs/>
          <w:color w:val="000000"/>
          <w:sz w:val="24"/>
          <w:shd w:val="clear" w:color="auto" w:fill="FFFFFF"/>
        </w:rPr>
        <w:t>в совокупности с удешевлением стоимости яиц</w:t>
      </w:r>
      <w:r w:rsidRPr="0080737A">
        <w:rPr>
          <w:rFonts w:ascii="Times New Roman" w:eastAsiaTheme="minorEastAsia" w:hAnsi="Times New Roman" w:cstheme="minorBidi"/>
          <w:bCs/>
          <w:color w:val="000000"/>
          <w:sz w:val="24"/>
          <w:shd w:val="clear" w:color="auto" w:fill="FFFFFF"/>
        </w:rPr>
        <w:t xml:space="preserve"> – на 7,24%, сыра – на 3,42%, молока и молочной продукции  </w:t>
      </w:r>
      <w:r w:rsidRPr="0080737A">
        <w:rPr>
          <w:rFonts w:ascii="Times New Roman" w:eastAsiaTheme="minorEastAsia" w:hAnsi="Times New Roman"/>
          <w:bCs/>
          <w:color w:val="000000"/>
          <w:sz w:val="24"/>
          <w:shd w:val="clear" w:color="auto" w:fill="FFFFFF"/>
        </w:rPr>
        <w:t>– на 1,62%</w:t>
      </w:r>
      <w:r w:rsidRPr="0080737A">
        <w:rPr>
          <w:rFonts w:ascii="Times New Roman" w:eastAsiaTheme="minorEastAsia" w:hAnsi="Times New Roman" w:cstheme="minorBidi"/>
          <w:bCs/>
          <w:color w:val="000000"/>
          <w:sz w:val="24"/>
          <w:shd w:val="clear" w:color="auto" w:fill="FFFFFF"/>
        </w:rPr>
        <w:t>,</w:t>
      </w:r>
      <w:r w:rsidRPr="0080737A">
        <w:rPr>
          <w:rFonts w:ascii="Times New Roman" w:eastAsiaTheme="minorEastAsia" w:hAnsi="Times New Roman"/>
          <w:bCs/>
          <w:color w:val="000000"/>
          <w:sz w:val="24"/>
          <w:shd w:val="clear" w:color="auto" w:fill="FFFFFF"/>
        </w:rPr>
        <w:t xml:space="preserve"> предопределили в продовольственном сегменте потребительского рынка в январе-июне 2016 года инфляцию в размере 4,64% (в</w:t>
      </w:r>
      <w:proofErr w:type="gramEnd"/>
      <w:r w:rsidRPr="0080737A">
        <w:rPr>
          <w:rFonts w:ascii="Times New Roman" w:eastAsiaTheme="minorEastAsia" w:hAnsi="Times New Roman"/>
          <w:bCs/>
          <w:color w:val="000000"/>
          <w:sz w:val="24"/>
          <w:shd w:val="clear" w:color="auto" w:fill="FFFFFF"/>
        </w:rPr>
        <w:t xml:space="preserve"> </w:t>
      </w:r>
      <w:proofErr w:type="gramStart"/>
      <w:r w:rsidRPr="0080737A">
        <w:rPr>
          <w:rFonts w:ascii="Times New Roman" w:eastAsiaTheme="minorEastAsia" w:hAnsi="Times New Roman"/>
          <w:bCs/>
          <w:color w:val="000000"/>
          <w:sz w:val="24"/>
          <w:shd w:val="clear" w:color="auto" w:fill="FFFFFF"/>
        </w:rPr>
        <w:t xml:space="preserve">январе-июне 2015 года дефляция </w:t>
      </w:r>
      <w:r w:rsidR="00901829" w:rsidRPr="0080737A">
        <w:rPr>
          <w:rFonts w:ascii="Times New Roman" w:eastAsiaTheme="minorEastAsia" w:hAnsi="Times New Roman"/>
          <w:bCs/>
          <w:color w:val="000000"/>
          <w:sz w:val="24"/>
          <w:shd w:val="clear" w:color="auto" w:fill="FFFFFF"/>
        </w:rPr>
        <w:t xml:space="preserve">             </w:t>
      </w:r>
      <w:r w:rsidRPr="0080737A">
        <w:rPr>
          <w:rFonts w:ascii="Times New Roman" w:eastAsiaTheme="minorEastAsia" w:hAnsi="Times New Roman"/>
          <w:bCs/>
          <w:color w:val="000000"/>
          <w:sz w:val="24"/>
          <w:shd w:val="clear" w:color="auto" w:fill="FFFFFF"/>
        </w:rPr>
        <w:t>«-»1,41%).</w:t>
      </w:r>
      <w:proofErr w:type="gramEnd"/>
    </w:p>
    <w:p w:rsidR="002610C6" w:rsidRPr="0080737A" w:rsidRDefault="002610C6" w:rsidP="002610C6">
      <w:pPr>
        <w:spacing w:after="0" w:line="240" w:lineRule="auto"/>
        <w:ind w:firstLine="709"/>
        <w:jc w:val="both"/>
        <w:rPr>
          <w:rFonts w:ascii="Times New Roman" w:eastAsiaTheme="minorEastAsia" w:hAnsi="Times New Roman"/>
          <w:sz w:val="24"/>
          <w:szCs w:val="24"/>
        </w:rPr>
      </w:pPr>
      <w:r w:rsidRPr="0080737A">
        <w:rPr>
          <w:rFonts w:ascii="Times New Roman" w:eastAsiaTheme="minorEastAsia" w:hAnsi="Times New Roman"/>
          <w:bCs/>
          <w:color w:val="000000"/>
          <w:sz w:val="24"/>
          <w:shd w:val="clear" w:color="auto" w:fill="FFFFFF"/>
        </w:rPr>
        <w:t>По группе непродовольственных товаров фиксировалась инфляция</w:t>
      </w:r>
      <w:r w:rsidRPr="0080737A">
        <w:rPr>
          <w:rFonts w:ascii="Times New Roman" w:eastAsiaTheme="minorEastAsia" w:hAnsi="Times New Roman"/>
          <w:b/>
          <w:bCs/>
          <w:color w:val="000000"/>
          <w:sz w:val="24"/>
          <w:shd w:val="clear" w:color="auto" w:fill="FFFFFF"/>
        </w:rPr>
        <w:t xml:space="preserve"> </w:t>
      </w:r>
      <w:r w:rsidRPr="0080737A">
        <w:rPr>
          <w:rFonts w:ascii="Times New Roman" w:eastAsiaTheme="minorEastAsia" w:hAnsi="Times New Roman"/>
          <w:sz w:val="24"/>
          <w:szCs w:val="24"/>
        </w:rPr>
        <w:t>«+»3,48%</w:t>
      </w:r>
      <w:r w:rsidRPr="0080737A">
        <w:rPr>
          <w:rFonts w:ascii="Times New Roman" w:eastAsiaTheme="minorEastAsia" w:hAnsi="Times New Roman"/>
          <w:b/>
          <w:sz w:val="24"/>
          <w:szCs w:val="24"/>
        </w:rPr>
        <w:t xml:space="preserve">             </w:t>
      </w:r>
      <w:r w:rsidRPr="0080737A">
        <w:rPr>
          <w:rFonts w:ascii="Times New Roman" w:eastAsiaTheme="minorEastAsia" w:hAnsi="Times New Roman"/>
          <w:sz w:val="24"/>
          <w:szCs w:val="24"/>
        </w:rPr>
        <w:t>(в январе–июне 2015 года «-»1,62%). В общей структуре данного сегмента рынка выделяется удорожание стоимости табачных изделий («+»18,10%), ковров и ковровых изделий («+»13,51%), велосипедов («+»10,63%), электротоваров и других бытовых приборов («+»9,30%), строительных материалов («+»8,69%), а также печатных изданий («+»5,64%), вычислительной техники («+»5,32%), топлива (бензина) («+»1,61%), медикаментов («+»1,05%).  В то же время отмечалось удешевление стоимости товаров бытовой химии  («-»2,22%), моющих средств («-»2,01%) и др.</w:t>
      </w:r>
    </w:p>
    <w:p w:rsidR="002610C6" w:rsidRPr="0080737A" w:rsidRDefault="002610C6" w:rsidP="002610C6">
      <w:pPr>
        <w:spacing w:after="0" w:line="240" w:lineRule="auto"/>
        <w:ind w:firstLine="709"/>
        <w:jc w:val="both"/>
        <w:rPr>
          <w:rFonts w:ascii="Times New Roman" w:eastAsiaTheme="minorEastAsia" w:hAnsi="Times New Roman" w:cstheme="minorBidi"/>
          <w:sz w:val="24"/>
          <w:szCs w:val="24"/>
          <w:lang w:eastAsia="en-US"/>
        </w:rPr>
      </w:pPr>
      <w:r w:rsidRPr="0080737A">
        <w:rPr>
          <w:rFonts w:ascii="Times New Roman" w:eastAsiaTheme="minorEastAsia" w:hAnsi="Times New Roman"/>
          <w:sz w:val="24"/>
          <w:szCs w:val="24"/>
        </w:rPr>
        <w:t>По итогам января-июня 2016 года инфляционная нагрузка в сфере услуг составила 2,53%, снизившись на 4,01 процентных пункта</w:t>
      </w:r>
      <w:r w:rsidRPr="0080737A">
        <w:rPr>
          <w:rFonts w:ascii="Times New Roman" w:eastAsiaTheme="minorEastAsia" w:hAnsi="Times New Roman" w:cstheme="minorBidi"/>
          <w:sz w:val="24"/>
          <w:szCs w:val="24"/>
        </w:rPr>
        <w:t xml:space="preserve"> к сопоставимому значению соответствующего периода предыдущего года. Данная тенденция обусловлена принятием на государственном уровне решения о сохранении действия в январе-июне 2016 года тарифов в сфере услуг по газоснабжению, электроэнергетике, а также снабжению тепловой энергии на уровне тарифов, действовавших с марта 2015 года. </w:t>
      </w:r>
      <w:proofErr w:type="gramStart"/>
      <w:r w:rsidRPr="0080737A">
        <w:rPr>
          <w:rFonts w:ascii="Times New Roman" w:eastAsiaTheme="minorEastAsia" w:hAnsi="Times New Roman" w:cstheme="minorBidi"/>
          <w:sz w:val="24"/>
          <w:szCs w:val="24"/>
        </w:rPr>
        <w:t>Более того, с целью поддержки жителей сельской местности принято решение о снижении</w:t>
      </w:r>
      <w:r w:rsidRPr="0080737A">
        <w:rPr>
          <w:rFonts w:ascii="Times New Roman" w:hAnsi="Times New Roman"/>
          <w:sz w:val="24"/>
          <w:szCs w:val="24"/>
          <w:lang w:eastAsia="en-US"/>
        </w:rPr>
        <w:t xml:space="preserve"> предельных уровней тарифов </w:t>
      </w:r>
      <w:r w:rsidRPr="0080737A">
        <w:rPr>
          <w:rFonts w:ascii="Times New Roman" w:eastAsiaTheme="minorEastAsia" w:hAnsi="Times New Roman" w:cstheme="minorBidi"/>
          <w:sz w:val="24"/>
          <w:szCs w:val="24"/>
        </w:rPr>
        <w:t xml:space="preserve">с 1 мая 2016 года </w:t>
      </w:r>
      <w:r w:rsidRPr="0080737A">
        <w:rPr>
          <w:rFonts w:ascii="Times New Roman" w:hAnsi="Times New Roman"/>
          <w:sz w:val="24"/>
          <w:szCs w:val="24"/>
          <w:lang w:eastAsia="en-US"/>
        </w:rPr>
        <w:t xml:space="preserve">на услуги газоснабжения </w:t>
      </w:r>
      <w:r w:rsidRPr="0080737A">
        <w:rPr>
          <w:rFonts w:ascii="Times New Roman" w:eastAsiaTheme="minorEastAsia" w:hAnsi="Times New Roman" w:cstheme="minorBidi"/>
          <w:sz w:val="24"/>
          <w:szCs w:val="24"/>
          <w:lang w:eastAsia="en-US"/>
        </w:rPr>
        <w:t>для бытовых потребителей сельских населенных пунктов (сельских поселений) за объем природного газа, потребленный в пределах установленного лимита - на 18,36%, а на услуги в сфере электроэнергетики для населения сельских населенных пунктов (сельских поселений) за объем электроэнергии, потребленный до</w:t>
      </w:r>
      <w:proofErr w:type="gramEnd"/>
      <w:r w:rsidRPr="0080737A">
        <w:rPr>
          <w:rFonts w:ascii="Times New Roman" w:eastAsiaTheme="minorEastAsia" w:hAnsi="Times New Roman" w:cstheme="minorBidi"/>
          <w:sz w:val="24"/>
          <w:szCs w:val="24"/>
          <w:lang w:eastAsia="en-US"/>
        </w:rPr>
        <w:t xml:space="preserve"> 150 </w:t>
      </w:r>
      <w:proofErr w:type="spellStart"/>
      <w:r w:rsidRPr="0080737A">
        <w:rPr>
          <w:rFonts w:ascii="Times New Roman" w:eastAsiaTheme="minorEastAsia" w:hAnsi="Times New Roman" w:cstheme="minorBidi"/>
          <w:sz w:val="24"/>
          <w:szCs w:val="24"/>
          <w:lang w:eastAsia="en-US"/>
        </w:rPr>
        <w:t>кВт</w:t>
      </w:r>
      <w:proofErr w:type="gramStart"/>
      <w:r w:rsidRPr="0080737A">
        <w:rPr>
          <w:rFonts w:ascii="Times New Roman" w:eastAsiaTheme="minorEastAsia" w:hAnsi="Times New Roman" w:cstheme="minorBidi"/>
          <w:sz w:val="24"/>
          <w:szCs w:val="24"/>
          <w:lang w:eastAsia="en-US"/>
        </w:rPr>
        <w:t>.ч</w:t>
      </w:r>
      <w:proofErr w:type="spellEnd"/>
      <w:proofErr w:type="gramEnd"/>
      <w:r w:rsidRPr="0080737A">
        <w:rPr>
          <w:rFonts w:ascii="Times New Roman" w:eastAsiaTheme="minorEastAsia" w:hAnsi="Times New Roman" w:cstheme="minorBidi"/>
          <w:sz w:val="24"/>
          <w:szCs w:val="24"/>
          <w:lang w:eastAsia="en-US"/>
        </w:rPr>
        <w:t xml:space="preserve"> -  на 17,5%.</w:t>
      </w:r>
    </w:p>
    <w:p w:rsidR="002610C6" w:rsidRPr="0080737A" w:rsidRDefault="002610C6" w:rsidP="002610C6">
      <w:pPr>
        <w:widowControl w:val="0"/>
        <w:tabs>
          <w:tab w:val="left" w:pos="1276"/>
        </w:tabs>
        <w:spacing w:after="0" w:line="240" w:lineRule="auto"/>
        <w:ind w:firstLine="720"/>
        <w:jc w:val="both"/>
        <w:rPr>
          <w:rFonts w:ascii="Times New Roman" w:eastAsia="Calibri" w:hAnsi="Times New Roman"/>
          <w:sz w:val="24"/>
        </w:rPr>
      </w:pPr>
      <w:r w:rsidRPr="0080737A">
        <w:rPr>
          <w:rFonts w:ascii="Times New Roman" w:eastAsiaTheme="minorEastAsia" w:hAnsi="Times New Roman"/>
          <w:sz w:val="24"/>
          <w:szCs w:val="24"/>
        </w:rPr>
        <w:t xml:space="preserve">Генератором определившегося инфляционного фона в сфере тарифов на услуги в январе-июне 2016 года выступило плановое </w:t>
      </w:r>
      <w:r w:rsidRPr="0080737A">
        <w:rPr>
          <w:rFonts w:ascii="Times New Roman" w:eastAsia="Calibri" w:hAnsi="Times New Roman"/>
          <w:sz w:val="24"/>
        </w:rPr>
        <w:t xml:space="preserve">повышение стоимости медицинских услуг («+»13,34%), услуг дошкольного воспитания («+»8,36%), услуг правового характера («+»8,21%). Также весомое инфляционное давление в сфере услуг в обозначенном периоде создало </w:t>
      </w:r>
      <w:r w:rsidRPr="0080737A">
        <w:rPr>
          <w:rFonts w:ascii="Times New Roman" w:eastAsiaTheme="minorEastAsia" w:hAnsi="Times New Roman"/>
          <w:sz w:val="24"/>
          <w:szCs w:val="24"/>
        </w:rPr>
        <w:t xml:space="preserve">повышение стоимости ритуальных услуг – на 3,39% и тарифов на услуги связи – на 0,80%. </w:t>
      </w:r>
      <w:r w:rsidRPr="0080737A">
        <w:rPr>
          <w:rFonts w:ascii="Times New Roman" w:eastAsia="Calibri" w:hAnsi="Times New Roman"/>
          <w:sz w:val="24"/>
        </w:rPr>
        <w:t xml:space="preserve">В то же время подешевели санаторно-оздоровительные услуги на 5,46%. </w:t>
      </w:r>
    </w:p>
    <w:p w:rsidR="002610C6" w:rsidRPr="0080737A" w:rsidRDefault="002610C6" w:rsidP="002610C6">
      <w:pPr>
        <w:spacing w:after="0" w:line="240" w:lineRule="auto"/>
        <w:ind w:firstLine="709"/>
        <w:jc w:val="both"/>
        <w:rPr>
          <w:rFonts w:asciiTheme="minorHAnsi" w:eastAsiaTheme="minorEastAsia" w:hAnsiTheme="minorHAnsi" w:cstheme="minorBidi"/>
        </w:rPr>
      </w:pPr>
      <w:r w:rsidRPr="0080737A">
        <w:rPr>
          <w:rFonts w:ascii="Times New Roman" w:eastAsiaTheme="minorEastAsia" w:hAnsi="Times New Roman" w:cstheme="minorBidi"/>
          <w:sz w:val="24"/>
          <w:szCs w:val="24"/>
        </w:rPr>
        <w:t xml:space="preserve">Таким образом, проводимые антиинфляционные меры со стороны государства по оптимизации тарифной политики в сфере естественных монополий в совокупности с </w:t>
      </w:r>
      <w:proofErr w:type="gramStart"/>
      <w:r w:rsidRPr="0080737A">
        <w:rPr>
          <w:rFonts w:ascii="Times New Roman" w:eastAsiaTheme="minorEastAsia" w:hAnsi="Times New Roman" w:cstheme="minorBidi"/>
          <w:sz w:val="24"/>
          <w:szCs w:val="24"/>
        </w:rPr>
        <w:t>и</w:t>
      </w:r>
      <w:r w:rsidRPr="0080737A">
        <w:rPr>
          <w:rFonts w:ascii="Times New Roman" w:hAnsi="Times New Roman"/>
          <w:sz w:val="24"/>
          <w:szCs w:val="24"/>
        </w:rPr>
        <w:t>нфляционными</w:t>
      </w:r>
      <w:proofErr w:type="gramEnd"/>
      <w:r w:rsidRPr="0080737A">
        <w:rPr>
          <w:rFonts w:ascii="Times New Roman" w:hAnsi="Times New Roman"/>
          <w:sz w:val="24"/>
          <w:szCs w:val="24"/>
        </w:rPr>
        <w:t xml:space="preserve"> проявления в секторе продовольственных и не продовольственных товаров, начиная с апреля месяца, наличие которых во многом определялись сложившейся ситуацией на валютном рынке,</w:t>
      </w:r>
      <w:r w:rsidRPr="0080737A">
        <w:rPr>
          <w:rFonts w:ascii="Times New Roman" w:eastAsiaTheme="minorEastAsia" w:hAnsi="Times New Roman" w:cstheme="minorBidi"/>
          <w:sz w:val="24"/>
          <w:szCs w:val="24"/>
        </w:rPr>
        <w:t xml:space="preserve"> обеспечили в январе-июне 2016 года инфляцию на товары и услуги в Республике на уровне 3,75%. </w:t>
      </w:r>
    </w:p>
    <w:p w:rsidR="00400095" w:rsidRPr="0080737A" w:rsidRDefault="00400095" w:rsidP="00400095">
      <w:pPr>
        <w:widowControl w:val="0"/>
        <w:shd w:val="clear" w:color="auto" w:fill="FFFFFF" w:themeFill="background1"/>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lastRenderedPageBreak/>
        <w:t>Малое предпринимательство</w:t>
      </w:r>
    </w:p>
    <w:p w:rsidR="00400095" w:rsidRPr="0080737A" w:rsidRDefault="00400095" w:rsidP="00400095">
      <w:pPr>
        <w:widowControl w:val="0"/>
        <w:shd w:val="clear" w:color="auto" w:fill="FFFFFF" w:themeFill="background1"/>
        <w:tabs>
          <w:tab w:val="left" w:pos="1134"/>
        </w:tabs>
        <w:autoSpaceDE w:val="0"/>
        <w:autoSpaceDN w:val="0"/>
        <w:adjustRightInd w:val="0"/>
        <w:spacing w:after="0" w:line="240" w:lineRule="auto"/>
        <w:ind w:firstLine="720"/>
        <w:jc w:val="both"/>
        <w:rPr>
          <w:rFonts w:ascii="Times New Roman" w:hAnsi="Times New Roman"/>
          <w:color w:val="000000"/>
          <w:sz w:val="24"/>
          <w:szCs w:val="24"/>
        </w:rPr>
      </w:pPr>
    </w:p>
    <w:p w:rsidR="00400095" w:rsidRPr="0080737A" w:rsidRDefault="00400095" w:rsidP="00400095">
      <w:pPr>
        <w:shd w:val="clear" w:color="auto" w:fill="FFFFFF" w:themeFill="background1"/>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 xml:space="preserve">В </w:t>
      </w:r>
      <w:r w:rsidRPr="0080737A">
        <w:rPr>
          <w:rFonts w:ascii="Times New Roman" w:eastAsia="Calibri" w:hAnsi="Times New Roman"/>
          <w:sz w:val="24"/>
          <w:szCs w:val="24"/>
          <w:lang w:val="en-US"/>
        </w:rPr>
        <w:t>I</w:t>
      </w:r>
      <w:r w:rsidRPr="0080737A">
        <w:rPr>
          <w:rFonts w:ascii="Times New Roman" w:eastAsia="Calibri" w:hAnsi="Times New Roman"/>
          <w:sz w:val="24"/>
          <w:szCs w:val="24"/>
        </w:rPr>
        <w:t xml:space="preserve"> полугодии 2016 года количество субъектов малого бизнеса </w:t>
      </w:r>
      <w:r w:rsidR="00437D0D">
        <w:rPr>
          <w:rFonts w:ascii="Times New Roman" w:eastAsia="Calibri" w:hAnsi="Times New Roman"/>
          <w:sz w:val="24"/>
          <w:szCs w:val="24"/>
        </w:rPr>
        <w:t>увеличилось</w:t>
      </w:r>
      <w:r w:rsidRPr="0080737A">
        <w:rPr>
          <w:rFonts w:ascii="Times New Roman" w:eastAsia="Calibri" w:hAnsi="Times New Roman"/>
          <w:sz w:val="24"/>
          <w:szCs w:val="24"/>
        </w:rPr>
        <w:t xml:space="preserve"> на </w:t>
      </w:r>
      <w:r w:rsidR="00437D0D">
        <w:rPr>
          <w:rFonts w:ascii="Times New Roman" w:eastAsia="Calibri" w:hAnsi="Times New Roman"/>
          <w:sz w:val="24"/>
          <w:szCs w:val="24"/>
        </w:rPr>
        <w:t>0,9</w:t>
      </w:r>
      <w:r w:rsidRPr="0080737A">
        <w:rPr>
          <w:rFonts w:ascii="Times New Roman" w:eastAsia="Calibri" w:hAnsi="Times New Roman"/>
          <w:sz w:val="24"/>
          <w:szCs w:val="24"/>
        </w:rPr>
        <w:t>% по отношению к базовому показателю 2015 года, составив 3 841 организации, при этом порядка 88,7% (3 </w:t>
      </w:r>
      <w:r w:rsidR="000E368B">
        <w:rPr>
          <w:rFonts w:ascii="Times New Roman" w:eastAsia="Calibri" w:hAnsi="Times New Roman"/>
          <w:sz w:val="24"/>
          <w:szCs w:val="24"/>
        </w:rPr>
        <w:t>407</w:t>
      </w:r>
      <w:r w:rsidRPr="0080737A">
        <w:rPr>
          <w:rFonts w:ascii="Times New Roman" w:eastAsia="Calibri" w:hAnsi="Times New Roman"/>
          <w:sz w:val="24"/>
          <w:szCs w:val="24"/>
        </w:rPr>
        <w:t xml:space="preserve"> организаций) всех субъектов малого предпринимательства являются </w:t>
      </w:r>
      <w:proofErr w:type="spellStart"/>
      <w:r w:rsidRPr="0080737A">
        <w:rPr>
          <w:rFonts w:ascii="Times New Roman" w:eastAsia="Calibri" w:hAnsi="Times New Roman"/>
          <w:sz w:val="24"/>
          <w:szCs w:val="24"/>
        </w:rPr>
        <w:t>микропредприятиями</w:t>
      </w:r>
      <w:proofErr w:type="spellEnd"/>
      <w:r w:rsidRPr="0080737A">
        <w:rPr>
          <w:rFonts w:ascii="Times New Roman" w:eastAsia="Calibri" w:hAnsi="Times New Roman"/>
          <w:sz w:val="24"/>
          <w:szCs w:val="24"/>
        </w:rPr>
        <w:t>.</w:t>
      </w:r>
    </w:p>
    <w:p w:rsidR="00400095" w:rsidRPr="0080737A" w:rsidRDefault="00400095" w:rsidP="00400095">
      <w:pPr>
        <w:shd w:val="clear" w:color="auto" w:fill="FFFFFF" w:themeFill="background1"/>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Наиболее привлекательной сферой малого бизнеса остается торговля и общепит (49,4% от общего количества). В промышленности, строительстве и сельском хозяйстве сосредоточено порядка 26,8% общего количества организаций малого бизнеса республики.</w:t>
      </w:r>
    </w:p>
    <w:p w:rsidR="00400095" w:rsidRPr="0080737A" w:rsidRDefault="00400095" w:rsidP="00400095">
      <w:pPr>
        <w:shd w:val="clear" w:color="auto" w:fill="FFFFFF" w:themeFill="background1"/>
        <w:spacing w:after="0" w:line="240" w:lineRule="auto"/>
        <w:ind w:firstLine="709"/>
        <w:jc w:val="both"/>
        <w:rPr>
          <w:rFonts w:ascii="Times New Roman" w:eastAsia="Calibri" w:hAnsi="Times New Roman"/>
          <w:sz w:val="24"/>
          <w:szCs w:val="24"/>
        </w:rPr>
      </w:pPr>
    </w:p>
    <w:p w:rsidR="00400095" w:rsidRPr="0080737A" w:rsidRDefault="00400095" w:rsidP="00400095">
      <w:pPr>
        <w:shd w:val="clear" w:color="auto" w:fill="FFFFFF" w:themeFill="background1"/>
        <w:spacing w:after="0" w:line="240" w:lineRule="auto"/>
        <w:ind w:firstLine="720"/>
        <w:jc w:val="center"/>
        <w:rPr>
          <w:rFonts w:ascii="Times New Roman" w:eastAsia="Calibri" w:hAnsi="Times New Roman"/>
          <w:b/>
          <w:sz w:val="24"/>
          <w:szCs w:val="24"/>
        </w:rPr>
      </w:pPr>
      <w:r w:rsidRPr="0080737A">
        <w:rPr>
          <w:rFonts w:ascii="Times New Roman" w:eastAsia="Calibri" w:hAnsi="Times New Roman"/>
          <w:b/>
          <w:sz w:val="24"/>
          <w:szCs w:val="24"/>
        </w:rPr>
        <w:t xml:space="preserve">Структура организаций малого предпринимательства в разрезе отраслей экономики </w:t>
      </w:r>
    </w:p>
    <w:p w:rsidR="00400095" w:rsidRPr="0080737A" w:rsidRDefault="00400095" w:rsidP="00400095">
      <w:pPr>
        <w:shd w:val="clear" w:color="auto" w:fill="FFFFFF" w:themeFill="background1"/>
        <w:tabs>
          <w:tab w:val="left" w:pos="2160"/>
        </w:tabs>
        <w:spacing w:after="0" w:line="240" w:lineRule="auto"/>
        <w:ind w:left="-426" w:firstLine="709"/>
        <w:contextualSpacing/>
        <w:jc w:val="center"/>
        <w:rPr>
          <w:rFonts w:ascii="Times New Roman" w:eastAsia="Calibri" w:hAnsi="Times New Roman"/>
          <w:b/>
          <w:sz w:val="24"/>
          <w:szCs w:val="24"/>
        </w:rPr>
      </w:pPr>
      <w:r w:rsidRPr="0080737A">
        <w:rPr>
          <w:rFonts w:ascii="Times New Roman" w:eastAsia="Calibri" w:hAnsi="Times New Roman"/>
          <w:noProof/>
          <w:sz w:val="24"/>
          <w:szCs w:val="24"/>
        </w:rPr>
        <w:drawing>
          <wp:anchor distT="48768" distB="394843" distL="193548" distR="358013" simplePos="0" relativeHeight="251665408" behindDoc="0" locked="0" layoutInCell="1" allowOverlap="1">
            <wp:simplePos x="0" y="0"/>
            <wp:positionH relativeFrom="column">
              <wp:posOffset>2767965</wp:posOffset>
            </wp:positionH>
            <wp:positionV relativeFrom="paragraph">
              <wp:posOffset>258445</wp:posOffset>
            </wp:positionV>
            <wp:extent cx="3400425" cy="2581275"/>
            <wp:effectExtent l="0" t="0" r="0" b="0"/>
            <wp:wrapSquare wrapText="right"/>
            <wp:docPr id="1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80737A">
        <w:rPr>
          <w:rFonts w:ascii="Times New Roman" w:eastAsia="Calibri" w:hAnsi="Times New Roman"/>
          <w:noProof/>
          <w:sz w:val="24"/>
          <w:szCs w:val="24"/>
        </w:rPr>
        <w:drawing>
          <wp:anchor distT="48768" distB="401701" distL="205740" distR="359156" simplePos="0" relativeHeight="251666432" behindDoc="0" locked="0" layoutInCell="1" allowOverlap="1">
            <wp:simplePos x="0" y="0"/>
            <wp:positionH relativeFrom="column">
              <wp:posOffset>-518160</wp:posOffset>
            </wp:positionH>
            <wp:positionV relativeFrom="paragraph">
              <wp:posOffset>259080</wp:posOffset>
            </wp:positionV>
            <wp:extent cx="3457575" cy="2447925"/>
            <wp:effectExtent l="0" t="0" r="0" b="0"/>
            <wp:wrapSquare wrapText="right"/>
            <wp:docPr id="1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Pr="0080737A">
        <w:rPr>
          <w:rFonts w:ascii="Times New Roman" w:eastAsia="Calibri" w:hAnsi="Times New Roman"/>
          <w:sz w:val="24"/>
          <w:szCs w:val="24"/>
        </w:rPr>
        <w:t>(количество организаций, удельный вес %)</w:t>
      </w:r>
    </w:p>
    <w:p w:rsidR="00400095" w:rsidRPr="0080737A" w:rsidRDefault="00400095" w:rsidP="00400095">
      <w:pPr>
        <w:shd w:val="clear" w:color="auto" w:fill="FFFFFF" w:themeFill="background1"/>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В соответствии со структурой распределения организаций малого предпринимательства по отраслям экономики в январе – июне 2016 года наибольшее количество занятых приходится на следующие отрасли: торговля и общепит – 5 180 человек («-»6,2% по сравнению с базовым периодом 2015 года); промышленность – 2 300 работников («-»10,6%); строительство – 1 449 трудящихся («-»4,8%); сельское хозяйство – 1 629 человек («+»8,5%);</w:t>
      </w:r>
      <w:proofErr w:type="gramEnd"/>
      <w:r w:rsidRPr="0080737A">
        <w:rPr>
          <w:rFonts w:ascii="Times New Roman" w:hAnsi="Times New Roman"/>
          <w:sz w:val="24"/>
          <w:szCs w:val="24"/>
        </w:rPr>
        <w:t xml:space="preserve"> операции с недвижимым имуществом – 630 </w:t>
      </w:r>
      <w:proofErr w:type="gramStart"/>
      <w:r w:rsidRPr="0080737A">
        <w:rPr>
          <w:rFonts w:ascii="Times New Roman" w:hAnsi="Times New Roman"/>
          <w:sz w:val="24"/>
          <w:szCs w:val="24"/>
        </w:rPr>
        <w:t>занятых</w:t>
      </w:r>
      <w:proofErr w:type="gramEnd"/>
      <w:r w:rsidRPr="0080737A">
        <w:rPr>
          <w:rFonts w:ascii="Times New Roman" w:hAnsi="Times New Roman"/>
          <w:sz w:val="24"/>
          <w:szCs w:val="24"/>
        </w:rPr>
        <w:t xml:space="preserve"> («-»8,4%).</w:t>
      </w:r>
    </w:p>
    <w:p w:rsidR="00400095" w:rsidRPr="0080737A" w:rsidRDefault="00400095" w:rsidP="00400095">
      <w:pPr>
        <w:shd w:val="clear" w:color="auto" w:fill="FFFFFF" w:themeFill="background1"/>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В целом средняя численность работников на конец отчетного периода 2016 года сократилась на 784 человека или на 5,4% к базовому периоду 2015 года и составила 13 646 человек, из них 51,5% (7 022 человека) заняты в малом бизнесе, численность которых сократилась на 2,9%, и соответственно 48,5% (6 624 человек) заняты на </w:t>
      </w:r>
      <w:proofErr w:type="spellStart"/>
      <w:r w:rsidRPr="0080737A">
        <w:rPr>
          <w:rFonts w:ascii="Times New Roman" w:hAnsi="Times New Roman"/>
          <w:sz w:val="24"/>
          <w:szCs w:val="24"/>
        </w:rPr>
        <w:t>микропредприятиях</w:t>
      </w:r>
      <w:proofErr w:type="spellEnd"/>
      <w:r w:rsidRPr="0080737A">
        <w:rPr>
          <w:rFonts w:ascii="Times New Roman" w:hAnsi="Times New Roman"/>
          <w:sz w:val="24"/>
          <w:szCs w:val="24"/>
        </w:rPr>
        <w:t xml:space="preserve"> («-»8,0% к уровню января – июня 2015 года). </w:t>
      </w:r>
      <w:proofErr w:type="gramEnd"/>
    </w:p>
    <w:p w:rsidR="00400095" w:rsidRPr="0080737A" w:rsidRDefault="00400095" w:rsidP="00400095">
      <w:pPr>
        <w:shd w:val="clear" w:color="auto" w:fill="FFFFFF" w:themeFill="background1"/>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Следует отметить, что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доля занятых в организациях малого предпринимательства в общей численности занятых в экономике осталась на уровне соответствующего периода прошлого года и составила 10,5%. </w:t>
      </w:r>
      <w:proofErr w:type="gramEnd"/>
    </w:p>
    <w:p w:rsidR="00400095" w:rsidRPr="0080737A" w:rsidRDefault="00400095" w:rsidP="00400095">
      <w:pPr>
        <w:shd w:val="clear" w:color="auto" w:fill="FFFFFF" w:themeFill="background1"/>
        <w:spacing w:after="0" w:line="240" w:lineRule="auto"/>
        <w:ind w:firstLine="709"/>
        <w:jc w:val="both"/>
        <w:rPr>
          <w:rFonts w:ascii="Times New Roman" w:eastAsia="Calibri" w:hAnsi="Times New Roman"/>
          <w:sz w:val="24"/>
          <w:szCs w:val="24"/>
        </w:rPr>
      </w:pPr>
      <w:proofErr w:type="gramStart"/>
      <w:r w:rsidRPr="0080737A">
        <w:rPr>
          <w:rFonts w:ascii="Times New Roman" w:eastAsia="Calibri" w:hAnsi="Times New Roman"/>
          <w:sz w:val="24"/>
          <w:szCs w:val="24"/>
        </w:rPr>
        <w:t xml:space="preserve">В </w:t>
      </w:r>
      <w:r w:rsidRPr="0080737A">
        <w:rPr>
          <w:rFonts w:ascii="Times New Roman" w:hAnsi="Times New Roman"/>
          <w:sz w:val="24"/>
          <w:szCs w:val="24"/>
        </w:rPr>
        <w:t xml:space="preserve">рассматриваемом периоде </w:t>
      </w:r>
      <w:r w:rsidRPr="0080737A">
        <w:rPr>
          <w:rFonts w:ascii="Times New Roman" w:eastAsia="Calibri" w:hAnsi="Times New Roman"/>
          <w:sz w:val="24"/>
          <w:szCs w:val="24"/>
        </w:rPr>
        <w:t xml:space="preserve">номинальная среднемесячная начисленная заработная плата одного работника в организациях малого бизнеса составила </w:t>
      </w:r>
      <w:r w:rsidRPr="0080737A">
        <w:rPr>
          <w:rFonts w:ascii="Times New Roman" w:hAnsi="Times New Roman"/>
          <w:sz w:val="24"/>
          <w:szCs w:val="24"/>
        </w:rPr>
        <w:t>3 056,3 руб</w:t>
      </w:r>
      <w:r w:rsidRPr="0080737A">
        <w:rPr>
          <w:rFonts w:ascii="Times New Roman" w:eastAsia="Calibri" w:hAnsi="Times New Roman"/>
          <w:sz w:val="24"/>
          <w:szCs w:val="24"/>
        </w:rPr>
        <w:t xml:space="preserve">., что ниже базового показателя 2015 года на 3,2%. При этом необходимо отметить, что оплата труда в сфере малого бизнеса остается на низком уровне и составляет 80,6% от </w:t>
      </w:r>
      <w:proofErr w:type="spellStart"/>
      <w:r w:rsidRPr="0080737A">
        <w:rPr>
          <w:rFonts w:ascii="Times New Roman" w:eastAsia="Calibri" w:hAnsi="Times New Roman"/>
          <w:sz w:val="24"/>
          <w:szCs w:val="24"/>
        </w:rPr>
        <w:t>среднереспубликанского</w:t>
      </w:r>
      <w:proofErr w:type="spellEnd"/>
      <w:r w:rsidRPr="0080737A">
        <w:rPr>
          <w:rFonts w:ascii="Times New Roman" w:eastAsia="Calibri" w:hAnsi="Times New Roman"/>
          <w:sz w:val="24"/>
          <w:szCs w:val="24"/>
        </w:rPr>
        <w:t xml:space="preserve"> уровня заработной платы одного работника (3 791 руб.) и 64,0% от средней величины заработной</w:t>
      </w:r>
      <w:proofErr w:type="gramEnd"/>
      <w:r w:rsidRPr="0080737A">
        <w:rPr>
          <w:rFonts w:ascii="Times New Roman" w:eastAsia="Calibri" w:hAnsi="Times New Roman"/>
          <w:sz w:val="24"/>
          <w:szCs w:val="24"/>
        </w:rPr>
        <w:t xml:space="preserve"> платы во внебюджетном секторе (4 777 руб.).</w:t>
      </w:r>
    </w:p>
    <w:p w:rsidR="00400095" w:rsidRPr="0080737A" w:rsidRDefault="00400095" w:rsidP="00400095">
      <w:pPr>
        <w:shd w:val="clear" w:color="auto" w:fill="FFFFFF" w:themeFill="background1"/>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lastRenderedPageBreak/>
        <w:t>Наиболее высокий уровень заработной платы отмечен в таких отраслях как: «Общая коммерческая деятельность», «Здравоохранение и социальное обеспечение», «Образование», «Связь», «Редакции и издательства».</w:t>
      </w:r>
    </w:p>
    <w:p w:rsidR="00400095" w:rsidRPr="0080737A" w:rsidRDefault="00400095" w:rsidP="00400095">
      <w:pPr>
        <w:shd w:val="clear" w:color="auto" w:fill="FFFFFF" w:themeFill="background1"/>
        <w:spacing w:after="0" w:line="240" w:lineRule="auto"/>
        <w:ind w:hanging="142"/>
        <w:jc w:val="both"/>
        <w:rPr>
          <w:rFonts w:ascii="Times New Roman" w:eastAsia="Calibri" w:hAnsi="Times New Roman"/>
          <w:sz w:val="24"/>
          <w:szCs w:val="24"/>
        </w:rPr>
      </w:pPr>
      <w:r w:rsidRPr="0080737A">
        <w:rPr>
          <w:rFonts w:ascii="Times New Roman" w:eastAsia="Calibri" w:hAnsi="Times New Roman"/>
          <w:noProof/>
          <w:sz w:val="24"/>
          <w:szCs w:val="24"/>
        </w:rPr>
        <w:drawing>
          <wp:inline distT="0" distB="0" distL="0" distR="0">
            <wp:extent cx="6143625" cy="4549140"/>
            <wp:effectExtent l="0" t="0" r="0" b="0"/>
            <wp:docPr id="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01829" w:rsidRPr="0080737A" w:rsidRDefault="00901829" w:rsidP="00400095">
      <w:pPr>
        <w:shd w:val="clear" w:color="auto" w:fill="FFFFFF" w:themeFill="background1"/>
        <w:spacing w:after="0" w:line="240" w:lineRule="auto"/>
        <w:ind w:hanging="142"/>
        <w:jc w:val="both"/>
        <w:rPr>
          <w:rFonts w:ascii="Times New Roman" w:eastAsia="Calibri" w:hAnsi="Times New Roman"/>
          <w:sz w:val="24"/>
          <w:szCs w:val="24"/>
        </w:rPr>
      </w:pPr>
    </w:p>
    <w:p w:rsidR="00400095" w:rsidRPr="0080737A" w:rsidRDefault="00400095" w:rsidP="00400095">
      <w:pPr>
        <w:shd w:val="clear" w:color="auto" w:fill="FFFFFF" w:themeFill="background1"/>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Неустойчивая экономическая конъюнктура сдерживает инвестиционную активность в сфере малого предпринимательства. По итогам отчетного периода инвестиции в основной капитал (в части новых и приобретенных по импорту основных средств) сократились по сравнению с базовым периодом минувшего года на 47,4% до 47,6 млн. руб. и сформировали 11,3% от общего объема инвестиций в основной капитал по республике (в январе – июне 2015 года – 23,3%).</w:t>
      </w:r>
    </w:p>
    <w:p w:rsidR="00400095" w:rsidRPr="0080737A" w:rsidRDefault="00400095" w:rsidP="00400095">
      <w:pPr>
        <w:shd w:val="clear" w:color="auto" w:fill="FFFFFF" w:themeFill="background1"/>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Отрицательная динамика была характерна для большинства направлений малого предпринимательства. </w:t>
      </w:r>
      <w:proofErr w:type="gramStart"/>
      <w:r w:rsidRPr="0080737A">
        <w:rPr>
          <w:rFonts w:ascii="Times New Roman" w:hAnsi="Times New Roman"/>
          <w:sz w:val="24"/>
          <w:szCs w:val="24"/>
        </w:rPr>
        <w:t xml:space="preserve">Уменьшение инвестиционной активности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по отношению к аналогичному периоду 2015 года было отмечено по организациям промышленности, объем средств адресованных на долгосрочное развитие которых снизился на 82,9% до 2,6 млн. руб. Объем капитальных вложений по организациям, осуществляющим операции с недвижимым имуществом, сократился на 45,2% до                      10,3 млн. руб., по организациям строительства – на 47,0% до 3,5 млн. руб</w:t>
      </w:r>
      <w:proofErr w:type="gramEnd"/>
      <w:r w:rsidRPr="0080737A">
        <w:rPr>
          <w:rFonts w:ascii="Times New Roman" w:hAnsi="Times New Roman"/>
          <w:sz w:val="24"/>
          <w:szCs w:val="24"/>
        </w:rPr>
        <w:t xml:space="preserve">., по отрасли «Торговля и общепит» - на 79,3% до 5,3 млн. руб. </w:t>
      </w:r>
    </w:p>
    <w:p w:rsidR="00400095" w:rsidRPr="0080737A" w:rsidRDefault="00400095" w:rsidP="00400095">
      <w:pPr>
        <w:shd w:val="clear" w:color="auto" w:fill="FFFFFF" w:themeFill="background1"/>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Вместе с этим, в рассматриваемом периоде увеличение инвестиционных вложений отмечается по организациям отрасли «Сельское хозяйство» на 5,2% до 22,4 млн. руб., «Отдых и туризм» в 5 раз до 0,5 млн. руб., «Культура и искусство» в 1,8 раза до                    0,9 млн. руб., «Здравоохранение и социальное обеспечение» в 1,7 раза до 0,7 млн. руб.</w:t>
      </w:r>
      <w:proofErr w:type="gramEnd"/>
    </w:p>
    <w:p w:rsidR="00400095" w:rsidRPr="0080737A" w:rsidRDefault="00400095" w:rsidP="00400095">
      <w:pPr>
        <w:shd w:val="clear" w:color="auto" w:fill="FFFFFF" w:themeFill="background1"/>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Из общего объема инвестиционных вложений в основной капитал предприятий малого предпринимательства порядка 56,5% было осуществлено малыми предприятиями и соответственно 43,5% </w:t>
      </w:r>
      <w:proofErr w:type="spellStart"/>
      <w:r w:rsidRPr="0080737A">
        <w:rPr>
          <w:rFonts w:ascii="Times New Roman" w:hAnsi="Times New Roman"/>
          <w:sz w:val="24"/>
          <w:szCs w:val="24"/>
        </w:rPr>
        <w:t>микропредприятиями</w:t>
      </w:r>
      <w:proofErr w:type="spellEnd"/>
      <w:r w:rsidRPr="0080737A">
        <w:rPr>
          <w:rFonts w:ascii="Times New Roman" w:hAnsi="Times New Roman"/>
          <w:sz w:val="24"/>
          <w:szCs w:val="24"/>
        </w:rPr>
        <w:t>.</w:t>
      </w:r>
    </w:p>
    <w:p w:rsidR="00400095" w:rsidRPr="0080737A" w:rsidRDefault="00400095" w:rsidP="00400095">
      <w:pPr>
        <w:shd w:val="clear" w:color="auto" w:fill="FFFFFF" w:themeFill="background1"/>
        <w:spacing w:after="0" w:line="240" w:lineRule="auto"/>
        <w:ind w:firstLine="709"/>
        <w:jc w:val="center"/>
        <w:rPr>
          <w:rFonts w:ascii="Times New Roman" w:eastAsia="Calibri" w:hAnsi="Times New Roman"/>
          <w:b/>
          <w:sz w:val="24"/>
          <w:szCs w:val="24"/>
        </w:rPr>
      </w:pPr>
    </w:p>
    <w:p w:rsidR="00400095" w:rsidRPr="0080737A" w:rsidRDefault="00400095" w:rsidP="00400095">
      <w:pPr>
        <w:spacing w:after="0" w:line="240" w:lineRule="auto"/>
        <w:ind w:firstLine="709"/>
        <w:jc w:val="center"/>
        <w:rPr>
          <w:rFonts w:ascii="Times New Roman" w:eastAsia="Calibri" w:hAnsi="Times New Roman"/>
          <w:sz w:val="24"/>
          <w:szCs w:val="24"/>
        </w:rPr>
      </w:pPr>
      <w:r w:rsidRPr="0080737A">
        <w:rPr>
          <w:rFonts w:ascii="Times New Roman" w:eastAsia="Calibri" w:hAnsi="Times New Roman"/>
          <w:b/>
          <w:sz w:val="24"/>
          <w:szCs w:val="24"/>
        </w:rPr>
        <w:lastRenderedPageBreak/>
        <w:t>Инвестиции в основной капитал (в части новых и приобретенных по импорту основных средств), млн. руб.</w:t>
      </w:r>
    </w:p>
    <w:p w:rsidR="00400095" w:rsidRPr="0080737A" w:rsidRDefault="00400095" w:rsidP="00400095">
      <w:pPr>
        <w:shd w:val="clear" w:color="auto" w:fill="FFFFFF" w:themeFill="background1"/>
        <w:spacing w:after="0" w:line="240" w:lineRule="auto"/>
        <w:jc w:val="center"/>
        <w:rPr>
          <w:rFonts w:ascii="Times New Roman" w:eastAsia="Calibri" w:hAnsi="Times New Roman"/>
          <w:sz w:val="24"/>
          <w:szCs w:val="24"/>
        </w:rPr>
      </w:pPr>
      <w:r w:rsidRPr="0080737A">
        <w:rPr>
          <w:rFonts w:ascii="Times New Roman" w:eastAsia="Calibri" w:hAnsi="Times New Roman"/>
          <w:noProof/>
          <w:sz w:val="24"/>
          <w:szCs w:val="24"/>
        </w:rPr>
        <w:drawing>
          <wp:inline distT="0" distB="0" distL="0" distR="0">
            <wp:extent cx="5667375" cy="3524250"/>
            <wp:effectExtent l="19050" t="0" r="0" b="0"/>
            <wp:docPr id="2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00095" w:rsidRPr="0080737A" w:rsidRDefault="00400095" w:rsidP="00400095">
      <w:pPr>
        <w:shd w:val="clear" w:color="auto" w:fill="FFFFFF" w:themeFill="background1"/>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Объем произведенной продукции (работ, услуг) (в текущих ценах) организациями малого бизнеса за январь – июнь 2016 года остался на уровне базового периода минувшего года и составил 592,7 млн. руб., из него 55,9% произведено малыми предприятиями.</w:t>
      </w:r>
    </w:p>
    <w:p w:rsidR="00400095" w:rsidRPr="0080737A" w:rsidRDefault="00400095" w:rsidP="00400095">
      <w:pPr>
        <w:shd w:val="clear" w:color="auto" w:fill="FFFFFF" w:themeFill="background1"/>
        <w:tabs>
          <w:tab w:val="left" w:pos="2410"/>
        </w:tabs>
        <w:spacing w:after="0" w:line="240" w:lineRule="auto"/>
        <w:ind w:firstLine="709"/>
        <w:jc w:val="both"/>
        <w:rPr>
          <w:rFonts w:ascii="Times New Roman" w:eastAsia="Calibri" w:hAnsi="Times New Roman"/>
          <w:sz w:val="24"/>
          <w:szCs w:val="24"/>
        </w:rPr>
      </w:pPr>
      <w:proofErr w:type="gramStart"/>
      <w:r w:rsidRPr="0080737A">
        <w:rPr>
          <w:rFonts w:ascii="Times New Roman" w:eastAsia="Calibri" w:hAnsi="Times New Roman"/>
          <w:sz w:val="24"/>
          <w:szCs w:val="24"/>
        </w:rPr>
        <w:t xml:space="preserve">Доход от продаж (выручка), полученный организациями малого предпринимательства за </w:t>
      </w:r>
      <w:r w:rsidRPr="0080737A">
        <w:rPr>
          <w:rFonts w:ascii="Times New Roman" w:eastAsia="Calibri" w:hAnsi="Times New Roman"/>
          <w:sz w:val="24"/>
          <w:szCs w:val="24"/>
          <w:lang w:val="en-US"/>
        </w:rPr>
        <w:t>I</w:t>
      </w:r>
      <w:r w:rsidRPr="0080737A">
        <w:rPr>
          <w:rFonts w:ascii="Times New Roman" w:eastAsia="Calibri" w:hAnsi="Times New Roman"/>
          <w:sz w:val="24"/>
          <w:szCs w:val="24"/>
        </w:rPr>
        <w:t xml:space="preserve"> полугодие 2016 года составил 1 450,2 млн. руб.,</w:t>
      </w:r>
      <w:r w:rsidR="00557D3D" w:rsidRPr="0080737A">
        <w:rPr>
          <w:rFonts w:ascii="Times New Roman" w:eastAsia="Calibri" w:hAnsi="Times New Roman"/>
          <w:sz w:val="24"/>
          <w:szCs w:val="24"/>
        </w:rPr>
        <w:t xml:space="preserve"> </w:t>
      </w:r>
      <w:r w:rsidRPr="0080737A">
        <w:rPr>
          <w:rFonts w:ascii="Times New Roman" w:eastAsia="Calibri" w:hAnsi="Times New Roman"/>
          <w:sz w:val="24"/>
          <w:szCs w:val="24"/>
        </w:rPr>
        <w:t xml:space="preserve">сократившись по отношению к аналогичному периоду 2015 года на 4,3%. Стоит отметить, что на доход от продажи товаров приходится порядка 65,7% всех доходов или 953,3 млн. руб., что ниже на 7,5% базисного уровня 2015 года. </w:t>
      </w:r>
      <w:proofErr w:type="gramEnd"/>
    </w:p>
    <w:p w:rsidR="00400095" w:rsidRPr="0080737A" w:rsidRDefault="00400095" w:rsidP="00400095">
      <w:pPr>
        <w:shd w:val="clear" w:color="auto" w:fill="FFFFFF" w:themeFill="background1"/>
        <w:spacing w:after="0" w:line="240" w:lineRule="auto"/>
        <w:ind w:firstLine="720"/>
        <w:jc w:val="both"/>
        <w:rPr>
          <w:rFonts w:ascii="Times New Roman" w:hAnsi="Times New Roman"/>
          <w:sz w:val="24"/>
          <w:szCs w:val="24"/>
        </w:rPr>
      </w:pPr>
      <w:r w:rsidRPr="0080737A">
        <w:rPr>
          <w:rFonts w:ascii="Times New Roman" w:hAnsi="Times New Roman"/>
          <w:sz w:val="24"/>
          <w:szCs w:val="24"/>
        </w:rPr>
        <w:t>Результатом финансово-хозяйственной деятельности субъектов малого предпринимательства (без физических лиц) явилась чистая прибыль в размере                18,4 млн. руб. (</w:t>
      </w:r>
      <w:r w:rsidRPr="0080737A">
        <w:rPr>
          <w:rFonts w:ascii="Times New Roman" w:eastAsia="Calibri" w:hAnsi="Times New Roman"/>
          <w:sz w:val="24"/>
          <w:szCs w:val="24"/>
        </w:rPr>
        <w:t>за соответствующий период 2015 года субъекты малого предпринимательства сработали с убытком в размере 8,8 млн. руб.)</w:t>
      </w:r>
      <w:proofErr w:type="gramStart"/>
      <w:r w:rsidRPr="0080737A">
        <w:rPr>
          <w:rFonts w:ascii="Times New Roman" w:eastAsia="Calibri" w:hAnsi="Times New Roman"/>
          <w:sz w:val="24"/>
          <w:szCs w:val="24"/>
        </w:rPr>
        <w:t>.К</w:t>
      </w:r>
      <w:proofErr w:type="gramEnd"/>
      <w:r w:rsidRPr="0080737A">
        <w:rPr>
          <w:rFonts w:ascii="Times New Roman" w:eastAsia="Calibri" w:hAnsi="Times New Roman"/>
          <w:sz w:val="24"/>
          <w:szCs w:val="24"/>
        </w:rPr>
        <w:t xml:space="preserve">роме того, в рассматриваемом периоде с прибылью сработали </w:t>
      </w:r>
      <w:proofErr w:type="spellStart"/>
      <w:r w:rsidRPr="0080737A">
        <w:rPr>
          <w:rFonts w:ascii="Times New Roman" w:eastAsia="Calibri" w:hAnsi="Times New Roman"/>
          <w:sz w:val="24"/>
          <w:szCs w:val="24"/>
        </w:rPr>
        <w:t>микропредприятия</w:t>
      </w:r>
      <w:proofErr w:type="spellEnd"/>
      <w:r w:rsidRPr="0080737A">
        <w:rPr>
          <w:rFonts w:ascii="Times New Roman" w:eastAsia="Calibri" w:hAnsi="Times New Roman"/>
          <w:sz w:val="24"/>
          <w:szCs w:val="24"/>
        </w:rPr>
        <w:t xml:space="preserve"> (18,7 млн. руб.), при этом результатом хозяйственной деятельности малых предприятий явился убыток в размере 0,3 млн. руб.</w:t>
      </w:r>
    </w:p>
    <w:p w:rsidR="00400095" w:rsidRPr="0080737A" w:rsidRDefault="00400095" w:rsidP="00400095">
      <w:pPr>
        <w:shd w:val="clear" w:color="auto" w:fill="FFFFFF" w:themeFill="background1"/>
        <w:spacing w:after="0" w:line="240" w:lineRule="auto"/>
        <w:ind w:firstLine="720"/>
        <w:jc w:val="both"/>
        <w:rPr>
          <w:rFonts w:ascii="Times New Roman" w:hAnsi="Times New Roman"/>
          <w:sz w:val="24"/>
          <w:szCs w:val="24"/>
        </w:rPr>
      </w:pPr>
      <w:r w:rsidRPr="0080737A">
        <w:rPr>
          <w:rFonts w:ascii="Times New Roman" w:hAnsi="Times New Roman"/>
          <w:sz w:val="24"/>
          <w:szCs w:val="24"/>
        </w:rPr>
        <w:t xml:space="preserve">В рассматриваемом периоде 2016 года с прибылью в сумме 119,8 млн. руб. сработали 32,6% (от общего числа) организаций малого бизнеса. Наибольший ее размер был сформирован в организациях торговли и общественного питания, а также в организациях, осуществляющих операции с недвижимым имуществом и в организациях сельского хозяйства: </w:t>
      </w:r>
      <w:r w:rsidRPr="0080737A">
        <w:rPr>
          <w:rFonts w:ascii="Times New Roman" w:eastAsia="Calibri" w:hAnsi="Times New Roman"/>
          <w:sz w:val="24"/>
          <w:szCs w:val="24"/>
        </w:rPr>
        <w:t>24,4%, 20,9% и 18,8% совокупного объема прибыли соответственно.</w:t>
      </w:r>
    </w:p>
    <w:p w:rsidR="00400095" w:rsidRPr="0080737A" w:rsidRDefault="00400095" w:rsidP="00400095">
      <w:pPr>
        <w:shd w:val="clear" w:color="auto" w:fill="FFFFFF" w:themeFill="background1"/>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 xml:space="preserve">Вместе с тем, самые большие убытки приходятся на такие отрасли, как: торговля и общепит, сельское хозяйство и промышленность (34,3%, 18,8% и 18,3% совокупного размера убытков соответственно). В целом суммарный убыток, полученный организациями малого предпринимательства, сложился в размере 101,4 млн. руб., а количество нерентабельных организаций составило 44,4% от общего числа, </w:t>
      </w:r>
      <w:r w:rsidRPr="0080737A">
        <w:rPr>
          <w:rFonts w:ascii="Times New Roman" w:eastAsia="Calibri" w:hAnsi="Times New Roman"/>
          <w:color w:val="000000"/>
          <w:sz w:val="24"/>
          <w:szCs w:val="24"/>
        </w:rPr>
        <w:t>23,0% организаций</w:t>
      </w:r>
      <w:r w:rsidRPr="0080737A">
        <w:rPr>
          <w:rFonts w:ascii="Times New Roman" w:eastAsia="Calibri" w:hAnsi="Times New Roman"/>
          <w:sz w:val="24"/>
          <w:szCs w:val="24"/>
        </w:rPr>
        <w:t xml:space="preserve"> не осуществляли хозяйственную деятельность, в связи с чем н</w:t>
      </w:r>
      <w:r w:rsidRPr="0080737A">
        <w:rPr>
          <w:rFonts w:ascii="Times New Roman" w:eastAsia="Calibri" w:hAnsi="Times New Roman"/>
          <w:color w:val="000000"/>
          <w:sz w:val="24"/>
          <w:szCs w:val="24"/>
        </w:rPr>
        <w:t xml:space="preserve">е получили финансового результата. </w:t>
      </w:r>
    </w:p>
    <w:p w:rsidR="00400095" w:rsidRPr="0080737A" w:rsidRDefault="00400095" w:rsidP="00400095">
      <w:pPr>
        <w:shd w:val="clear" w:color="auto" w:fill="FFFFFF" w:themeFill="background1"/>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 xml:space="preserve">За январь – июнь 2016 года в целом организациями малого предпринимательства в бюджеты всех уровней и внебюджетные фонды фактически внесено налогов и платежей в сумме 125,4 млн. руб., что на 7,1% ниже сопоставимого показателя базового периода  </w:t>
      </w:r>
      <w:r w:rsidRPr="0080737A">
        <w:rPr>
          <w:rFonts w:ascii="Times New Roman" w:hAnsi="Times New Roman"/>
          <w:sz w:val="24"/>
          <w:szCs w:val="24"/>
        </w:rPr>
        <w:lastRenderedPageBreak/>
        <w:t xml:space="preserve">2015 года, доля которых в общей сумме налоговых поступлений консолидированного бюджета за </w:t>
      </w:r>
      <w:r w:rsidRPr="0080737A">
        <w:rPr>
          <w:rFonts w:ascii="Times New Roman" w:hAnsi="Times New Roman"/>
          <w:sz w:val="24"/>
          <w:szCs w:val="24"/>
          <w:lang w:val="en-US"/>
        </w:rPr>
        <w:t>I</w:t>
      </w:r>
      <w:r w:rsidRPr="0080737A">
        <w:rPr>
          <w:rFonts w:ascii="Times New Roman" w:hAnsi="Times New Roman"/>
          <w:sz w:val="24"/>
          <w:szCs w:val="24"/>
        </w:rPr>
        <w:t>полугодие 2016 года составила 16,8%. При этом, удельный вес налоговых платежей, поступающих от</w:t>
      </w:r>
      <w:proofErr w:type="gramEnd"/>
      <w:r w:rsidR="00557D3D" w:rsidRPr="0080737A">
        <w:rPr>
          <w:rFonts w:ascii="Times New Roman" w:hAnsi="Times New Roman"/>
          <w:sz w:val="24"/>
          <w:szCs w:val="24"/>
        </w:rPr>
        <w:t xml:space="preserve"> </w:t>
      </w:r>
      <w:proofErr w:type="gramStart"/>
      <w:r w:rsidRPr="0080737A">
        <w:rPr>
          <w:rFonts w:ascii="Times New Roman" w:hAnsi="Times New Roman"/>
          <w:sz w:val="24"/>
          <w:szCs w:val="24"/>
        </w:rPr>
        <w:t xml:space="preserve">малых предприятий составляет 58,8% (73,7 млн. руб.) от общего объема по предприятиям малого бизнеса, а их фактическая величина сократилась по сравнению с январем – июнем 2015 года на 6,0%. </w:t>
      </w:r>
      <w:proofErr w:type="spellStart"/>
      <w:r w:rsidRPr="0080737A">
        <w:rPr>
          <w:rFonts w:ascii="Times New Roman" w:hAnsi="Times New Roman"/>
          <w:sz w:val="24"/>
          <w:szCs w:val="24"/>
        </w:rPr>
        <w:t>Микропредприятиями</w:t>
      </w:r>
      <w:proofErr w:type="spellEnd"/>
      <w:r w:rsidRPr="0080737A">
        <w:rPr>
          <w:rFonts w:ascii="Times New Roman" w:hAnsi="Times New Roman"/>
          <w:sz w:val="24"/>
          <w:szCs w:val="24"/>
        </w:rPr>
        <w:t xml:space="preserve"> за рассматриваемый период в бюджеты всех уровней и внебюджетные фонды фактически внесено 51,7 млн. руб. (41,2% общего объема налоговых платежей субъектов малого предпринимательства), что на 8,6 % меньше базисного уровня минувшего года.</w:t>
      </w:r>
      <w:proofErr w:type="gramEnd"/>
    </w:p>
    <w:p w:rsidR="00400095" w:rsidRPr="0080737A" w:rsidRDefault="00400095" w:rsidP="00400095">
      <w:pPr>
        <w:shd w:val="clear" w:color="auto" w:fill="FFFFFF" w:themeFill="background1"/>
        <w:spacing w:after="0" w:line="240" w:lineRule="auto"/>
        <w:ind w:firstLine="709"/>
        <w:jc w:val="both"/>
        <w:rPr>
          <w:rFonts w:ascii="Times New Roman" w:hAnsi="Times New Roman"/>
          <w:sz w:val="24"/>
          <w:szCs w:val="24"/>
        </w:rPr>
      </w:pPr>
      <w:r w:rsidRPr="0080737A">
        <w:rPr>
          <w:rFonts w:ascii="Times New Roman" w:hAnsi="Times New Roman"/>
          <w:sz w:val="24"/>
          <w:szCs w:val="24"/>
        </w:rPr>
        <w:t>Наибольший удельный вес в структуре налоговых поступлений обеспечивают:</w:t>
      </w:r>
    </w:p>
    <w:p w:rsidR="00400095" w:rsidRPr="0080737A" w:rsidRDefault="00400095" w:rsidP="00400095">
      <w:pPr>
        <w:shd w:val="clear" w:color="auto" w:fill="FFFFFF" w:themeFill="background1"/>
        <w:tabs>
          <w:tab w:val="left" w:pos="900"/>
        </w:tabs>
        <w:spacing w:after="0" w:line="240" w:lineRule="auto"/>
        <w:ind w:firstLine="709"/>
        <w:jc w:val="both"/>
        <w:rPr>
          <w:rFonts w:ascii="Times New Roman" w:hAnsi="Times New Roman"/>
          <w:sz w:val="24"/>
          <w:szCs w:val="24"/>
        </w:rPr>
      </w:pPr>
      <w:r w:rsidRPr="0080737A">
        <w:rPr>
          <w:rFonts w:ascii="Times New Roman" w:hAnsi="Times New Roman"/>
          <w:sz w:val="24"/>
          <w:szCs w:val="24"/>
        </w:rPr>
        <w:t>- налог на доходы организаций – 37,2% или 46,6 млн. руб.;</w:t>
      </w:r>
    </w:p>
    <w:p w:rsidR="00400095" w:rsidRPr="0080737A" w:rsidRDefault="00400095" w:rsidP="00400095">
      <w:pPr>
        <w:shd w:val="clear" w:color="auto" w:fill="FFFFFF" w:themeFill="background1"/>
        <w:tabs>
          <w:tab w:val="left" w:pos="900"/>
        </w:tabs>
        <w:spacing w:after="0" w:line="240" w:lineRule="auto"/>
        <w:ind w:firstLine="709"/>
        <w:jc w:val="both"/>
        <w:rPr>
          <w:rFonts w:ascii="Times New Roman" w:hAnsi="Times New Roman"/>
          <w:sz w:val="24"/>
          <w:szCs w:val="24"/>
        </w:rPr>
      </w:pPr>
      <w:r w:rsidRPr="0080737A">
        <w:rPr>
          <w:rFonts w:ascii="Times New Roman" w:hAnsi="Times New Roman"/>
          <w:sz w:val="24"/>
          <w:szCs w:val="24"/>
        </w:rPr>
        <w:t>- единый социальный налог – 28,4% или 35,6 млн. руб.</w:t>
      </w:r>
    </w:p>
    <w:p w:rsidR="00400095" w:rsidRPr="0080737A" w:rsidRDefault="00400095" w:rsidP="00400095">
      <w:pPr>
        <w:shd w:val="clear" w:color="auto" w:fill="FFFFFF" w:themeFill="background1"/>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Кроме организаций негосударственной формы собственности малый бизнес представлен и индивидуальными предпринимателями, осуществляющими свою деятельность по патенту.</w:t>
      </w:r>
    </w:p>
    <w:p w:rsidR="00400095" w:rsidRPr="0080737A" w:rsidRDefault="00400095" w:rsidP="00400095">
      <w:pPr>
        <w:shd w:val="clear" w:color="auto" w:fill="FFFFFF" w:themeFill="background1"/>
        <w:spacing w:after="0" w:line="240" w:lineRule="auto"/>
        <w:ind w:firstLine="720"/>
        <w:jc w:val="both"/>
        <w:rPr>
          <w:rFonts w:ascii="Times New Roman" w:eastAsia="Calibri" w:hAnsi="Times New Roman"/>
          <w:sz w:val="24"/>
          <w:szCs w:val="24"/>
        </w:rPr>
      </w:pPr>
      <w:r w:rsidRPr="0080737A">
        <w:rPr>
          <w:rFonts w:ascii="Times New Roman" w:hAnsi="Times New Roman"/>
          <w:sz w:val="24"/>
          <w:szCs w:val="24"/>
        </w:rPr>
        <w:t>Количество индивидуальных предпринимателей за I полугодие 2016 года составило 20 199 человек, что на 7,7% ниже базового периода 2015 года (в</w:t>
      </w:r>
      <w:r w:rsidR="00557D3D" w:rsidRPr="0080737A">
        <w:rPr>
          <w:rFonts w:ascii="Times New Roman" w:hAnsi="Times New Roman"/>
          <w:sz w:val="24"/>
          <w:szCs w:val="24"/>
        </w:rPr>
        <w:t xml:space="preserve"> </w:t>
      </w:r>
      <w:r w:rsidRPr="0080737A">
        <w:rPr>
          <w:rFonts w:ascii="Times New Roman" w:hAnsi="Times New Roman"/>
          <w:sz w:val="24"/>
          <w:szCs w:val="24"/>
        </w:rPr>
        <w:t>январе – июне 2015 года – 21 768 человек).</w:t>
      </w:r>
    </w:p>
    <w:p w:rsidR="00400095" w:rsidRPr="0080737A" w:rsidRDefault="00400095" w:rsidP="00400095">
      <w:pPr>
        <w:spacing w:after="0" w:line="240" w:lineRule="auto"/>
        <w:ind w:firstLine="709"/>
        <w:contextualSpacing/>
        <w:jc w:val="both"/>
        <w:rPr>
          <w:rFonts w:ascii="Times New Roman" w:hAnsi="Times New Roman"/>
          <w:sz w:val="24"/>
          <w:szCs w:val="24"/>
        </w:rPr>
      </w:pPr>
      <w:proofErr w:type="gramStart"/>
      <w:r w:rsidRPr="0080737A">
        <w:rPr>
          <w:rFonts w:ascii="Times New Roman" w:hAnsi="Times New Roman"/>
          <w:sz w:val="24"/>
          <w:szCs w:val="24"/>
        </w:rPr>
        <w:t>Наибольшее количество индивидуальных предпринимателей осуществляющих свою деятельность в Приднестровской Молдавской Республике в</w:t>
      </w:r>
      <w:r w:rsidR="00557D3D" w:rsidRPr="0080737A">
        <w:rPr>
          <w:rFonts w:ascii="Times New Roman" w:hAnsi="Times New Roman"/>
          <w:sz w:val="24"/>
          <w:szCs w:val="24"/>
        </w:rPr>
        <w:t xml:space="preserve"> </w:t>
      </w:r>
      <w:r w:rsidRPr="0080737A">
        <w:rPr>
          <w:rFonts w:ascii="Times New Roman" w:hAnsi="Times New Roman"/>
          <w:sz w:val="24"/>
          <w:szCs w:val="24"/>
        </w:rPr>
        <w:t xml:space="preserve">январе – июне 2016 года насчитывается в г. Тирасполе и г. </w:t>
      </w:r>
      <w:proofErr w:type="spellStart"/>
      <w:r w:rsidRPr="0080737A">
        <w:rPr>
          <w:rFonts w:ascii="Times New Roman" w:hAnsi="Times New Roman"/>
          <w:sz w:val="24"/>
          <w:szCs w:val="24"/>
        </w:rPr>
        <w:t>Днестровск</w:t>
      </w:r>
      <w:proofErr w:type="spellEnd"/>
      <w:r w:rsidRPr="0080737A">
        <w:rPr>
          <w:rFonts w:ascii="Times New Roman" w:hAnsi="Times New Roman"/>
          <w:sz w:val="24"/>
          <w:szCs w:val="24"/>
        </w:rPr>
        <w:t xml:space="preserve">- 28,1% от общего количества индивидуальных предпринимателей по республике, в г. Бендеры– 18,5%, в г. Рыбница и </w:t>
      </w:r>
      <w:proofErr w:type="spellStart"/>
      <w:r w:rsidRPr="0080737A">
        <w:rPr>
          <w:rFonts w:ascii="Times New Roman" w:hAnsi="Times New Roman"/>
          <w:sz w:val="24"/>
          <w:szCs w:val="24"/>
        </w:rPr>
        <w:t>Рыбницком</w:t>
      </w:r>
      <w:proofErr w:type="spellEnd"/>
      <w:r w:rsidRPr="0080737A">
        <w:rPr>
          <w:rFonts w:ascii="Times New Roman" w:hAnsi="Times New Roman"/>
          <w:sz w:val="24"/>
          <w:szCs w:val="24"/>
        </w:rPr>
        <w:t xml:space="preserve"> районе – 18,3%, в г. </w:t>
      </w:r>
      <w:proofErr w:type="spellStart"/>
      <w:r w:rsidRPr="0080737A">
        <w:rPr>
          <w:rFonts w:ascii="Times New Roman" w:hAnsi="Times New Roman"/>
          <w:sz w:val="24"/>
          <w:szCs w:val="24"/>
        </w:rPr>
        <w:t>Слободзея</w:t>
      </w:r>
      <w:proofErr w:type="spellEnd"/>
      <w:r w:rsidRPr="0080737A">
        <w:rPr>
          <w:rFonts w:ascii="Times New Roman" w:hAnsi="Times New Roman"/>
          <w:sz w:val="24"/>
          <w:szCs w:val="24"/>
        </w:rPr>
        <w:t xml:space="preserve"> и </w:t>
      </w:r>
      <w:proofErr w:type="spellStart"/>
      <w:r w:rsidRPr="0080737A">
        <w:rPr>
          <w:rFonts w:ascii="Times New Roman" w:hAnsi="Times New Roman"/>
          <w:sz w:val="24"/>
          <w:szCs w:val="24"/>
        </w:rPr>
        <w:t>Слободзейском</w:t>
      </w:r>
      <w:proofErr w:type="spellEnd"/>
      <w:r w:rsidRPr="0080737A">
        <w:rPr>
          <w:rFonts w:ascii="Times New Roman" w:hAnsi="Times New Roman"/>
          <w:sz w:val="24"/>
          <w:szCs w:val="24"/>
        </w:rPr>
        <w:t xml:space="preserve"> районе – 11,0%,в г. Дубоссары и </w:t>
      </w:r>
      <w:proofErr w:type="spellStart"/>
      <w:r w:rsidRPr="0080737A">
        <w:rPr>
          <w:rFonts w:ascii="Times New Roman" w:hAnsi="Times New Roman"/>
          <w:sz w:val="24"/>
          <w:szCs w:val="24"/>
        </w:rPr>
        <w:t>Дубоссарском</w:t>
      </w:r>
      <w:proofErr w:type="spellEnd"/>
      <w:r w:rsidRPr="0080737A">
        <w:rPr>
          <w:rFonts w:ascii="Times New Roman" w:hAnsi="Times New Roman"/>
          <w:sz w:val="24"/>
          <w:szCs w:val="24"/>
        </w:rPr>
        <w:t xml:space="preserve"> районе – 9,3%, в г. Григориополь и</w:t>
      </w:r>
      <w:proofErr w:type="gramEnd"/>
      <w:r w:rsidR="00901829" w:rsidRPr="0080737A">
        <w:rPr>
          <w:rFonts w:ascii="Times New Roman" w:hAnsi="Times New Roman"/>
          <w:sz w:val="24"/>
          <w:szCs w:val="24"/>
        </w:rPr>
        <w:t xml:space="preserve"> </w:t>
      </w:r>
      <w:proofErr w:type="spellStart"/>
      <w:r w:rsidRPr="0080737A">
        <w:rPr>
          <w:rFonts w:ascii="Times New Roman" w:hAnsi="Times New Roman"/>
          <w:sz w:val="24"/>
          <w:szCs w:val="24"/>
        </w:rPr>
        <w:t>Григориопольском</w:t>
      </w:r>
      <w:proofErr w:type="spellEnd"/>
      <w:r w:rsidR="00901829" w:rsidRPr="0080737A">
        <w:rPr>
          <w:rFonts w:ascii="Times New Roman" w:hAnsi="Times New Roman"/>
          <w:sz w:val="24"/>
          <w:szCs w:val="24"/>
        </w:rPr>
        <w:t xml:space="preserve"> </w:t>
      </w:r>
      <w:proofErr w:type="gramStart"/>
      <w:r w:rsidRPr="0080737A">
        <w:rPr>
          <w:rFonts w:ascii="Times New Roman" w:hAnsi="Times New Roman"/>
          <w:sz w:val="24"/>
          <w:szCs w:val="24"/>
        </w:rPr>
        <w:t>районе</w:t>
      </w:r>
      <w:proofErr w:type="gramEnd"/>
      <w:r w:rsidRPr="0080737A">
        <w:rPr>
          <w:rFonts w:ascii="Times New Roman" w:hAnsi="Times New Roman"/>
          <w:sz w:val="24"/>
          <w:szCs w:val="24"/>
        </w:rPr>
        <w:t xml:space="preserve"> – 9,1%, в</w:t>
      </w:r>
      <w:r w:rsidR="00901829" w:rsidRPr="0080737A">
        <w:rPr>
          <w:rFonts w:ascii="Times New Roman" w:hAnsi="Times New Roman"/>
          <w:sz w:val="24"/>
          <w:szCs w:val="24"/>
        </w:rPr>
        <w:t xml:space="preserve"> </w:t>
      </w:r>
      <w:r w:rsidRPr="0080737A">
        <w:rPr>
          <w:rFonts w:ascii="Times New Roman" w:hAnsi="Times New Roman"/>
          <w:sz w:val="24"/>
          <w:szCs w:val="24"/>
        </w:rPr>
        <w:t>г. Каменка и Каменском районе – 5,8%.</w:t>
      </w:r>
    </w:p>
    <w:p w:rsidR="00400095" w:rsidRPr="0080737A" w:rsidRDefault="00400095" w:rsidP="00400095">
      <w:pPr>
        <w:shd w:val="clear" w:color="auto" w:fill="FFFFFF" w:themeFill="background1"/>
        <w:spacing w:after="0" w:line="240" w:lineRule="auto"/>
        <w:ind w:firstLine="720"/>
        <w:jc w:val="both"/>
        <w:rPr>
          <w:rFonts w:ascii="Times New Roman" w:hAnsi="Times New Roman"/>
          <w:sz w:val="24"/>
          <w:szCs w:val="24"/>
        </w:rPr>
      </w:pPr>
      <w:r w:rsidRPr="0080737A">
        <w:rPr>
          <w:rFonts w:ascii="Times New Roman" w:eastAsia="Calibri" w:hAnsi="Times New Roman"/>
          <w:sz w:val="24"/>
          <w:szCs w:val="24"/>
        </w:rPr>
        <w:t>Основное количество индивидуальных предпринимателей, по-прежнему, задействовано в сфере торговли и общепита (61,6% от общей численности выданных патентов против 61,3% в январе – июне 2015 года).</w:t>
      </w:r>
      <w:r w:rsidRPr="0080737A">
        <w:rPr>
          <w:rFonts w:ascii="Times New Roman" w:hAnsi="Times New Roman"/>
          <w:sz w:val="24"/>
          <w:szCs w:val="24"/>
        </w:rPr>
        <w:t xml:space="preserve"> Другими приоритетными направлениями, в которых осуществляют свою деятельность индивидуальные предприниматели, являются: сфера услуг – 20,7%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2015 года – 22,1%), сельское хозяйство – 12,3% (в</w:t>
      </w:r>
      <w:r w:rsidR="00557D3D" w:rsidRPr="0080737A">
        <w:rPr>
          <w:rFonts w:ascii="Times New Roman" w:hAnsi="Times New Roman"/>
          <w:sz w:val="24"/>
          <w:szCs w:val="24"/>
        </w:rPr>
        <w:t xml:space="preserve"> </w:t>
      </w:r>
      <w:r w:rsidRPr="0080737A">
        <w:rPr>
          <w:rFonts w:ascii="Times New Roman" w:eastAsia="Calibri" w:hAnsi="Times New Roman"/>
          <w:sz w:val="24"/>
          <w:szCs w:val="24"/>
        </w:rPr>
        <w:t>январе – июне 2015 года</w:t>
      </w:r>
      <w:r w:rsidRPr="0080737A">
        <w:rPr>
          <w:rFonts w:ascii="Times New Roman" w:hAnsi="Times New Roman"/>
          <w:sz w:val="24"/>
          <w:szCs w:val="24"/>
        </w:rPr>
        <w:t xml:space="preserve"> – 12,4%) и производство – 5,4% </w:t>
      </w:r>
      <w:r w:rsidR="006D561B" w:rsidRPr="0080737A">
        <w:rPr>
          <w:rFonts w:ascii="Times New Roman" w:hAnsi="Times New Roman"/>
          <w:sz w:val="24"/>
          <w:szCs w:val="24"/>
        </w:rPr>
        <w:t xml:space="preserve">        </w:t>
      </w:r>
      <w:r w:rsidRPr="0080737A">
        <w:rPr>
          <w:rFonts w:ascii="Times New Roman" w:hAnsi="Times New Roman"/>
          <w:sz w:val="24"/>
          <w:szCs w:val="24"/>
        </w:rPr>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2015 года – 4,2%).</w:t>
      </w:r>
    </w:p>
    <w:p w:rsidR="00400095" w:rsidRPr="0080737A" w:rsidRDefault="00400095" w:rsidP="00400095">
      <w:pPr>
        <w:shd w:val="clear" w:color="auto" w:fill="FFFFFF" w:themeFill="background1"/>
        <w:spacing w:after="0" w:line="240" w:lineRule="auto"/>
        <w:ind w:firstLine="720"/>
        <w:jc w:val="both"/>
        <w:rPr>
          <w:rFonts w:ascii="Times New Roman" w:hAnsi="Times New Roman"/>
          <w:sz w:val="24"/>
          <w:szCs w:val="24"/>
        </w:rPr>
      </w:pPr>
    </w:p>
    <w:p w:rsidR="006D561B" w:rsidRPr="0080737A" w:rsidRDefault="006D561B" w:rsidP="006D561B">
      <w:pPr>
        <w:shd w:val="clear" w:color="auto" w:fill="FFFFFF" w:themeFill="background1"/>
        <w:spacing w:after="0" w:line="240" w:lineRule="auto"/>
        <w:ind w:firstLine="720"/>
        <w:jc w:val="right"/>
        <w:rPr>
          <w:rFonts w:ascii="Times New Roman" w:hAnsi="Times New Roman"/>
          <w:sz w:val="24"/>
          <w:szCs w:val="24"/>
        </w:rPr>
      </w:pPr>
      <w:r w:rsidRPr="0080737A">
        <w:rPr>
          <w:rFonts w:ascii="Times New Roman" w:hAnsi="Times New Roman"/>
          <w:sz w:val="24"/>
          <w:szCs w:val="24"/>
        </w:rPr>
        <w:t>Таблица №15</w:t>
      </w:r>
    </w:p>
    <w:p w:rsidR="00400095" w:rsidRPr="0080737A" w:rsidRDefault="00400095" w:rsidP="00400095">
      <w:pPr>
        <w:shd w:val="clear" w:color="auto" w:fill="FFFFFF" w:themeFill="background1"/>
        <w:spacing w:after="0" w:line="240" w:lineRule="auto"/>
        <w:jc w:val="center"/>
        <w:rPr>
          <w:rFonts w:ascii="Times New Roman" w:hAnsi="Times New Roman"/>
          <w:b/>
          <w:sz w:val="24"/>
          <w:szCs w:val="24"/>
        </w:rPr>
      </w:pPr>
      <w:r w:rsidRPr="0080737A">
        <w:rPr>
          <w:rFonts w:ascii="Times New Roman" w:hAnsi="Times New Roman"/>
          <w:b/>
          <w:sz w:val="24"/>
          <w:szCs w:val="24"/>
        </w:rPr>
        <w:t xml:space="preserve">Численность индивидуальных предпринимателей </w:t>
      </w:r>
    </w:p>
    <w:p w:rsidR="00400095" w:rsidRPr="0080737A" w:rsidRDefault="00400095" w:rsidP="00400095">
      <w:pPr>
        <w:shd w:val="clear" w:color="auto" w:fill="FFFFFF" w:themeFill="background1"/>
        <w:spacing w:after="0" w:line="240" w:lineRule="auto"/>
        <w:jc w:val="center"/>
        <w:rPr>
          <w:rFonts w:ascii="Times New Roman" w:hAnsi="Times New Roman"/>
          <w:b/>
          <w:sz w:val="24"/>
          <w:szCs w:val="24"/>
        </w:rPr>
      </w:pPr>
      <w:r w:rsidRPr="0080737A">
        <w:rPr>
          <w:rFonts w:ascii="Times New Roman" w:hAnsi="Times New Roman"/>
          <w:b/>
          <w:sz w:val="24"/>
          <w:szCs w:val="24"/>
        </w:rPr>
        <w:t xml:space="preserve">за </w:t>
      </w:r>
      <w:r w:rsidRPr="0080737A">
        <w:rPr>
          <w:rFonts w:ascii="Times New Roman" w:hAnsi="Times New Roman"/>
          <w:b/>
          <w:sz w:val="24"/>
          <w:szCs w:val="24"/>
          <w:lang w:val="en-US"/>
        </w:rPr>
        <w:t>I</w:t>
      </w:r>
      <w:r w:rsidRPr="0080737A">
        <w:rPr>
          <w:rFonts w:ascii="Times New Roman" w:hAnsi="Times New Roman"/>
          <w:b/>
          <w:sz w:val="24"/>
          <w:szCs w:val="24"/>
        </w:rPr>
        <w:t xml:space="preserve"> полугодие 2015 – 2016 годов</w:t>
      </w:r>
    </w:p>
    <w:tbl>
      <w:tblPr>
        <w:tblW w:w="9654" w:type="dxa"/>
        <w:tblInd w:w="93" w:type="dxa"/>
        <w:tblLook w:val="04A0"/>
      </w:tblPr>
      <w:tblGrid>
        <w:gridCol w:w="2740"/>
        <w:gridCol w:w="2095"/>
        <w:gridCol w:w="2410"/>
        <w:gridCol w:w="2409"/>
      </w:tblGrid>
      <w:tr w:rsidR="00400095" w:rsidRPr="0080737A" w:rsidTr="006808A1">
        <w:trPr>
          <w:trHeight w:val="765"/>
        </w:trPr>
        <w:tc>
          <w:tcPr>
            <w:tcW w:w="2740"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b/>
                <w:bCs/>
                <w:color w:val="000000"/>
                <w:sz w:val="24"/>
                <w:szCs w:val="24"/>
              </w:rPr>
            </w:pPr>
            <w:r w:rsidRPr="0080737A">
              <w:rPr>
                <w:rFonts w:ascii="Times New Roman" w:hAnsi="Times New Roman"/>
                <w:b/>
                <w:bCs/>
                <w:color w:val="000000"/>
                <w:sz w:val="24"/>
                <w:szCs w:val="24"/>
              </w:rPr>
              <w:t>Отрасль экономики</w:t>
            </w:r>
          </w:p>
        </w:tc>
        <w:tc>
          <w:tcPr>
            <w:tcW w:w="4505" w:type="dxa"/>
            <w:gridSpan w:val="2"/>
            <w:tcBorders>
              <w:top w:val="single" w:sz="4" w:space="0" w:color="auto"/>
              <w:left w:val="nil"/>
              <w:bottom w:val="single" w:sz="8" w:space="0" w:color="auto"/>
              <w:right w:val="nil"/>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b/>
                <w:bCs/>
                <w:color w:val="000000"/>
                <w:sz w:val="24"/>
                <w:szCs w:val="24"/>
              </w:rPr>
            </w:pPr>
            <w:r w:rsidRPr="0080737A">
              <w:rPr>
                <w:rFonts w:ascii="Times New Roman" w:hAnsi="Times New Roman"/>
                <w:b/>
                <w:bCs/>
                <w:color w:val="000000"/>
                <w:sz w:val="24"/>
                <w:szCs w:val="24"/>
              </w:rPr>
              <w:t>Численность индивидуальных предпринимателей, чел</w:t>
            </w:r>
          </w:p>
        </w:tc>
        <w:tc>
          <w:tcPr>
            <w:tcW w:w="2409"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b/>
                <w:bCs/>
                <w:color w:val="000000"/>
                <w:sz w:val="24"/>
                <w:szCs w:val="24"/>
              </w:rPr>
            </w:pPr>
            <w:r w:rsidRPr="0080737A">
              <w:rPr>
                <w:rFonts w:ascii="Times New Roman" w:hAnsi="Times New Roman"/>
                <w:b/>
                <w:bCs/>
                <w:color w:val="000000"/>
                <w:sz w:val="24"/>
                <w:szCs w:val="24"/>
              </w:rPr>
              <w:t>Доля занятых индивидуальных предпринимателей по отраслям экономики за 1 полугодие 2015 года, %</w:t>
            </w:r>
          </w:p>
        </w:tc>
      </w:tr>
      <w:tr w:rsidR="00400095" w:rsidRPr="0080737A" w:rsidTr="006808A1">
        <w:trPr>
          <w:trHeight w:val="893"/>
        </w:trPr>
        <w:tc>
          <w:tcPr>
            <w:tcW w:w="2740" w:type="dxa"/>
            <w:vMerge/>
            <w:tcBorders>
              <w:top w:val="single" w:sz="4" w:space="0" w:color="auto"/>
              <w:left w:val="single" w:sz="4" w:space="0" w:color="auto"/>
              <w:bottom w:val="single" w:sz="4" w:space="0" w:color="000000"/>
              <w:right w:val="single" w:sz="8" w:space="0" w:color="auto"/>
            </w:tcBorders>
            <w:vAlign w:val="center"/>
            <w:hideMark/>
          </w:tcPr>
          <w:p w:rsidR="00400095" w:rsidRPr="0080737A" w:rsidRDefault="00400095" w:rsidP="006808A1">
            <w:pPr>
              <w:spacing w:after="0" w:line="240" w:lineRule="auto"/>
              <w:contextualSpacing/>
              <w:rPr>
                <w:rFonts w:ascii="Times New Roman" w:hAnsi="Times New Roman"/>
                <w:b/>
                <w:bCs/>
                <w:color w:val="000000"/>
                <w:sz w:val="24"/>
                <w:szCs w:val="24"/>
              </w:rPr>
            </w:pPr>
          </w:p>
        </w:tc>
        <w:tc>
          <w:tcPr>
            <w:tcW w:w="2095" w:type="dxa"/>
            <w:tcBorders>
              <w:top w:val="nil"/>
              <w:left w:val="nil"/>
              <w:bottom w:val="single" w:sz="4" w:space="0" w:color="auto"/>
              <w:right w:val="single" w:sz="8"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b/>
                <w:bCs/>
                <w:color w:val="000000"/>
                <w:sz w:val="24"/>
                <w:szCs w:val="24"/>
              </w:rPr>
            </w:pPr>
            <w:r w:rsidRPr="0080737A">
              <w:rPr>
                <w:rFonts w:ascii="Times New Roman" w:hAnsi="Times New Roman"/>
                <w:b/>
                <w:bCs/>
                <w:color w:val="000000"/>
                <w:sz w:val="24"/>
                <w:szCs w:val="24"/>
              </w:rPr>
              <w:t>1 полугодие 2015 года</w:t>
            </w:r>
          </w:p>
        </w:tc>
        <w:tc>
          <w:tcPr>
            <w:tcW w:w="2410" w:type="dxa"/>
            <w:tcBorders>
              <w:top w:val="nil"/>
              <w:left w:val="nil"/>
              <w:bottom w:val="single" w:sz="4" w:space="0" w:color="auto"/>
              <w:right w:val="single" w:sz="8"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b/>
                <w:bCs/>
                <w:color w:val="000000"/>
                <w:sz w:val="24"/>
                <w:szCs w:val="24"/>
              </w:rPr>
            </w:pPr>
            <w:r w:rsidRPr="0080737A">
              <w:rPr>
                <w:rFonts w:ascii="Times New Roman" w:hAnsi="Times New Roman"/>
                <w:b/>
                <w:bCs/>
                <w:color w:val="000000"/>
                <w:sz w:val="24"/>
                <w:szCs w:val="24"/>
              </w:rPr>
              <w:t>1 полугодие 2016 года</w:t>
            </w:r>
          </w:p>
        </w:tc>
        <w:tc>
          <w:tcPr>
            <w:tcW w:w="2409" w:type="dxa"/>
            <w:vMerge/>
            <w:tcBorders>
              <w:top w:val="single" w:sz="4" w:space="0" w:color="auto"/>
              <w:left w:val="single" w:sz="8" w:space="0" w:color="auto"/>
              <w:bottom w:val="single" w:sz="4" w:space="0" w:color="000000"/>
              <w:right w:val="single" w:sz="4" w:space="0" w:color="auto"/>
            </w:tcBorders>
            <w:vAlign w:val="center"/>
            <w:hideMark/>
          </w:tcPr>
          <w:p w:rsidR="00400095" w:rsidRPr="0080737A" w:rsidRDefault="00400095" w:rsidP="006808A1">
            <w:pPr>
              <w:spacing w:after="0" w:line="240" w:lineRule="auto"/>
              <w:contextualSpacing/>
              <w:rPr>
                <w:rFonts w:ascii="Times New Roman" w:hAnsi="Times New Roman"/>
                <w:b/>
                <w:bCs/>
                <w:color w:val="000000"/>
                <w:sz w:val="24"/>
                <w:szCs w:val="24"/>
              </w:rPr>
            </w:pPr>
          </w:p>
        </w:tc>
      </w:tr>
      <w:tr w:rsidR="00400095" w:rsidRPr="0080737A" w:rsidTr="006808A1">
        <w:trPr>
          <w:trHeight w:val="27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400095" w:rsidRPr="0080737A" w:rsidRDefault="00400095" w:rsidP="006808A1">
            <w:pPr>
              <w:spacing w:after="0" w:line="240" w:lineRule="auto"/>
              <w:contextualSpacing/>
              <w:rPr>
                <w:rFonts w:ascii="Times New Roman" w:hAnsi="Times New Roman"/>
                <w:bCs/>
                <w:iCs/>
                <w:color w:val="000000"/>
                <w:sz w:val="24"/>
                <w:szCs w:val="24"/>
              </w:rPr>
            </w:pPr>
            <w:r w:rsidRPr="0080737A">
              <w:rPr>
                <w:rFonts w:ascii="Times New Roman" w:hAnsi="Times New Roman"/>
                <w:bCs/>
                <w:iCs/>
                <w:color w:val="000000"/>
                <w:sz w:val="24"/>
                <w:szCs w:val="24"/>
              </w:rPr>
              <w:t>Всего по ПМР</w:t>
            </w:r>
          </w:p>
        </w:tc>
        <w:tc>
          <w:tcPr>
            <w:tcW w:w="2095" w:type="dxa"/>
            <w:tcBorders>
              <w:top w:val="nil"/>
              <w:left w:val="nil"/>
              <w:bottom w:val="single" w:sz="8" w:space="0" w:color="auto"/>
              <w:right w:val="single" w:sz="8"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bCs/>
                <w:iCs/>
                <w:color w:val="000000"/>
                <w:sz w:val="24"/>
                <w:szCs w:val="24"/>
              </w:rPr>
            </w:pPr>
            <w:r w:rsidRPr="0080737A">
              <w:rPr>
                <w:rFonts w:ascii="Times New Roman" w:hAnsi="Times New Roman"/>
                <w:bCs/>
                <w:iCs/>
                <w:color w:val="000000"/>
                <w:sz w:val="24"/>
                <w:szCs w:val="24"/>
              </w:rPr>
              <w:t>21 768</w:t>
            </w:r>
          </w:p>
        </w:tc>
        <w:tc>
          <w:tcPr>
            <w:tcW w:w="2410" w:type="dxa"/>
            <w:tcBorders>
              <w:top w:val="nil"/>
              <w:left w:val="nil"/>
              <w:bottom w:val="single" w:sz="8" w:space="0" w:color="auto"/>
              <w:right w:val="single" w:sz="8"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bCs/>
                <w:iCs/>
                <w:color w:val="000000"/>
                <w:sz w:val="24"/>
                <w:szCs w:val="24"/>
              </w:rPr>
            </w:pPr>
            <w:r w:rsidRPr="0080737A">
              <w:rPr>
                <w:rFonts w:ascii="Times New Roman" w:hAnsi="Times New Roman"/>
                <w:bCs/>
                <w:iCs/>
                <w:color w:val="000000"/>
                <w:sz w:val="24"/>
                <w:szCs w:val="24"/>
              </w:rPr>
              <w:t>20 199</w:t>
            </w:r>
          </w:p>
        </w:tc>
        <w:tc>
          <w:tcPr>
            <w:tcW w:w="2409" w:type="dxa"/>
            <w:tcBorders>
              <w:top w:val="nil"/>
              <w:left w:val="nil"/>
              <w:bottom w:val="single" w:sz="8" w:space="0" w:color="auto"/>
              <w:right w:val="single" w:sz="8"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bCs/>
                <w:iCs/>
                <w:color w:val="000000"/>
                <w:sz w:val="24"/>
                <w:szCs w:val="24"/>
              </w:rPr>
            </w:pPr>
            <w:r w:rsidRPr="0080737A">
              <w:rPr>
                <w:rFonts w:ascii="Times New Roman" w:hAnsi="Times New Roman"/>
                <w:bCs/>
                <w:iCs/>
                <w:color w:val="000000"/>
                <w:sz w:val="24"/>
                <w:szCs w:val="24"/>
              </w:rPr>
              <w:t>100,0</w:t>
            </w:r>
          </w:p>
        </w:tc>
      </w:tr>
      <w:tr w:rsidR="00400095" w:rsidRPr="0080737A" w:rsidTr="006808A1">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rPr>
                <w:rFonts w:ascii="Times New Roman" w:hAnsi="Times New Roman"/>
                <w:color w:val="000000"/>
                <w:sz w:val="24"/>
                <w:szCs w:val="24"/>
              </w:rPr>
            </w:pPr>
            <w:r w:rsidRPr="0080737A">
              <w:rPr>
                <w:rFonts w:ascii="Times New Roman" w:hAnsi="Times New Roman"/>
                <w:color w:val="000000"/>
                <w:sz w:val="24"/>
                <w:szCs w:val="24"/>
              </w:rPr>
              <w:t>Торговля и общепит</w:t>
            </w:r>
          </w:p>
        </w:tc>
        <w:tc>
          <w:tcPr>
            <w:tcW w:w="2095"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13 354</w:t>
            </w:r>
          </w:p>
        </w:tc>
        <w:tc>
          <w:tcPr>
            <w:tcW w:w="2410"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12 434</w:t>
            </w:r>
          </w:p>
        </w:tc>
        <w:tc>
          <w:tcPr>
            <w:tcW w:w="2409"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61,6</w:t>
            </w:r>
          </w:p>
        </w:tc>
      </w:tr>
      <w:tr w:rsidR="00400095" w:rsidRPr="0080737A" w:rsidTr="006808A1">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rPr>
                <w:rFonts w:ascii="Times New Roman" w:hAnsi="Times New Roman"/>
                <w:color w:val="000000"/>
                <w:sz w:val="24"/>
                <w:szCs w:val="24"/>
              </w:rPr>
            </w:pPr>
            <w:r w:rsidRPr="0080737A">
              <w:rPr>
                <w:rFonts w:ascii="Times New Roman" w:hAnsi="Times New Roman"/>
                <w:color w:val="000000"/>
                <w:sz w:val="24"/>
                <w:szCs w:val="24"/>
              </w:rPr>
              <w:t>Сфера услуг</w:t>
            </w:r>
          </w:p>
        </w:tc>
        <w:tc>
          <w:tcPr>
            <w:tcW w:w="2095"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4 794</w:t>
            </w:r>
          </w:p>
        </w:tc>
        <w:tc>
          <w:tcPr>
            <w:tcW w:w="2410"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4 191</w:t>
            </w:r>
          </w:p>
        </w:tc>
        <w:tc>
          <w:tcPr>
            <w:tcW w:w="2409"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20,7</w:t>
            </w:r>
          </w:p>
        </w:tc>
      </w:tr>
      <w:tr w:rsidR="00400095" w:rsidRPr="0080737A" w:rsidTr="006808A1">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rPr>
                <w:rFonts w:ascii="Times New Roman" w:hAnsi="Times New Roman"/>
                <w:color w:val="000000"/>
                <w:sz w:val="24"/>
                <w:szCs w:val="24"/>
              </w:rPr>
            </w:pPr>
            <w:r w:rsidRPr="0080737A">
              <w:rPr>
                <w:rFonts w:ascii="Times New Roman" w:hAnsi="Times New Roman"/>
                <w:color w:val="000000"/>
                <w:sz w:val="24"/>
                <w:szCs w:val="24"/>
              </w:rPr>
              <w:t>Сельское хозяйство</w:t>
            </w:r>
          </w:p>
        </w:tc>
        <w:tc>
          <w:tcPr>
            <w:tcW w:w="2095"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2 700</w:t>
            </w:r>
          </w:p>
        </w:tc>
        <w:tc>
          <w:tcPr>
            <w:tcW w:w="2410"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2 492</w:t>
            </w:r>
          </w:p>
        </w:tc>
        <w:tc>
          <w:tcPr>
            <w:tcW w:w="2409"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12,3</w:t>
            </w:r>
          </w:p>
        </w:tc>
      </w:tr>
      <w:tr w:rsidR="00400095" w:rsidRPr="0080737A" w:rsidTr="006808A1">
        <w:trPr>
          <w:trHeight w:val="27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rPr>
                <w:rFonts w:ascii="Times New Roman" w:hAnsi="Times New Roman"/>
                <w:color w:val="000000"/>
                <w:sz w:val="24"/>
                <w:szCs w:val="24"/>
              </w:rPr>
            </w:pPr>
            <w:r w:rsidRPr="0080737A">
              <w:rPr>
                <w:rFonts w:ascii="Times New Roman" w:hAnsi="Times New Roman"/>
                <w:color w:val="000000"/>
                <w:sz w:val="24"/>
                <w:szCs w:val="24"/>
              </w:rPr>
              <w:t>Производство</w:t>
            </w:r>
          </w:p>
        </w:tc>
        <w:tc>
          <w:tcPr>
            <w:tcW w:w="2095"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920</w:t>
            </w:r>
          </w:p>
        </w:tc>
        <w:tc>
          <w:tcPr>
            <w:tcW w:w="2410"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1 082</w:t>
            </w:r>
          </w:p>
        </w:tc>
        <w:tc>
          <w:tcPr>
            <w:tcW w:w="2409" w:type="dxa"/>
            <w:tcBorders>
              <w:top w:val="nil"/>
              <w:left w:val="nil"/>
              <w:bottom w:val="single" w:sz="4" w:space="0" w:color="auto"/>
              <w:right w:val="single" w:sz="4" w:space="0" w:color="auto"/>
            </w:tcBorders>
            <w:shd w:val="clear" w:color="auto" w:fill="auto"/>
            <w:vAlign w:val="center"/>
            <w:hideMark/>
          </w:tcPr>
          <w:p w:rsidR="00400095" w:rsidRPr="0080737A" w:rsidRDefault="00400095" w:rsidP="006808A1">
            <w:pPr>
              <w:spacing w:after="0" w:line="240" w:lineRule="auto"/>
              <w:contextualSpacing/>
              <w:jc w:val="center"/>
              <w:rPr>
                <w:rFonts w:ascii="Times New Roman" w:hAnsi="Times New Roman"/>
                <w:color w:val="000000"/>
                <w:sz w:val="24"/>
                <w:szCs w:val="24"/>
              </w:rPr>
            </w:pPr>
            <w:r w:rsidRPr="0080737A">
              <w:rPr>
                <w:rFonts w:ascii="Times New Roman" w:hAnsi="Times New Roman"/>
                <w:color w:val="000000"/>
                <w:sz w:val="24"/>
                <w:szCs w:val="24"/>
              </w:rPr>
              <w:t>5,4</w:t>
            </w:r>
          </w:p>
        </w:tc>
      </w:tr>
    </w:tbl>
    <w:p w:rsidR="00400095" w:rsidRPr="0080737A" w:rsidRDefault="00400095" w:rsidP="00400095">
      <w:pPr>
        <w:shd w:val="clear" w:color="auto" w:fill="FFFFFF" w:themeFill="background1"/>
        <w:spacing w:after="0" w:line="240" w:lineRule="auto"/>
        <w:ind w:firstLine="709"/>
        <w:jc w:val="both"/>
        <w:rPr>
          <w:rFonts w:ascii="Times New Roman" w:eastAsiaTheme="minorHAnsi" w:hAnsi="Times New Roman" w:cstheme="minorBidi"/>
          <w:sz w:val="24"/>
          <w:szCs w:val="24"/>
          <w:lang w:eastAsia="en-US"/>
        </w:rPr>
      </w:pPr>
    </w:p>
    <w:p w:rsidR="00400095" w:rsidRPr="0080737A" w:rsidRDefault="00400095" w:rsidP="00400095">
      <w:pPr>
        <w:shd w:val="clear" w:color="auto" w:fill="FFFFFF" w:themeFill="background1"/>
        <w:spacing w:after="0" w:line="240" w:lineRule="auto"/>
        <w:ind w:firstLine="709"/>
        <w:jc w:val="both"/>
        <w:rPr>
          <w:rFonts w:ascii="Times New Roman" w:hAnsi="Times New Roman"/>
          <w:bCs/>
          <w:sz w:val="24"/>
          <w:szCs w:val="24"/>
        </w:rPr>
      </w:pPr>
      <w:r w:rsidRPr="0080737A">
        <w:rPr>
          <w:rFonts w:ascii="Times New Roman" w:eastAsiaTheme="minorHAnsi" w:hAnsi="Times New Roman" w:cstheme="minorBidi"/>
          <w:sz w:val="24"/>
          <w:szCs w:val="24"/>
          <w:lang w:eastAsia="en-US"/>
        </w:rPr>
        <w:t>В настоящее время в республике развитию малого предпринимательства уделяется</w:t>
      </w:r>
      <w:r w:rsidR="00557D3D" w:rsidRPr="0080737A">
        <w:rPr>
          <w:rFonts w:ascii="Times New Roman" w:eastAsiaTheme="minorHAnsi" w:hAnsi="Times New Roman" w:cstheme="minorBidi"/>
          <w:sz w:val="24"/>
          <w:szCs w:val="24"/>
          <w:lang w:eastAsia="en-US"/>
        </w:rPr>
        <w:t xml:space="preserve"> </w:t>
      </w:r>
      <w:r w:rsidRPr="0080737A">
        <w:rPr>
          <w:rFonts w:ascii="Times New Roman" w:eastAsiaTheme="minorHAnsi" w:hAnsi="Times New Roman" w:cstheme="minorBidi"/>
          <w:sz w:val="24"/>
          <w:szCs w:val="24"/>
          <w:lang w:eastAsia="en-US"/>
        </w:rPr>
        <w:t>особое внимание, поскольку именно данный сегмент экономики позволяет обеспечить дополнительную наполняемость бюджетной системы, стабилизировать рынок труда и занятость населения.</w:t>
      </w:r>
      <w:r w:rsidR="00557D3D" w:rsidRPr="0080737A">
        <w:rPr>
          <w:rFonts w:ascii="Times New Roman" w:eastAsiaTheme="minorHAnsi" w:hAnsi="Times New Roman" w:cstheme="minorBidi"/>
          <w:sz w:val="24"/>
          <w:szCs w:val="24"/>
          <w:lang w:eastAsia="en-US"/>
        </w:rPr>
        <w:t xml:space="preserve"> </w:t>
      </w:r>
      <w:r w:rsidRPr="0080737A">
        <w:rPr>
          <w:rFonts w:ascii="Times New Roman" w:eastAsiaTheme="minorHAnsi" w:hAnsi="Times New Roman" w:cstheme="minorBidi"/>
          <w:sz w:val="24"/>
          <w:szCs w:val="24"/>
          <w:lang w:eastAsia="en-US"/>
        </w:rPr>
        <w:t xml:space="preserve">А создание благоприятных условий для развития малого предпринимательства рассматривается государством в качестве одного из основных </w:t>
      </w:r>
      <w:r w:rsidRPr="0080737A">
        <w:rPr>
          <w:rFonts w:ascii="Times New Roman" w:eastAsiaTheme="minorHAnsi" w:hAnsi="Times New Roman" w:cstheme="minorBidi"/>
          <w:sz w:val="24"/>
          <w:szCs w:val="24"/>
          <w:lang w:eastAsia="en-US"/>
        </w:rPr>
        <w:lastRenderedPageBreak/>
        <w:t>факторов обеспечения социально-экономического благополучия жителей Приднестровской Молдавской Республики.</w:t>
      </w:r>
    </w:p>
    <w:p w:rsidR="006F4E1E" w:rsidRPr="0080737A" w:rsidRDefault="006F4E1E" w:rsidP="00335844">
      <w:pPr>
        <w:shd w:val="clear" w:color="auto" w:fill="FFFFFF"/>
        <w:spacing w:after="0" w:line="240" w:lineRule="auto"/>
        <w:ind w:firstLine="709"/>
        <w:jc w:val="both"/>
        <w:rPr>
          <w:rFonts w:ascii="Times New Roman" w:hAnsi="Times New Roman"/>
          <w:sz w:val="24"/>
          <w:szCs w:val="24"/>
        </w:rPr>
      </w:pPr>
    </w:p>
    <w:p w:rsidR="00335844" w:rsidRPr="0080737A" w:rsidRDefault="00335844" w:rsidP="00335844">
      <w:pPr>
        <w:spacing w:after="0" w:line="240" w:lineRule="auto"/>
        <w:ind w:firstLine="709"/>
        <w:rPr>
          <w:rFonts w:ascii="Times New Roman" w:hAnsi="Times New Roman"/>
          <w:b/>
          <w:sz w:val="24"/>
          <w:szCs w:val="24"/>
        </w:rPr>
      </w:pPr>
      <w:r w:rsidRPr="0080737A">
        <w:rPr>
          <w:rFonts w:ascii="Times New Roman" w:hAnsi="Times New Roman"/>
          <w:b/>
          <w:sz w:val="24"/>
          <w:szCs w:val="24"/>
        </w:rPr>
        <w:t>Экология</w:t>
      </w:r>
    </w:p>
    <w:p w:rsidR="00335844" w:rsidRPr="0080737A" w:rsidRDefault="00335844" w:rsidP="00335844">
      <w:pPr>
        <w:spacing w:after="0" w:line="240" w:lineRule="auto"/>
        <w:ind w:firstLine="709"/>
        <w:rPr>
          <w:rFonts w:ascii="Times New Roman" w:hAnsi="Times New Roman"/>
          <w:b/>
          <w:sz w:val="24"/>
          <w:szCs w:val="24"/>
        </w:rPr>
      </w:pP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Основными источниками, оказывающими отрицательное влияние на окружающую среду, являются количество и состав выбросов загрязняющих веществ в атмосферу, загрязнение земель токсичными отходами, выброшенными в результате хозяйственной деятельности организаций промышленности, сельского и коммунального хозяйства, а также автотранспортными средствами.</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Анализ данных загрязнения воздуха по итогам января-июня 2016 года свидетельствует о понижательной тенденции вредных выбросов в атмосферный воздух, как от стационарных, так и от передвижных источников, что является следствием снижения производственной активности на ряде крупных предприятий Республики. Так, </w:t>
      </w:r>
      <w:r w:rsidRPr="0080737A">
        <w:rPr>
          <w:rFonts w:ascii="Times New Roman" w:hAnsi="Times New Roman"/>
          <w:b/>
          <w:i/>
          <w:sz w:val="24"/>
          <w:szCs w:val="24"/>
        </w:rPr>
        <w:t>валовой выброс загрязняющих веществ</w:t>
      </w:r>
      <w:r w:rsidR="00557D3D" w:rsidRPr="0080737A">
        <w:rPr>
          <w:rFonts w:ascii="Times New Roman" w:hAnsi="Times New Roman"/>
          <w:b/>
          <w:i/>
          <w:sz w:val="24"/>
          <w:szCs w:val="24"/>
        </w:rPr>
        <w:t xml:space="preserve"> </w:t>
      </w:r>
      <w:r w:rsidRPr="0080737A">
        <w:rPr>
          <w:rFonts w:ascii="Times New Roman" w:hAnsi="Times New Roman"/>
          <w:sz w:val="24"/>
          <w:szCs w:val="24"/>
        </w:rPr>
        <w:t xml:space="preserve">в I полугодии 2016 года составил </w:t>
      </w:r>
      <w:r w:rsidRPr="0080737A">
        <w:rPr>
          <w:rFonts w:ascii="Times New Roman" w:hAnsi="Times New Roman"/>
          <w:b/>
          <w:i/>
          <w:sz w:val="24"/>
          <w:szCs w:val="24"/>
        </w:rPr>
        <w:t>20 036,8 тонн</w:t>
      </w:r>
      <w:r w:rsidRPr="0080737A">
        <w:rPr>
          <w:rFonts w:ascii="Times New Roman" w:hAnsi="Times New Roman"/>
          <w:sz w:val="24"/>
          <w:szCs w:val="24"/>
        </w:rPr>
        <w:t>, что на 13,0% ниже уровня соответствующего периода прошлого года.</w:t>
      </w:r>
    </w:p>
    <w:p w:rsidR="006F4E1E" w:rsidRPr="0080737A" w:rsidRDefault="006F4E1E" w:rsidP="006F4E1E">
      <w:pPr>
        <w:spacing w:after="0" w:line="240" w:lineRule="auto"/>
        <w:ind w:firstLine="720"/>
        <w:jc w:val="right"/>
        <w:rPr>
          <w:rFonts w:ascii="Times New Roman" w:hAnsi="Times New Roman"/>
          <w:b/>
          <w:sz w:val="24"/>
          <w:szCs w:val="24"/>
        </w:rPr>
      </w:pPr>
      <w:r w:rsidRPr="0080737A">
        <w:rPr>
          <w:rFonts w:ascii="Times New Roman" w:hAnsi="Times New Roman"/>
          <w:sz w:val="24"/>
          <w:szCs w:val="24"/>
        </w:rPr>
        <w:t>Таблица №1</w:t>
      </w:r>
      <w:r w:rsidR="006D561B" w:rsidRPr="0080737A">
        <w:rPr>
          <w:rFonts w:ascii="Times New Roman" w:hAnsi="Times New Roman"/>
          <w:sz w:val="24"/>
          <w:szCs w:val="24"/>
        </w:rPr>
        <w:t>6</w:t>
      </w:r>
    </w:p>
    <w:p w:rsidR="006F4E1E" w:rsidRPr="0080737A" w:rsidRDefault="006F4E1E" w:rsidP="006F4E1E">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 xml:space="preserve">Выбросы вредных веществ в атмосферный воздух в разрезе городов и районов за </w:t>
      </w:r>
      <w:r w:rsidRPr="0080737A">
        <w:rPr>
          <w:rFonts w:ascii="Times New Roman" w:hAnsi="Times New Roman"/>
          <w:b/>
          <w:sz w:val="24"/>
          <w:szCs w:val="24"/>
          <w:lang w:val="en-US"/>
        </w:rPr>
        <w:t>I</w:t>
      </w:r>
      <w:r w:rsidRPr="0080737A">
        <w:rPr>
          <w:rFonts w:ascii="Times New Roman" w:hAnsi="Times New Roman"/>
          <w:b/>
          <w:sz w:val="24"/>
          <w:szCs w:val="24"/>
        </w:rPr>
        <w:t xml:space="preserve"> полугодие 2016 год</w:t>
      </w:r>
    </w:p>
    <w:p w:rsidR="006F4E1E" w:rsidRPr="0080737A" w:rsidRDefault="006F4E1E" w:rsidP="006F4E1E">
      <w:pPr>
        <w:spacing w:after="0" w:line="240" w:lineRule="auto"/>
        <w:ind w:firstLine="720"/>
        <w:jc w:val="right"/>
        <w:rPr>
          <w:rFonts w:ascii="Times New Roman" w:hAnsi="Times New Roman"/>
          <w:i/>
          <w:sz w:val="24"/>
          <w:szCs w:val="24"/>
        </w:rPr>
      </w:pPr>
      <w:r w:rsidRPr="0080737A">
        <w:rPr>
          <w:rFonts w:ascii="Times New Roman" w:hAnsi="Times New Roman"/>
          <w:i/>
          <w:sz w:val="24"/>
          <w:szCs w:val="24"/>
        </w:rPr>
        <w:t>(тонн</w:t>
      </w:r>
      <w:proofErr w:type="gramStart"/>
      <w:r w:rsidRPr="0080737A">
        <w:rPr>
          <w:rFonts w:ascii="Times New Roman" w:hAnsi="Times New Roman"/>
          <w:i/>
          <w:sz w:val="24"/>
          <w:szCs w:val="24"/>
        </w:rPr>
        <w:t>, %)</w:t>
      </w:r>
      <w:proofErr w:type="gramEnd"/>
    </w:p>
    <w:tbl>
      <w:tblPr>
        <w:tblW w:w="9255"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7"/>
        <w:gridCol w:w="1232"/>
        <w:gridCol w:w="843"/>
        <w:gridCol w:w="1232"/>
        <w:gridCol w:w="843"/>
        <w:gridCol w:w="1232"/>
        <w:gridCol w:w="836"/>
      </w:tblGrid>
      <w:tr w:rsidR="006F4E1E" w:rsidRPr="0080737A" w:rsidTr="006F4E1E">
        <w:trPr>
          <w:trHeight w:val="468"/>
          <w:jc w:val="center"/>
        </w:trPr>
        <w:tc>
          <w:tcPr>
            <w:tcW w:w="3037" w:type="dxa"/>
            <w:vMerge w:val="restart"/>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jc w:val="center"/>
              <w:rPr>
                <w:rFonts w:ascii="Times New Roman" w:hAnsi="Times New Roman"/>
                <w:b/>
              </w:rPr>
            </w:pPr>
            <w:r w:rsidRPr="0080737A">
              <w:rPr>
                <w:rFonts w:ascii="Times New Roman" w:hAnsi="Times New Roman"/>
                <w:b/>
              </w:rPr>
              <w:t>Город, район</w:t>
            </w: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center"/>
              <w:rPr>
                <w:rFonts w:ascii="Times New Roman" w:hAnsi="Times New Roman"/>
                <w:b/>
              </w:rPr>
            </w:pPr>
            <w:r w:rsidRPr="0080737A">
              <w:rPr>
                <w:rFonts w:ascii="Times New Roman" w:hAnsi="Times New Roman"/>
                <w:b/>
              </w:rPr>
              <w:t>Всего</w:t>
            </w: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center"/>
              <w:rPr>
                <w:rFonts w:ascii="Times New Roman" w:hAnsi="Times New Roman"/>
                <w:b/>
              </w:rPr>
            </w:pPr>
            <w:r w:rsidRPr="0080737A">
              <w:rPr>
                <w:rFonts w:ascii="Times New Roman" w:hAnsi="Times New Roman"/>
                <w:b/>
              </w:rPr>
              <w:t>От стационарных источников</w:t>
            </w:r>
          </w:p>
        </w:tc>
        <w:tc>
          <w:tcPr>
            <w:tcW w:w="2068" w:type="dxa"/>
            <w:gridSpan w:val="2"/>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center"/>
              <w:rPr>
                <w:rFonts w:ascii="Times New Roman" w:hAnsi="Times New Roman"/>
                <w:b/>
                <w:sz w:val="24"/>
                <w:szCs w:val="24"/>
              </w:rPr>
            </w:pPr>
            <w:r w:rsidRPr="0080737A">
              <w:rPr>
                <w:rFonts w:ascii="Times New Roman" w:hAnsi="Times New Roman"/>
                <w:b/>
              </w:rPr>
              <w:t>От передвижных источников</w:t>
            </w:r>
          </w:p>
        </w:tc>
      </w:tr>
      <w:tr w:rsidR="006F4E1E" w:rsidRPr="0080737A" w:rsidTr="006F4E1E">
        <w:trPr>
          <w:trHeight w:val="136"/>
          <w:jc w:val="center"/>
        </w:trPr>
        <w:tc>
          <w:tcPr>
            <w:tcW w:w="3037" w:type="dxa"/>
            <w:vMerge/>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rPr>
                <w:rFonts w:ascii="Times New Roman" w:hAnsi="Times New Roman"/>
                <w:b/>
              </w:rPr>
            </w:pP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901829">
            <w:pPr>
              <w:spacing w:after="0" w:line="240" w:lineRule="auto"/>
              <w:ind w:hanging="75"/>
              <w:jc w:val="center"/>
              <w:rPr>
                <w:rFonts w:ascii="Times New Roman" w:hAnsi="Times New Roman"/>
                <w:b/>
              </w:rPr>
            </w:pPr>
            <w:r w:rsidRPr="0080737A">
              <w:rPr>
                <w:rFonts w:ascii="Times New Roman" w:hAnsi="Times New Roman"/>
                <w:b/>
                <w:lang w:val="en-US"/>
              </w:rPr>
              <w:t xml:space="preserve">I </w:t>
            </w:r>
            <w:proofErr w:type="spellStart"/>
            <w:r w:rsidRPr="0080737A">
              <w:rPr>
                <w:rFonts w:ascii="Times New Roman" w:hAnsi="Times New Roman"/>
                <w:b/>
                <w:lang w:val="en-US"/>
              </w:rPr>
              <w:t>полугодие</w:t>
            </w:r>
            <w:proofErr w:type="spellEnd"/>
            <w:r w:rsidR="00901829" w:rsidRPr="0080737A">
              <w:rPr>
                <w:rFonts w:ascii="Times New Roman" w:hAnsi="Times New Roman"/>
                <w:b/>
              </w:rPr>
              <w:t xml:space="preserve"> </w:t>
            </w:r>
            <w:r w:rsidRPr="0080737A">
              <w:rPr>
                <w:rFonts w:ascii="Times New Roman" w:hAnsi="Times New Roman"/>
                <w:b/>
              </w:rPr>
              <w:t>2016г.</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center"/>
              <w:rPr>
                <w:rFonts w:ascii="Times New Roman" w:hAnsi="Times New Roman"/>
                <w:b/>
              </w:rPr>
            </w:pPr>
            <w:r w:rsidRPr="0080737A">
              <w:rPr>
                <w:rFonts w:ascii="Times New Roman" w:hAnsi="Times New Roman"/>
                <w:b/>
              </w:rPr>
              <w:t>в % к 2015г.</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center"/>
              <w:rPr>
                <w:rFonts w:ascii="Times New Roman" w:hAnsi="Times New Roman"/>
                <w:b/>
              </w:rPr>
            </w:pPr>
            <w:r w:rsidRPr="0080737A">
              <w:rPr>
                <w:rFonts w:ascii="Times New Roman" w:hAnsi="Times New Roman"/>
                <w:b/>
                <w:lang w:val="en-US"/>
              </w:rPr>
              <w:t xml:space="preserve">I </w:t>
            </w:r>
            <w:proofErr w:type="spellStart"/>
            <w:r w:rsidRPr="0080737A">
              <w:rPr>
                <w:rFonts w:ascii="Times New Roman" w:hAnsi="Times New Roman"/>
                <w:b/>
                <w:lang w:val="en-US"/>
              </w:rPr>
              <w:t>полугодие</w:t>
            </w:r>
            <w:proofErr w:type="spellEnd"/>
            <w:r w:rsidR="00901829" w:rsidRPr="0080737A">
              <w:rPr>
                <w:rFonts w:ascii="Times New Roman" w:hAnsi="Times New Roman"/>
                <w:b/>
              </w:rPr>
              <w:t xml:space="preserve"> </w:t>
            </w:r>
            <w:r w:rsidRPr="0080737A">
              <w:rPr>
                <w:rFonts w:ascii="Times New Roman" w:hAnsi="Times New Roman"/>
                <w:b/>
              </w:rPr>
              <w:t>2016г.</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center"/>
              <w:rPr>
                <w:rFonts w:ascii="Times New Roman" w:hAnsi="Times New Roman"/>
                <w:b/>
              </w:rPr>
            </w:pPr>
            <w:r w:rsidRPr="0080737A">
              <w:rPr>
                <w:rFonts w:ascii="Times New Roman" w:hAnsi="Times New Roman"/>
                <w:b/>
              </w:rPr>
              <w:t>в % к 2015г.</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center"/>
              <w:rPr>
                <w:rFonts w:ascii="Times New Roman" w:hAnsi="Times New Roman"/>
                <w:b/>
              </w:rPr>
            </w:pPr>
            <w:r w:rsidRPr="0080737A">
              <w:rPr>
                <w:rFonts w:ascii="Times New Roman" w:hAnsi="Times New Roman"/>
                <w:b/>
                <w:lang w:val="en-US"/>
              </w:rPr>
              <w:t xml:space="preserve">I </w:t>
            </w:r>
            <w:proofErr w:type="spellStart"/>
            <w:r w:rsidRPr="0080737A">
              <w:rPr>
                <w:rFonts w:ascii="Times New Roman" w:hAnsi="Times New Roman"/>
                <w:b/>
                <w:lang w:val="en-US"/>
              </w:rPr>
              <w:t>полугодие</w:t>
            </w:r>
            <w:proofErr w:type="spellEnd"/>
            <w:r w:rsidR="00901829" w:rsidRPr="0080737A">
              <w:rPr>
                <w:rFonts w:ascii="Times New Roman" w:hAnsi="Times New Roman"/>
                <w:b/>
              </w:rPr>
              <w:t xml:space="preserve"> </w:t>
            </w:r>
            <w:r w:rsidRPr="0080737A">
              <w:rPr>
                <w:rFonts w:ascii="Times New Roman" w:hAnsi="Times New Roman"/>
                <w:b/>
              </w:rPr>
              <w:t>2016г.</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center"/>
              <w:rPr>
                <w:rFonts w:ascii="Times New Roman" w:hAnsi="Times New Roman"/>
                <w:b/>
              </w:rPr>
            </w:pPr>
            <w:r w:rsidRPr="0080737A">
              <w:rPr>
                <w:rFonts w:ascii="Times New Roman" w:hAnsi="Times New Roman"/>
                <w:b/>
              </w:rPr>
              <w:t>в % к. 2015г.</w:t>
            </w:r>
          </w:p>
        </w:tc>
      </w:tr>
      <w:tr w:rsidR="006F4E1E" w:rsidRPr="0080737A" w:rsidTr="006F4E1E">
        <w:trPr>
          <w:trHeight w:val="241"/>
          <w:jc w:val="center"/>
        </w:trPr>
        <w:tc>
          <w:tcPr>
            <w:tcW w:w="3037"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rPr>
                <w:rFonts w:ascii="Times New Roman" w:hAnsi="Times New Roman"/>
              </w:rPr>
            </w:pPr>
            <w:r w:rsidRPr="0080737A">
              <w:rPr>
                <w:rFonts w:ascii="Times New Roman" w:hAnsi="Times New Roman"/>
              </w:rPr>
              <w:t>г. Тирасполь</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5 395,8</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98,9</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858,3</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105,4</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4 537,5</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97,7</w:t>
            </w:r>
          </w:p>
        </w:tc>
      </w:tr>
      <w:tr w:rsidR="006F4E1E" w:rsidRPr="0080737A" w:rsidTr="006F4E1E">
        <w:trPr>
          <w:trHeight w:val="241"/>
          <w:jc w:val="center"/>
        </w:trPr>
        <w:tc>
          <w:tcPr>
            <w:tcW w:w="3037"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rPr>
                <w:rFonts w:ascii="Times New Roman" w:hAnsi="Times New Roman"/>
              </w:rPr>
            </w:pPr>
            <w:r w:rsidRPr="0080737A">
              <w:rPr>
                <w:rFonts w:ascii="Times New Roman" w:hAnsi="Times New Roman"/>
              </w:rPr>
              <w:t xml:space="preserve">г. </w:t>
            </w:r>
            <w:proofErr w:type="spellStart"/>
            <w:r w:rsidRPr="0080737A">
              <w:rPr>
                <w:rFonts w:ascii="Times New Roman" w:hAnsi="Times New Roman"/>
              </w:rPr>
              <w:t>Днестровск</w:t>
            </w:r>
            <w:proofErr w:type="spellEnd"/>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2 770,3</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94,6</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2 717,0</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94,4</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53,3</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103,9</w:t>
            </w:r>
          </w:p>
        </w:tc>
      </w:tr>
      <w:tr w:rsidR="006F4E1E" w:rsidRPr="0080737A" w:rsidTr="006F4E1E">
        <w:trPr>
          <w:trHeight w:val="468"/>
          <w:jc w:val="center"/>
        </w:trPr>
        <w:tc>
          <w:tcPr>
            <w:tcW w:w="3037"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201" w:right="-21"/>
              <w:rPr>
                <w:rFonts w:ascii="Times New Roman" w:hAnsi="Times New Roman"/>
                <w:i/>
              </w:rPr>
            </w:pPr>
            <w:r w:rsidRPr="0080737A">
              <w:rPr>
                <w:rFonts w:ascii="Times New Roman" w:hAnsi="Times New Roman"/>
                <w:i/>
              </w:rPr>
              <w:t>в том числе:</w:t>
            </w:r>
          </w:p>
          <w:p w:rsidR="006F4E1E" w:rsidRPr="0080737A" w:rsidRDefault="006F4E1E" w:rsidP="006F4E1E">
            <w:pPr>
              <w:spacing w:after="0" w:line="240" w:lineRule="auto"/>
              <w:ind w:left="201" w:right="-21"/>
              <w:rPr>
                <w:rFonts w:ascii="Times New Roman" w:hAnsi="Times New Roman"/>
              </w:rPr>
            </w:pPr>
            <w:r w:rsidRPr="0080737A">
              <w:rPr>
                <w:rFonts w:ascii="Times New Roman" w:hAnsi="Times New Roman"/>
              </w:rPr>
              <w:t>ЗАО «Молдавская ГРЭС"</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2 767,7</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94,6</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2 714,4</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94,4</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53,3</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103,9</w:t>
            </w:r>
          </w:p>
        </w:tc>
      </w:tr>
      <w:tr w:rsidR="006F4E1E" w:rsidRPr="0080737A" w:rsidTr="006F4E1E">
        <w:trPr>
          <w:trHeight w:val="227"/>
          <w:jc w:val="center"/>
        </w:trPr>
        <w:tc>
          <w:tcPr>
            <w:tcW w:w="3037"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rPr>
                <w:rFonts w:ascii="Times New Roman" w:hAnsi="Times New Roman"/>
              </w:rPr>
            </w:pPr>
            <w:r w:rsidRPr="0080737A">
              <w:rPr>
                <w:rFonts w:ascii="Times New Roman" w:hAnsi="Times New Roman"/>
              </w:rPr>
              <w:t>г. Бендеры</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2 595,3</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100,0</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326,7</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100,4</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2 268,6</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99,9</w:t>
            </w:r>
          </w:p>
        </w:tc>
      </w:tr>
      <w:tr w:rsidR="006F4E1E" w:rsidRPr="0080737A" w:rsidTr="006F4E1E">
        <w:trPr>
          <w:trHeight w:val="241"/>
          <w:jc w:val="center"/>
        </w:trPr>
        <w:tc>
          <w:tcPr>
            <w:tcW w:w="3037"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rPr>
                <w:rFonts w:ascii="Times New Roman" w:hAnsi="Times New Roman"/>
              </w:rPr>
            </w:pPr>
            <w:r w:rsidRPr="0080737A">
              <w:rPr>
                <w:rFonts w:ascii="Times New Roman" w:hAnsi="Times New Roman"/>
              </w:rPr>
              <w:t xml:space="preserve">г. Рыбница и </w:t>
            </w:r>
            <w:proofErr w:type="spellStart"/>
            <w:r w:rsidRPr="0080737A">
              <w:rPr>
                <w:rFonts w:ascii="Times New Roman" w:hAnsi="Times New Roman"/>
              </w:rPr>
              <w:t>Рыбницкий</w:t>
            </w:r>
            <w:proofErr w:type="spellEnd"/>
            <w:r w:rsidRPr="0080737A">
              <w:rPr>
                <w:rFonts w:ascii="Times New Roman" w:hAnsi="Times New Roman"/>
              </w:rPr>
              <w:t xml:space="preserve"> р-н</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3 210,1</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64,0</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922,4</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52,8</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2 287,7</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70,0</w:t>
            </w:r>
          </w:p>
        </w:tc>
      </w:tr>
      <w:tr w:rsidR="006F4E1E" w:rsidRPr="0080737A" w:rsidTr="006F4E1E">
        <w:trPr>
          <w:trHeight w:val="241"/>
          <w:jc w:val="center"/>
        </w:trPr>
        <w:tc>
          <w:tcPr>
            <w:tcW w:w="3037"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rPr>
                <w:rFonts w:ascii="Times New Roman" w:hAnsi="Times New Roman"/>
              </w:rPr>
            </w:pPr>
            <w:r w:rsidRPr="0080737A">
              <w:rPr>
                <w:rFonts w:ascii="Times New Roman" w:hAnsi="Times New Roman"/>
              </w:rPr>
              <w:t xml:space="preserve">г. Дубоссары и </w:t>
            </w:r>
            <w:r w:rsidRPr="0080737A">
              <w:rPr>
                <w:rFonts w:ascii="Times New Roman" w:hAnsi="Times New Roman"/>
              </w:rPr>
              <w:br/>
            </w:r>
            <w:proofErr w:type="spellStart"/>
            <w:r w:rsidRPr="0080737A">
              <w:rPr>
                <w:rFonts w:ascii="Times New Roman" w:hAnsi="Times New Roman"/>
              </w:rPr>
              <w:t>Дубоссарский</w:t>
            </w:r>
            <w:proofErr w:type="spellEnd"/>
            <w:r w:rsidRPr="0080737A">
              <w:rPr>
                <w:rFonts w:ascii="Times New Roman" w:hAnsi="Times New Roman"/>
              </w:rPr>
              <w:t xml:space="preserve"> р-н</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1 212,0</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62,2</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61,0</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100,0</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1 151,0</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61,0</w:t>
            </w:r>
          </w:p>
        </w:tc>
      </w:tr>
      <w:tr w:rsidR="006F4E1E" w:rsidRPr="0080737A" w:rsidTr="006F4E1E">
        <w:trPr>
          <w:trHeight w:val="468"/>
          <w:jc w:val="center"/>
        </w:trPr>
        <w:tc>
          <w:tcPr>
            <w:tcW w:w="3037"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rPr>
                <w:rFonts w:ascii="Times New Roman" w:hAnsi="Times New Roman"/>
              </w:rPr>
            </w:pPr>
            <w:r w:rsidRPr="0080737A">
              <w:rPr>
                <w:rFonts w:ascii="Times New Roman" w:hAnsi="Times New Roman"/>
              </w:rPr>
              <w:t xml:space="preserve">г. Григориополь и </w:t>
            </w:r>
            <w:proofErr w:type="spellStart"/>
            <w:r w:rsidRPr="0080737A">
              <w:rPr>
                <w:rFonts w:ascii="Times New Roman" w:hAnsi="Times New Roman"/>
              </w:rPr>
              <w:t>Григориопольский</w:t>
            </w:r>
            <w:proofErr w:type="spellEnd"/>
            <w:r w:rsidRPr="0080737A">
              <w:rPr>
                <w:rFonts w:ascii="Times New Roman" w:hAnsi="Times New Roman"/>
              </w:rPr>
              <w:t xml:space="preserve"> р-н </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793,9</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90,7</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25,6</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62,4</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768,3</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92,1</w:t>
            </w:r>
          </w:p>
        </w:tc>
      </w:tr>
      <w:tr w:rsidR="006F4E1E" w:rsidRPr="0080737A" w:rsidTr="006F4E1E">
        <w:trPr>
          <w:trHeight w:val="227"/>
          <w:jc w:val="center"/>
        </w:trPr>
        <w:tc>
          <w:tcPr>
            <w:tcW w:w="3037"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rPr>
                <w:rFonts w:ascii="Times New Roman" w:hAnsi="Times New Roman"/>
              </w:rPr>
            </w:pPr>
            <w:r w:rsidRPr="0080737A">
              <w:rPr>
                <w:rFonts w:ascii="Times New Roman" w:hAnsi="Times New Roman"/>
              </w:rPr>
              <w:t xml:space="preserve">г. </w:t>
            </w:r>
            <w:proofErr w:type="spellStart"/>
            <w:r w:rsidRPr="0080737A">
              <w:rPr>
                <w:rFonts w:ascii="Times New Roman" w:hAnsi="Times New Roman"/>
              </w:rPr>
              <w:t>Слободзея</w:t>
            </w:r>
            <w:proofErr w:type="spellEnd"/>
            <w:r w:rsidRPr="0080737A">
              <w:rPr>
                <w:rFonts w:ascii="Times New Roman" w:hAnsi="Times New Roman"/>
              </w:rPr>
              <w:t xml:space="preserve"> и </w:t>
            </w:r>
            <w:r w:rsidRPr="0080737A">
              <w:rPr>
                <w:rFonts w:ascii="Times New Roman" w:hAnsi="Times New Roman"/>
              </w:rPr>
              <w:br/>
            </w:r>
            <w:proofErr w:type="spellStart"/>
            <w:r w:rsidRPr="0080737A">
              <w:rPr>
                <w:rFonts w:ascii="Times New Roman" w:hAnsi="Times New Roman"/>
              </w:rPr>
              <w:t>Слободзейский</w:t>
            </w:r>
            <w:proofErr w:type="spellEnd"/>
            <w:r w:rsidRPr="0080737A">
              <w:rPr>
                <w:rFonts w:ascii="Times New Roman" w:hAnsi="Times New Roman"/>
              </w:rPr>
              <w:t xml:space="preserve"> р-н</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3 599,4</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92,8</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489,8</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115,0</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3 109,6</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90,1</w:t>
            </w:r>
          </w:p>
        </w:tc>
      </w:tr>
      <w:tr w:rsidR="006F4E1E" w:rsidRPr="0080737A" w:rsidTr="006F4E1E">
        <w:trPr>
          <w:trHeight w:val="241"/>
          <w:jc w:val="center"/>
        </w:trPr>
        <w:tc>
          <w:tcPr>
            <w:tcW w:w="3037"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left="-65" w:right="-21"/>
              <w:rPr>
                <w:rFonts w:ascii="Times New Roman" w:hAnsi="Times New Roman"/>
              </w:rPr>
            </w:pPr>
            <w:r w:rsidRPr="0080737A">
              <w:rPr>
                <w:rFonts w:ascii="Times New Roman" w:hAnsi="Times New Roman"/>
              </w:rPr>
              <w:t>г. Каменка и Каменский р-н</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Cs/>
              </w:rPr>
            </w:pPr>
            <w:r w:rsidRPr="0080737A">
              <w:rPr>
                <w:rFonts w:ascii="Times New Roman" w:hAnsi="Times New Roman"/>
                <w:bCs/>
              </w:rPr>
              <w:t>459,9</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right="57"/>
              <w:jc w:val="right"/>
              <w:rPr>
                <w:rFonts w:ascii="Times New Roman" w:hAnsi="Times New Roman"/>
              </w:rPr>
            </w:pPr>
            <w:r w:rsidRPr="0080737A">
              <w:rPr>
                <w:rFonts w:ascii="Times New Roman" w:hAnsi="Times New Roman"/>
              </w:rPr>
              <w:t>144,4</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rPr>
            </w:pPr>
            <w:r w:rsidRPr="0080737A">
              <w:rPr>
                <w:rFonts w:ascii="Times New Roman" w:hAnsi="Times New Roman"/>
              </w:rPr>
              <w:t>13,9</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right="57"/>
              <w:jc w:val="right"/>
              <w:rPr>
                <w:rFonts w:ascii="Times New Roman" w:hAnsi="Times New Roman"/>
              </w:rPr>
            </w:pPr>
            <w:r w:rsidRPr="0080737A">
              <w:rPr>
                <w:rFonts w:ascii="Times New Roman" w:hAnsi="Times New Roman"/>
              </w:rPr>
              <w:t>94,6</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rPr>
            </w:pPr>
            <w:r w:rsidRPr="0080737A">
              <w:rPr>
                <w:rFonts w:ascii="Times New Roman" w:hAnsi="Times New Roman"/>
              </w:rPr>
              <w:t>446,0</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right="57"/>
              <w:jc w:val="right"/>
              <w:rPr>
                <w:rFonts w:ascii="Times New Roman" w:hAnsi="Times New Roman"/>
              </w:rPr>
            </w:pPr>
            <w:r w:rsidRPr="0080737A">
              <w:rPr>
                <w:rFonts w:ascii="Times New Roman" w:hAnsi="Times New Roman"/>
              </w:rPr>
              <w:t>146,8</w:t>
            </w:r>
          </w:p>
        </w:tc>
      </w:tr>
      <w:tr w:rsidR="006F4E1E" w:rsidRPr="0080737A" w:rsidTr="006F4E1E">
        <w:trPr>
          <w:trHeight w:val="148"/>
          <w:jc w:val="center"/>
        </w:trPr>
        <w:tc>
          <w:tcPr>
            <w:tcW w:w="3037" w:type="dxa"/>
            <w:tcBorders>
              <w:top w:val="single" w:sz="4" w:space="0" w:color="auto"/>
              <w:left w:val="single" w:sz="4" w:space="0" w:color="auto"/>
              <w:bottom w:val="single" w:sz="4" w:space="0" w:color="auto"/>
              <w:right w:val="single" w:sz="4" w:space="0" w:color="auto"/>
            </w:tcBorders>
            <w:hideMark/>
          </w:tcPr>
          <w:p w:rsidR="006F4E1E" w:rsidRPr="0080737A" w:rsidRDefault="006F4E1E" w:rsidP="006F4E1E">
            <w:pPr>
              <w:spacing w:after="0" w:line="240" w:lineRule="auto"/>
              <w:ind w:left="-65" w:right="-21"/>
              <w:rPr>
                <w:rFonts w:ascii="Times New Roman" w:hAnsi="Times New Roman"/>
                <w:b/>
              </w:rPr>
            </w:pPr>
            <w:r w:rsidRPr="0080737A">
              <w:rPr>
                <w:rFonts w:ascii="Times New Roman" w:hAnsi="Times New Roman"/>
                <w:b/>
              </w:rPr>
              <w:t>Всего</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
                <w:bCs/>
              </w:rPr>
            </w:pPr>
            <w:r w:rsidRPr="0080737A">
              <w:rPr>
                <w:rFonts w:ascii="Times New Roman" w:hAnsi="Times New Roman"/>
                <w:b/>
                <w:bCs/>
              </w:rPr>
              <w:t>20 036,8</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right="57"/>
              <w:jc w:val="right"/>
              <w:rPr>
                <w:rFonts w:ascii="Times New Roman" w:hAnsi="Times New Roman"/>
                <w:b/>
              </w:rPr>
            </w:pPr>
            <w:r w:rsidRPr="0080737A">
              <w:rPr>
                <w:rFonts w:ascii="Times New Roman" w:hAnsi="Times New Roman"/>
                <w:b/>
              </w:rPr>
              <w:t>87,0</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
              </w:rPr>
            </w:pPr>
            <w:r w:rsidRPr="0080737A">
              <w:rPr>
                <w:rFonts w:ascii="Times New Roman" w:hAnsi="Times New Roman"/>
                <w:b/>
              </w:rPr>
              <w:t>5 414,7</w:t>
            </w:r>
          </w:p>
        </w:tc>
        <w:tc>
          <w:tcPr>
            <w:tcW w:w="843"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right="57"/>
              <w:jc w:val="right"/>
              <w:rPr>
                <w:rFonts w:ascii="Times New Roman" w:hAnsi="Times New Roman"/>
                <w:b/>
              </w:rPr>
            </w:pPr>
            <w:r w:rsidRPr="0080737A">
              <w:rPr>
                <w:rFonts w:ascii="Times New Roman" w:hAnsi="Times New Roman"/>
                <w:b/>
              </w:rPr>
              <w:t>85,8</w:t>
            </w:r>
          </w:p>
        </w:tc>
        <w:tc>
          <w:tcPr>
            <w:tcW w:w="1232"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jc w:val="right"/>
              <w:rPr>
                <w:rFonts w:ascii="Times New Roman" w:hAnsi="Times New Roman"/>
                <w:b/>
              </w:rPr>
            </w:pPr>
            <w:r w:rsidRPr="0080737A">
              <w:rPr>
                <w:rFonts w:ascii="Times New Roman" w:hAnsi="Times New Roman"/>
                <w:b/>
              </w:rPr>
              <w:t>14 622,1</w:t>
            </w:r>
          </w:p>
        </w:tc>
        <w:tc>
          <w:tcPr>
            <w:tcW w:w="836" w:type="dxa"/>
            <w:tcBorders>
              <w:top w:val="single" w:sz="4" w:space="0" w:color="auto"/>
              <w:left w:val="single" w:sz="4" w:space="0" w:color="auto"/>
              <w:bottom w:val="single" w:sz="4" w:space="0" w:color="auto"/>
              <w:right w:val="single" w:sz="4" w:space="0" w:color="auto"/>
            </w:tcBorders>
            <w:vAlign w:val="center"/>
            <w:hideMark/>
          </w:tcPr>
          <w:p w:rsidR="006F4E1E" w:rsidRPr="0080737A" w:rsidRDefault="006F4E1E" w:rsidP="006F4E1E">
            <w:pPr>
              <w:spacing w:after="0" w:line="240" w:lineRule="auto"/>
              <w:ind w:right="57"/>
              <w:jc w:val="right"/>
              <w:rPr>
                <w:rFonts w:ascii="Times New Roman" w:hAnsi="Times New Roman"/>
                <w:b/>
              </w:rPr>
            </w:pPr>
            <w:r w:rsidRPr="0080737A">
              <w:rPr>
                <w:rFonts w:ascii="Times New Roman" w:hAnsi="Times New Roman"/>
                <w:b/>
              </w:rPr>
              <w:t>87,5</w:t>
            </w:r>
          </w:p>
        </w:tc>
      </w:tr>
    </w:tbl>
    <w:p w:rsidR="006F4E1E" w:rsidRPr="0080737A" w:rsidRDefault="006F4E1E" w:rsidP="006F4E1E">
      <w:pPr>
        <w:spacing w:after="0" w:line="240" w:lineRule="auto"/>
        <w:ind w:firstLine="709"/>
        <w:jc w:val="both"/>
        <w:rPr>
          <w:rFonts w:ascii="Times New Roman" w:hAnsi="Times New Roman"/>
          <w:sz w:val="24"/>
          <w:szCs w:val="24"/>
        </w:rPr>
      </w:pPr>
    </w:p>
    <w:p w:rsidR="006F4E1E" w:rsidRPr="0080737A" w:rsidRDefault="006F4E1E" w:rsidP="006F4E1E">
      <w:pPr>
        <w:spacing w:after="0" w:line="240" w:lineRule="auto"/>
        <w:ind w:firstLine="720"/>
        <w:jc w:val="both"/>
        <w:rPr>
          <w:rFonts w:ascii="Times New Roman" w:hAnsi="Times New Roman"/>
          <w:spacing w:val="6"/>
          <w:sz w:val="24"/>
          <w:szCs w:val="24"/>
        </w:rPr>
      </w:pPr>
      <w:r w:rsidRPr="0080737A">
        <w:rPr>
          <w:rFonts w:ascii="Times New Roman" w:hAnsi="Times New Roman"/>
          <w:spacing w:val="6"/>
          <w:sz w:val="24"/>
          <w:szCs w:val="24"/>
        </w:rPr>
        <w:t>Совокупный объем выброшенных вредных веществ в атмосферу</w:t>
      </w:r>
      <w:r w:rsidR="00557D3D" w:rsidRPr="0080737A">
        <w:rPr>
          <w:rFonts w:ascii="Times New Roman" w:hAnsi="Times New Roman"/>
          <w:spacing w:val="6"/>
          <w:sz w:val="24"/>
          <w:szCs w:val="24"/>
        </w:rPr>
        <w:t xml:space="preserve"> </w:t>
      </w:r>
      <w:r w:rsidRPr="0080737A">
        <w:rPr>
          <w:rFonts w:ascii="Times New Roman" w:hAnsi="Times New Roman"/>
          <w:i/>
          <w:spacing w:val="6"/>
          <w:sz w:val="24"/>
          <w:szCs w:val="24"/>
        </w:rPr>
        <w:t xml:space="preserve">от стационарных источников </w:t>
      </w:r>
      <w:r w:rsidRPr="0080737A">
        <w:rPr>
          <w:rFonts w:ascii="Times New Roman" w:hAnsi="Times New Roman"/>
          <w:spacing w:val="6"/>
          <w:sz w:val="24"/>
          <w:szCs w:val="24"/>
        </w:rPr>
        <w:t xml:space="preserve">сократился на 14,2% к уровню I полугодия 2015 года, составив 5 414,7 тонн. По всем городам и районам, за исключением г. Тирасполь, г. Бендеры и </w:t>
      </w:r>
      <w:proofErr w:type="spellStart"/>
      <w:r w:rsidRPr="0080737A">
        <w:rPr>
          <w:rFonts w:ascii="Times New Roman" w:hAnsi="Times New Roman"/>
          <w:spacing w:val="6"/>
          <w:sz w:val="24"/>
          <w:szCs w:val="24"/>
        </w:rPr>
        <w:t>г</w:t>
      </w:r>
      <w:proofErr w:type="gramStart"/>
      <w:r w:rsidRPr="0080737A">
        <w:rPr>
          <w:rFonts w:ascii="Times New Roman" w:hAnsi="Times New Roman"/>
          <w:spacing w:val="6"/>
          <w:sz w:val="24"/>
          <w:szCs w:val="24"/>
        </w:rPr>
        <w:t>.</w:t>
      </w:r>
      <w:r w:rsidRPr="0080737A">
        <w:rPr>
          <w:rFonts w:ascii="Times New Roman" w:hAnsi="Times New Roman"/>
        </w:rPr>
        <w:t>С</w:t>
      </w:r>
      <w:proofErr w:type="gramEnd"/>
      <w:r w:rsidRPr="0080737A">
        <w:rPr>
          <w:rFonts w:ascii="Times New Roman" w:hAnsi="Times New Roman"/>
        </w:rPr>
        <w:t>лободзея</w:t>
      </w:r>
      <w:proofErr w:type="spellEnd"/>
      <w:r w:rsidRPr="0080737A">
        <w:rPr>
          <w:rFonts w:ascii="Times New Roman" w:hAnsi="Times New Roman"/>
        </w:rPr>
        <w:t xml:space="preserve"> и </w:t>
      </w:r>
      <w:proofErr w:type="spellStart"/>
      <w:r w:rsidRPr="0080737A">
        <w:rPr>
          <w:rFonts w:ascii="Times New Roman" w:hAnsi="Times New Roman"/>
        </w:rPr>
        <w:t>Слободзейского</w:t>
      </w:r>
      <w:proofErr w:type="spellEnd"/>
      <w:r w:rsidRPr="0080737A">
        <w:rPr>
          <w:rFonts w:ascii="Times New Roman" w:hAnsi="Times New Roman"/>
        </w:rPr>
        <w:t xml:space="preserve"> района</w:t>
      </w:r>
      <w:r w:rsidRPr="0080737A">
        <w:rPr>
          <w:rFonts w:ascii="Times New Roman" w:hAnsi="Times New Roman"/>
          <w:spacing w:val="6"/>
          <w:sz w:val="24"/>
          <w:szCs w:val="24"/>
        </w:rPr>
        <w:t xml:space="preserve"> отмечено уменьшение выбросов вредных веществ в атмосферу от стационарных источников.</w:t>
      </w:r>
    </w:p>
    <w:p w:rsidR="006F4E1E" w:rsidRPr="0080737A" w:rsidRDefault="006F4E1E" w:rsidP="006F4E1E">
      <w:pPr>
        <w:spacing w:after="0" w:line="240" w:lineRule="auto"/>
        <w:ind w:firstLine="720"/>
        <w:jc w:val="both"/>
        <w:rPr>
          <w:rFonts w:ascii="Times New Roman" w:eastAsia="Calibri" w:hAnsi="Times New Roman"/>
          <w:sz w:val="24"/>
          <w:szCs w:val="24"/>
        </w:rPr>
      </w:pPr>
      <w:r w:rsidRPr="0080737A">
        <w:rPr>
          <w:rFonts w:ascii="Times New Roman" w:eastAsia="Calibri" w:hAnsi="Times New Roman"/>
          <w:sz w:val="24"/>
          <w:szCs w:val="24"/>
        </w:rPr>
        <w:t>Сокращение выпуска продукции на ведущем</w:t>
      </w:r>
      <w:r w:rsidR="00557D3D" w:rsidRPr="0080737A">
        <w:rPr>
          <w:rFonts w:ascii="Times New Roman" w:eastAsia="Calibri" w:hAnsi="Times New Roman"/>
          <w:sz w:val="24"/>
          <w:szCs w:val="24"/>
        </w:rPr>
        <w:t xml:space="preserve"> </w:t>
      </w:r>
      <w:r w:rsidRPr="0080737A">
        <w:rPr>
          <w:rFonts w:ascii="Times New Roman" w:eastAsia="Calibri" w:hAnsi="Times New Roman"/>
          <w:sz w:val="24"/>
          <w:szCs w:val="24"/>
        </w:rPr>
        <w:t>промышленном предприятии</w:t>
      </w:r>
      <w:r w:rsidR="00557D3D" w:rsidRPr="0080737A">
        <w:rPr>
          <w:rFonts w:ascii="Times New Roman" w:eastAsia="Calibri" w:hAnsi="Times New Roman"/>
          <w:sz w:val="24"/>
          <w:szCs w:val="24"/>
        </w:rPr>
        <w:t xml:space="preserve"> </w:t>
      </w:r>
      <w:proofErr w:type="gramStart"/>
      <w:r w:rsidRPr="0080737A">
        <w:rPr>
          <w:rFonts w:ascii="Times New Roman" w:hAnsi="Times New Roman"/>
          <w:spacing w:val="6"/>
          <w:sz w:val="24"/>
          <w:szCs w:val="24"/>
        </w:rPr>
        <w:t>г</w:t>
      </w:r>
      <w:proofErr w:type="gramEnd"/>
      <w:r w:rsidRPr="0080737A">
        <w:rPr>
          <w:rFonts w:ascii="Times New Roman" w:hAnsi="Times New Roman"/>
          <w:spacing w:val="6"/>
          <w:sz w:val="24"/>
          <w:szCs w:val="24"/>
        </w:rPr>
        <w:t xml:space="preserve">. Рыбница и </w:t>
      </w:r>
      <w:proofErr w:type="spellStart"/>
      <w:r w:rsidRPr="0080737A">
        <w:rPr>
          <w:rFonts w:ascii="Times New Roman" w:hAnsi="Times New Roman"/>
          <w:spacing w:val="6"/>
          <w:sz w:val="24"/>
          <w:szCs w:val="24"/>
        </w:rPr>
        <w:t>Рыбницкого</w:t>
      </w:r>
      <w:proofErr w:type="spellEnd"/>
      <w:r w:rsidRPr="0080737A">
        <w:rPr>
          <w:rFonts w:ascii="Times New Roman" w:hAnsi="Times New Roman"/>
          <w:spacing w:val="6"/>
          <w:sz w:val="24"/>
          <w:szCs w:val="24"/>
        </w:rPr>
        <w:t xml:space="preserve"> района</w:t>
      </w:r>
      <w:r w:rsidRPr="0080737A">
        <w:rPr>
          <w:rFonts w:ascii="Times New Roman" w:eastAsia="Calibri" w:hAnsi="Times New Roman"/>
          <w:sz w:val="24"/>
          <w:szCs w:val="24"/>
        </w:rPr>
        <w:t xml:space="preserve"> ОАО «Молдавский металлургический завод» обусловило снижение количества выбросов стационарных источников данного предприятия до 406,1 тонн, против 1 269 тонны в январе-июне 2015 года.</w:t>
      </w:r>
    </w:p>
    <w:p w:rsidR="006F4E1E" w:rsidRPr="0080737A" w:rsidRDefault="006F4E1E" w:rsidP="006F4E1E">
      <w:pPr>
        <w:spacing w:after="0" w:line="240" w:lineRule="auto"/>
        <w:ind w:firstLine="709"/>
        <w:jc w:val="both"/>
        <w:rPr>
          <w:rFonts w:ascii="Times New Roman" w:hAnsi="Times New Roman"/>
          <w:spacing w:val="6"/>
          <w:sz w:val="24"/>
          <w:szCs w:val="24"/>
        </w:rPr>
      </w:pPr>
      <w:r w:rsidRPr="0080737A">
        <w:rPr>
          <w:rFonts w:ascii="Times New Roman" w:hAnsi="Times New Roman"/>
          <w:spacing w:val="6"/>
          <w:sz w:val="24"/>
          <w:szCs w:val="24"/>
        </w:rPr>
        <w:t>Также,</w:t>
      </w:r>
      <w:r w:rsidR="00557D3D" w:rsidRPr="0080737A">
        <w:rPr>
          <w:rFonts w:ascii="Times New Roman" w:hAnsi="Times New Roman"/>
          <w:spacing w:val="6"/>
          <w:sz w:val="24"/>
          <w:szCs w:val="24"/>
        </w:rPr>
        <w:t xml:space="preserve"> </w:t>
      </w:r>
      <w:r w:rsidRPr="0080737A">
        <w:rPr>
          <w:rFonts w:ascii="Times New Roman" w:hAnsi="Times New Roman"/>
          <w:spacing w:val="6"/>
          <w:sz w:val="24"/>
          <w:szCs w:val="24"/>
        </w:rPr>
        <w:t xml:space="preserve">уменьшение выбросов загрязняющих веществ в атмосферу от стационарных источников зафиксировано по </w:t>
      </w:r>
      <w:proofErr w:type="gramStart"/>
      <w:r w:rsidRPr="0080737A">
        <w:rPr>
          <w:rFonts w:ascii="Times New Roman" w:hAnsi="Times New Roman"/>
          <w:spacing w:val="6"/>
          <w:sz w:val="24"/>
          <w:szCs w:val="24"/>
        </w:rPr>
        <w:t>г</w:t>
      </w:r>
      <w:proofErr w:type="gramEnd"/>
      <w:r w:rsidRPr="0080737A">
        <w:rPr>
          <w:rFonts w:ascii="Times New Roman" w:hAnsi="Times New Roman"/>
          <w:spacing w:val="6"/>
          <w:sz w:val="24"/>
          <w:szCs w:val="24"/>
        </w:rPr>
        <w:t xml:space="preserve">. </w:t>
      </w:r>
      <w:proofErr w:type="spellStart"/>
      <w:r w:rsidRPr="0080737A">
        <w:rPr>
          <w:rFonts w:ascii="Times New Roman" w:hAnsi="Times New Roman"/>
          <w:spacing w:val="6"/>
          <w:sz w:val="24"/>
          <w:szCs w:val="24"/>
        </w:rPr>
        <w:t>Днестровск</w:t>
      </w:r>
      <w:proofErr w:type="spellEnd"/>
      <w:r w:rsidRPr="0080737A">
        <w:rPr>
          <w:rFonts w:ascii="Times New Roman" w:hAnsi="Times New Roman"/>
          <w:spacing w:val="6"/>
          <w:sz w:val="24"/>
          <w:szCs w:val="24"/>
        </w:rPr>
        <w:t xml:space="preserve"> («-»5,6%), за счет снижения выработки электроэнергии на ЗАО «Молдавская ГРЭС», что в свою очередь вызвало уменьшение потребления газообразного топлива и мазута и как следствие привело к снижению выбросов в атмосферу.</w:t>
      </w:r>
    </w:p>
    <w:p w:rsidR="006F4E1E" w:rsidRPr="0080737A" w:rsidRDefault="006F4E1E" w:rsidP="006F4E1E">
      <w:pPr>
        <w:spacing w:after="0" w:line="240" w:lineRule="auto"/>
        <w:ind w:firstLine="709"/>
        <w:jc w:val="both"/>
        <w:rPr>
          <w:rFonts w:ascii="Times New Roman" w:hAnsi="Times New Roman"/>
          <w:spacing w:val="6"/>
          <w:sz w:val="24"/>
          <w:szCs w:val="24"/>
        </w:rPr>
      </w:pPr>
      <w:r w:rsidRPr="0080737A">
        <w:rPr>
          <w:rFonts w:ascii="Times New Roman" w:hAnsi="Times New Roman"/>
          <w:spacing w:val="6"/>
          <w:sz w:val="24"/>
          <w:szCs w:val="24"/>
        </w:rPr>
        <w:lastRenderedPageBreak/>
        <w:t xml:space="preserve">Преобладающее влияние на уровень загрязнения атмосферы городов и районам республики оказывают выбросы </w:t>
      </w:r>
      <w:r w:rsidRPr="0080737A">
        <w:rPr>
          <w:rFonts w:ascii="Times New Roman" w:hAnsi="Times New Roman"/>
          <w:i/>
          <w:spacing w:val="6"/>
          <w:sz w:val="24"/>
          <w:szCs w:val="24"/>
        </w:rPr>
        <w:t>от передвижных источников</w:t>
      </w:r>
      <w:r w:rsidR="00557D3D" w:rsidRPr="0080737A">
        <w:rPr>
          <w:rFonts w:ascii="Times New Roman" w:hAnsi="Times New Roman"/>
          <w:i/>
          <w:spacing w:val="6"/>
          <w:sz w:val="24"/>
          <w:szCs w:val="24"/>
        </w:rPr>
        <w:t xml:space="preserve"> </w:t>
      </w:r>
      <w:r w:rsidRPr="0080737A">
        <w:rPr>
          <w:rFonts w:ascii="Times New Roman" w:hAnsi="Times New Roman"/>
          <w:i/>
          <w:spacing w:val="6"/>
          <w:sz w:val="24"/>
          <w:szCs w:val="24"/>
        </w:rPr>
        <w:t>(автотранспорта)</w:t>
      </w:r>
      <w:r w:rsidR="00557D3D" w:rsidRPr="0080737A">
        <w:rPr>
          <w:rFonts w:ascii="Times New Roman" w:hAnsi="Times New Roman"/>
          <w:i/>
          <w:spacing w:val="6"/>
          <w:sz w:val="24"/>
          <w:szCs w:val="24"/>
        </w:rPr>
        <w:t xml:space="preserve"> </w:t>
      </w:r>
      <w:r w:rsidRPr="0080737A">
        <w:rPr>
          <w:rFonts w:ascii="Times New Roman" w:hAnsi="Times New Roman"/>
          <w:spacing w:val="6"/>
          <w:sz w:val="24"/>
          <w:szCs w:val="24"/>
        </w:rPr>
        <w:t>(73,0% от общего количества выбросов по республике). При этом объем данных выбросов в I полугодии 2016 года снизился по отношению к базовому уровню 2015 года на</w:t>
      </w:r>
      <w:r w:rsidR="00557D3D" w:rsidRPr="0080737A">
        <w:rPr>
          <w:rFonts w:ascii="Times New Roman" w:hAnsi="Times New Roman"/>
          <w:spacing w:val="6"/>
          <w:sz w:val="24"/>
          <w:szCs w:val="24"/>
        </w:rPr>
        <w:t xml:space="preserve"> 12,5%, составив 14 622,1 тонн.</w:t>
      </w:r>
    </w:p>
    <w:p w:rsidR="006F4E1E" w:rsidRPr="0080737A" w:rsidRDefault="006F4E1E" w:rsidP="006F4E1E">
      <w:pPr>
        <w:spacing w:after="0" w:line="240" w:lineRule="auto"/>
        <w:ind w:firstLine="709"/>
        <w:jc w:val="both"/>
        <w:rPr>
          <w:rFonts w:ascii="Times New Roman" w:hAnsi="Times New Roman"/>
          <w:spacing w:val="6"/>
          <w:sz w:val="24"/>
          <w:szCs w:val="24"/>
        </w:rPr>
      </w:pPr>
    </w:p>
    <w:p w:rsidR="006F4E1E" w:rsidRPr="0080737A" w:rsidRDefault="006F4E1E" w:rsidP="006F4E1E">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 xml:space="preserve">Структура выбросов вредных веществ </w:t>
      </w:r>
    </w:p>
    <w:p w:rsidR="006F4E1E" w:rsidRPr="0080737A" w:rsidRDefault="006F4E1E" w:rsidP="006F4E1E">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в атмосферный воздух ( тыс. тонн</w:t>
      </w:r>
      <w:proofErr w:type="gramStart"/>
      <w:r w:rsidRPr="0080737A">
        <w:rPr>
          <w:rFonts w:ascii="Times New Roman" w:hAnsi="Times New Roman"/>
          <w:b/>
          <w:sz w:val="24"/>
          <w:szCs w:val="24"/>
        </w:rPr>
        <w:t>; %)</w:t>
      </w:r>
      <w:proofErr w:type="gramEnd"/>
    </w:p>
    <w:p w:rsidR="006F4E1E" w:rsidRPr="0080737A" w:rsidRDefault="006F4E1E" w:rsidP="006F4E1E">
      <w:pPr>
        <w:spacing w:after="0" w:line="240" w:lineRule="auto"/>
        <w:ind w:left="-567"/>
        <w:jc w:val="center"/>
        <w:rPr>
          <w:rFonts w:ascii="Times New Roman" w:hAnsi="Times New Roman"/>
          <w:b/>
          <w:sz w:val="24"/>
          <w:szCs w:val="24"/>
        </w:rPr>
      </w:pPr>
      <w:r w:rsidRPr="0080737A">
        <w:rPr>
          <w:b/>
          <w:noProof/>
        </w:rPr>
        <w:drawing>
          <wp:inline distT="0" distB="0" distL="0" distR="0">
            <wp:extent cx="3867150" cy="2047875"/>
            <wp:effectExtent l="19050" t="0" r="0" b="0"/>
            <wp:docPr id="13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80737A">
        <w:rPr>
          <w:b/>
          <w:noProof/>
        </w:rPr>
        <w:drawing>
          <wp:inline distT="0" distB="0" distL="0" distR="0">
            <wp:extent cx="2133600" cy="2076450"/>
            <wp:effectExtent l="19050" t="0" r="0" b="0"/>
            <wp:docPr id="13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pacing w:val="5"/>
          <w:sz w:val="24"/>
          <w:szCs w:val="24"/>
        </w:rPr>
        <w:t>Вследствие сокращения объемов реализации топлива и газа автозаправочными станциями и автомобильными газонаполнительными компрессорными станциями,</w:t>
      </w:r>
      <w:r w:rsidRPr="0080737A">
        <w:rPr>
          <w:rFonts w:ascii="Times New Roman" w:hAnsi="Times New Roman"/>
          <w:sz w:val="24"/>
          <w:szCs w:val="24"/>
        </w:rPr>
        <w:t xml:space="preserve"> практически по всем </w:t>
      </w:r>
      <w:r w:rsidRPr="0080737A">
        <w:rPr>
          <w:rFonts w:ascii="Times New Roman" w:hAnsi="Times New Roman"/>
          <w:spacing w:val="5"/>
          <w:sz w:val="24"/>
          <w:szCs w:val="24"/>
        </w:rPr>
        <w:t>административным единицам</w:t>
      </w:r>
      <w:r w:rsidR="00557D3D" w:rsidRPr="0080737A">
        <w:rPr>
          <w:rFonts w:ascii="Times New Roman" w:hAnsi="Times New Roman"/>
          <w:spacing w:val="5"/>
          <w:sz w:val="24"/>
          <w:szCs w:val="24"/>
        </w:rPr>
        <w:t xml:space="preserve"> </w:t>
      </w:r>
      <w:r w:rsidRPr="0080737A">
        <w:rPr>
          <w:rFonts w:ascii="Times New Roman" w:hAnsi="Times New Roman"/>
          <w:spacing w:val="5"/>
          <w:sz w:val="24"/>
          <w:szCs w:val="24"/>
        </w:rPr>
        <w:t xml:space="preserve">Республики зафиксировано снижение уровня выбросов от передвижных источников. Однако, </w:t>
      </w:r>
      <w:r w:rsidRPr="0080737A">
        <w:rPr>
          <w:rFonts w:ascii="Times New Roman" w:hAnsi="Times New Roman"/>
          <w:sz w:val="24"/>
          <w:szCs w:val="24"/>
        </w:rPr>
        <w:t>за счет увеличения количества транспортных средств, а также ухудшения их общего технического состояния, повышение</w:t>
      </w:r>
      <w:r w:rsidR="00557D3D" w:rsidRPr="0080737A">
        <w:rPr>
          <w:rFonts w:ascii="Times New Roman" w:hAnsi="Times New Roman"/>
          <w:sz w:val="24"/>
          <w:szCs w:val="24"/>
        </w:rPr>
        <w:t xml:space="preserve"> </w:t>
      </w:r>
      <w:r w:rsidRPr="0080737A">
        <w:rPr>
          <w:rFonts w:ascii="Times New Roman" w:hAnsi="Times New Roman"/>
          <w:sz w:val="24"/>
          <w:szCs w:val="24"/>
        </w:rPr>
        <w:t xml:space="preserve">уровня вредных выбросов </w:t>
      </w:r>
      <w:r w:rsidRPr="0080737A">
        <w:rPr>
          <w:rFonts w:ascii="Times New Roman" w:hAnsi="Times New Roman"/>
          <w:spacing w:val="6"/>
          <w:sz w:val="24"/>
          <w:szCs w:val="24"/>
        </w:rPr>
        <w:t xml:space="preserve">от передвижных источников </w:t>
      </w:r>
      <w:r w:rsidRPr="0080737A">
        <w:rPr>
          <w:rFonts w:ascii="Times New Roman" w:hAnsi="Times New Roman"/>
          <w:sz w:val="24"/>
          <w:szCs w:val="24"/>
        </w:rPr>
        <w:t xml:space="preserve">наблюдается по </w:t>
      </w:r>
      <w:proofErr w:type="gramStart"/>
      <w:r w:rsidRPr="0080737A">
        <w:rPr>
          <w:rFonts w:ascii="Times New Roman" w:hAnsi="Times New Roman"/>
        </w:rPr>
        <w:t>г</w:t>
      </w:r>
      <w:proofErr w:type="gramEnd"/>
      <w:r w:rsidRPr="0080737A">
        <w:rPr>
          <w:rFonts w:ascii="Times New Roman" w:hAnsi="Times New Roman"/>
        </w:rPr>
        <w:t>. Каменка и Каменскому району</w:t>
      </w:r>
      <w:r w:rsidRPr="0080737A">
        <w:rPr>
          <w:rFonts w:ascii="Times New Roman" w:hAnsi="Times New Roman"/>
          <w:sz w:val="24"/>
          <w:szCs w:val="24"/>
        </w:rPr>
        <w:t xml:space="preserve"> (на 46,8%) и г.</w:t>
      </w:r>
      <w:r w:rsidRPr="0080737A">
        <w:rPr>
          <w:rFonts w:ascii="Times New Roman" w:hAnsi="Times New Roman"/>
          <w:sz w:val="24"/>
          <w:szCs w:val="24"/>
          <w:lang w:val="en-US"/>
        </w:rPr>
        <w:t> </w:t>
      </w:r>
      <w:proofErr w:type="spellStart"/>
      <w:r w:rsidRPr="0080737A">
        <w:rPr>
          <w:rFonts w:ascii="Times New Roman" w:hAnsi="Times New Roman"/>
          <w:sz w:val="24"/>
          <w:szCs w:val="24"/>
        </w:rPr>
        <w:t>Днестровск</w:t>
      </w:r>
      <w:proofErr w:type="spellEnd"/>
      <w:r w:rsidRPr="0080737A">
        <w:rPr>
          <w:rFonts w:ascii="Times New Roman" w:hAnsi="Times New Roman"/>
          <w:sz w:val="24"/>
          <w:szCs w:val="24"/>
        </w:rPr>
        <w:t xml:space="preserve"> (на 3,9%).</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Одним из приоритетных направлений деятельности в сфере охраны окружающей среды является планирование рационального использования, </w:t>
      </w:r>
      <w:r w:rsidRPr="0080737A">
        <w:rPr>
          <w:rFonts w:ascii="Times New Roman" w:hAnsi="Times New Roman"/>
          <w:b/>
          <w:sz w:val="24"/>
          <w:szCs w:val="24"/>
        </w:rPr>
        <w:t xml:space="preserve">восстановления и охраны водных и рыбных ресурсов. </w:t>
      </w:r>
      <w:r w:rsidRPr="0080737A">
        <w:rPr>
          <w:rFonts w:ascii="Times New Roman" w:hAnsi="Times New Roman"/>
          <w:sz w:val="24"/>
          <w:szCs w:val="24"/>
        </w:rPr>
        <w:t>Так, по итогам шести месяцев 2016 года в целях рационального использования и охраны водных ресурсов были проведены следующие мероприятия:</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а)</w:t>
      </w:r>
      <w:r w:rsidRPr="0080737A">
        <w:rPr>
          <w:rFonts w:ascii="Times New Roman" w:hAnsi="Times New Roman"/>
          <w:sz w:val="24"/>
          <w:szCs w:val="24"/>
        </w:rPr>
        <w:tab/>
        <w:t>установлено 1 103 лимита водопользования, что на 47,3% выше базисного показателя;</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б)</w:t>
      </w:r>
      <w:r w:rsidRPr="0080737A">
        <w:rPr>
          <w:rFonts w:ascii="Times New Roman" w:hAnsi="Times New Roman"/>
          <w:sz w:val="24"/>
          <w:szCs w:val="24"/>
        </w:rPr>
        <w:tab/>
        <w:t xml:space="preserve">выдано разрешений на специальное водопользование 43 объектам, что больше по сравнению с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полугодием 2015 года на 53,6%;</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в)</w:t>
      </w:r>
      <w:r w:rsidRPr="0080737A">
        <w:rPr>
          <w:rFonts w:ascii="Times New Roman" w:hAnsi="Times New Roman"/>
          <w:sz w:val="24"/>
          <w:szCs w:val="24"/>
        </w:rPr>
        <w:tab/>
        <w:t xml:space="preserve">проведена государственная экспертиза </w:t>
      </w:r>
      <w:proofErr w:type="spellStart"/>
      <w:r w:rsidRPr="0080737A">
        <w:rPr>
          <w:rFonts w:ascii="Times New Roman" w:hAnsi="Times New Roman"/>
          <w:sz w:val="24"/>
          <w:szCs w:val="24"/>
        </w:rPr>
        <w:t>предпроектной</w:t>
      </w:r>
      <w:proofErr w:type="spellEnd"/>
      <w:r w:rsidRPr="0080737A">
        <w:rPr>
          <w:rFonts w:ascii="Times New Roman" w:hAnsi="Times New Roman"/>
          <w:sz w:val="24"/>
          <w:szCs w:val="24"/>
        </w:rPr>
        <w:t xml:space="preserve"> и проектной документации на строительство и</w:t>
      </w:r>
      <w:r w:rsidR="00557D3D" w:rsidRPr="0080737A">
        <w:rPr>
          <w:rFonts w:ascii="Times New Roman" w:hAnsi="Times New Roman"/>
          <w:sz w:val="24"/>
          <w:szCs w:val="24"/>
        </w:rPr>
        <w:t xml:space="preserve"> </w:t>
      </w:r>
      <w:r w:rsidRPr="0080737A">
        <w:rPr>
          <w:rFonts w:ascii="Times New Roman" w:hAnsi="Times New Roman"/>
          <w:sz w:val="24"/>
          <w:szCs w:val="24"/>
        </w:rPr>
        <w:t>реконструкцию хозяйственных и других объектов, влияющих на состояние водных объектов по 65 объектам, против 49 в базовом периоде минувшего года;</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г)</w:t>
      </w:r>
      <w:r w:rsidRPr="0080737A">
        <w:rPr>
          <w:rFonts w:ascii="Times New Roman" w:hAnsi="Times New Roman"/>
          <w:sz w:val="24"/>
          <w:szCs w:val="24"/>
        </w:rPr>
        <w:tab/>
        <w:t>опломбировано первичных приборов учета забираемой воды водопользователей на 36 объектах, что 89,5% больше января-июня 2015 года;</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proofErr w:type="spellStart"/>
      <w:r w:rsidRPr="0080737A">
        <w:rPr>
          <w:rFonts w:ascii="Times New Roman" w:hAnsi="Times New Roman"/>
          <w:sz w:val="24"/>
          <w:szCs w:val="24"/>
        </w:rPr>
        <w:t>д</w:t>
      </w:r>
      <w:proofErr w:type="spellEnd"/>
      <w:r w:rsidRPr="0080737A">
        <w:rPr>
          <w:rFonts w:ascii="Times New Roman" w:hAnsi="Times New Roman"/>
          <w:sz w:val="24"/>
          <w:szCs w:val="24"/>
        </w:rPr>
        <w:t>)</w:t>
      </w:r>
      <w:r w:rsidRPr="0080737A">
        <w:rPr>
          <w:rFonts w:ascii="Times New Roman" w:hAnsi="Times New Roman"/>
          <w:sz w:val="24"/>
          <w:szCs w:val="24"/>
        </w:rPr>
        <w:tab/>
        <w:t>в рамках выполнения мероприятий, направленных на сохранение, поддержание и увеличение рыбных запасов было проведено зарыбление</w:t>
      </w:r>
      <w:r w:rsidR="00901829" w:rsidRPr="0080737A">
        <w:rPr>
          <w:rFonts w:ascii="Times New Roman" w:hAnsi="Times New Roman"/>
          <w:sz w:val="24"/>
          <w:szCs w:val="24"/>
        </w:rPr>
        <w:t xml:space="preserve"> </w:t>
      </w:r>
      <w:proofErr w:type="spellStart"/>
      <w:r w:rsidRPr="0080737A">
        <w:rPr>
          <w:rFonts w:ascii="Times New Roman" w:hAnsi="Times New Roman"/>
          <w:sz w:val="24"/>
          <w:szCs w:val="24"/>
        </w:rPr>
        <w:t>рыбохозяйственных</w:t>
      </w:r>
      <w:proofErr w:type="spellEnd"/>
      <w:r w:rsidRPr="0080737A">
        <w:rPr>
          <w:rFonts w:ascii="Times New Roman" w:hAnsi="Times New Roman"/>
          <w:sz w:val="24"/>
          <w:szCs w:val="24"/>
        </w:rPr>
        <w:t xml:space="preserve"> водоемов разновозрастными группами промысловых видов рыб (белый и пестрый толстолобик, белый амур, карп карась, судак, лещ, тарань) общим весом 24 550,1 кг в количестве</w:t>
      </w:r>
      <w:r w:rsidR="00557D3D" w:rsidRPr="0080737A">
        <w:rPr>
          <w:rFonts w:ascii="Times New Roman" w:hAnsi="Times New Roman"/>
          <w:sz w:val="24"/>
          <w:szCs w:val="24"/>
        </w:rPr>
        <w:t xml:space="preserve"> </w:t>
      </w:r>
      <w:r w:rsidRPr="0080737A">
        <w:rPr>
          <w:rFonts w:ascii="Times New Roman" w:hAnsi="Times New Roman"/>
          <w:sz w:val="24"/>
          <w:szCs w:val="24"/>
        </w:rPr>
        <w:t>9 090,3 тыс. шт., в том числе:</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t>пользователями, осуществляющими промысловое рыболовство, во исполнение договорных обязатель</w:t>
      </w:r>
      <w:proofErr w:type="gramStart"/>
      <w:r w:rsidRPr="0080737A">
        <w:rPr>
          <w:rFonts w:ascii="Times New Roman" w:hAnsi="Times New Roman"/>
          <w:sz w:val="24"/>
          <w:szCs w:val="24"/>
        </w:rPr>
        <w:t>ств пр</w:t>
      </w:r>
      <w:proofErr w:type="gramEnd"/>
      <w:r w:rsidRPr="0080737A">
        <w:rPr>
          <w:rFonts w:ascii="Times New Roman" w:hAnsi="Times New Roman"/>
          <w:sz w:val="24"/>
          <w:szCs w:val="24"/>
        </w:rPr>
        <w:t>оведены работы по компенсационному зарыблению (под квоту вылова) реки Днестр, протоки</w:t>
      </w:r>
      <w:r w:rsidR="00901829" w:rsidRPr="0080737A">
        <w:rPr>
          <w:rFonts w:ascii="Times New Roman" w:hAnsi="Times New Roman"/>
          <w:sz w:val="24"/>
          <w:szCs w:val="24"/>
        </w:rPr>
        <w:t xml:space="preserve"> </w:t>
      </w:r>
      <w:proofErr w:type="spellStart"/>
      <w:r w:rsidRPr="0080737A">
        <w:rPr>
          <w:rFonts w:ascii="Times New Roman" w:hAnsi="Times New Roman"/>
          <w:sz w:val="24"/>
          <w:szCs w:val="24"/>
        </w:rPr>
        <w:t>Турунчук</w:t>
      </w:r>
      <w:proofErr w:type="spellEnd"/>
      <w:r w:rsidRPr="0080737A">
        <w:rPr>
          <w:rFonts w:ascii="Times New Roman" w:hAnsi="Times New Roman"/>
          <w:sz w:val="24"/>
          <w:szCs w:val="24"/>
        </w:rPr>
        <w:t xml:space="preserve"> и </w:t>
      </w:r>
      <w:proofErr w:type="spellStart"/>
      <w:r w:rsidRPr="0080737A">
        <w:rPr>
          <w:rFonts w:ascii="Times New Roman" w:hAnsi="Times New Roman"/>
          <w:sz w:val="24"/>
          <w:szCs w:val="24"/>
        </w:rPr>
        <w:t>Дубоссарского</w:t>
      </w:r>
      <w:proofErr w:type="spellEnd"/>
      <w:r w:rsidRPr="0080737A">
        <w:rPr>
          <w:rFonts w:ascii="Times New Roman" w:hAnsi="Times New Roman"/>
          <w:sz w:val="24"/>
          <w:szCs w:val="24"/>
        </w:rPr>
        <w:t xml:space="preserve"> водохранилища годовиком промысловых видов рыб общим весом 16 550,1 кг в количестве</w:t>
      </w:r>
      <w:r w:rsidR="00557D3D" w:rsidRPr="0080737A">
        <w:rPr>
          <w:rFonts w:ascii="Times New Roman" w:hAnsi="Times New Roman"/>
          <w:sz w:val="24"/>
          <w:szCs w:val="24"/>
        </w:rPr>
        <w:t xml:space="preserve"> </w:t>
      </w:r>
      <w:r w:rsidRPr="0080737A">
        <w:rPr>
          <w:rFonts w:ascii="Times New Roman" w:hAnsi="Times New Roman"/>
          <w:sz w:val="24"/>
          <w:szCs w:val="24"/>
        </w:rPr>
        <w:t xml:space="preserve">593,6 тыс. шт. </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 </w:t>
      </w:r>
      <w:r w:rsidRPr="0080737A">
        <w:rPr>
          <w:rFonts w:ascii="Times New Roman" w:hAnsi="Times New Roman"/>
          <w:sz w:val="24"/>
          <w:szCs w:val="24"/>
        </w:rPr>
        <w:tab/>
        <w:t xml:space="preserve">ЗАО «Молдавская ГРЭС» в счет компенсации за ущерб, причиненный работой водозаборных сооружений, а также в целях биологической мелиорации были выпущены в </w:t>
      </w:r>
      <w:proofErr w:type="spellStart"/>
      <w:r w:rsidRPr="0080737A">
        <w:rPr>
          <w:rFonts w:ascii="Times New Roman" w:hAnsi="Times New Roman"/>
          <w:sz w:val="24"/>
          <w:szCs w:val="24"/>
        </w:rPr>
        <w:lastRenderedPageBreak/>
        <w:t>Кучурганское</w:t>
      </w:r>
      <w:proofErr w:type="spellEnd"/>
      <w:r w:rsidRPr="0080737A">
        <w:rPr>
          <w:rFonts w:ascii="Times New Roman" w:hAnsi="Times New Roman"/>
          <w:sz w:val="24"/>
          <w:szCs w:val="24"/>
        </w:rPr>
        <w:t xml:space="preserve"> водохранилище </w:t>
      </w:r>
      <w:proofErr w:type="spellStart"/>
      <w:r w:rsidRPr="0080737A">
        <w:rPr>
          <w:rFonts w:ascii="Times New Roman" w:hAnsi="Times New Roman"/>
          <w:sz w:val="24"/>
          <w:szCs w:val="24"/>
        </w:rPr>
        <w:t>подрощенные</w:t>
      </w:r>
      <w:proofErr w:type="spellEnd"/>
      <w:r w:rsidRPr="0080737A">
        <w:rPr>
          <w:rFonts w:ascii="Times New Roman" w:hAnsi="Times New Roman"/>
          <w:sz w:val="24"/>
          <w:szCs w:val="24"/>
        </w:rPr>
        <w:t xml:space="preserve"> личинки (судак, толстолобик, белый амур, лещ, тарань, карась) в количестве 8</w:t>
      </w:r>
      <w:r w:rsidRPr="0080737A">
        <w:rPr>
          <w:rFonts w:ascii="Times New Roman" w:hAnsi="Times New Roman"/>
          <w:sz w:val="24"/>
          <w:szCs w:val="24"/>
          <w:lang w:val="en-US"/>
        </w:rPr>
        <w:t> </w:t>
      </w:r>
      <w:r w:rsidRPr="0080737A">
        <w:rPr>
          <w:rFonts w:ascii="Times New Roman" w:hAnsi="Times New Roman"/>
          <w:sz w:val="24"/>
          <w:szCs w:val="24"/>
        </w:rPr>
        <w:t>230 тыс. шт., годовик растительных видов рыб весом8 000,0 кг в количестве 266,7 тыс. шт.</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По итогам I полугодия 2016 года за разрешения в целях осуществления промыслового рыболовства, любительского и спортивного рыболовства с </w:t>
      </w:r>
      <w:proofErr w:type="spellStart"/>
      <w:r w:rsidRPr="0080737A">
        <w:rPr>
          <w:rFonts w:ascii="Times New Roman" w:hAnsi="Times New Roman"/>
          <w:sz w:val="24"/>
          <w:szCs w:val="24"/>
        </w:rPr>
        <w:t>плавсредств</w:t>
      </w:r>
      <w:proofErr w:type="spellEnd"/>
      <w:r w:rsidRPr="0080737A">
        <w:rPr>
          <w:rFonts w:ascii="Times New Roman" w:hAnsi="Times New Roman"/>
          <w:sz w:val="24"/>
          <w:szCs w:val="24"/>
        </w:rPr>
        <w:t xml:space="preserve"> и подводной охоты в Республиканский целевой бюджетный экологический фонд было перечислено порядка 250,5 тыс. руб. ПМР, что на 16,9% превышает базовое значение минувшего года.</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анализируемом периоде государственная политика в сфере геологического изучения и рационального использования недр была направлена на обеспечение и реализацию работы в области </w:t>
      </w:r>
      <w:r w:rsidRPr="0080737A">
        <w:rPr>
          <w:rFonts w:ascii="Times New Roman" w:hAnsi="Times New Roman"/>
          <w:b/>
          <w:sz w:val="24"/>
          <w:szCs w:val="24"/>
        </w:rPr>
        <w:t>геологического изучения недр</w:t>
      </w:r>
      <w:r w:rsidRPr="0080737A">
        <w:rPr>
          <w:rFonts w:ascii="Times New Roman" w:hAnsi="Times New Roman"/>
          <w:sz w:val="24"/>
          <w:szCs w:val="24"/>
        </w:rPr>
        <w:t>.</w:t>
      </w:r>
    </w:p>
    <w:p w:rsidR="006F4E1E" w:rsidRPr="0080737A" w:rsidRDefault="006F4E1E" w:rsidP="006F4E1E">
      <w:pPr>
        <w:spacing w:after="0" w:line="240" w:lineRule="auto"/>
        <w:ind w:firstLine="709"/>
        <w:jc w:val="both"/>
        <w:rPr>
          <w:rFonts w:ascii="Times New Roman" w:hAnsi="Times New Roman"/>
          <w:color w:val="000000"/>
          <w:sz w:val="24"/>
          <w:szCs w:val="24"/>
          <w:vertAlign w:val="superscript"/>
        </w:rPr>
      </w:pPr>
      <w:r w:rsidRPr="0080737A">
        <w:rPr>
          <w:rFonts w:ascii="Times New Roman" w:hAnsi="Times New Roman"/>
          <w:sz w:val="24"/>
          <w:szCs w:val="24"/>
        </w:rPr>
        <w:t>В январе-июне текущего года по данным сводного отчетного баланса запасов полезных ископаемых по Республике разрабатывается 26 месторождений твердых полезных ископаемых, из которых 23 открытым (карьерным) способом и 3 (пильных известняков) проходкой горизонтальных и слабонаклонных подземных выработок-штолен. Так, по результатам I</w:t>
      </w:r>
      <w:r w:rsidR="00557D3D" w:rsidRPr="0080737A">
        <w:rPr>
          <w:rFonts w:ascii="Times New Roman" w:hAnsi="Times New Roman"/>
          <w:sz w:val="24"/>
          <w:szCs w:val="24"/>
        </w:rPr>
        <w:t xml:space="preserve"> </w:t>
      </w:r>
      <w:r w:rsidRPr="0080737A">
        <w:rPr>
          <w:rFonts w:ascii="Times New Roman" w:hAnsi="Times New Roman"/>
          <w:sz w:val="24"/>
          <w:szCs w:val="24"/>
        </w:rPr>
        <w:t xml:space="preserve">полугодия 2016 года увеличение добычи песчано-гравийной смеси на 14,5% и цементного сырья на 11,7%, способствовало приросту совокупного объема добычи и производства нерудных строительных материалов до 256,9 тыс. </w:t>
      </w:r>
      <w:r w:rsidRPr="0080737A">
        <w:rPr>
          <w:rFonts w:ascii="Times New Roman" w:hAnsi="Times New Roman"/>
          <w:color w:val="000000"/>
          <w:sz w:val="24"/>
          <w:szCs w:val="24"/>
        </w:rPr>
        <w:t>м</w:t>
      </w:r>
      <w:r w:rsidRPr="0080737A">
        <w:rPr>
          <w:rFonts w:ascii="Times New Roman" w:hAnsi="Times New Roman"/>
          <w:color w:val="000000"/>
          <w:sz w:val="24"/>
          <w:szCs w:val="24"/>
          <w:vertAlign w:val="superscript"/>
        </w:rPr>
        <w:t>3</w:t>
      </w:r>
      <w:r w:rsidRPr="0080737A">
        <w:rPr>
          <w:rFonts w:ascii="Times New Roman" w:hAnsi="Times New Roman"/>
          <w:color w:val="000000"/>
          <w:sz w:val="24"/>
          <w:szCs w:val="24"/>
        </w:rPr>
        <w:t xml:space="preserve">, что на </w:t>
      </w:r>
      <w:r w:rsidRPr="0080737A">
        <w:rPr>
          <w:rFonts w:ascii="Times New Roman" w:hAnsi="Times New Roman"/>
          <w:sz w:val="24"/>
          <w:szCs w:val="24"/>
        </w:rPr>
        <w:t>10,5% превышает сопоставимый уровень 2015 года.</w:t>
      </w:r>
    </w:p>
    <w:p w:rsidR="006F4E1E" w:rsidRPr="0080737A" w:rsidRDefault="006F4E1E" w:rsidP="006F4E1E">
      <w:pPr>
        <w:tabs>
          <w:tab w:val="left" w:pos="851"/>
        </w:tabs>
        <w:spacing w:after="0" w:line="240" w:lineRule="auto"/>
        <w:ind w:firstLine="709"/>
        <w:jc w:val="both"/>
        <w:rPr>
          <w:rFonts w:ascii="Times New Roman" w:hAnsi="Times New Roman"/>
          <w:sz w:val="24"/>
          <w:szCs w:val="24"/>
        </w:rPr>
      </w:pPr>
      <w:r w:rsidRPr="0080737A">
        <w:rPr>
          <w:rFonts w:ascii="Times New Roman" w:hAnsi="Times New Roman"/>
          <w:sz w:val="24"/>
          <w:szCs w:val="24"/>
        </w:rPr>
        <w:t>Кроме того, из 9 разведанных на территории ПМР</w:t>
      </w:r>
      <w:r w:rsidR="00557D3D" w:rsidRPr="0080737A">
        <w:rPr>
          <w:rFonts w:ascii="Times New Roman" w:hAnsi="Times New Roman"/>
          <w:sz w:val="24"/>
          <w:szCs w:val="24"/>
        </w:rPr>
        <w:t xml:space="preserve"> </w:t>
      </w:r>
      <w:r w:rsidRPr="0080737A">
        <w:rPr>
          <w:rFonts w:ascii="Times New Roman" w:hAnsi="Times New Roman"/>
          <w:sz w:val="24"/>
          <w:szCs w:val="24"/>
        </w:rPr>
        <w:t>месторождений минеральных вод, разрабатываются 5 месторождений по добыче гидроминеральных ресурсов, одно из которых месторождение радоновых вод.</w:t>
      </w:r>
      <w:r w:rsidR="00557D3D" w:rsidRPr="0080737A">
        <w:rPr>
          <w:rFonts w:ascii="Times New Roman" w:hAnsi="Times New Roman"/>
          <w:sz w:val="24"/>
          <w:szCs w:val="24"/>
        </w:rPr>
        <w:t xml:space="preserve"> </w:t>
      </w:r>
      <w:r w:rsidRPr="0080737A">
        <w:rPr>
          <w:rFonts w:ascii="Times New Roman" w:hAnsi="Times New Roman"/>
          <w:sz w:val="24"/>
          <w:szCs w:val="24"/>
        </w:rPr>
        <w:t>На базе 3 месторождений действуют курортно-оздоровительные санатории,</w:t>
      </w:r>
      <w:r w:rsidR="00557D3D" w:rsidRPr="0080737A">
        <w:rPr>
          <w:rFonts w:ascii="Times New Roman" w:hAnsi="Times New Roman"/>
          <w:sz w:val="24"/>
          <w:szCs w:val="24"/>
        </w:rPr>
        <w:t xml:space="preserve"> </w:t>
      </w:r>
      <w:r w:rsidRPr="0080737A">
        <w:rPr>
          <w:rFonts w:ascii="Times New Roman" w:hAnsi="Times New Roman"/>
          <w:sz w:val="24"/>
          <w:szCs w:val="24"/>
        </w:rPr>
        <w:t xml:space="preserve">на одном осуществляется розлив лечебно-столовой воды. </w:t>
      </w:r>
    </w:p>
    <w:p w:rsidR="006F4E1E" w:rsidRPr="0080737A" w:rsidRDefault="006F4E1E" w:rsidP="006F4E1E">
      <w:pPr>
        <w:spacing w:after="0" w:line="240" w:lineRule="auto"/>
        <w:ind w:firstLine="709"/>
        <w:jc w:val="both"/>
        <w:rPr>
          <w:rFonts w:ascii="Times New Roman" w:hAnsi="Times New Roman"/>
          <w:sz w:val="24"/>
          <w:szCs w:val="24"/>
        </w:rPr>
      </w:pPr>
      <w:proofErr w:type="gramStart"/>
      <w:r w:rsidRPr="0080737A">
        <w:rPr>
          <w:rFonts w:ascii="Times New Roman" w:hAnsi="Times New Roman"/>
          <w:sz w:val="24"/>
          <w:szCs w:val="24"/>
        </w:rPr>
        <w:t>Объем добычи гидроминеральных ресурсов в рассматриваемом периоде сократился на 28,4% к уровню января-июня 2015 года, составив 2 818,3 м</w:t>
      </w:r>
      <w:r w:rsidRPr="0080737A">
        <w:rPr>
          <w:rFonts w:ascii="Times New Roman" w:hAnsi="Times New Roman"/>
          <w:sz w:val="24"/>
          <w:szCs w:val="24"/>
          <w:vertAlign w:val="superscript"/>
        </w:rPr>
        <w:t>3</w:t>
      </w:r>
      <w:r w:rsidRPr="0080737A">
        <w:rPr>
          <w:rFonts w:ascii="Times New Roman" w:hAnsi="Times New Roman"/>
          <w:sz w:val="24"/>
          <w:szCs w:val="24"/>
        </w:rPr>
        <w:t>,несмотря на что, прирост объемов реализации нерудных строительных материалов способствовал наращиванию общей суммы платежей за пользование недрами и отчислений на воспроизводство минерально-сырьевой базы до 4 481,8 тыс. руб., превысив</w:t>
      </w:r>
      <w:r w:rsidR="00557D3D" w:rsidRPr="0080737A">
        <w:rPr>
          <w:rFonts w:ascii="Times New Roman" w:hAnsi="Times New Roman"/>
          <w:sz w:val="24"/>
          <w:szCs w:val="24"/>
        </w:rPr>
        <w:t xml:space="preserve"> </w:t>
      </w:r>
      <w:r w:rsidRPr="0080737A">
        <w:rPr>
          <w:rFonts w:ascii="Times New Roman" w:hAnsi="Times New Roman"/>
          <w:sz w:val="24"/>
          <w:szCs w:val="24"/>
        </w:rPr>
        <w:t>базовый уровень прошлого года на 13,4%.</w:t>
      </w:r>
      <w:proofErr w:type="gramEnd"/>
    </w:p>
    <w:p w:rsidR="006F4E1E" w:rsidRPr="0080737A" w:rsidRDefault="006F4E1E" w:rsidP="006F4E1E">
      <w:pPr>
        <w:tabs>
          <w:tab w:val="left" w:pos="851"/>
        </w:tabs>
        <w:spacing w:after="0" w:line="240" w:lineRule="auto"/>
        <w:ind w:firstLine="709"/>
        <w:jc w:val="both"/>
        <w:rPr>
          <w:rFonts w:ascii="Times New Roman" w:hAnsi="Times New Roman"/>
          <w:sz w:val="24"/>
          <w:szCs w:val="24"/>
        </w:rPr>
      </w:pPr>
      <w:r w:rsidRPr="0080737A">
        <w:rPr>
          <w:rFonts w:ascii="Times New Roman" w:hAnsi="Times New Roman"/>
          <w:sz w:val="24"/>
          <w:szCs w:val="24"/>
        </w:rPr>
        <w:t>В I полугодии 2016 года</w:t>
      </w:r>
      <w:r w:rsidR="00901829" w:rsidRPr="0080737A">
        <w:rPr>
          <w:rFonts w:ascii="Times New Roman" w:hAnsi="Times New Roman"/>
          <w:sz w:val="24"/>
          <w:szCs w:val="24"/>
        </w:rPr>
        <w:t xml:space="preserve"> </w:t>
      </w:r>
      <w:proofErr w:type="spellStart"/>
      <w:r w:rsidRPr="0080737A">
        <w:rPr>
          <w:rFonts w:ascii="Times New Roman" w:hAnsi="Times New Roman"/>
          <w:sz w:val="24"/>
          <w:szCs w:val="24"/>
        </w:rPr>
        <w:t>рекультивировано</w:t>
      </w:r>
      <w:proofErr w:type="spellEnd"/>
      <w:r w:rsidRPr="0080737A">
        <w:rPr>
          <w:rFonts w:ascii="Times New Roman" w:hAnsi="Times New Roman"/>
          <w:sz w:val="24"/>
          <w:szCs w:val="24"/>
        </w:rPr>
        <w:t xml:space="preserve"> и передано прежнему землепользователю 2,18 га земель, нарушенных горными работами.</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области </w:t>
      </w:r>
      <w:r w:rsidRPr="0080737A">
        <w:rPr>
          <w:rFonts w:ascii="Times New Roman" w:hAnsi="Times New Roman"/>
          <w:b/>
          <w:sz w:val="24"/>
          <w:szCs w:val="24"/>
        </w:rPr>
        <w:t>охраны и использования лесных ресурсов</w:t>
      </w:r>
      <w:r w:rsidRPr="0080737A">
        <w:rPr>
          <w:rFonts w:ascii="Times New Roman" w:hAnsi="Times New Roman"/>
          <w:sz w:val="24"/>
          <w:szCs w:val="24"/>
        </w:rPr>
        <w:t xml:space="preserve"> в январе-июне 2016 года проводились мероприятия, направленные на повышение экологической безопасности региона, увеличение лесистости территории, выращивание высокопродуктивных, экологически устойчивых лесов, их охрану и защиту.</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Для этого проведены рубки ухода за лесом и выборочные санитарные рубки на площади 213 га с общим объемом выбираемой древесины 2 895 м</w:t>
      </w:r>
      <w:r w:rsidRPr="0080737A">
        <w:rPr>
          <w:rFonts w:ascii="Times New Roman" w:hAnsi="Times New Roman"/>
          <w:sz w:val="24"/>
          <w:szCs w:val="24"/>
          <w:vertAlign w:val="superscript"/>
        </w:rPr>
        <w:t>3</w:t>
      </w:r>
      <w:r w:rsidRPr="0080737A">
        <w:rPr>
          <w:rFonts w:ascii="Times New Roman" w:hAnsi="Times New Roman"/>
          <w:sz w:val="24"/>
          <w:szCs w:val="24"/>
        </w:rPr>
        <w:t>. Сплошные санитарные рубки, которые предусматривают замену насаждений, утративших свои экологические функции на биологически устойчивые продуктивные насаждения, проведены на площади 26 га.</w:t>
      </w:r>
    </w:p>
    <w:p w:rsidR="006F4E1E" w:rsidRPr="0080737A" w:rsidRDefault="006F4E1E" w:rsidP="006F4E1E">
      <w:pPr>
        <w:autoSpaceDE w:val="0"/>
        <w:autoSpaceDN w:val="0"/>
        <w:adjustRightInd w:val="0"/>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январе-июне 2016 года посев и посадка леса в </w:t>
      </w:r>
      <w:proofErr w:type="spellStart"/>
      <w:r w:rsidRPr="0080737A">
        <w:rPr>
          <w:rFonts w:ascii="Times New Roman" w:hAnsi="Times New Roman"/>
          <w:sz w:val="24"/>
          <w:szCs w:val="24"/>
        </w:rPr>
        <w:t>Гослесфонде</w:t>
      </w:r>
      <w:proofErr w:type="spellEnd"/>
      <w:r w:rsidRPr="0080737A">
        <w:rPr>
          <w:rFonts w:ascii="Times New Roman" w:hAnsi="Times New Roman"/>
          <w:sz w:val="24"/>
          <w:szCs w:val="24"/>
        </w:rPr>
        <w:t xml:space="preserve"> проведены на площади 105 га. Дополнение лесных культур прошлых лет проведено на площади 75га, уход за лесными культурами проведен на площади 760 га. Подготовка почвы под посадку выполнена на площади 66 га.</w:t>
      </w:r>
    </w:p>
    <w:p w:rsidR="006F4E1E" w:rsidRPr="0080737A" w:rsidRDefault="006F4E1E" w:rsidP="006F4E1E">
      <w:pPr>
        <w:autoSpaceDE w:val="0"/>
        <w:autoSpaceDN w:val="0"/>
        <w:adjustRightInd w:val="0"/>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Для организации противопожарной безопасности территории </w:t>
      </w:r>
      <w:proofErr w:type="spellStart"/>
      <w:r w:rsidRPr="0080737A">
        <w:rPr>
          <w:rFonts w:ascii="Times New Roman" w:hAnsi="Times New Roman"/>
          <w:sz w:val="24"/>
          <w:szCs w:val="24"/>
        </w:rPr>
        <w:t>Гослесфонда</w:t>
      </w:r>
      <w:proofErr w:type="spellEnd"/>
      <w:r w:rsidRPr="0080737A">
        <w:rPr>
          <w:rFonts w:ascii="Times New Roman" w:hAnsi="Times New Roman"/>
          <w:sz w:val="24"/>
          <w:szCs w:val="24"/>
        </w:rPr>
        <w:t xml:space="preserve"> был выполнен ремонт дорог противопожарного назначения в объеме 6 км (в январе-июне 2015 года – 4 км), а показатель по уходу за минерализованными полосами значительно уменьшился и составил 61 км против 150 км в январе-июне 2015 года. Причиной уменьшения показателей стали благоприятные погодные условия (дождливая весна) ввиду чего, частично план по выполнению данных мероприятий перенесен на </w:t>
      </w:r>
      <w:r w:rsidRPr="0080737A">
        <w:rPr>
          <w:rFonts w:ascii="Times New Roman" w:hAnsi="Times New Roman"/>
          <w:sz w:val="24"/>
          <w:szCs w:val="24"/>
          <w:lang w:val="en-US"/>
        </w:rPr>
        <w:t>III</w:t>
      </w:r>
      <w:r w:rsidRPr="0080737A">
        <w:rPr>
          <w:rFonts w:ascii="Times New Roman" w:hAnsi="Times New Roman"/>
          <w:sz w:val="24"/>
          <w:szCs w:val="24"/>
        </w:rPr>
        <w:t xml:space="preserve"> квартал текущего года </w:t>
      </w:r>
    </w:p>
    <w:p w:rsidR="006F4E1E" w:rsidRPr="0080737A" w:rsidRDefault="006F4E1E" w:rsidP="006F4E1E">
      <w:pPr>
        <w:autoSpaceDE w:val="0"/>
        <w:autoSpaceDN w:val="0"/>
        <w:adjustRightInd w:val="0"/>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По-прежнему одними из основных сдерживающих факторов развития лесной отрасли в республике остаются недостаточная техническая оснащенность, а также </w:t>
      </w:r>
      <w:r w:rsidRPr="0080737A">
        <w:rPr>
          <w:rFonts w:ascii="Times New Roman" w:hAnsi="Times New Roman"/>
          <w:sz w:val="24"/>
          <w:szCs w:val="24"/>
        </w:rPr>
        <w:lastRenderedPageBreak/>
        <w:t>изношенность автомобильно-тракторного парка, низкий уровень оплаты труда, что приводит к дефициту трудовых ресурсов в отрасли и большой текучести кадров.</w:t>
      </w:r>
    </w:p>
    <w:p w:rsidR="00335844" w:rsidRPr="0080737A" w:rsidRDefault="00335844" w:rsidP="00335844">
      <w:pPr>
        <w:spacing w:after="0" w:line="240" w:lineRule="auto"/>
        <w:ind w:firstLine="720"/>
        <w:jc w:val="both"/>
        <w:rPr>
          <w:rFonts w:ascii="Times New Roman" w:hAnsi="Times New Roman"/>
          <w:sz w:val="24"/>
          <w:szCs w:val="24"/>
        </w:rPr>
      </w:pPr>
    </w:p>
    <w:p w:rsidR="00335844" w:rsidRPr="0080737A" w:rsidRDefault="00335844" w:rsidP="00335844">
      <w:pPr>
        <w:spacing w:after="0" w:line="240" w:lineRule="auto"/>
        <w:ind w:firstLine="720"/>
        <w:jc w:val="both"/>
        <w:rPr>
          <w:rFonts w:ascii="Times New Roman" w:hAnsi="Times New Roman"/>
          <w:b/>
          <w:sz w:val="24"/>
          <w:szCs w:val="24"/>
        </w:rPr>
      </w:pPr>
      <w:r w:rsidRPr="0080737A">
        <w:rPr>
          <w:rFonts w:ascii="Times New Roman" w:hAnsi="Times New Roman"/>
          <w:b/>
          <w:sz w:val="24"/>
          <w:szCs w:val="24"/>
        </w:rPr>
        <w:t>Состояние социальной сферы</w:t>
      </w:r>
    </w:p>
    <w:p w:rsidR="00335844" w:rsidRPr="0080737A" w:rsidRDefault="00335844" w:rsidP="00335844">
      <w:pPr>
        <w:spacing w:after="0" w:line="240" w:lineRule="auto"/>
        <w:ind w:firstLine="720"/>
        <w:jc w:val="both"/>
        <w:rPr>
          <w:rFonts w:ascii="Times New Roman" w:hAnsi="Times New Roman"/>
          <w:sz w:val="24"/>
          <w:szCs w:val="24"/>
        </w:rPr>
      </w:pPr>
    </w:p>
    <w:p w:rsidR="00335844" w:rsidRPr="0080737A" w:rsidRDefault="00335844" w:rsidP="00335844">
      <w:pPr>
        <w:widowControl w:val="0"/>
        <w:spacing w:after="0" w:line="240" w:lineRule="auto"/>
        <w:ind w:firstLineChars="302" w:firstLine="728"/>
        <w:jc w:val="both"/>
        <w:rPr>
          <w:rFonts w:ascii="Times New Roman" w:hAnsi="Times New Roman"/>
          <w:b/>
          <w:sz w:val="24"/>
          <w:szCs w:val="24"/>
        </w:rPr>
      </w:pPr>
      <w:r w:rsidRPr="0080737A">
        <w:rPr>
          <w:rFonts w:ascii="Times New Roman" w:hAnsi="Times New Roman"/>
          <w:b/>
          <w:sz w:val="24"/>
          <w:szCs w:val="24"/>
        </w:rPr>
        <w:t>Уровень жизни населения</w:t>
      </w:r>
    </w:p>
    <w:p w:rsidR="00C84F2A" w:rsidRPr="0080737A" w:rsidRDefault="00C84F2A" w:rsidP="00C84F2A">
      <w:pPr>
        <w:spacing w:after="0" w:line="240" w:lineRule="auto"/>
        <w:jc w:val="both"/>
        <w:rPr>
          <w:rFonts w:ascii="Times New Roman" w:hAnsi="Times New Roman"/>
          <w:sz w:val="24"/>
          <w:szCs w:val="24"/>
        </w:rPr>
      </w:pPr>
    </w:p>
    <w:p w:rsidR="006F4E1E" w:rsidRPr="0080737A" w:rsidRDefault="006F4E1E" w:rsidP="006F4E1E">
      <w:pPr>
        <w:widowControl w:val="0"/>
        <w:spacing w:after="0" w:line="240" w:lineRule="auto"/>
        <w:ind w:firstLine="709"/>
        <w:jc w:val="both"/>
        <w:rPr>
          <w:rFonts w:ascii="Times New Roman" w:eastAsia="Calibri" w:hAnsi="Times New Roman"/>
          <w:sz w:val="24"/>
          <w:szCs w:val="24"/>
        </w:rPr>
      </w:pPr>
      <w:r w:rsidRPr="0080737A">
        <w:rPr>
          <w:rFonts w:ascii="Times New Roman" w:eastAsia="Calibri" w:hAnsi="Times New Roman"/>
          <w:sz w:val="24"/>
          <w:szCs w:val="24"/>
        </w:rPr>
        <w:t xml:space="preserve">Уровень жизни – это комплексная социально-экономическая категория, которая отражает уровень развития физических, духовных и социальных потребностей, степень их удовлетворения и условия в обществе для развития и удовлетворения этих потребностей. Одним из наиболее важных индикаторов уровня жизни считается показатель доходов населения, доминирующей составляющей которых является заработная плата. </w:t>
      </w:r>
    </w:p>
    <w:p w:rsidR="006F4E1E" w:rsidRPr="0080737A" w:rsidRDefault="006F4E1E" w:rsidP="006F4E1E">
      <w:pPr>
        <w:tabs>
          <w:tab w:val="left" w:pos="851"/>
          <w:tab w:val="left" w:pos="993"/>
        </w:tabs>
        <w:spacing w:after="0" w:line="240" w:lineRule="auto"/>
        <w:ind w:firstLine="709"/>
        <w:jc w:val="both"/>
        <w:rPr>
          <w:rFonts w:ascii="Times New Roman" w:hAnsi="Times New Roman"/>
          <w:sz w:val="24"/>
          <w:szCs w:val="24"/>
          <w:shd w:val="clear" w:color="auto" w:fill="FFFFFF"/>
        </w:rPr>
      </w:pPr>
      <w:proofErr w:type="gramStart"/>
      <w:r w:rsidRPr="0080737A">
        <w:rPr>
          <w:rFonts w:ascii="Times New Roman" w:hAnsi="Times New Roman"/>
          <w:sz w:val="24"/>
          <w:szCs w:val="24"/>
          <w:shd w:val="clear" w:color="auto" w:fill="FFFFFF"/>
        </w:rPr>
        <w:t xml:space="preserve">Номинальная заработная плата в целом по республике за </w:t>
      </w:r>
      <w:r w:rsidRPr="0080737A">
        <w:rPr>
          <w:rFonts w:ascii="Times New Roman" w:hAnsi="Times New Roman"/>
          <w:sz w:val="24"/>
          <w:szCs w:val="24"/>
          <w:shd w:val="clear" w:color="auto" w:fill="FFFFFF"/>
          <w:lang w:val="en-US"/>
        </w:rPr>
        <w:t>I</w:t>
      </w:r>
      <w:r w:rsidRPr="0080737A">
        <w:rPr>
          <w:rFonts w:ascii="Times New Roman" w:hAnsi="Times New Roman"/>
          <w:sz w:val="24"/>
          <w:szCs w:val="24"/>
          <w:shd w:val="clear" w:color="auto" w:fill="FFFFFF"/>
        </w:rPr>
        <w:t xml:space="preserve"> полугодие 2016 года (кроме субъектов малого предпринимательства и без учета силовых структур) сократилась на 1,3%, составив 3 791 руб., а с учетом удорожания жизни реальная величина заработной платы работающих в январе – июне 2016 года сократилась по отношению к базовому периоду на 1,5%. В долларовом эквиваленте ее размер сократился на 2,3% и</w:t>
      </w:r>
      <w:proofErr w:type="gramEnd"/>
      <w:r w:rsidRPr="0080737A">
        <w:rPr>
          <w:rFonts w:ascii="Times New Roman" w:hAnsi="Times New Roman"/>
          <w:sz w:val="24"/>
          <w:szCs w:val="24"/>
          <w:shd w:val="clear" w:color="auto" w:fill="FFFFFF"/>
        </w:rPr>
        <w:t xml:space="preserve"> соответствовал 338 долл. США.</w:t>
      </w:r>
    </w:p>
    <w:p w:rsidR="006F4E1E" w:rsidRPr="0080737A" w:rsidRDefault="006F4E1E" w:rsidP="006F4E1E">
      <w:pPr>
        <w:jc w:val="center"/>
        <w:rPr>
          <w:rFonts w:ascii="Times New Roman" w:hAnsi="Times New Roman"/>
          <w:b/>
          <w:sz w:val="24"/>
          <w:szCs w:val="24"/>
        </w:rPr>
      </w:pPr>
      <w:r w:rsidRPr="0080737A">
        <w:rPr>
          <w:rFonts w:ascii="Times New Roman" w:hAnsi="Times New Roman"/>
          <w:b/>
          <w:noProof/>
          <w:sz w:val="24"/>
          <w:szCs w:val="24"/>
        </w:rPr>
        <w:drawing>
          <wp:inline distT="0" distB="0" distL="0" distR="0">
            <wp:extent cx="6115050" cy="3419475"/>
            <wp:effectExtent l="0" t="0" r="0" b="0"/>
            <wp:docPr id="13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При этом значимым обстоятельством напряженности в обществе                    продолжает выступать степень дифференциации размера заработной платы. Превышение уровня заработной платы в высоко- и низкооплачиваемых отраслях экономики составило 4,6 раза. Самый высокий уровень заработной платы наблюдался у работников таких отраслей экономики как, «</w:t>
      </w:r>
      <w:proofErr w:type="spellStart"/>
      <w:r w:rsidRPr="0080737A">
        <w:rPr>
          <w:rFonts w:ascii="Times New Roman" w:hAnsi="Times New Roman"/>
          <w:sz w:val="24"/>
          <w:szCs w:val="24"/>
        </w:rPr>
        <w:t>Электро</w:t>
      </w:r>
      <w:proofErr w:type="spellEnd"/>
      <w:r w:rsidRPr="0080737A">
        <w:rPr>
          <w:rFonts w:ascii="Times New Roman" w:hAnsi="Times New Roman"/>
          <w:sz w:val="24"/>
          <w:szCs w:val="24"/>
        </w:rPr>
        <w:t xml:space="preserve"> и радиосвязь» 9 0369 руб. («+»3,0%), «Банки и кредитование» 6 972 руб. («-»9,5%), «Страхование» 6 535 руб. («+»7,2%).</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Сокращение среднемесячной заработной платы отмечено у работников таких отраслей, как: «Заготовка металлолома и утиля» (на 30,7% до 3 329 руб.), «Железнодорожный транспорт» (на 9,2% до 3 649 руб.), «Непроизводственные виды бытового обслуживания» (на 2,8% до 2 394 руб.), ее размер сложился ниже </w:t>
      </w:r>
      <w:proofErr w:type="spellStart"/>
      <w:r w:rsidRPr="0080737A">
        <w:rPr>
          <w:rFonts w:ascii="Times New Roman" w:hAnsi="Times New Roman"/>
          <w:sz w:val="24"/>
          <w:szCs w:val="24"/>
        </w:rPr>
        <w:t>среднереспубликанского</w:t>
      </w:r>
      <w:proofErr w:type="spellEnd"/>
      <w:r w:rsidRPr="0080737A">
        <w:rPr>
          <w:rFonts w:ascii="Times New Roman" w:hAnsi="Times New Roman"/>
          <w:sz w:val="24"/>
          <w:szCs w:val="24"/>
        </w:rPr>
        <w:t xml:space="preserve"> уровня </w:t>
      </w:r>
      <w:proofErr w:type="gramStart"/>
      <w:r w:rsidRPr="0080737A">
        <w:rPr>
          <w:rFonts w:ascii="Times New Roman" w:hAnsi="Times New Roman"/>
          <w:sz w:val="24"/>
          <w:szCs w:val="24"/>
        </w:rPr>
        <w:t>на</w:t>
      </w:r>
      <w:proofErr w:type="gramEnd"/>
      <w:r w:rsidRPr="0080737A">
        <w:rPr>
          <w:rFonts w:ascii="Times New Roman" w:hAnsi="Times New Roman"/>
          <w:sz w:val="24"/>
          <w:szCs w:val="24"/>
        </w:rPr>
        <w:t xml:space="preserve"> 12,2%, 3,7%, 36,9% соответственно. </w:t>
      </w:r>
    </w:p>
    <w:p w:rsidR="006F4E1E" w:rsidRPr="0080737A" w:rsidRDefault="006F4E1E" w:rsidP="006F4E1E">
      <w:pPr>
        <w:widowControl w:val="0"/>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I полугодии 2016 года на фоне более умеренных темпов сокращения оплаты труда («-»1,3%) по сравнению с изменением прожиточного минимума трудоспособного человека («-»2,9% до 1 355,8 руб.), размер покупательной способности заработной платы увеличился до 2,8 набора прожиточного минимума, против 2,7 таких наборов в </w:t>
      </w:r>
      <w:r w:rsidRPr="0080737A">
        <w:rPr>
          <w:rFonts w:ascii="Times New Roman" w:hAnsi="Times New Roman"/>
          <w:sz w:val="24"/>
          <w:szCs w:val="24"/>
        </w:rPr>
        <w:lastRenderedPageBreak/>
        <w:t>соответствующем периоде минувшего года.</w:t>
      </w:r>
    </w:p>
    <w:p w:rsidR="006F4E1E" w:rsidRPr="0080737A" w:rsidRDefault="006F4E1E" w:rsidP="006F4E1E">
      <w:pPr>
        <w:widowControl w:val="0"/>
        <w:spacing w:after="0" w:line="240" w:lineRule="auto"/>
        <w:ind w:firstLine="709"/>
        <w:jc w:val="both"/>
        <w:rPr>
          <w:rFonts w:ascii="Times New Roman" w:hAnsi="Times New Roman"/>
          <w:sz w:val="24"/>
          <w:szCs w:val="24"/>
        </w:rPr>
      </w:pPr>
    </w:p>
    <w:p w:rsidR="006F4E1E" w:rsidRPr="0080737A" w:rsidRDefault="006F4E1E" w:rsidP="006F4E1E">
      <w:pPr>
        <w:widowControl w:val="0"/>
        <w:spacing w:after="0" w:line="240" w:lineRule="auto"/>
        <w:jc w:val="both"/>
        <w:rPr>
          <w:rFonts w:ascii="Times New Roman" w:hAnsi="Times New Roman"/>
          <w:sz w:val="24"/>
          <w:szCs w:val="24"/>
        </w:rPr>
      </w:pPr>
      <w:r w:rsidRPr="0080737A">
        <w:rPr>
          <w:rFonts w:ascii="Times New Roman" w:hAnsi="Times New Roman"/>
          <w:noProof/>
          <w:sz w:val="24"/>
          <w:szCs w:val="24"/>
        </w:rPr>
        <w:drawing>
          <wp:inline distT="0" distB="0" distL="0" distR="0">
            <wp:extent cx="5940425" cy="4152900"/>
            <wp:effectExtent l="0" t="0" r="3175" b="0"/>
            <wp:docPr id="13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01829" w:rsidRPr="0080737A" w:rsidRDefault="00901829" w:rsidP="006F4E1E">
      <w:pPr>
        <w:widowControl w:val="0"/>
        <w:spacing w:after="0" w:line="240" w:lineRule="auto"/>
        <w:jc w:val="both"/>
        <w:rPr>
          <w:rFonts w:ascii="Times New Roman" w:hAnsi="Times New Roman"/>
          <w:sz w:val="24"/>
          <w:szCs w:val="24"/>
        </w:rPr>
      </w:pPr>
    </w:p>
    <w:p w:rsidR="006F4E1E" w:rsidRPr="0080737A" w:rsidRDefault="006D561B" w:rsidP="006F4E1E">
      <w:pPr>
        <w:spacing w:after="0"/>
        <w:jc w:val="right"/>
        <w:rPr>
          <w:rFonts w:ascii="Times New Roman" w:hAnsi="Times New Roman"/>
          <w:sz w:val="24"/>
          <w:szCs w:val="24"/>
        </w:rPr>
      </w:pPr>
      <w:r w:rsidRPr="0080737A">
        <w:rPr>
          <w:rFonts w:ascii="Times New Roman" w:hAnsi="Times New Roman"/>
          <w:sz w:val="24"/>
          <w:szCs w:val="24"/>
        </w:rPr>
        <w:t>Таблица №17</w:t>
      </w:r>
    </w:p>
    <w:p w:rsidR="006F4E1E" w:rsidRPr="0080737A" w:rsidRDefault="006F4E1E" w:rsidP="006F4E1E">
      <w:pPr>
        <w:spacing w:after="0" w:line="240" w:lineRule="auto"/>
        <w:ind w:firstLine="709"/>
        <w:jc w:val="center"/>
        <w:rPr>
          <w:rFonts w:ascii="Times New Roman" w:hAnsi="Times New Roman"/>
          <w:b/>
          <w:sz w:val="24"/>
          <w:szCs w:val="24"/>
        </w:rPr>
      </w:pPr>
      <w:r w:rsidRPr="0080737A">
        <w:rPr>
          <w:rFonts w:ascii="Times New Roman" w:hAnsi="Times New Roman"/>
          <w:b/>
          <w:sz w:val="24"/>
          <w:szCs w:val="24"/>
        </w:rPr>
        <w:t>Покупательная способность среднемесячной заработной платы</w:t>
      </w: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8"/>
        <w:gridCol w:w="1987"/>
        <w:gridCol w:w="1987"/>
      </w:tblGrid>
      <w:tr w:rsidR="006F4E1E" w:rsidRPr="0080737A" w:rsidTr="00901829">
        <w:trPr>
          <w:trHeight w:val="322"/>
        </w:trPr>
        <w:tc>
          <w:tcPr>
            <w:tcW w:w="5538" w:type="dxa"/>
            <w:shd w:val="clear" w:color="auto" w:fill="E0E0E0"/>
            <w:vAlign w:val="center"/>
          </w:tcPr>
          <w:p w:rsidR="006F4E1E" w:rsidRPr="0080737A" w:rsidRDefault="006F4E1E" w:rsidP="006F4E1E">
            <w:pPr>
              <w:widowControl w:val="0"/>
              <w:spacing w:after="0" w:line="240" w:lineRule="auto"/>
              <w:rPr>
                <w:rFonts w:ascii="Times New Roman" w:hAnsi="Times New Roman"/>
                <w:b/>
              </w:rPr>
            </w:pPr>
            <w:r w:rsidRPr="0080737A">
              <w:rPr>
                <w:rFonts w:ascii="Times New Roman" w:hAnsi="Times New Roman"/>
                <w:b/>
              </w:rPr>
              <w:t>Покупательная способность среднемесячной заработной платы</w:t>
            </w:r>
          </w:p>
        </w:tc>
        <w:tc>
          <w:tcPr>
            <w:tcW w:w="1987" w:type="dxa"/>
            <w:shd w:val="clear" w:color="auto" w:fill="E0E0E0"/>
            <w:vAlign w:val="center"/>
          </w:tcPr>
          <w:p w:rsidR="006F4E1E" w:rsidRPr="0080737A" w:rsidRDefault="006F4E1E" w:rsidP="006F4E1E">
            <w:pPr>
              <w:widowControl w:val="0"/>
              <w:spacing w:after="0" w:line="240" w:lineRule="auto"/>
              <w:jc w:val="center"/>
              <w:rPr>
                <w:rFonts w:ascii="Times New Roman" w:hAnsi="Times New Roman"/>
                <w:b/>
              </w:rPr>
            </w:pPr>
            <w:r w:rsidRPr="0080737A">
              <w:rPr>
                <w:rFonts w:ascii="Times New Roman" w:hAnsi="Times New Roman"/>
                <w:b/>
                <w:lang w:val="en-US"/>
              </w:rPr>
              <w:t xml:space="preserve">I </w:t>
            </w:r>
            <w:proofErr w:type="spellStart"/>
            <w:r w:rsidRPr="0080737A">
              <w:rPr>
                <w:rFonts w:ascii="Times New Roman" w:hAnsi="Times New Roman"/>
                <w:b/>
                <w:lang w:val="en-US"/>
              </w:rPr>
              <w:t>полугодие</w:t>
            </w:r>
            <w:proofErr w:type="spellEnd"/>
          </w:p>
          <w:p w:rsidR="006F4E1E" w:rsidRPr="0080737A" w:rsidRDefault="006F4E1E" w:rsidP="006F4E1E">
            <w:pPr>
              <w:widowControl w:val="0"/>
              <w:spacing w:after="0" w:line="240" w:lineRule="auto"/>
              <w:jc w:val="center"/>
              <w:rPr>
                <w:rFonts w:ascii="Times New Roman" w:hAnsi="Times New Roman"/>
                <w:b/>
              </w:rPr>
            </w:pPr>
            <w:r w:rsidRPr="0080737A">
              <w:rPr>
                <w:rFonts w:ascii="Times New Roman" w:hAnsi="Times New Roman"/>
                <w:b/>
              </w:rPr>
              <w:t>2015 года</w:t>
            </w:r>
          </w:p>
        </w:tc>
        <w:tc>
          <w:tcPr>
            <w:tcW w:w="1987" w:type="dxa"/>
            <w:shd w:val="clear" w:color="auto" w:fill="E0E0E0"/>
            <w:vAlign w:val="center"/>
          </w:tcPr>
          <w:p w:rsidR="006F4E1E" w:rsidRPr="0080737A" w:rsidRDefault="006F4E1E" w:rsidP="006F4E1E">
            <w:pPr>
              <w:widowControl w:val="0"/>
              <w:spacing w:after="0" w:line="240" w:lineRule="auto"/>
              <w:jc w:val="center"/>
              <w:rPr>
                <w:rFonts w:ascii="Times New Roman" w:hAnsi="Times New Roman"/>
                <w:b/>
              </w:rPr>
            </w:pPr>
            <w:r w:rsidRPr="0080737A">
              <w:rPr>
                <w:rFonts w:ascii="Times New Roman" w:hAnsi="Times New Roman"/>
                <w:b/>
                <w:lang w:val="en-US"/>
              </w:rPr>
              <w:t xml:space="preserve">I </w:t>
            </w:r>
            <w:proofErr w:type="spellStart"/>
            <w:r w:rsidRPr="0080737A">
              <w:rPr>
                <w:rFonts w:ascii="Times New Roman" w:hAnsi="Times New Roman"/>
                <w:b/>
                <w:lang w:val="en-US"/>
              </w:rPr>
              <w:t>полугодие</w:t>
            </w:r>
            <w:proofErr w:type="spellEnd"/>
          </w:p>
          <w:p w:rsidR="006F4E1E" w:rsidRPr="0080737A" w:rsidRDefault="006F4E1E" w:rsidP="006F4E1E">
            <w:pPr>
              <w:widowControl w:val="0"/>
              <w:spacing w:after="0" w:line="240" w:lineRule="auto"/>
              <w:jc w:val="center"/>
              <w:rPr>
                <w:rFonts w:ascii="Times New Roman" w:hAnsi="Times New Roman"/>
                <w:b/>
              </w:rPr>
            </w:pPr>
            <w:r w:rsidRPr="0080737A">
              <w:rPr>
                <w:rFonts w:ascii="Times New Roman" w:hAnsi="Times New Roman"/>
                <w:b/>
              </w:rPr>
              <w:t>2016 года</w:t>
            </w:r>
          </w:p>
        </w:tc>
      </w:tr>
      <w:tr w:rsidR="006F4E1E" w:rsidRPr="0080737A" w:rsidTr="00901829">
        <w:trPr>
          <w:trHeight w:val="397"/>
        </w:trPr>
        <w:tc>
          <w:tcPr>
            <w:tcW w:w="5538" w:type="dxa"/>
            <w:vAlign w:val="center"/>
          </w:tcPr>
          <w:p w:rsidR="006F4E1E" w:rsidRPr="0080737A" w:rsidRDefault="006F4E1E" w:rsidP="006F4E1E">
            <w:pPr>
              <w:widowControl w:val="0"/>
              <w:spacing w:after="0" w:line="240" w:lineRule="auto"/>
              <w:rPr>
                <w:rFonts w:ascii="Times New Roman" w:hAnsi="Times New Roman"/>
              </w:rPr>
            </w:pPr>
            <w:r w:rsidRPr="0080737A">
              <w:rPr>
                <w:rFonts w:ascii="Times New Roman" w:hAnsi="Times New Roman"/>
              </w:rPr>
              <w:t>- в целом по республике</w:t>
            </w:r>
          </w:p>
        </w:tc>
        <w:tc>
          <w:tcPr>
            <w:tcW w:w="1987" w:type="dxa"/>
            <w:vAlign w:val="center"/>
          </w:tcPr>
          <w:p w:rsidR="006F4E1E" w:rsidRPr="0080737A" w:rsidRDefault="006F4E1E" w:rsidP="006F4E1E">
            <w:pPr>
              <w:widowControl w:val="0"/>
              <w:spacing w:after="0" w:line="240" w:lineRule="auto"/>
              <w:jc w:val="center"/>
              <w:rPr>
                <w:rFonts w:ascii="Times New Roman" w:hAnsi="Times New Roman"/>
              </w:rPr>
            </w:pPr>
            <w:r w:rsidRPr="0080737A">
              <w:rPr>
                <w:rFonts w:ascii="Times New Roman" w:hAnsi="Times New Roman"/>
              </w:rPr>
              <w:t>2,7</w:t>
            </w:r>
          </w:p>
        </w:tc>
        <w:tc>
          <w:tcPr>
            <w:tcW w:w="1987" w:type="dxa"/>
            <w:vAlign w:val="center"/>
          </w:tcPr>
          <w:p w:rsidR="006F4E1E" w:rsidRPr="0080737A" w:rsidRDefault="006F4E1E" w:rsidP="006F4E1E">
            <w:pPr>
              <w:widowControl w:val="0"/>
              <w:spacing w:after="0" w:line="240" w:lineRule="auto"/>
              <w:jc w:val="center"/>
              <w:rPr>
                <w:rFonts w:ascii="Times New Roman" w:hAnsi="Times New Roman"/>
              </w:rPr>
            </w:pPr>
            <w:r w:rsidRPr="0080737A">
              <w:rPr>
                <w:rFonts w:ascii="Times New Roman" w:hAnsi="Times New Roman"/>
              </w:rPr>
              <w:t>2,8</w:t>
            </w:r>
          </w:p>
        </w:tc>
      </w:tr>
      <w:tr w:rsidR="006F4E1E" w:rsidRPr="0080737A" w:rsidTr="00901829">
        <w:trPr>
          <w:trHeight w:val="397"/>
        </w:trPr>
        <w:tc>
          <w:tcPr>
            <w:tcW w:w="5538" w:type="dxa"/>
            <w:vAlign w:val="center"/>
          </w:tcPr>
          <w:p w:rsidR="006F4E1E" w:rsidRPr="0080737A" w:rsidRDefault="006F4E1E" w:rsidP="006F4E1E">
            <w:pPr>
              <w:widowControl w:val="0"/>
              <w:spacing w:after="0" w:line="240" w:lineRule="auto"/>
              <w:rPr>
                <w:rFonts w:ascii="Times New Roman" w:hAnsi="Times New Roman"/>
              </w:rPr>
            </w:pPr>
            <w:r w:rsidRPr="0080737A">
              <w:rPr>
                <w:rFonts w:ascii="Times New Roman" w:hAnsi="Times New Roman"/>
              </w:rPr>
              <w:t xml:space="preserve">- в хозрасчетном секторе </w:t>
            </w:r>
          </w:p>
        </w:tc>
        <w:tc>
          <w:tcPr>
            <w:tcW w:w="1987" w:type="dxa"/>
            <w:vAlign w:val="center"/>
          </w:tcPr>
          <w:p w:rsidR="006F4E1E" w:rsidRPr="0080737A" w:rsidRDefault="006F4E1E" w:rsidP="006F4E1E">
            <w:pPr>
              <w:widowControl w:val="0"/>
              <w:spacing w:after="0" w:line="240" w:lineRule="auto"/>
              <w:jc w:val="center"/>
              <w:rPr>
                <w:rFonts w:ascii="Times New Roman" w:hAnsi="Times New Roman"/>
              </w:rPr>
            </w:pPr>
            <w:r w:rsidRPr="0080737A">
              <w:rPr>
                <w:rFonts w:ascii="Times New Roman" w:hAnsi="Times New Roman"/>
              </w:rPr>
              <w:t>3,4</w:t>
            </w:r>
          </w:p>
        </w:tc>
        <w:tc>
          <w:tcPr>
            <w:tcW w:w="1987" w:type="dxa"/>
            <w:vAlign w:val="center"/>
          </w:tcPr>
          <w:p w:rsidR="006F4E1E" w:rsidRPr="0080737A" w:rsidRDefault="006F4E1E" w:rsidP="006F4E1E">
            <w:pPr>
              <w:widowControl w:val="0"/>
              <w:spacing w:after="0" w:line="240" w:lineRule="auto"/>
              <w:jc w:val="center"/>
              <w:rPr>
                <w:rFonts w:ascii="Times New Roman" w:hAnsi="Times New Roman"/>
              </w:rPr>
            </w:pPr>
            <w:r w:rsidRPr="0080737A">
              <w:rPr>
                <w:rFonts w:ascii="Times New Roman" w:hAnsi="Times New Roman"/>
              </w:rPr>
              <w:t>3,5</w:t>
            </w:r>
          </w:p>
        </w:tc>
      </w:tr>
      <w:tr w:rsidR="006F4E1E" w:rsidRPr="0080737A" w:rsidTr="00901829">
        <w:trPr>
          <w:trHeight w:val="397"/>
        </w:trPr>
        <w:tc>
          <w:tcPr>
            <w:tcW w:w="5538" w:type="dxa"/>
            <w:vAlign w:val="center"/>
          </w:tcPr>
          <w:p w:rsidR="006F4E1E" w:rsidRPr="0080737A" w:rsidRDefault="006F4E1E" w:rsidP="006F4E1E">
            <w:pPr>
              <w:widowControl w:val="0"/>
              <w:spacing w:after="0" w:line="240" w:lineRule="auto"/>
              <w:rPr>
                <w:rFonts w:ascii="Times New Roman" w:hAnsi="Times New Roman"/>
              </w:rPr>
            </w:pPr>
            <w:r w:rsidRPr="0080737A">
              <w:rPr>
                <w:rFonts w:ascii="Times New Roman" w:hAnsi="Times New Roman"/>
              </w:rPr>
              <w:t>- в бюджетной сфере</w:t>
            </w:r>
          </w:p>
        </w:tc>
        <w:tc>
          <w:tcPr>
            <w:tcW w:w="1987" w:type="dxa"/>
            <w:vAlign w:val="center"/>
          </w:tcPr>
          <w:p w:rsidR="006F4E1E" w:rsidRPr="0080737A" w:rsidRDefault="006F4E1E" w:rsidP="006F4E1E">
            <w:pPr>
              <w:widowControl w:val="0"/>
              <w:spacing w:after="0" w:line="240" w:lineRule="auto"/>
              <w:jc w:val="center"/>
              <w:rPr>
                <w:rFonts w:ascii="Times New Roman" w:hAnsi="Times New Roman"/>
              </w:rPr>
            </w:pPr>
            <w:r w:rsidRPr="0080737A">
              <w:rPr>
                <w:rFonts w:ascii="Times New Roman" w:hAnsi="Times New Roman"/>
              </w:rPr>
              <w:t>1,9</w:t>
            </w:r>
          </w:p>
        </w:tc>
        <w:tc>
          <w:tcPr>
            <w:tcW w:w="1987" w:type="dxa"/>
            <w:vAlign w:val="center"/>
          </w:tcPr>
          <w:p w:rsidR="006F4E1E" w:rsidRPr="0080737A" w:rsidRDefault="006F4E1E" w:rsidP="006F4E1E">
            <w:pPr>
              <w:widowControl w:val="0"/>
              <w:spacing w:after="0" w:line="240" w:lineRule="auto"/>
              <w:jc w:val="center"/>
              <w:rPr>
                <w:rFonts w:ascii="Times New Roman" w:hAnsi="Times New Roman"/>
              </w:rPr>
            </w:pPr>
            <w:r w:rsidRPr="0080737A">
              <w:rPr>
                <w:rFonts w:ascii="Times New Roman" w:hAnsi="Times New Roman"/>
              </w:rPr>
              <w:t>2,0</w:t>
            </w:r>
          </w:p>
        </w:tc>
      </w:tr>
    </w:tbl>
    <w:p w:rsidR="006F4E1E" w:rsidRPr="0080737A" w:rsidRDefault="006F4E1E" w:rsidP="006F4E1E">
      <w:pPr>
        <w:widowControl w:val="0"/>
        <w:spacing w:after="0" w:line="240" w:lineRule="auto"/>
        <w:ind w:firstLine="720"/>
        <w:jc w:val="both"/>
        <w:rPr>
          <w:rFonts w:ascii="Times New Roman" w:hAnsi="Times New Roman"/>
          <w:b/>
          <w:sz w:val="24"/>
          <w:szCs w:val="24"/>
        </w:rPr>
      </w:pPr>
    </w:p>
    <w:p w:rsidR="006F4E1E" w:rsidRPr="0080737A" w:rsidRDefault="006F4E1E" w:rsidP="006F4E1E">
      <w:pPr>
        <w:widowControl w:val="0"/>
        <w:spacing w:after="0" w:line="240" w:lineRule="auto"/>
        <w:ind w:firstLine="720"/>
        <w:jc w:val="both"/>
        <w:rPr>
          <w:rFonts w:ascii="Times New Roman" w:hAnsi="Times New Roman"/>
          <w:sz w:val="24"/>
          <w:szCs w:val="24"/>
        </w:rPr>
      </w:pPr>
      <w:r w:rsidRPr="0080737A">
        <w:rPr>
          <w:rFonts w:ascii="Times New Roman" w:hAnsi="Times New Roman"/>
          <w:b/>
          <w:sz w:val="24"/>
          <w:szCs w:val="24"/>
        </w:rPr>
        <w:t>Во внебюджетном (хозрасчетном) секторе</w:t>
      </w:r>
      <w:r w:rsidRPr="0080737A">
        <w:rPr>
          <w:rFonts w:ascii="Times New Roman" w:hAnsi="Times New Roman"/>
          <w:sz w:val="24"/>
          <w:szCs w:val="24"/>
        </w:rPr>
        <w:t xml:space="preserve"> экономики начисленная среднемесячная заработная плата одного работника за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 2016 года сократилась по отношению к базовому показателю 2015 года на 1,2% и сложилась в размере 4 777 руб., что с учетом корректировки на индекс инфляции соответствует ее реальному сокращению на 1,4%.</w:t>
      </w:r>
    </w:p>
    <w:p w:rsidR="006F4E1E" w:rsidRPr="0080737A" w:rsidRDefault="006F4E1E" w:rsidP="006F4E1E">
      <w:pPr>
        <w:widowControl w:val="0"/>
        <w:spacing w:after="0" w:line="240" w:lineRule="auto"/>
        <w:ind w:firstLine="708"/>
        <w:jc w:val="both"/>
        <w:rPr>
          <w:rFonts w:ascii="Times New Roman" w:hAnsi="Times New Roman"/>
          <w:sz w:val="24"/>
          <w:szCs w:val="24"/>
        </w:rPr>
      </w:pPr>
      <w:r w:rsidRPr="0080737A">
        <w:rPr>
          <w:rFonts w:ascii="Times New Roman" w:hAnsi="Times New Roman"/>
          <w:sz w:val="24"/>
          <w:szCs w:val="24"/>
        </w:rPr>
        <w:t xml:space="preserve">Повышение номинальной заработной платы за I полугодие 2016 года по отношению к соответствующему показателю 2015 года в хозрасчетном (внебюджетном) секторе экономики варьировало от 2,8% в организациях, занимающихся физкультурой, отдыхом и туризмом (5 629 руб.) до 47,9% в организациях лесного хозяйства (2 825 руб.). При этом самыми высокооплачиваемыми отраслями в данном секторе экономики в рассматриваемом периоде оставались: </w:t>
      </w:r>
      <w:proofErr w:type="spellStart"/>
      <w:r w:rsidRPr="0080737A">
        <w:rPr>
          <w:rFonts w:ascii="Times New Roman" w:hAnsi="Times New Roman"/>
          <w:sz w:val="24"/>
          <w:szCs w:val="24"/>
        </w:rPr>
        <w:t>электро</w:t>
      </w:r>
      <w:proofErr w:type="spellEnd"/>
      <w:r w:rsidRPr="0080737A">
        <w:rPr>
          <w:rFonts w:ascii="Times New Roman" w:hAnsi="Times New Roman"/>
          <w:sz w:val="24"/>
          <w:szCs w:val="24"/>
        </w:rPr>
        <w:t xml:space="preserve"> и радиосвязь (9 369 руб.), банки и кредитование (6 972 руб.), страхование (6 535 руб.), где превышение </w:t>
      </w:r>
      <w:proofErr w:type="spellStart"/>
      <w:r w:rsidRPr="0080737A">
        <w:rPr>
          <w:rFonts w:ascii="Times New Roman" w:hAnsi="Times New Roman"/>
          <w:sz w:val="24"/>
          <w:szCs w:val="24"/>
        </w:rPr>
        <w:t>среднереспубликанского</w:t>
      </w:r>
      <w:proofErr w:type="spellEnd"/>
      <w:r w:rsidRPr="0080737A">
        <w:rPr>
          <w:rFonts w:ascii="Times New Roman" w:hAnsi="Times New Roman"/>
          <w:sz w:val="24"/>
          <w:szCs w:val="24"/>
        </w:rPr>
        <w:t xml:space="preserve"> уровня заработной платы организаций хозрасчетного сектора варьировало от 96,1% до 36,8%.</w:t>
      </w:r>
    </w:p>
    <w:p w:rsidR="006F4E1E" w:rsidRPr="0080737A" w:rsidRDefault="006F4E1E" w:rsidP="006F4E1E">
      <w:pPr>
        <w:spacing w:line="240" w:lineRule="auto"/>
        <w:contextualSpacing/>
        <w:jc w:val="right"/>
        <w:rPr>
          <w:rFonts w:ascii="Times New Roman" w:hAnsi="Times New Roman"/>
          <w:sz w:val="24"/>
          <w:szCs w:val="24"/>
        </w:rPr>
      </w:pPr>
      <w:r w:rsidRPr="0080737A">
        <w:rPr>
          <w:rFonts w:ascii="Times New Roman" w:hAnsi="Times New Roman"/>
          <w:noProof/>
          <w:sz w:val="24"/>
          <w:szCs w:val="24"/>
        </w:rPr>
        <w:lastRenderedPageBreak/>
        <w:drawing>
          <wp:inline distT="0" distB="0" distL="0" distR="0">
            <wp:extent cx="5943600" cy="4229100"/>
            <wp:effectExtent l="0" t="0" r="0" b="0"/>
            <wp:docPr id="14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F4E1E" w:rsidRPr="0080737A" w:rsidRDefault="006F4E1E" w:rsidP="006F4E1E">
      <w:pPr>
        <w:widowControl w:val="0"/>
        <w:spacing w:after="0" w:line="240" w:lineRule="auto"/>
        <w:ind w:firstLine="709"/>
        <w:jc w:val="both"/>
        <w:rPr>
          <w:rFonts w:ascii="Times New Roman" w:hAnsi="Times New Roman"/>
          <w:sz w:val="24"/>
          <w:szCs w:val="24"/>
        </w:rPr>
      </w:pPr>
    </w:p>
    <w:p w:rsidR="006F4E1E" w:rsidRPr="0080737A" w:rsidRDefault="006F4E1E" w:rsidP="006F4E1E">
      <w:pPr>
        <w:widowControl w:val="0"/>
        <w:spacing w:after="0" w:line="240" w:lineRule="auto"/>
        <w:ind w:firstLine="709"/>
        <w:jc w:val="both"/>
        <w:rPr>
          <w:rFonts w:ascii="Times New Roman" w:hAnsi="Times New Roman"/>
          <w:sz w:val="24"/>
          <w:szCs w:val="24"/>
        </w:rPr>
      </w:pPr>
      <w:r w:rsidRPr="0080737A">
        <w:rPr>
          <w:rFonts w:ascii="Times New Roman" w:hAnsi="Times New Roman"/>
          <w:sz w:val="24"/>
          <w:szCs w:val="24"/>
        </w:rPr>
        <w:t>Нестабильная работа крупных предприятий индустрии республики в рассматриваемом периоде обусловила</w:t>
      </w:r>
      <w:r w:rsidR="00557D3D" w:rsidRPr="0080737A">
        <w:rPr>
          <w:rFonts w:ascii="Times New Roman" w:hAnsi="Times New Roman"/>
          <w:sz w:val="24"/>
          <w:szCs w:val="24"/>
        </w:rPr>
        <w:t xml:space="preserve"> </w:t>
      </w:r>
      <w:r w:rsidRPr="0080737A">
        <w:rPr>
          <w:rFonts w:ascii="Times New Roman" w:hAnsi="Times New Roman"/>
          <w:sz w:val="24"/>
          <w:szCs w:val="24"/>
        </w:rPr>
        <w:t>незначительное увеличение</w:t>
      </w:r>
      <w:r w:rsidR="00557D3D" w:rsidRPr="0080737A">
        <w:rPr>
          <w:rFonts w:ascii="Times New Roman" w:hAnsi="Times New Roman"/>
          <w:sz w:val="24"/>
          <w:szCs w:val="24"/>
        </w:rPr>
        <w:t xml:space="preserve"> </w:t>
      </w:r>
      <w:r w:rsidRPr="0080737A">
        <w:rPr>
          <w:rFonts w:ascii="Times New Roman" w:hAnsi="Times New Roman"/>
          <w:sz w:val="24"/>
          <w:szCs w:val="24"/>
        </w:rPr>
        <w:t>среднемесячной номинальной заработной платы работников в январе – июне 2016 года на 1,0%, что в абсолютной величине соответствовало 4 968 руб. или 443 дол. США. Вместе с этим, с учетом корректировки на индекс инфляции реальная ее величина выросла на 0,7%.</w:t>
      </w:r>
    </w:p>
    <w:p w:rsidR="006F4E1E" w:rsidRPr="0080737A" w:rsidRDefault="006F4E1E" w:rsidP="006F4E1E">
      <w:pPr>
        <w:widowControl w:val="0"/>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разрезе </w:t>
      </w:r>
      <w:proofErr w:type="spellStart"/>
      <w:r w:rsidRPr="0080737A">
        <w:rPr>
          <w:rFonts w:ascii="Times New Roman" w:hAnsi="Times New Roman"/>
          <w:sz w:val="24"/>
          <w:szCs w:val="24"/>
        </w:rPr>
        <w:t>подотраслей</w:t>
      </w:r>
      <w:proofErr w:type="spellEnd"/>
      <w:r w:rsidRPr="0080737A">
        <w:rPr>
          <w:rFonts w:ascii="Times New Roman" w:hAnsi="Times New Roman"/>
          <w:sz w:val="24"/>
          <w:szCs w:val="24"/>
        </w:rPr>
        <w:t xml:space="preserve"> промышленности динамика среднемесячной номинальной заработной платы за I полугодие 2016 года по отношению к базовому показателю 2015 года варьировала от «-»12,5% в организациях черной металлургии (суммарная величина –        5 463 руб.) до «+»5,3% в организациях электроэнергетики (суммарная величина –                          6 393 руб.).</w:t>
      </w:r>
    </w:p>
    <w:p w:rsidR="006F4E1E" w:rsidRPr="0080737A" w:rsidRDefault="006F4E1E" w:rsidP="006F4E1E">
      <w:pPr>
        <w:spacing w:line="240" w:lineRule="auto"/>
        <w:contextualSpacing/>
        <w:jc w:val="right"/>
        <w:rPr>
          <w:rFonts w:ascii="Times New Roman" w:hAnsi="Times New Roman"/>
          <w:sz w:val="18"/>
          <w:szCs w:val="18"/>
        </w:rPr>
      </w:pPr>
      <w:r w:rsidRPr="0080737A">
        <w:rPr>
          <w:rFonts w:ascii="Times New Roman" w:hAnsi="Times New Roman"/>
          <w:noProof/>
          <w:sz w:val="24"/>
          <w:szCs w:val="24"/>
        </w:rPr>
        <w:drawing>
          <wp:inline distT="0" distB="0" distL="0" distR="0">
            <wp:extent cx="6143625" cy="3219450"/>
            <wp:effectExtent l="19050" t="0" r="0" b="0"/>
            <wp:docPr id="1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F4E1E" w:rsidRPr="0080737A" w:rsidRDefault="006F4E1E" w:rsidP="006F4E1E">
      <w:pPr>
        <w:widowControl w:val="0"/>
        <w:spacing w:after="0" w:line="240" w:lineRule="auto"/>
        <w:ind w:firstLine="709"/>
        <w:jc w:val="both"/>
        <w:rPr>
          <w:rFonts w:ascii="Times New Roman" w:hAnsi="Times New Roman"/>
          <w:sz w:val="24"/>
          <w:szCs w:val="24"/>
        </w:rPr>
      </w:pPr>
      <w:r w:rsidRPr="0080737A">
        <w:rPr>
          <w:rFonts w:ascii="Times New Roman" w:hAnsi="Times New Roman"/>
          <w:sz w:val="24"/>
          <w:szCs w:val="24"/>
        </w:rPr>
        <w:lastRenderedPageBreak/>
        <w:t>Заработная плата у работников отрасли</w:t>
      </w:r>
      <w:r w:rsidRPr="0080737A">
        <w:rPr>
          <w:rFonts w:ascii="Times New Roman" w:hAnsi="Times New Roman"/>
          <w:b/>
          <w:sz w:val="24"/>
          <w:szCs w:val="24"/>
        </w:rPr>
        <w:t xml:space="preserve"> «Сельское хозяйство»</w:t>
      </w:r>
      <w:r w:rsidRPr="0080737A">
        <w:rPr>
          <w:rFonts w:ascii="Times New Roman" w:hAnsi="Times New Roman"/>
          <w:sz w:val="24"/>
          <w:szCs w:val="24"/>
        </w:rPr>
        <w:t xml:space="preserve"> в январе – июне 2016 года сократилась на 0,6% и составила 2 937 руб. (262 долл. США), с учетом корректировки на индекс инфляции материальное положение работников отрасли снизилось на 0,9%, при этом номинальный ее размер сложился ниже </w:t>
      </w:r>
      <w:proofErr w:type="spellStart"/>
      <w:r w:rsidRPr="0080737A">
        <w:rPr>
          <w:rFonts w:ascii="Times New Roman" w:hAnsi="Times New Roman"/>
          <w:sz w:val="24"/>
          <w:szCs w:val="24"/>
        </w:rPr>
        <w:t>среднереспубликанского</w:t>
      </w:r>
      <w:proofErr w:type="spellEnd"/>
      <w:r w:rsidRPr="0080737A">
        <w:rPr>
          <w:rFonts w:ascii="Times New Roman" w:hAnsi="Times New Roman"/>
          <w:sz w:val="24"/>
          <w:szCs w:val="24"/>
        </w:rPr>
        <w:t xml:space="preserve"> уровня</w:t>
      </w:r>
      <w:r w:rsidR="00557D3D" w:rsidRPr="0080737A">
        <w:rPr>
          <w:rFonts w:ascii="Times New Roman" w:hAnsi="Times New Roman"/>
          <w:sz w:val="24"/>
          <w:szCs w:val="24"/>
        </w:rPr>
        <w:t xml:space="preserve"> </w:t>
      </w:r>
      <w:r w:rsidRPr="0080737A">
        <w:rPr>
          <w:rFonts w:ascii="Times New Roman" w:hAnsi="Times New Roman"/>
          <w:sz w:val="24"/>
          <w:szCs w:val="24"/>
        </w:rPr>
        <w:t>на 22,5%.</w:t>
      </w:r>
    </w:p>
    <w:p w:rsidR="006F4E1E" w:rsidRPr="0080737A" w:rsidRDefault="006F4E1E" w:rsidP="006F4E1E">
      <w:pPr>
        <w:autoSpaceDE w:val="0"/>
        <w:autoSpaceDN w:val="0"/>
        <w:adjustRightInd w:val="0"/>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Оплата труда в бюджетной сфере по итогам I полугодия 2016 года относительно базового показателя 2015 года незначительно выросла на 0,4% и составила в среднем 2 694 руб. (240 долл.), составив 71,1% от </w:t>
      </w:r>
      <w:proofErr w:type="spellStart"/>
      <w:r w:rsidRPr="0080737A">
        <w:rPr>
          <w:rFonts w:ascii="Times New Roman" w:hAnsi="Times New Roman"/>
          <w:sz w:val="24"/>
          <w:szCs w:val="24"/>
        </w:rPr>
        <w:t>среднереспубликанского</w:t>
      </w:r>
      <w:proofErr w:type="spellEnd"/>
      <w:r w:rsidRPr="0080737A">
        <w:rPr>
          <w:rFonts w:ascii="Times New Roman" w:hAnsi="Times New Roman"/>
          <w:sz w:val="24"/>
          <w:szCs w:val="24"/>
        </w:rPr>
        <w:t xml:space="preserve"> уровня. С учетом корректировки на индекс инфляции материальное положение </w:t>
      </w:r>
      <w:proofErr w:type="gramStart"/>
      <w:r w:rsidRPr="0080737A">
        <w:rPr>
          <w:rFonts w:ascii="Times New Roman" w:hAnsi="Times New Roman"/>
          <w:sz w:val="24"/>
          <w:szCs w:val="24"/>
        </w:rPr>
        <w:t>занятых</w:t>
      </w:r>
      <w:proofErr w:type="gramEnd"/>
      <w:r w:rsidRPr="0080737A">
        <w:rPr>
          <w:rFonts w:ascii="Times New Roman" w:hAnsi="Times New Roman"/>
          <w:sz w:val="24"/>
          <w:szCs w:val="24"/>
        </w:rPr>
        <w:t xml:space="preserve"> в</w:t>
      </w:r>
      <w:r w:rsidR="00557D3D" w:rsidRPr="0080737A">
        <w:rPr>
          <w:rFonts w:ascii="Times New Roman" w:hAnsi="Times New Roman"/>
          <w:sz w:val="24"/>
          <w:szCs w:val="24"/>
        </w:rPr>
        <w:t xml:space="preserve"> </w:t>
      </w:r>
      <w:r w:rsidRPr="0080737A">
        <w:rPr>
          <w:rFonts w:ascii="Times New Roman" w:hAnsi="Times New Roman"/>
          <w:sz w:val="24"/>
          <w:szCs w:val="24"/>
        </w:rPr>
        <w:t>бюджетном секторе (реальная заработная плата) выросло на 0,2%.</w:t>
      </w:r>
    </w:p>
    <w:p w:rsidR="006F4E1E" w:rsidRPr="0080737A" w:rsidRDefault="006F4E1E" w:rsidP="006F4E1E">
      <w:pPr>
        <w:spacing w:after="0" w:line="240" w:lineRule="auto"/>
        <w:jc w:val="both"/>
        <w:rPr>
          <w:rFonts w:ascii="Times New Roman" w:hAnsi="Times New Roman"/>
          <w:sz w:val="24"/>
          <w:szCs w:val="24"/>
        </w:rPr>
      </w:pPr>
      <w:r w:rsidRPr="0080737A">
        <w:rPr>
          <w:rFonts w:ascii="Times New Roman" w:hAnsi="Times New Roman"/>
          <w:noProof/>
          <w:sz w:val="24"/>
          <w:szCs w:val="24"/>
        </w:rPr>
        <w:drawing>
          <wp:inline distT="0" distB="0" distL="0" distR="0">
            <wp:extent cx="5940425" cy="4448175"/>
            <wp:effectExtent l="0" t="0" r="3175" b="0"/>
            <wp:docPr id="14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F4E1E" w:rsidRPr="0080737A" w:rsidRDefault="006F4E1E" w:rsidP="006F4E1E">
      <w:pPr>
        <w:spacing w:after="0" w:line="240" w:lineRule="auto"/>
        <w:ind w:firstLine="709"/>
        <w:jc w:val="both"/>
        <w:rPr>
          <w:rFonts w:ascii="Times New Roman" w:hAnsi="Times New Roman"/>
          <w:sz w:val="24"/>
          <w:szCs w:val="24"/>
        </w:rPr>
      </w:pP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Максимальная заработная плата сформировалась в организациях отрасли «Высшие учебные заведения» – 3 608 руб., в судебных органах власти – 3 420 руб. </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Вместе с этим заработная плата в таких отраслях как: «Торговля и общепит», «Геология и метеорология», «Социальное обеспечение» сформировалась в пределах          45,5% – 55,5% от </w:t>
      </w:r>
      <w:proofErr w:type="spellStart"/>
      <w:r w:rsidRPr="0080737A">
        <w:rPr>
          <w:rFonts w:ascii="Times New Roman" w:hAnsi="Times New Roman"/>
          <w:sz w:val="24"/>
          <w:szCs w:val="24"/>
        </w:rPr>
        <w:t>среднереспубликанской</w:t>
      </w:r>
      <w:proofErr w:type="spellEnd"/>
      <w:r w:rsidRPr="0080737A">
        <w:rPr>
          <w:rFonts w:ascii="Times New Roman" w:hAnsi="Times New Roman"/>
          <w:sz w:val="24"/>
          <w:szCs w:val="24"/>
        </w:rPr>
        <w:t xml:space="preserve"> величины.</w:t>
      </w:r>
    </w:p>
    <w:p w:rsidR="006F4E1E" w:rsidRPr="0080737A" w:rsidRDefault="006F4E1E" w:rsidP="006F4E1E">
      <w:pPr>
        <w:spacing w:after="0" w:line="240" w:lineRule="auto"/>
        <w:ind w:firstLine="708"/>
        <w:jc w:val="both"/>
        <w:rPr>
          <w:rFonts w:ascii="Times New Roman" w:hAnsi="Times New Roman"/>
          <w:sz w:val="24"/>
          <w:szCs w:val="24"/>
        </w:rPr>
      </w:pPr>
      <w:r w:rsidRPr="0080737A">
        <w:rPr>
          <w:rFonts w:ascii="Times New Roman" w:hAnsi="Times New Roman"/>
          <w:b/>
          <w:sz w:val="24"/>
          <w:szCs w:val="24"/>
        </w:rPr>
        <w:t>Суммарная задолженность</w:t>
      </w:r>
      <w:r w:rsidRPr="0080737A">
        <w:rPr>
          <w:rFonts w:ascii="Times New Roman" w:hAnsi="Times New Roman"/>
          <w:sz w:val="24"/>
          <w:szCs w:val="24"/>
        </w:rPr>
        <w:t xml:space="preserve"> по заработной плате в целом по республике на 1 июля 2016 года по сравнению с задолженностью на 1 июля 2015 года сократилась в 3 раза и составила </w:t>
      </w:r>
      <w:r w:rsidRPr="0080737A">
        <w:rPr>
          <w:rFonts w:ascii="Times New Roman" w:hAnsi="Times New Roman"/>
          <w:bCs/>
          <w:sz w:val="24"/>
          <w:szCs w:val="24"/>
        </w:rPr>
        <w:t>35,4 млн</w:t>
      </w:r>
      <w:r w:rsidRPr="0080737A">
        <w:rPr>
          <w:rFonts w:ascii="Times New Roman" w:hAnsi="Times New Roman"/>
          <w:sz w:val="24"/>
          <w:szCs w:val="24"/>
        </w:rPr>
        <w:t>. руб</w:t>
      </w:r>
      <w:proofErr w:type="gramStart"/>
      <w:r w:rsidRPr="0080737A">
        <w:rPr>
          <w:rFonts w:ascii="Times New Roman" w:hAnsi="Times New Roman"/>
          <w:sz w:val="24"/>
          <w:szCs w:val="24"/>
        </w:rPr>
        <w:t>.Н</w:t>
      </w:r>
      <w:proofErr w:type="gramEnd"/>
      <w:r w:rsidRPr="0080737A">
        <w:rPr>
          <w:rFonts w:ascii="Times New Roman" w:hAnsi="Times New Roman"/>
          <w:sz w:val="24"/>
          <w:szCs w:val="24"/>
        </w:rPr>
        <w:t xml:space="preserve">аибольший удельный вес в общей суммарной задолженности приходится на организации промышленности, строительства и образования (78,0% общей суммарной задолженности по республике).Задолженность по оплате труда в </w:t>
      </w:r>
      <w:r w:rsidRPr="0080737A">
        <w:rPr>
          <w:rFonts w:ascii="Times New Roman" w:hAnsi="Times New Roman"/>
          <w:b/>
          <w:sz w:val="24"/>
          <w:szCs w:val="24"/>
        </w:rPr>
        <w:t>бюджетной сфере</w:t>
      </w:r>
      <w:r w:rsidRPr="0080737A">
        <w:rPr>
          <w:rFonts w:ascii="Times New Roman" w:hAnsi="Times New Roman"/>
          <w:sz w:val="24"/>
          <w:szCs w:val="24"/>
        </w:rPr>
        <w:t xml:space="preserve"> по состоянию на 1 июля 2016 года составила </w:t>
      </w:r>
      <w:r w:rsidRPr="0080737A">
        <w:rPr>
          <w:rFonts w:ascii="Times New Roman" w:hAnsi="Times New Roman"/>
          <w:bCs/>
          <w:sz w:val="24"/>
          <w:szCs w:val="24"/>
        </w:rPr>
        <w:t>6,3 млн</w:t>
      </w:r>
      <w:r w:rsidRPr="0080737A">
        <w:rPr>
          <w:rFonts w:ascii="Times New Roman" w:hAnsi="Times New Roman"/>
          <w:sz w:val="24"/>
          <w:szCs w:val="24"/>
        </w:rPr>
        <w:t xml:space="preserve">. руб., </w:t>
      </w:r>
      <w:r w:rsidRPr="0080737A">
        <w:rPr>
          <w:rFonts w:ascii="Times New Roman" w:hAnsi="Times New Roman"/>
          <w:b/>
          <w:sz w:val="24"/>
          <w:szCs w:val="24"/>
        </w:rPr>
        <w:t xml:space="preserve">во внебюджетном секторе </w:t>
      </w:r>
      <w:r w:rsidRPr="0080737A">
        <w:rPr>
          <w:rFonts w:ascii="Times New Roman" w:hAnsi="Times New Roman"/>
          <w:sz w:val="24"/>
          <w:szCs w:val="24"/>
        </w:rPr>
        <w:t>– 29,1 млн. руб., сократившись по сравнению с задолженностью на 1 июля 2015 года на 3,8%.</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Следующей составляющей доходов населения и индикатором, характеризующим уровень жизни населения, является </w:t>
      </w:r>
      <w:r w:rsidRPr="0080737A">
        <w:rPr>
          <w:rFonts w:ascii="Times New Roman" w:hAnsi="Times New Roman"/>
          <w:b/>
          <w:sz w:val="24"/>
          <w:szCs w:val="24"/>
        </w:rPr>
        <w:t>пенсия.</w:t>
      </w:r>
    </w:p>
    <w:p w:rsidR="006F4E1E" w:rsidRPr="0080737A" w:rsidRDefault="006F4E1E" w:rsidP="006F4E1E">
      <w:pPr>
        <w:rPr>
          <w:rFonts w:ascii="Times New Roman" w:hAnsi="Times New Roman"/>
          <w:sz w:val="24"/>
          <w:szCs w:val="24"/>
        </w:rPr>
      </w:pPr>
      <w:r w:rsidRPr="0080737A">
        <w:rPr>
          <w:rFonts w:ascii="Times New Roman" w:hAnsi="Times New Roman"/>
          <w:noProof/>
          <w:sz w:val="24"/>
          <w:szCs w:val="24"/>
        </w:rPr>
        <w:lastRenderedPageBreak/>
        <w:drawing>
          <wp:inline distT="0" distB="0" distL="0" distR="0">
            <wp:extent cx="5934075" cy="2352675"/>
            <wp:effectExtent l="0" t="0" r="0" b="0"/>
            <wp:docPr id="1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F4E1E" w:rsidRPr="0080737A" w:rsidRDefault="006F4E1E" w:rsidP="006F4E1E">
      <w:pPr>
        <w:spacing w:after="0" w:line="240" w:lineRule="auto"/>
        <w:ind w:firstLine="709"/>
        <w:jc w:val="both"/>
        <w:rPr>
          <w:rFonts w:ascii="Times New Roman" w:hAnsi="Times New Roman"/>
          <w:sz w:val="24"/>
          <w:szCs w:val="24"/>
        </w:rPr>
      </w:pPr>
      <w:proofErr w:type="gramStart"/>
      <w:r w:rsidRPr="0080737A">
        <w:rPr>
          <w:rFonts w:ascii="Times New Roman" w:eastAsiaTheme="minorHAnsi" w:hAnsi="Times New Roman" w:cstheme="minorBidi"/>
          <w:sz w:val="24"/>
          <w:szCs w:val="24"/>
          <w:lang w:eastAsia="en-US"/>
        </w:rPr>
        <w:t>На фоне выбытия пенсионеров и переоформления пенсий в течение 2015 года, число получателей пенсий за I полугодие 2016 года по сравнению с аналогичным периодом прошлого года уменьшилось на 10,6 тыс. чел. или на 7,8%, составив 126,0 тыс. чел. Однако, по сравнению с началом года общая численность получателей пенсии увеличилась на 1,7 тыс. чел. и составила 126,7</w:t>
      </w:r>
      <w:r w:rsidRPr="0080737A">
        <w:rPr>
          <w:rFonts w:ascii="Times New Roman" w:hAnsi="Times New Roman"/>
          <w:sz w:val="24"/>
          <w:szCs w:val="24"/>
        </w:rPr>
        <w:t>тыс. чел. Таким образом</w:t>
      </w:r>
      <w:proofErr w:type="gramEnd"/>
      <w:r w:rsidRPr="0080737A">
        <w:rPr>
          <w:rFonts w:ascii="Times New Roman" w:hAnsi="Times New Roman"/>
          <w:sz w:val="24"/>
          <w:szCs w:val="24"/>
        </w:rPr>
        <w:t>, в экономике сложилась ситуация, когда на 100 работающих человек приходится 128 пенсионера.</w:t>
      </w:r>
    </w:p>
    <w:p w:rsidR="006F4E1E" w:rsidRPr="0080737A" w:rsidRDefault="006F4E1E" w:rsidP="006F4E1E">
      <w:pPr>
        <w:tabs>
          <w:tab w:val="left" w:pos="851"/>
        </w:tabs>
        <w:spacing w:after="0" w:line="240" w:lineRule="auto"/>
        <w:ind w:firstLine="567"/>
        <w:jc w:val="both"/>
        <w:rPr>
          <w:rFonts w:ascii="Times New Roman" w:hAnsi="Times New Roman"/>
          <w:sz w:val="24"/>
          <w:szCs w:val="24"/>
        </w:rPr>
      </w:pPr>
      <w:r w:rsidRPr="0080737A">
        <w:rPr>
          <w:rFonts w:ascii="Times New Roman" w:hAnsi="Times New Roman"/>
          <w:sz w:val="24"/>
          <w:szCs w:val="24"/>
        </w:rPr>
        <w:t>Поступления в доходную часть Единого государственного фонда социального страхования Приднестровской Молдавской Республики за I полугодие 2016 года (с учетом кредитов из прочих источников, поступления средств ежемесячной гуманитарной помощи Российской Федерации, а также беспроцентного займа на выплату задолженности по ежемесячной дополнительной помощи к пенсиям за 2015 год</w:t>
      </w:r>
      <w:proofErr w:type="gramStart"/>
      <w:r w:rsidRPr="0080737A">
        <w:rPr>
          <w:rFonts w:ascii="Times New Roman" w:hAnsi="Times New Roman"/>
          <w:sz w:val="24"/>
          <w:szCs w:val="24"/>
        </w:rPr>
        <w:t>)</w:t>
      </w:r>
      <w:bookmarkStart w:id="7" w:name="_GoBack"/>
      <w:bookmarkEnd w:id="7"/>
      <w:r w:rsidRPr="0080737A">
        <w:rPr>
          <w:rFonts w:ascii="Times New Roman" w:hAnsi="Times New Roman"/>
          <w:sz w:val="24"/>
          <w:szCs w:val="24"/>
        </w:rPr>
        <w:t>с</w:t>
      </w:r>
      <w:proofErr w:type="gramEnd"/>
      <w:r w:rsidRPr="0080737A">
        <w:rPr>
          <w:rFonts w:ascii="Times New Roman" w:hAnsi="Times New Roman"/>
          <w:sz w:val="24"/>
          <w:szCs w:val="24"/>
        </w:rPr>
        <w:t>оставили 1 391,8 млн. руб., что на 8,9% больше по сравнению с аналогичным периодом прошлого года, исполнение расходной части бюджета составило 1 348,3 млн. руб., что на 10,3% больше по сравнению с январем – июнем 2015 года. При этом</w:t>
      </w:r>
      <w:proofErr w:type="gramStart"/>
      <w:r w:rsidRPr="0080737A">
        <w:rPr>
          <w:rFonts w:ascii="Times New Roman" w:hAnsi="Times New Roman"/>
          <w:sz w:val="24"/>
          <w:szCs w:val="24"/>
        </w:rPr>
        <w:t>,</w:t>
      </w:r>
      <w:proofErr w:type="gramEnd"/>
      <w:r w:rsidRPr="0080737A">
        <w:rPr>
          <w:rFonts w:ascii="Times New Roman" w:hAnsi="Times New Roman"/>
          <w:sz w:val="24"/>
          <w:szCs w:val="24"/>
        </w:rPr>
        <w:t xml:space="preserve"> расходы для осуществления основных функций бюджета по пенсионному обеспечению составили 1 137,4 млн. руб. или 81,7% от общих доходов, данные расходы производились за счет следующих источников: </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а) средства фонда – 970,8 млн. руб. (85,4% от расходов по пенсионному обеспечению);</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б) средства республиканского бюджета – 91,2 млн. руб. (8,0% от расходов по пенсионному обеспечению); </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средства гуманитарной помощи Российской Федерации – 75,4 млн. руб., (6,6% от расходов по пенсионному обеспечению).</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январе 2016 года осуществлен перерасчет минимального размера пенсии по возрасту при трудовом стаже и для исчисления надбавок и повышений. В результате средний размер назначенных пенсий с учетом проведенных индексаций повысился на 23,28 руб. ПМР («+»1,7%) и по состоянию на конец июня составил 1 355,9 руб., превысив на 22,1% прожиточный минимум пенсионера. С учетом инфляции материальное положение пенсионеров повысилось на 0,4%. </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целях поддержания материального благосостояния пенсионеров республики дополнительно к пенсии в январе – июне 2016 года производилась выплата ежемесячной гуманитарной помощи Российской Федерации в размере 100 рублей.</w:t>
      </w:r>
    </w:p>
    <w:p w:rsidR="006F4E1E" w:rsidRPr="0080737A" w:rsidRDefault="006F4E1E" w:rsidP="006F4E1E">
      <w:pPr>
        <w:spacing w:after="0" w:line="240" w:lineRule="auto"/>
        <w:ind w:firstLine="709"/>
        <w:jc w:val="both"/>
        <w:rPr>
          <w:rFonts w:ascii="Times New Roman" w:hAnsi="Times New Roman"/>
          <w:sz w:val="24"/>
          <w:szCs w:val="24"/>
        </w:rPr>
      </w:pPr>
      <w:proofErr w:type="gramStart"/>
      <w:r w:rsidRPr="0080737A">
        <w:rPr>
          <w:rFonts w:ascii="Times New Roman" w:hAnsi="Times New Roman"/>
          <w:b/>
          <w:sz w:val="24"/>
          <w:szCs w:val="24"/>
        </w:rPr>
        <w:t>Величина прожиточного минимума,</w:t>
      </w:r>
      <w:r w:rsidRPr="0080737A">
        <w:rPr>
          <w:rFonts w:ascii="Times New Roman" w:hAnsi="Times New Roman"/>
          <w:sz w:val="24"/>
          <w:szCs w:val="24"/>
        </w:rPr>
        <w:t xml:space="preserve"> определяющая минимально допустимый уровень потребления человеком товаров и услуг, обеспечивающих удовлетворение основных физиологических, социально-культурных и иных его потребностей, дифференцированных по социально-демографическим группам за I полугодие в среднем на душу населения составила 1 280,4 руб. («-»3,0%), из которой расходы на питание составили 563,7 руб. («-»6,8%), затраты на непродовольственные товары –268,8 руб. («+»1,2%), на оплату услуг – 424,4 руб. («-»0,1</w:t>
      </w:r>
      <w:proofErr w:type="gramEnd"/>
      <w:r w:rsidRPr="0080737A">
        <w:rPr>
          <w:rFonts w:ascii="Times New Roman" w:hAnsi="Times New Roman"/>
          <w:sz w:val="24"/>
          <w:szCs w:val="24"/>
        </w:rPr>
        <w:t>%), а величина расходов по обязательным платежам и сборам – 23,5 руб. («-»4,1%).</w:t>
      </w:r>
    </w:p>
    <w:p w:rsidR="006F4E1E" w:rsidRPr="0080737A" w:rsidRDefault="006F4E1E" w:rsidP="006F4E1E">
      <w:pPr>
        <w:spacing w:after="0" w:line="240" w:lineRule="auto"/>
        <w:jc w:val="center"/>
        <w:rPr>
          <w:rFonts w:ascii="Times New Roman" w:hAnsi="Times New Roman"/>
          <w:b/>
          <w:sz w:val="24"/>
          <w:szCs w:val="24"/>
        </w:rPr>
      </w:pPr>
      <w:r w:rsidRPr="0080737A">
        <w:rPr>
          <w:rFonts w:ascii="Times New Roman" w:hAnsi="Times New Roman"/>
          <w:b/>
          <w:noProof/>
          <w:sz w:val="24"/>
          <w:szCs w:val="24"/>
        </w:rPr>
        <w:lastRenderedPageBreak/>
        <w:drawing>
          <wp:inline distT="0" distB="0" distL="0" distR="0">
            <wp:extent cx="5486400" cy="2333625"/>
            <wp:effectExtent l="0" t="0" r="0" b="0"/>
            <wp:docPr id="14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разрезе социально-демографических групп населения величина прожиточного минимума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сложилась следующим образом:</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9"/>
        <w:gridCol w:w="1603"/>
        <w:gridCol w:w="1602"/>
        <w:gridCol w:w="2331"/>
      </w:tblGrid>
      <w:tr w:rsidR="006F4E1E" w:rsidRPr="0080737A" w:rsidTr="006F4E1E">
        <w:trPr>
          <w:trHeight w:val="743"/>
        </w:trPr>
        <w:tc>
          <w:tcPr>
            <w:tcW w:w="4079" w:type="dxa"/>
            <w:vMerge w:val="restart"/>
            <w:vAlign w:val="center"/>
          </w:tcPr>
          <w:p w:rsidR="006F4E1E" w:rsidRPr="0080737A" w:rsidRDefault="006F4E1E" w:rsidP="006F4E1E">
            <w:pPr>
              <w:spacing w:after="0"/>
              <w:ind w:left="34"/>
              <w:rPr>
                <w:rFonts w:ascii="Times New Roman" w:hAnsi="Times New Roman"/>
                <w:b/>
              </w:rPr>
            </w:pPr>
            <w:r w:rsidRPr="0080737A">
              <w:rPr>
                <w:rFonts w:ascii="Times New Roman" w:hAnsi="Times New Roman"/>
                <w:b/>
              </w:rPr>
              <w:t>Социально-демографическая группа</w:t>
            </w:r>
          </w:p>
        </w:tc>
        <w:tc>
          <w:tcPr>
            <w:tcW w:w="3205" w:type="dxa"/>
            <w:gridSpan w:val="2"/>
            <w:vAlign w:val="center"/>
          </w:tcPr>
          <w:p w:rsidR="006F4E1E" w:rsidRPr="0080737A" w:rsidRDefault="006F4E1E" w:rsidP="006F4E1E">
            <w:pPr>
              <w:spacing w:after="0"/>
              <w:ind w:left="34"/>
              <w:jc w:val="center"/>
              <w:rPr>
                <w:rFonts w:ascii="Times New Roman" w:hAnsi="Times New Roman"/>
                <w:b/>
              </w:rPr>
            </w:pPr>
            <w:r w:rsidRPr="0080737A">
              <w:rPr>
                <w:rFonts w:ascii="Times New Roman" w:hAnsi="Times New Roman"/>
                <w:b/>
              </w:rPr>
              <w:t xml:space="preserve">Величина ПМ </w:t>
            </w:r>
          </w:p>
          <w:p w:rsidR="006F4E1E" w:rsidRPr="0080737A" w:rsidRDefault="006F4E1E" w:rsidP="006F4E1E">
            <w:pPr>
              <w:spacing w:after="0"/>
              <w:ind w:left="34"/>
              <w:jc w:val="center"/>
              <w:rPr>
                <w:rFonts w:ascii="Times New Roman" w:hAnsi="Times New Roman"/>
                <w:b/>
              </w:rPr>
            </w:pPr>
            <w:r w:rsidRPr="0080737A">
              <w:rPr>
                <w:rFonts w:ascii="Times New Roman" w:hAnsi="Times New Roman"/>
                <w:b/>
              </w:rPr>
              <w:t xml:space="preserve">за I полугодие, </w:t>
            </w:r>
          </w:p>
          <w:p w:rsidR="006F4E1E" w:rsidRPr="0080737A" w:rsidRDefault="006F4E1E" w:rsidP="006F4E1E">
            <w:pPr>
              <w:spacing w:after="0"/>
              <w:ind w:firstLine="34"/>
              <w:jc w:val="center"/>
              <w:rPr>
                <w:rFonts w:ascii="Times New Roman" w:hAnsi="Times New Roman"/>
                <w:b/>
              </w:rPr>
            </w:pPr>
            <w:r w:rsidRPr="0080737A">
              <w:rPr>
                <w:rFonts w:ascii="Times New Roman" w:hAnsi="Times New Roman"/>
                <w:b/>
              </w:rPr>
              <w:t>руб.</w:t>
            </w:r>
          </w:p>
        </w:tc>
        <w:tc>
          <w:tcPr>
            <w:tcW w:w="2331" w:type="dxa"/>
            <w:vMerge w:val="restart"/>
            <w:vAlign w:val="center"/>
          </w:tcPr>
          <w:p w:rsidR="006F4E1E" w:rsidRPr="0080737A" w:rsidRDefault="006F4E1E" w:rsidP="006F4E1E">
            <w:pPr>
              <w:spacing w:after="0"/>
              <w:ind w:firstLine="34"/>
              <w:jc w:val="center"/>
              <w:rPr>
                <w:rFonts w:ascii="Times New Roman" w:hAnsi="Times New Roman"/>
                <w:b/>
              </w:rPr>
            </w:pPr>
            <w:r w:rsidRPr="0080737A">
              <w:rPr>
                <w:rFonts w:ascii="Times New Roman" w:hAnsi="Times New Roman"/>
                <w:b/>
              </w:rPr>
              <w:t xml:space="preserve">Темп роста I </w:t>
            </w:r>
            <w:proofErr w:type="spellStart"/>
            <w:r w:rsidRPr="0080737A">
              <w:rPr>
                <w:rFonts w:ascii="Times New Roman" w:hAnsi="Times New Roman"/>
                <w:b/>
              </w:rPr>
              <w:t>полуг</w:t>
            </w:r>
            <w:proofErr w:type="spellEnd"/>
            <w:r w:rsidRPr="0080737A">
              <w:rPr>
                <w:rFonts w:ascii="Times New Roman" w:hAnsi="Times New Roman"/>
                <w:b/>
              </w:rPr>
              <w:t>.</w:t>
            </w:r>
          </w:p>
          <w:p w:rsidR="006F4E1E" w:rsidRPr="0080737A" w:rsidRDefault="006F4E1E" w:rsidP="006F4E1E">
            <w:pPr>
              <w:spacing w:after="0"/>
              <w:ind w:left="34"/>
              <w:jc w:val="center"/>
              <w:rPr>
                <w:rFonts w:ascii="Times New Roman" w:hAnsi="Times New Roman"/>
                <w:b/>
              </w:rPr>
            </w:pPr>
            <w:r w:rsidRPr="0080737A">
              <w:rPr>
                <w:rFonts w:ascii="Times New Roman" w:hAnsi="Times New Roman"/>
                <w:b/>
              </w:rPr>
              <w:t xml:space="preserve">2016 г. к I </w:t>
            </w:r>
            <w:proofErr w:type="spellStart"/>
            <w:r w:rsidRPr="0080737A">
              <w:rPr>
                <w:rFonts w:ascii="Times New Roman" w:hAnsi="Times New Roman"/>
                <w:b/>
              </w:rPr>
              <w:t>полуг</w:t>
            </w:r>
            <w:proofErr w:type="spellEnd"/>
            <w:r w:rsidRPr="0080737A">
              <w:rPr>
                <w:rFonts w:ascii="Times New Roman" w:hAnsi="Times New Roman"/>
                <w:b/>
              </w:rPr>
              <w:t>. 2015 г., %</w:t>
            </w:r>
          </w:p>
        </w:tc>
      </w:tr>
      <w:tr w:rsidR="006F4E1E" w:rsidRPr="0080737A" w:rsidTr="006F4E1E">
        <w:trPr>
          <w:trHeight w:val="143"/>
        </w:trPr>
        <w:tc>
          <w:tcPr>
            <w:tcW w:w="4079" w:type="dxa"/>
            <w:vMerge/>
            <w:vAlign w:val="center"/>
          </w:tcPr>
          <w:p w:rsidR="006F4E1E" w:rsidRPr="0080737A" w:rsidRDefault="006F4E1E" w:rsidP="006F4E1E">
            <w:pPr>
              <w:spacing w:after="0"/>
              <w:ind w:left="34"/>
              <w:rPr>
                <w:rFonts w:ascii="Times New Roman" w:hAnsi="Times New Roman"/>
              </w:rPr>
            </w:pPr>
          </w:p>
        </w:tc>
        <w:tc>
          <w:tcPr>
            <w:tcW w:w="1603" w:type="dxa"/>
            <w:vAlign w:val="center"/>
          </w:tcPr>
          <w:p w:rsidR="006F4E1E" w:rsidRPr="0080737A" w:rsidRDefault="006F4E1E" w:rsidP="006F4E1E">
            <w:pPr>
              <w:spacing w:after="0"/>
              <w:ind w:left="-76" w:right="-96"/>
              <w:jc w:val="center"/>
              <w:rPr>
                <w:rFonts w:ascii="Times New Roman" w:hAnsi="Times New Roman"/>
                <w:b/>
              </w:rPr>
            </w:pPr>
            <w:r w:rsidRPr="0080737A">
              <w:rPr>
                <w:rFonts w:ascii="Times New Roman" w:hAnsi="Times New Roman"/>
                <w:b/>
              </w:rPr>
              <w:t>2015 год</w:t>
            </w:r>
          </w:p>
        </w:tc>
        <w:tc>
          <w:tcPr>
            <w:tcW w:w="1602" w:type="dxa"/>
            <w:vAlign w:val="center"/>
          </w:tcPr>
          <w:p w:rsidR="006F4E1E" w:rsidRPr="0080737A" w:rsidRDefault="006F4E1E" w:rsidP="006F4E1E">
            <w:pPr>
              <w:spacing w:after="0"/>
              <w:ind w:left="34"/>
              <w:jc w:val="center"/>
              <w:rPr>
                <w:rFonts w:ascii="Times New Roman" w:hAnsi="Times New Roman"/>
                <w:b/>
              </w:rPr>
            </w:pPr>
            <w:r w:rsidRPr="0080737A">
              <w:rPr>
                <w:rFonts w:ascii="Times New Roman" w:hAnsi="Times New Roman"/>
                <w:b/>
              </w:rPr>
              <w:t>2016 год</w:t>
            </w:r>
          </w:p>
        </w:tc>
        <w:tc>
          <w:tcPr>
            <w:tcW w:w="2331" w:type="dxa"/>
            <w:vMerge/>
            <w:vAlign w:val="center"/>
          </w:tcPr>
          <w:p w:rsidR="006F4E1E" w:rsidRPr="0080737A" w:rsidRDefault="006F4E1E" w:rsidP="006F4E1E">
            <w:pPr>
              <w:spacing w:after="0"/>
              <w:ind w:firstLine="34"/>
              <w:jc w:val="center"/>
              <w:rPr>
                <w:rFonts w:ascii="Times New Roman" w:hAnsi="Times New Roman"/>
              </w:rPr>
            </w:pPr>
          </w:p>
        </w:tc>
      </w:tr>
      <w:tr w:rsidR="006F4E1E" w:rsidRPr="0080737A" w:rsidTr="006F4E1E">
        <w:trPr>
          <w:trHeight w:val="244"/>
        </w:trPr>
        <w:tc>
          <w:tcPr>
            <w:tcW w:w="4079" w:type="dxa"/>
          </w:tcPr>
          <w:p w:rsidR="006F4E1E" w:rsidRPr="0080737A" w:rsidRDefault="006F4E1E" w:rsidP="006F4E1E">
            <w:pPr>
              <w:spacing w:after="0"/>
              <w:ind w:left="34"/>
              <w:rPr>
                <w:rFonts w:ascii="Times New Roman" w:hAnsi="Times New Roman"/>
              </w:rPr>
            </w:pPr>
            <w:r w:rsidRPr="0080737A">
              <w:rPr>
                <w:rFonts w:ascii="Times New Roman" w:hAnsi="Times New Roman"/>
              </w:rPr>
              <w:t>Мужчины трудоспособного возраста</w:t>
            </w:r>
          </w:p>
        </w:tc>
        <w:tc>
          <w:tcPr>
            <w:tcW w:w="1603"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1 441,09</w:t>
            </w:r>
          </w:p>
        </w:tc>
        <w:tc>
          <w:tcPr>
            <w:tcW w:w="1602"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1 398,99</w:t>
            </w:r>
          </w:p>
        </w:tc>
        <w:tc>
          <w:tcPr>
            <w:tcW w:w="2331"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97,1</w:t>
            </w:r>
          </w:p>
        </w:tc>
      </w:tr>
      <w:tr w:rsidR="006F4E1E" w:rsidRPr="0080737A" w:rsidTr="006F4E1E">
        <w:trPr>
          <w:trHeight w:val="257"/>
        </w:trPr>
        <w:tc>
          <w:tcPr>
            <w:tcW w:w="4079" w:type="dxa"/>
          </w:tcPr>
          <w:p w:rsidR="006F4E1E" w:rsidRPr="0080737A" w:rsidRDefault="006F4E1E" w:rsidP="006F4E1E">
            <w:pPr>
              <w:spacing w:after="0"/>
              <w:ind w:left="34"/>
              <w:rPr>
                <w:rFonts w:ascii="Times New Roman" w:hAnsi="Times New Roman"/>
              </w:rPr>
            </w:pPr>
            <w:r w:rsidRPr="0080737A">
              <w:rPr>
                <w:rFonts w:ascii="Times New Roman" w:hAnsi="Times New Roman"/>
              </w:rPr>
              <w:t>Женщины трудоспособного возраста</w:t>
            </w:r>
          </w:p>
        </w:tc>
        <w:tc>
          <w:tcPr>
            <w:tcW w:w="1603"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1 365,88</w:t>
            </w:r>
          </w:p>
        </w:tc>
        <w:tc>
          <w:tcPr>
            <w:tcW w:w="1602"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1 328,01</w:t>
            </w:r>
          </w:p>
        </w:tc>
        <w:tc>
          <w:tcPr>
            <w:tcW w:w="2331"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97,2</w:t>
            </w:r>
          </w:p>
        </w:tc>
      </w:tr>
      <w:tr w:rsidR="006F4E1E" w:rsidRPr="0080737A" w:rsidTr="006F4E1E">
        <w:trPr>
          <w:trHeight w:val="244"/>
        </w:trPr>
        <w:tc>
          <w:tcPr>
            <w:tcW w:w="4079" w:type="dxa"/>
          </w:tcPr>
          <w:p w:rsidR="006F4E1E" w:rsidRPr="0080737A" w:rsidRDefault="006F4E1E" w:rsidP="006F4E1E">
            <w:pPr>
              <w:spacing w:after="0"/>
              <w:ind w:left="34"/>
              <w:rPr>
                <w:rFonts w:ascii="Times New Roman" w:hAnsi="Times New Roman"/>
              </w:rPr>
            </w:pPr>
            <w:r w:rsidRPr="0080737A">
              <w:rPr>
                <w:rFonts w:ascii="Times New Roman" w:hAnsi="Times New Roman"/>
              </w:rPr>
              <w:t>Пенсионеры</w:t>
            </w:r>
          </w:p>
        </w:tc>
        <w:tc>
          <w:tcPr>
            <w:tcW w:w="1603"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1 110,53</w:t>
            </w:r>
          </w:p>
        </w:tc>
        <w:tc>
          <w:tcPr>
            <w:tcW w:w="1602"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1 078,43</w:t>
            </w:r>
          </w:p>
        </w:tc>
        <w:tc>
          <w:tcPr>
            <w:tcW w:w="2331"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97,1</w:t>
            </w:r>
          </w:p>
        </w:tc>
      </w:tr>
      <w:tr w:rsidR="006F4E1E" w:rsidRPr="0080737A" w:rsidTr="006F4E1E">
        <w:trPr>
          <w:trHeight w:val="257"/>
        </w:trPr>
        <w:tc>
          <w:tcPr>
            <w:tcW w:w="4079" w:type="dxa"/>
          </w:tcPr>
          <w:p w:rsidR="006F4E1E" w:rsidRPr="0080737A" w:rsidRDefault="006F4E1E" w:rsidP="006F4E1E">
            <w:pPr>
              <w:spacing w:after="0"/>
              <w:ind w:left="34"/>
              <w:rPr>
                <w:rFonts w:ascii="Times New Roman" w:hAnsi="Times New Roman"/>
              </w:rPr>
            </w:pPr>
            <w:r w:rsidRPr="0080737A">
              <w:rPr>
                <w:rFonts w:ascii="Times New Roman" w:hAnsi="Times New Roman"/>
              </w:rPr>
              <w:t>Дети от 0 до 6 лет</w:t>
            </w:r>
          </w:p>
        </w:tc>
        <w:tc>
          <w:tcPr>
            <w:tcW w:w="1603"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1 198,47</w:t>
            </w:r>
          </w:p>
        </w:tc>
        <w:tc>
          <w:tcPr>
            <w:tcW w:w="1602"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1 172,56</w:t>
            </w:r>
          </w:p>
        </w:tc>
        <w:tc>
          <w:tcPr>
            <w:tcW w:w="2331"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97,8</w:t>
            </w:r>
          </w:p>
        </w:tc>
      </w:tr>
      <w:tr w:rsidR="006F4E1E" w:rsidRPr="0080737A" w:rsidTr="006F4E1E">
        <w:trPr>
          <w:trHeight w:val="257"/>
        </w:trPr>
        <w:tc>
          <w:tcPr>
            <w:tcW w:w="4079" w:type="dxa"/>
          </w:tcPr>
          <w:p w:rsidR="006F4E1E" w:rsidRPr="0080737A" w:rsidRDefault="006F4E1E" w:rsidP="006F4E1E">
            <w:pPr>
              <w:spacing w:after="0"/>
              <w:ind w:left="34"/>
              <w:rPr>
                <w:rFonts w:ascii="Times New Roman" w:hAnsi="Times New Roman"/>
              </w:rPr>
            </w:pPr>
            <w:r w:rsidRPr="0080737A">
              <w:rPr>
                <w:rFonts w:ascii="Times New Roman" w:hAnsi="Times New Roman"/>
              </w:rPr>
              <w:t>Дети от 7 до 15 лет</w:t>
            </w:r>
          </w:p>
        </w:tc>
        <w:tc>
          <w:tcPr>
            <w:tcW w:w="1603"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1 449,06</w:t>
            </w:r>
          </w:p>
        </w:tc>
        <w:tc>
          <w:tcPr>
            <w:tcW w:w="1602"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1 409,97</w:t>
            </w:r>
          </w:p>
        </w:tc>
        <w:tc>
          <w:tcPr>
            <w:tcW w:w="2331" w:type="dxa"/>
            <w:vAlign w:val="center"/>
          </w:tcPr>
          <w:p w:rsidR="006F4E1E" w:rsidRPr="0080737A" w:rsidRDefault="006F4E1E" w:rsidP="006F4E1E">
            <w:pPr>
              <w:spacing w:after="0"/>
              <w:ind w:firstLine="34"/>
              <w:jc w:val="center"/>
              <w:rPr>
                <w:rFonts w:ascii="Times New Roman" w:hAnsi="Times New Roman"/>
              </w:rPr>
            </w:pPr>
            <w:r w:rsidRPr="0080737A">
              <w:rPr>
                <w:rFonts w:ascii="Times New Roman" w:hAnsi="Times New Roman"/>
              </w:rPr>
              <w:t>97,3</w:t>
            </w:r>
          </w:p>
        </w:tc>
      </w:tr>
    </w:tbl>
    <w:p w:rsidR="006F4E1E" w:rsidRPr="0080737A" w:rsidRDefault="006F4E1E" w:rsidP="006F4E1E">
      <w:pPr>
        <w:spacing w:after="0" w:line="240" w:lineRule="auto"/>
        <w:ind w:firstLine="709"/>
        <w:jc w:val="both"/>
        <w:rPr>
          <w:rFonts w:ascii="Times New Roman" w:hAnsi="Times New Roman"/>
          <w:sz w:val="24"/>
          <w:szCs w:val="24"/>
        </w:rPr>
      </w:pPr>
    </w:p>
    <w:p w:rsidR="006F4E1E" w:rsidRPr="0080737A" w:rsidRDefault="006F4E1E" w:rsidP="006F4E1E">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В помесячной динамике в течение </w:t>
      </w:r>
      <w:r w:rsidRPr="0080737A">
        <w:rPr>
          <w:rFonts w:ascii="Times New Roman" w:hAnsi="Times New Roman"/>
          <w:sz w:val="24"/>
          <w:szCs w:val="24"/>
          <w:lang w:val="en-US"/>
        </w:rPr>
        <w:t>I</w:t>
      </w:r>
      <w:r w:rsidRPr="0080737A">
        <w:rPr>
          <w:rFonts w:ascii="Times New Roman" w:hAnsi="Times New Roman"/>
          <w:sz w:val="24"/>
          <w:szCs w:val="24"/>
        </w:rPr>
        <w:t xml:space="preserve"> полугодия 2016 года наблюдался прирост величины прожиточного минимума по отношению к предыдущему месяцу (на 0,1 – 3,5%%), за исключением февраля 2016 года («-»0,7%). В связи с тем, что затраты на продукты питания занимают в структуре потребительской корзины наибольший удельный вес, динамика цен на продовольственные товары оказывает наибольшее влияние на колебания величины прожиточного минимума.</w:t>
      </w:r>
    </w:p>
    <w:p w:rsidR="006F4E1E" w:rsidRPr="0080737A" w:rsidRDefault="006F4E1E" w:rsidP="00C84F2A">
      <w:pPr>
        <w:spacing w:after="0" w:line="240" w:lineRule="auto"/>
        <w:jc w:val="both"/>
        <w:rPr>
          <w:rFonts w:ascii="Times New Roman" w:hAnsi="Times New Roman"/>
          <w:sz w:val="24"/>
          <w:szCs w:val="24"/>
        </w:rPr>
      </w:pPr>
    </w:p>
    <w:p w:rsidR="00335844" w:rsidRPr="0080737A" w:rsidRDefault="00335844" w:rsidP="00335844">
      <w:pPr>
        <w:spacing w:after="0" w:line="240" w:lineRule="auto"/>
        <w:ind w:firstLine="720"/>
        <w:jc w:val="both"/>
        <w:rPr>
          <w:rFonts w:ascii="Times New Roman" w:hAnsi="Times New Roman"/>
          <w:b/>
          <w:sz w:val="24"/>
          <w:szCs w:val="24"/>
        </w:rPr>
      </w:pPr>
      <w:r w:rsidRPr="0080737A">
        <w:rPr>
          <w:rFonts w:ascii="Times New Roman" w:hAnsi="Times New Roman"/>
          <w:b/>
          <w:sz w:val="24"/>
          <w:szCs w:val="24"/>
        </w:rPr>
        <w:t>Рынок труда и сфера занятости</w:t>
      </w:r>
    </w:p>
    <w:p w:rsidR="00335844" w:rsidRPr="0080737A" w:rsidRDefault="00335844" w:rsidP="00652529">
      <w:pPr>
        <w:spacing w:after="0" w:line="240" w:lineRule="auto"/>
        <w:ind w:firstLine="709"/>
        <w:jc w:val="both"/>
        <w:rPr>
          <w:rFonts w:ascii="Times New Roman" w:hAnsi="Times New Roman"/>
          <w:b/>
          <w:sz w:val="24"/>
          <w:szCs w:val="24"/>
        </w:rPr>
      </w:pP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Основные характеристики состояния рынка труда в I полугодии 2016 года определяются социально-экономическими процессами, происходящими в республике. </w:t>
      </w:r>
      <w:r w:rsidRPr="0080737A">
        <w:rPr>
          <w:rFonts w:ascii="Times New Roman" w:hAnsi="Times New Roman"/>
          <w:color w:val="000000"/>
          <w:sz w:val="24"/>
          <w:szCs w:val="24"/>
          <w:shd w:val="clear" w:color="auto" w:fill="FFFFFF"/>
        </w:rPr>
        <w:t>Рынок труда является одним из индикаторов, состояние которого позволяет судить о национальном благополучии, стабильности и эффективности социально-экономической политики.</w:t>
      </w:r>
    </w:p>
    <w:p w:rsidR="006F4E1E" w:rsidRPr="0080737A" w:rsidRDefault="006F4E1E" w:rsidP="006F4E1E">
      <w:pPr>
        <w:spacing w:after="0" w:line="240" w:lineRule="auto"/>
        <w:ind w:firstLine="720"/>
        <w:jc w:val="both"/>
        <w:rPr>
          <w:rFonts w:ascii="Times New Roman" w:hAnsi="Times New Roman"/>
          <w:sz w:val="24"/>
          <w:szCs w:val="24"/>
        </w:rPr>
      </w:pPr>
      <w:proofErr w:type="gramStart"/>
      <w:r w:rsidRPr="0080737A">
        <w:rPr>
          <w:rFonts w:ascii="Times New Roman" w:hAnsi="Times New Roman"/>
          <w:sz w:val="24"/>
          <w:szCs w:val="24"/>
        </w:rPr>
        <w:t>Численность экономически активного населения по состоянию на 1 июля               2016 года составила 134,5 тыс. чел. (без учета работников силовых структур республики), уменьшившись по сравнению с аналогичным периодом 2015 года на 5,4 тыс. чел. В составе экономически активного населения 96,6%, или 129,9 тыс. человек были заняты в экономике республики, а 4,6 тыс. человек не имели работы, но активно ее искали и</w:t>
      </w:r>
      <w:proofErr w:type="gramEnd"/>
      <w:r w:rsidRPr="0080737A">
        <w:rPr>
          <w:rFonts w:ascii="Times New Roman" w:hAnsi="Times New Roman"/>
          <w:sz w:val="24"/>
          <w:szCs w:val="24"/>
        </w:rPr>
        <w:t xml:space="preserve"> состояли на учете в Центрах социального страхования и социальной защиты в качестве лиц ищущих подходящую работу.</w:t>
      </w:r>
    </w:p>
    <w:p w:rsidR="006F4E1E" w:rsidRPr="0080737A" w:rsidRDefault="006F4E1E" w:rsidP="006F4E1E">
      <w:pPr>
        <w:shd w:val="clear" w:color="auto" w:fill="FFFFFF" w:themeFill="background1"/>
        <w:tabs>
          <w:tab w:val="left" w:pos="900"/>
        </w:tabs>
        <w:spacing w:after="0" w:line="240" w:lineRule="auto"/>
        <w:ind w:firstLine="709"/>
        <w:jc w:val="both"/>
        <w:rPr>
          <w:rFonts w:ascii="Times New Roman" w:hAnsi="Times New Roman"/>
          <w:sz w:val="24"/>
          <w:szCs w:val="24"/>
        </w:rPr>
      </w:pPr>
      <w:r w:rsidRPr="0080737A">
        <w:rPr>
          <w:rFonts w:ascii="Times New Roman" w:hAnsi="Times New Roman"/>
          <w:sz w:val="24"/>
          <w:szCs w:val="24"/>
        </w:rPr>
        <w:t>Численность занятых в экономике республики (без учета субъектов малого предпринимательства) на 1 июля 2016 года составила</w:t>
      </w:r>
      <w:r w:rsidRPr="0080737A">
        <w:rPr>
          <w:rFonts w:ascii="Times New Roman" w:hAnsi="Times New Roman"/>
          <w:sz w:val="24"/>
          <w:szCs w:val="24"/>
          <w:shd w:val="clear" w:color="auto" w:fill="FFFFFF" w:themeFill="background1"/>
        </w:rPr>
        <w:t xml:space="preserve"> 98,3 тыс. чел.</w:t>
      </w:r>
      <w:r w:rsidRPr="0080737A">
        <w:rPr>
          <w:rFonts w:ascii="Times New Roman" w:hAnsi="Times New Roman"/>
          <w:sz w:val="24"/>
          <w:szCs w:val="24"/>
        </w:rPr>
        <w:t xml:space="preserve"> Всего с начала 2016 года было принято на работу </w:t>
      </w:r>
      <w:r w:rsidRPr="0080737A">
        <w:rPr>
          <w:rFonts w:ascii="Times New Roman" w:hAnsi="Times New Roman"/>
          <w:snapToGrid w:val="0"/>
          <w:sz w:val="24"/>
          <w:szCs w:val="24"/>
        </w:rPr>
        <w:t xml:space="preserve">7 665 </w:t>
      </w:r>
      <w:r w:rsidRPr="0080737A">
        <w:rPr>
          <w:rFonts w:ascii="Times New Roman" w:hAnsi="Times New Roman"/>
          <w:sz w:val="24"/>
          <w:szCs w:val="24"/>
        </w:rPr>
        <w:t>чел., из них 522 чел. – на вновь созданные и дополнительно введенные рабочие места. Процент замещения выбывших работников новыми кадрами в рассматриваемом периоде составил 96,7%.</w:t>
      </w:r>
    </w:p>
    <w:p w:rsidR="006F4E1E" w:rsidRPr="0080737A" w:rsidRDefault="006F4E1E" w:rsidP="006F4E1E">
      <w:pPr>
        <w:tabs>
          <w:tab w:val="left" w:pos="900"/>
        </w:tabs>
        <w:spacing w:after="0" w:line="240" w:lineRule="auto"/>
        <w:ind w:firstLine="709"/>
        <w:jc w:val="both"/>
        <w:rPr>
          <w:rFonts w:ascii="Times New Roman" w:hAnsi="Times New Roman"/>
          <w:sz w:val="24"/>
          <w:szCs w:val="24"/>
        </w:rPr>
      </w:pPr>
      <w:r w:rsidRPr="0080737A">
        <w:rPr>
          <w:rFonts w:ascii="Times New Roman" w:hAnsi="Times New Roman"/>
          <w:sz w:val="24"/>
          <w:szCs w:val="24"/>
        </w:rPr>
        <w:lastRenderedPageBreak/>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из организаций и учреждений уволилось </w:t>
      </w:r>
      <w:r w:rsidRPr="0080737A">
        <w:rPr>
          <w:rFonts w:ascii="Times New Roman" w:hAnsi="Times New Roman"/>
          <w:snapToGrid w:val="0"/>
          <w:sz w:val="24"/>
          <w:szCs w:val="24"/>
        </w:rPr>
        <w:t>7 926</w:t>
      </w:r>
      <w:r w:rsidRPr="0080737A">
        <w:rPr>
          <w:rFonts w:ascii="Times New Roman" w:hAnsi="Times New Roman"/>
          <w:sz w:val="24"/>
          <w:szCs w:val="24"/>
        </w:rPr>
        <w:t xml:space="preserve"> чел., что составляет 8,0% от списочной численности работников на начало года. Основной причиной</w:t>
      </w:r>
      <w:r w:rsidR="00557D3D" w:rsidRPr="0080737A">
        <w:rPr>
          <w:rFonts w:ascii="Times New Roman" w:hAnsi="Times New Roman"/>
          <w:sz w:val="24"/>
          <w:szCs w:val="24"/>
        </w:rPr>
        <w:t xml:space="preserve"> </w:t>
      </w:r>
      <w:r w:rsidRPr="0080737A">
        <w:rPr>
          <w:rFonts w:ascii="Times New Roman" w:hAnsi="Times New Roman"/>
          <w:sz w:val="24"/>
          <w:szCs w:val="24"/>
        </w:rPr>
        <w:t>выбытия является увольнение по инициативе работника, на ее долю приходится 86,0% увольнений (6 819 чел.).</w:t>
      </w:r>
    </w:p>
    <w:p w:rsidR="006F4E1E" w:rsidRPr="0080737A" w:rsidRDefault="006F4E1E" w:rsidP="006F4E1E">
      <w:pPr>
        <w:spacing w:after="0" w:line="240" w:lineRule="auto"/>
        <w:ind w:firstLine="567"/>
        <w:jc w:val="both"/>
        <w:rPr>
          <w:rFonts w:ascii="Times New Roman" w:hAnsi="Times New Roman"/>
          <w:sz w:val="24"/>
          <w:szCs w:val="24"/>
        </w:rPr>
      </w:pPr>
      <w:r w:rsidRPr="0080737A">
        <w:rPr>
          <w:rFonts w:ascii="Times New Roman" w:hAnsi="Times New Roman"/>
          <w:color w:val="000000"/>
          <w:sz w:val="24"/>
          <w:szCs w:val="24"/>
        </w:rPr>
        <w:t xml:space="preserve">В анализируемом периоде 69 организаций республики предоставили в Центры социального страхования и социальной защиты городов и районов республики информацию </w:t>
      </w:r>
      <w:r w:rsidRPr="0080737A">
        <w:rPr>
          <w:rFonts w:ascii="Times New Roman" w:hAnsi="Times New Roman"/>
          <w:sz w:val="24"/>
          <w:szCs w:val="24"/>
        </w:rPr>
        <w:t>о предстоящем проведении мероприятий по увольнению работников в связи с ликвидацией организации, сокращением численности или штата работников организации. В связи с проведением данных мероприятий к увольнению было намечено           474 работника (в январе-июне 2015 года – 1 444 чел.), однако фактически было уволено 172 работника, или 2,2% от общей численности выбывших.</w:t>
      </w:r>
    </w:p>
    <w:p w:rsidR="006F4E1E" w:rsidRPr="0080737A" w:rsidRDefault="006F4E1E" w:rsidP="006F4E1E">
      <w:pPr>
        <w:spacing w:after="0" w:line="240" w:lineRule="auto"/>
        <w:ind w:firstLine="567"/>
        <w:jc w:val="both"/>
        <w:rPr>
          <w:rFonts w:ascii="Times New Roman" w:hAnsi="Times New Roman"/>
          <w:sz w:val="24"/>
          <w:szCs w:val="24"/>
        </w:rPr>
      </w:pPr>
      <w:r w:rsidRPr="0080737A">
        <w:rPr>
          <w:rFonts w:ascii="Times New Roman" w:hAnsi="Times New Roman"/>
          <w:sz w:val="24"/>
          <w:szCs w:val="24"/>
        </w:rPr>
        <w:t xml:space="preserve">Среди намеченных к увольнению работников молодежь 16-29 лет составила 10,5%, граждане </w:t>
      </w:r>
      <w:proofErr w:type="spellStart"/>
      <w:r w:rsidRPr="0080737A">
        <w:rPr>
          <w:rFonts w:ascii="Times New Roman" w:hAnsi="Times New Roman"/>
          <w:sz w:val="24"/>
          <w:szCs w:val="24"/>
        </w:rPr>
        <w:t>предпенсионного</w:t>
      </w:r>
      <w:proofErr w:type="spellEnd"/>
      <w:r w:rsidRPr="0080737A">
        <w:rPr>
          <w:rFonts w:ascii="Times New Roman" w:hAnsi="Times New Roman"/>
          <w:sz w:val="24"/>
          <w:szCs w:val="24"/>
        </w:rPr>
        <w:t xml:space="preserve"> возраста – 8,2%.</w:t>
      </w:r>
    </w:p>
    <w:p w:rsidR="006F4E1E" w:rsidRPr="0080737A" w:rsidRDefault="006F4E1E" w:rsidP="006F4E1E">
      <w:pPr>
        <w:spacing w:after="0" w:line="240" w:lineRule="auto"/>
        <w:ind w:firstLine="567"/>
        <w:jc w:val="both"/>
        <w:rPr>
          <w:rFonts w:ascii="Times New Roman" w:hAnsi="Times New Roman"/>
          <w:sz w:val="24"/>
          <w:szCs w:val="24"/>
        </w:rPr>
      </w:pPr>
      <w:r w:rsidRPr="0080737A">
        <w:rPr>
          <w:rFonts w:ascii="Times New Roman" w:hAnsi="Times New Roman"/>
          <w:sz w:val="24"/>
          <w:szCs w:val="24"/>
        </w:rPr>
        <w:t>В разрезе отраслей экономики наибольшее количество</w:t>
      </w:r>
      <w:r w:rsidR="00557D3D" w:rsidRPr="0080737A">
        <w:rPr>
          <w:rFonts w:ascii="Times New Roman" w:hAnsi="Times New Roman"/>
          <w:sz w:val="24"/>
          <w:szCs w:val="24"/>
        </w:rPr>
        <w:t xml:space="preserve"> </w:t>
      </w:r>
      <w:r w:rsidRPr="0080737A">
        <w:rPr>
          <w:rFonts w:ascii="Times New Roman" w:hAnsi="Times New Roman"/>
          <w:sz w:val="24"/>
          <w:szCs w:val="24"/>
        </w:rPr>
        <w:t>намеченных к высвобождению работников пришлось на промышленность – 70,9%, транспорт и связь –5,9%, управление – 4,0%.</w:t>
      </w:r>
    </w:p>
    <w:p w:rsidR="006F4E1E" w:rsidRPr="0080737A" w:rsidRDefault="006F4E1E" w:rsidP="006F4E1E">
      <w:pPr>
        <w:spacing w:after="0" w:line="240" w:lineRule="auto"/>
        <w:ind w:firstLine="567"/>
        <w:jc w:val="both"/>
        <w:rPr>
          <w:rFonts w:ascii="Times New Roman" w:hAnsi="Times New Roman"/>
          <w:sz w:val="24"/>
          <w:szCs w:val="24"/>
        </w:rPr>
      </w:pPr>
      <w:proofErr w:type="gramStart"/>
      <w:r w:rsidRPr="0080737A">
        <w:rPr>
          <w:rFonts w:ascii="Times New Roman" w:hAnsi="Times New Roman"/>
          <w:sz w:val="24"/>
          <w:szCs w:val="24"/>
        </w:rPr>
        <w:t xml:space="preserve">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в Центры социального страхования и социальной зашиты городов и районов за содействием в поиске подходящей работы и получением консультаций обратилось около 14,0 тыс. человек, что составило 95,1% к уровню соответствующего периода прошлого года.</w:t>
      </w:r>
      <w:proofErr w:type="gramEnd"/>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Численность граждан, получивших консультации по вопросам выбора места работы, законодательству о труде и занятости, возможности прохождения профессионального обучения и другим вопросам составила 7,3 тыс. человек (за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полугодие 2015 года – 8,5 тыс. чел.). Услугами по профориентации воспользовались около 5,8 тыс. граждан, психологическую поддержку получили около 1,3 тыс. человек.</w:t>
      </w:r>
    </w:p>
    <w:p w:rsidR="006F4E1E" w:rsidRPr="0080737A" w:rsidRDefault="006F4E1E" w:rsidP="006F4E1E">
      <w:pPr>
        <w:spacing w:after="0" w:line="240" w:lineRule="auto"/>
        <w:ind w:firstLine="540"/>
        <w:contextualSpacing/>
        <w:jc w:val="both"/>
        <w:rPr>
          <w:rFonts w:ascii="Times New Roman" w:hAnsi="Times New Roman"/>
          <w:sz w:val="24"/>
          <w:szCs w:val="24"/>
        </w:rPr>
      </w:pPr>
      <w:r w:rsidRPr="0080737A">
        <w:rPr>
          <w:rFonts w:ascii="Times New Roman" w:hAnsi="Times New Roman"/>
          <w:sz w:val="24"/>
          <w:szCs w:val="24"/>
        </w:rPr>
        <w:t xml:space="preserve">В рассматриваемом периоде в качестве лиц ищущих подходящую работу было зарегистрировано 4 359 человек </w:t>
      </w:r>
      <w:r w:rsidRPr="0080737A">
        <w:rPr>
          <w:rFonts w:ascii="Times New Roman" w:hAnsi="Times New Roman"/>
          <w:color w:val="000000"/>
          <w:sz w:val="24"/>
          <w:szCs w:val="24"/>
        </w:rPr>
        <w:t xml:space="preserve">(в </w:t>
      </w:r>
      <w:r w:rsidRPr="0080737A">
        <w:rPr>
          <w:rFonts w:ascii="Times New Roman" w:hAnsi="Times New Roman"/>
          <w:color w:val="000000"/>
          <w:sz w:val="24"/>
          <w:szCs w:val="24"/>
          <w:lang w:val="en-US"/>
        </w:rPr>
        <w:t>I</w:t>
      </w:r>
      <w:r w:rsidRPr="0080737A">
        <w:rPr>
          <w:rFonts w:ascii="Times New Roman" w:hAnsi="Times New Roman"/>
          <w:color w:val="000000"/>
          <w:sz w:val="24"/>
          <w:szCs w:val="24"/>
        </w:rPr>
        <w:t xml:space="preserve"> полугодии </w:t>
      </w:r>
      <w:r w:rsidRPr="0080737A">
        <w:rPr>
          <w:rFonts w:ascii="Times New Roman" w:hAnsi="Times New Roman"/>
          <w:sz w:val="24"/>
          <w:szCs w:val="24"/>
        </w:rPr>
        <w:t>2015 года – 4</w:t>
      </w:r>
      <w:r w:rsidRPr="0080737A">
        <w:rPr>
          <w:rFonts w:ascii="Times New Roman" w:hAnsi="Times New Roman"/>
          <w:color w:val="000000"/>
          <w:sz w:val="24"/>
          <w:szCs w:val="24"/>
        </w:rPr>
        <w:t xml:space="preserve"> 176 чел.)</w:t>
      </w:r>
      <w:r w:rsidRPr="0080737A">
        <w:rPr>
          <w:rFonts w:ascii="Times New Roman" w:hAnsi="Times New Roman"/>
          <w:sz w:val="24"/>
          <w:szCs w:val="24"/>
        </w:rPr>
        <w:t xml:space="preserve">, официально </w:t>
      </w:r>
      <w:proofErr w:type="gramStart"/>
      <w:r w:rsidRPr="0080737A">
        <w:rPr>
          <w:rFonts w:ascii="Times New Roman" w:hAnsi="Times New Roman"/>
          <w:sz w:val="24"/>
          <w:szCs w:val="24"/>
        </w:rPr>
        <w:t>признаны</w:t>
      </w:r>
      <w:proofErr w:type="gramEnd"/>
      <w:r w:rsidRPr="0080737A">
        <w:rPr>
          <w:rFonts w:ascii="Times New Roman" w:hAnsi="Times New Roman"/>
          <w:sz w:val="24"/>
          <w:szCs w:val="24"/>
        </w:rPr>
        <w:t xml:space="preserve"> безработными 3 319 человек </w:t>
      </w:r>
      <w:r w:rsidRPr="0080737A">
        <w:rPr>
          <w:rFonts w:ascii="Times New Roman" w:hAnsi="Times New Roman"/>
          <w:color w:val="000000"/>
          <w:sz w:val="24"/>
          <w:szCs w:val="24"/>
        </w:rPr>
        <w:t xml:space="preserve">(в </w:t>
      </w:r>
      <w:r w:rsidRPr="0080737A">
        <w:rPr>
          <w:rFonts w:ascii="Times New Roman" w:hAnsi="Times New Roman"/>
          <w:color w:val="000000"/>
          <w:sz w:val="24"/>
          <w:szCs w:val="24"/>
          <w:lang w:val="en-US"/>
        </w:rPr>
        <w:t>I</w:t>
      </w:r>
      <w:r w:rsidRPr="0080737A">
        <w:rPr>
          <w:rFonts w:ascii="Times New Roman" w:hAnsi="Times New Roman"/>
          <w:color w:val="000000"/>
          <w:sz w:val="24"/>
          <w:szCs w:val="24"/>
        </w:rPr>
        <w:t xml:space="preserve"> полугодии </w:t>
      </w:r>
      <w:r w:rsidRPr="0080737A">
        <w:rPr>
          <w:rFonts w:ascii="Times New Roman" w:hAnsi="Times New Roman"/>
          <w:sz w:val="24"/>
          <w:szCs w:val="24"/>
        </w:rPr>
        <w:t>2015 года – 2</w:t>
      </w:r>
      <w:r w:rsidRPr="0080737A">
        <w:rPr>
          <w:rFonts w:ascii="Times New Roman" w:hAnsi="Times New Roman"/>
          <w:color w:val="000000"/>
          <w:sz w:val="24"/>
          <w:szCs w:val="24"/>
        </w:rPr>
        <w:t xml:space="preserve"> 657 чел.).</w:t>
      </w:r>
    </w:p>
    <w:p w:rsidR="006F4E1E" w:rsidRPr="0080737A" w:rsidRDefault="006F4E1E" w:rsidP="006F4E1E">
      <w:pPr>
        <w:spacing w:after="0" w:line="240" w:lineRule="auto"/>
        <w:ind w:right="-284"/>
        <w:contextualSpacing/>
        <w:jc w:val="both"/>
        <w:rPr>
          <w:rFonts w:ascii="Times New Roman" w:hAnsi="Times New Roman"/>
          <w:sz w:val="24"/>
          <w:szCs w:val="24"/>
        </w:rPr>
      </w:pPr>
      <w:r w:rsidRPr="0080737A">
        <w:rPr>
          <w:rFonts w:ascii="Times New Roman" w:hAnsi="Times New Roman"/>
          <w:noProof/>
          <w:sz w:val="24"/>
          <w:szCs w:val="24"/>
        </w:rPr>
        <w:drawing>
          <wp:inline distT="0" distB="0" distL="0" distR="0">
            <wp:extent cx="6124575" cy="2019300"/>
            <wp:effectExtent l="0" t="0" r="0" b="0"/>
            <wp:docPr id="14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целом по республике 65,1% зарегистрированных граждан в качестве лиц ищущих подходящую работу являлись жителями городов. В то же время, по трем районам республики в числе зарегистрированных граждан преобладали жители сельской местности, удельный вес которых составил:</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 в </w:t>
      </w:r>
      <w:proofErr w:type="spellStart"/>
      <w:r w:rsidRPr="0080737A">
        <w:rPr>
          <w:rFonts w:ascii="Times New Roman" w:hAnsi="Times New Roman"/>
          <w:sz w:val="24"/>
          <w:szCs w:val="24"/>
        </w:rPr>
        <w:t>Григориопольском</w:t>
      </w:r>
      <w:proofErr w:type="spellEnd"/>
      <w:r w:rsidRPr="0080737A">
        <w:rPr>
          <w:rFonts w:ascii="Times New Roman" w:hAnsi="Times New Roman"/>
          <w:sz w:val="24"/>
          <w:szCs w:val="24"/>
        </w:rPr>
        <w:t xml:space="preserve"> районе – 80,4%, </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 в </w:t>
      </w:r>
      <w:proofErr w:type="spellStart"/>
      <w:r w:rsidRPr="0080737A">
        <w:rPr>
          <w:rFonts w:ascii="Times New Roman" w:hAnsi="Times New Roman"/>
          <w:sz w:val="24"/>
          <w:szCs w:val="24"/>
        </w:rPr>
        <w:t>Слободзейском</w:t>
      </w:r>
      <w:proofErr w:type="spellEnd"/>
      <w:r w:rsidRPr="0080737A">
        <w:rPr>
          <w:rFonts w:ascii="Times New Roman" w:hAnsi="Times New Roman"/>
          <w:sz w:val="24"/>
          <w:szCs w:val="24"/>
        </w:rPr>
        <w:t xml:space="preserve"> районе – 60,9%,</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в Каменском районе – 56,0%.</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Наибольшее количество зарегистрированных граждан пришлось на следующие Центры социального страхования и социальной защиты: </w:t>
      </w:r>
      <w:proofErr w:type="gramStart"/>
      <w:r w:rsidRPr="0080737A">
        <w:rPr>
          <w:rFonts w:ascii="Times New Roman" w:hAnsi="Times New Roman"/>
          <w:sz w:val="24"/>
          <w:szCs w:val="24"/>
        </w:rPr>
        <w:t>г</w:t>
      </w:r>
      <w:proofErr w:type="gramEnd"/>
      <w:r w:rsidRPr="0080737A">
        <w:rPr>
          <w:rFonts w:ascii="Times New Roman" w:hAnsi="Times New Roman"/>
          <w:sz w:val="24"/>
          <w:szCs w:val="24"/>
        </w:rPr>
        <w:t xml:space="preserve">. Рыбница и </w:t>
      </w:r>
      <w:proofErr w:type="spellStart"/>
      <w:r w:rsidRPr="0080737A">
        <w:rPr>
          <w:rFonts w:ascii="Times New Roman" w:hAnsi="Times New Roman"/>
          <w:sz w:val="24"/>
          <w:szCs w:val="24"/>
        </w:rPr>
        <w:t>Рыбницкий</w:t>
      </w:r>
      <w:proofErr w:type="spellEnd"/>
      <w:r w:rsidRPr="0080737A">
        <w:rPr>
          <w:rFonts w:ascii="Times New Roman" w:hAnsi="Times New Roman"/>
          <w:sz w:val="24"/>
          <w:szCs w:val="24"/>
        </w:rPr>
        <w:t xml:space="preserve"> район – 1 193 человека, г. Тирасполь – 1 039 человек, г. Бендеры – 671 человек, г. </w:t>
      </w:r>
      <w:proofErr w:type="spellStart"/>
      <w:r w:rsidRPr="0080737A">
        <w:rPr>
          <w:rFonts w:ascii="Times New Roman" w:hAnsi="Times New Roman"/>
          <w:sz w:val="24"/>
          <w:szCs w:val="24"/>
        </w:rPr>
        <w:t>Слободзея</w:t>
      </w:r>
      <w:proofErr w:type="spellEnd"/>
      <w:r w:rsidRPr="0080737A">
        <w:rPr>
          <w:rFonts w:ascii="Times New Roman" w:hAnsi="Times New Roman"/>
          <w:sz w:val="24"/>
          <w:szCs w:val="24"/>
        </w:rPr>
        <w:t xml:space="preserve"> и </w:t>
      </w:r>
      <w:proofErr w:type="spellStart"/>
      <w:r w:rsidRPr="0080737A">
        <w:rPr>
          <w:rFonts w:ascii="Times New Roman" w:hAnsi="Times New Roman"/>
          <w:sz w:val="24"/>
          <w:szCs w:val="24"/>
        </w:rPr>
        <w:t>Слободзейский</w:t>
      </w:r>
      <w:proofErr w:type="spellEnd"/>
      <w:r w:rsidRPr="0080737A">
        <w:rPr>
          <w:rFonts w:ascii="Times New Roman" w:hAnsi="Times New Roman"/>
          <w:sz w:val="24"/>
          <w:szCs w:val="24"/>
        </w:rPr>
        <w:t xml:space="preserve"> район – 612 человек. На данные административно-территориальные образования пришлось 77,4% граждан зарегистрированных, в качестве лиц ищущих работу от их общей численности.</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lastRenderedPageBreak/>
        <w:t xml:space="preserve">Среди граждан, зарегистрированных в Центрах социального страхования и социальной защиты в качестве лиц ищущих работу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наиболее многочисленными являлись следующие категории граждан:</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граждане, имеющие длительный (более года) перерыв в работе – 2 386 человек, их удельный вес в общей численности, зарегистрированных граждан, составил 54,7% против 44,9% годом ранее;</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граждане, ранее не работавшие, ищущие работу впервые – 666 человек, их удельный вес в общей численности, зарегистрированных граждан, составил 15,3% против 16,8% годом ранее;</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граждане, уволенные с последнего места работы в связи с ликвидацией организации, сокращением численности или штата работников организации и обратившиеся в службу занятости в течение года - 277 чел., их удельный вес в общей численности, зарегистрированных граждан, составил 6,4% против 13,4% годом ранее.</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По состоянию на 1 июля 2016 года численность зарегистрированных граждан в качестве лиц, ищущих работу, составила 4 591 чел. (на 1 июля 2015 года – 3 758 чел.), из них 3 659 гражданина имели статус безработного, т. е. получали пособие по безработице (на 1 июля 2015 года – 2 835 чел.).</w:t>
      </w:r>
    </w:p>
    <w:p w:rsidR="006F4E1E" w:rsidRPr="0080737A" w:rsidRDefault="006F4E1E" w:rsidP="006F4E1E">
      <w:pPr>
        <w:spacing w:after="0" w:line="240" w:lineRule="auto"/>
        <w:ind w:firstLine="540"/>
        <w:contextualSpacing/>
        <w:jc w:val="both"/>
        <w:rPr>
          <w:rFonts w:ascii="Times New Roman" w:hAnsi="Times New Roman"/>
          <w:sz w:val="24"/>
          <w:szCs w:val="24"/>
        </w:rPr>
      </w:pPr>
      <w:proofErr w:type="gramStart"/>
      <w:r w:rsidRPr="0080737A">
        <w:rPr>
          <w:rFonts w:ascii="Times New Roman" w:hAnsi="Times New Roman"/>
          <w:sz w:val="24"/>
          <w:szCs w:val="24"/>
        </w:rPr>
        <w:t>Уровень регистрируемой безработицы в среднем по республике по состоянию на               1 июля 2016 года составил 3,43% к численности экономически активного населения (без учета численности работающих в силовых структурах), увеличившись по сравнению с уровнем регистрируемой безработицы на 1 июля 2015 года на 0,74 процентных пункта.</w:t>
      </w:r>
      <w:proofErr w:type="gramEnd"/>
    </w:p>
    <w:p w:rsidR="006F4E1E" w:rsidRPr="0080737A" w:rsidRDefault="006F4E1E" w:rsidP="006F4E1E">
      <w:pPr>
        <w:spacing w:after="0" w:line="240" w:lineRule="auto"/>
        <w:jc w:val="both"/>
        <w:rPr>
          <w:noProof/>
        </w:rPr>
      </w:pPr>
      <w:r w:rsidRPr="0080737A">
        <w:rPr>
          <w:noProof/>
        </w:rPr>
        <w:drawing>
          <wp:inline distT="0" distB="0" distL="0" distR="0">
            <wp:extent cx="5495925" cy="3209925"/>
            <wp:effectExtent l="19050" t="0" r="0" b="0"/>
            <wp:docPr id="14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F4E1E" w:rsidRPr="0080737A" w:rsidRDefault="006F4E1E" w:rsidP="006F4E1E">
      <w:pPr>
        <w:spacing w:after="0" w:line="240" w:lineRule="auto"/>
        <w:ind w:firstLine="709"/>
        <w:jc w:val="both"/>
        <w:rPr>
          <w:rFonts w:ascii="Times New Roman" w:hAnsi="Times New Roman"/>
          <w:noProof/>
          <w:sz w:val="24"/>
          <w:szCs w:val="24"/>
        </w:rPr>
      </w:pPr>
      <w:r w:rsidRPr="0080737A">
        <w:rPr>
          <w:rFonts w:ascii="Times New Roman" w:hAnsi="Times New Roman"/>
          <w:sz w:val="24"/>
          <w:szCs w:val="24"/>
        </w:rPr>
        <w:t xml:space="preserve">За январь-июнь 2016 года в Центры социального страхования и социальной защиты республики работодателями </w:t>
      </w:r>
      <w:proofErr w:type="gramStart"/>
      <w:r w:rsidRPr="0080737A">
        <w:rPr>
          <w:rFonts w:ascii="Times New Roman" w:hAnsi="Times New Roman"/>
          <w:sz w:val="24"/>
          <w:szCs w:val="24"/>
        </w:rPr>
        <w:t>заявлена</w:t>
      </w:r>
      <w:proofErr w:type="gramEnd"/>
      <w:r w:rsidRPr="0080737A">
        <w:rPr>
          <w:rFonts w:ascii="Times New Roman" w:hAnsi="Times New Roman"/>
          <w:sz w:val="24"/>
          <w:szCs w:val="24"/>
        </w:rPr>
        <w:t xml:space="preserve"> 1 000 вакантных рабочих места (должности) (за январь-июнь 2015 года – 1 252 ед.), однако следует отметить, что по состоянию на                       1 июля 2016 года в банке вакансий числилось 957 вакансий. Среди заявленных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работодателями вакансий 76,4</w:t>
      </w:r>
      <w:r w:rsidRPr="0080737A">
        <w:rPr>
          <w:rFonts w:ascii="Times New Roman" w:hAnsi="Times New Roman"/>
          <w:color w:val="000000"/>
          <w:sz w:val="24"/>
          <w:szCs w:val="24"/>
        </w:rPr>
        <w:t>% составляли вакантные места по рабочим профессиям и 23,6% - вакансии для специалистов и служащих.</w:t>
      </w:r>
    </w:p>
    <w:p w:rsidR="006F4E1E" w:rsidRPr="0080737A" w:rsidRDefault="006F4E1E" w:rsidP="006F4E1E">
      <w:pPr>
        <w:spacing w:after="0" w:line="240" w:lineRule="auto"/>
        <w:ind w:firstLine="709"/>
        <w:jc w:val="both"/>
        <w:rPr>
          <w:rFonts w:ascii="Times New Roman" w:hAnsi="Times New Roman"/>
          <w:sz w:val="28"/>
          <w:szCs w:val="28"/>
        </w:rPr>
      </w:pPr>
      <w:r w:rsidRPr="0080737A">
        <w:rPr>
          <w:rFonts w:ascii="Times New Roman" w:hAnsi="Times New Roman"/>
          <w:sz w:val="24"/>
          <w:szCs w:val="24"/>
        </w:rPr>
        <w:t>В разрезе отраслей экономики наибольшее количество заявленных вакансий приходилось на следующие отрасли: промышленность – 30,9% от общего количества представленных вакантных рабочих мест (должностей); строительство – 11,4%, сельское хозяйство – 9,8%, образование и здравоохранение – 10,4% и 6,3% соответственно.</w:t>
      </w:r>
    </w:p>
    <w:p w:rsidR="006F4E1E" w:rsidRPr="0080737A" w:rsidRDefault="006F4E1E" w:rsidP="006F4E1E">
      <w:pPr>
        <w:spacing w:after="0" w:line="240" w:lineRule="auto"/>
        <w:ind w:firstLine="567"/>
        <w:jc w:val="both"/>
        <w:rPr>
          <w:rFonts w:ascii="Times New Roman" w:hAnsi="Times New Roman"/>
          <w:sz w:val="24"/>
          <w:szCs w:val="24"/>
        </w:rPr>
      </w:pPr>
      <w:r w:rsidRPr="0080737A">
        <w:rPr>
          <w:rFonts w:ascii="Times New Roman" w:hAnsi="Times New Roman"/>
          <w:sz w:val="24"/>
          <w:szCs w:val="24"/>
        </w:rPr>
        <w:t xml:space="preserve">Коэффициент напряженности на рынке труда (отношение </w:t>
      </w:r>
      <w:r w:rsidRPr="0080737A">
        <w:rPr>
          <w:rFonts w:ascii="Times New Roman" w:hAnsi="Times New Roman"/>
          <w:color w:val="000000"/>
          <w:sz w:val="24"/>
          <w:szCs w:val="24"/>
        </w:rPr>
        <w:t>численности населения, не занятого трудовой деятельностью</w:t>
      </w:r>
      <w:r w:rsidRPr="0080737A">
        <w:rPr>
          <w:rFonts w:ascii="Times New Roman" w:hAnsi="Times New Roman"/>
          <w:sz w:val="24"/>
          <w:szCs w:val="24"/>
        </w:rPr>
        <w:t xml:space="preserve"> к </w:t>
      </w:r>
      <w:r w:rsidRPr="0080737A">
        <w:rPr>
          <w:rFonts w:ascii="Times New Roman" w:hAnsi="Times New Roman"/>
          <w:color w:val="000000"/>
          <w:sz w:val="24"/>
          <w:szCs w:val="24"/>
        </w:rPr>
        <w:t>числу вакантных должностей</w:t>
      </w:r>
      <w:r w:rsidRPr="0080737A">
        <w:rPr>
          <w:rFonts w:ascii="Verdana" w:hAnsi="Verdana"/>
          <w:color w:val="000000"/>
          <w:sz w:val="21"/>
          <w:szCs w:val="21"/>
        </w:rPr>
        <w:t>)</w:t>
      </w:r>
      <w:r w:rsidRPr="0080737A">
        <w:rPr>
          <w:rFonts w:ascii="Times New Roman" w:hAnsi="Times New Roman"/>
          <w:sz w:val="24"/>
          <w:szCs w:val="24"/>
        </w:rPr>
        <w:t xml:space="preserve"> по состоянию на                1 июля 2016 года составил 4,8 человека на 1 вакантное место (на 1 июля 2015 года – 3,3 человека на 1 вакантное место).</w:t>
      </w:r>
    </w:p>
    <w:p w:rsidR="006F4E1E" w:rsidRPr="0080737A" w:rsidRDefault="006F4E1E" w:rsidP="006F4E1E">
      <w:pPr>
        <w:spacing w:after="0" w:line="240" w:lineRule="auto"/>
        <w:ind w:left="-567" w:right="-284"/>
        <w:jc w:val="both"/>
        <w:rPr>
          <w:rFonts w:ascii="Times New Roman" w:hAnsi="Times New Roman"/>
          <w:sz w:val="24"/>
          <w:szCs w:val="24"/>
        </w:rPr>
      </w:pPr>
      <w:r w:rsidRPr="0080737A">
        <w:rPr>
          <w:rFonts w:ascii="Times New Roman" w:hAnsi="Times New Roman"/>
          <w:noProof/>
          <w:sz w:val="24"/>
          <w:szCs w:val="24"/>
        </w:rPr>
        <w:lastRenderedPageBreak/>
        <w:drawing>
          <wp:inline distT="0" distB="0" distL="0" distR="0">
            <wp:extent cx="6496050" cy="2447925"/>
            <wp:effectExtent l="0" t="0" r="0" b="0"/>
            <wp:docPr id="15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F4E1E" w:rsidRPr="0080737A" w:rsidRDefault="006F4E1E" w:rsidP="006F4E1E">
      <w:pPr>
        <w:spacing w:after="0" w:line="240" w:lineRule="auto"/>
        <w:ind w:left="-567" w:right="-284"/>
        <w:jc w:val="both"/>
        <w:rPr>
          <w:rFonts w:ascii="Times New Roman" w:hAnsi="Times New Roman"/>
          <w:sz w:val="20"/>
          <w:szCs w:val="20"/>
        </w:rPr>
      </w:pPr>
    </w:p>
    <w:p w:rsidR="006F4E1E" w:rsidRPr="0080737A" w:rsidRDefault="006F4E1E" w:rsidP="006F4E1E">
      <w:pPr>
        <w:spacing w:after="0" w:line="240" w:lineRule="auto"/>
        <w:ind w:firstLine="567"/>
        <w:jc w:val="both"/>
        <w:rPr>
          <w:rFonts w:ascii="Times New Roman" w:hAnsi="Times New Roman"/>
          <w:sz w:val="24"/>
          <w:szCs w:val="24"/>
        </w:rPr>
      </w:pPr>
      <w:proofErr w:type="gramStart"/>
      <w:r w:rsidRPr="0080737A">
        <w:rPr>
          <w:rFonts w:ascii="Times New Roman" w:hAnsi="Times New Roman"/>
          <w:sz w:val="24"/>
          <w:szCs w:val="24"/>
        </w:rPr>
        <w:t>Деятельность в области занятости населения в отчетном периоде была направлена на обеспечение гарантированной государством материальной поддержки безработных граждан, проведение программ активной политики занятости, направленных на повышение конкурентоспособности безработных граждан на рынке труда и их скорейшему трудоустройству, путем таких разнообразных мер, как помощь в трудоустройстве, организация общественных работ, профессиональное обучение и консультирование и др.</w:t>
      </w:r>
      <w:proofErr w:type="gramEnd"/>
    </w:p>
    <w:p w:rsidR="006F4E1E" w:rsidRPr="0080737A" w:rsidRDefault="006F4E1E" w:rsidP="006F4E1E">
      <w:pPr>
        <w:spacing w:after="0" w:line="240" w:lineRule="auto"/>
        <w:ind w:firstLine="567"/>
        <w:jc w:val="both"/>
        <w:rPr>
          <w:rFonts w:ascii="Times New Roman" w:hAnsi="Times New Roman"/>
          <w:sz w:val="24"/>
          <w:szCs w:val="24"/>
        </w:rPr>
      </w:pPr>
      <w:r w:rsidRPr="0080737A">
        <w:rPr>
          <w:rFonts w:ascii="Times New Roman" w:hAnsi="Times New Roman"/>
          <w:sz w:val="24"/>
          <w:szCs w:val="24"/>
        </w:rPr>
        <w:t>За январь-июнь 2016 года при содействии Центров социального страхования и социальной защиты трудоустроено 667 безработных граждан (за январь-июнь 2015 года – 1 072 человека).</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рассматриваемом периоде в рамках активной политики занятости реализованы следующие мероприятия:</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а) на общественные работы направлено 15 человек. Общественные работы проводились в Военном комиссариате, в общеобразовательных организациях и Тираспольском комбинате детского питания «Школьник»;</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б) на профессиональную подготовку, переподготовку, повышение квалификации направлено 14 безработных граждан. Обучение проводилось по востребованным на рынке труда профессиям таким как: </w:t>
      </w:r>
      <w:proofErr w:type="spellStart"/>
      <w:r w:rsidRPr="0080737A">
        <w:rPr>
          <w:rFonts w:ascii="Times New Roman" w:hAnsi="Times New Roman"/>
          <w:sz w:val="24"/>
          <w:szCs w:val="24"/>
        </w:rPr>
        <w:t>газоэлектросварщик</w:t>
      </w:r>
      <w:proofErr w:type="spellEnd"/>
      <w:r w:rsidRPr="0080737A">
        <w:rPr>
          <w:rFonts w:ascii="Times New Roman" w:hAnsi="Times New Roman"/>
          <w:sz w:val="24"/>
          <w:szCs w:val="24"/>
        </w:rPr>
        <w:t xml:space="preserve">, </w:t>
      </w:r>
      <w:proofErr w:type="spellStart"/>
      <w:r w:rsidRPr="0080737A">
        <w:rPr>
          <w:rFonts w:ascii="Times New Roman" w:hAnsi="Times New Roman"/>
          <w:sz w:val="24"/>
          <w:szCs w:val="24"/>
        </w:rPr>
        <w:t>автослесарь</w:t>
      </w:r>
      <w:proofErr w:type="spellEnd"/>
      <w:r w:rsidRPr="0080737A">
        <w:rPr>
          <w:rFonts w:ascii="Times New Roman" w:hAnsi="Times New Roman"/>
          <w:sz w:val="24"/>
          <w:szCs w:val="24"/>
        </w:rPr>
        <w:t>, штукатур – маляр, повар – кондитер, слесарь-сантехник;</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Прошли обучение 14 человек (с учетом преходящих), из которых 11 человек прошли профессиональную подготовку и 3 человека прошли профессиональную переподготовку, После око</w:t>
      </w:r>
      <w:r w:rsidR="00557D3D" w:rsidRPr="0080737A">
        <w:rPr>
          <w:rFonts w:ascii="Times New Roman" w:hAnsi="Times New Roman"/>
          <w:sz w:val="24"/>
          <w:szCs w:val="24"/>
        </w:rPr>
        <w:t xml:space="preserve">нчания обучения трудоустроен 1 </w:t>
      </w:r>
      <w:r w:rsidRPr="0080737A">
        <w:rPr>
          <w:rFonts w:ascii="Times New Roman" w:hAnsi="Times New Roman"/>
          <w:sz w:val="24"/>
          <w:szCs w:val="24"/>
        </w:rPr>
        <w:t>человек.</w:t>
      </w:r>
    </w:p>
    <w:p w:rsidR="006F4E1E" w:rsidRPr="0080737A" w:rsidRDefault="006F4E1E" w:rsidP="006F4E1E">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оформлено на досрочную пенсию 36 граждан </w:t>
      </w:r>
      <w:proofErr w:type="spellStart"/>
      <w:r w:rsidRPr="0080737A">
        <w:rPr>
          <w:rFonts w:ascii="Times New Roman" w:hAnsi="Times New Roman"/>
          <w:sz w:val="24"/>
          <w:szCs w:val="24"/>
        </w:rPr>
        <w:t>предпенсионного</w:t>
      </w:r>
      <w:proofErr w:type="spellEnd"/>
      <w:r w:rsidRPr="0080737A">
        <w:rPr>
          <w:rFonts w:ascii="Times New Roman" w:hAnsi="Times New Roman"/>
          <w:sz w:val="24"/>
          <w:szCs w:val="24"/>
        </w:rPr>
        <w:t xml:space="preserve"> возраста, уволенных с последнего места работы в связи с ликвидацией организации, сокращением численности или штата работников организации.</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январе-июне проведены 5 «Ярмарок учебных мест» и 3 мини-ярмарки вакансий в г. Бендеры, из них: для женщин в возрасте от 18-35 лет, с полным и средним профессиональным образованием, владеющих рабочей специальностью, для студентов торгово-технологического техникума, для безработных граждан с представителям</w:t>
      </w:r>
      <w:proofErr w:type="gramStart"/>
      <w:r w:rsidRPr="0080737A">
        <w:rPr>
          <w:rFonts w:ascii="Times New Roman" w:hAnsi="Times New Roman"/>
          <w:sz w:val="24"/>
          <w:szCs w:val="24"/>
        </w:rPr>
        <w:t>и             ООО</w:t>
      </w:r>
      <w:proofErr w:type="gramEnd"/>
      <w:r w:rsidRPr="0080737A">
        <w:rPr>
          <w:rFonts w:ascii="Times New Roman" w:hAnsi="Times New Roman"/>
          <w:sz w:val="24"/>
          <w:szCs w:val="24"/>
        </w:rPr>
        <w:t xml:space="preserve"> ТФФ «</w:t>
      </w:r>
      <w:proofErr w:type="spellStart"/>
      <w:r w:rsidRPr="0080737A">
        <w:rPr>
          <w:rFonts w:ascii="Times New Roman" w:hAnsi="Times New Roman"/>
          <w:sz w:val="24"/>
          <w:szCs w:val="24"/>
        </w:rPr>
        <w:t>Интерцентрлюкс</w:t>
      </w:r>
      <w:proofErr w:type="spellEnd"/>
      <w:r w:rsidRPr="0080737A">
        <w:rPr>
          <w:rFonts w:ascii="Times New Roman" w:hAnsi="Times New Roman"/>
          <w:sz w:val="24"/>
          <w:szCs w:val="24"/>
        </w:rPr>
        <w:t>». Данные мероприятия посетили 2 105 человек. Выпускникам школ республики и молодым людям, ранее окончившим учебные заведения, а также участникам ярмарки была представлена возможность ознакомиться с условиями приема и обучения в учебных организациях профессионального образования республики. Центрами социального страхования и социальной защиты городов и районов республики было оказано содействие в профессиональном самоопределении около 1,6 тысячи человек (проведены мероприятия по профессиональной ориентации).</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Бендерском Центре социального страхования и социальной защите на временные работы в свободное от учебы время был трудоустроен 1 несовершеннолетний гражданин  </w:t>
      </w:r>
      <w:r w:rsidRPr="0080737A">
        <w:rPr>
          <w:rFonts w:ascii="Times New Roman" w:hAnsi="Times New Roman"/>
          <w:sz w:val="24"/>
          <w:szCs w:val="24"/>
        </w:rPr>
        <w:lastRenderedPageBreak/>
        <w:t>от 14 до 18 лет. Работа проводилась в МУП «ЖЭУК», финансирование осуществлялась за счет организации.</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На реализацию программ активной политики занятости в </w:t>
      </w:r>
      <w:r w:rsidRPr="0080737A">
        <w:rPr>
          <w:rFonts w:ascii="Times New Roman" w:hAnsi="Times New Roman"/>
          <w:sz w:val="24"/>
          <w:szCs w:val="24"/>
          <w:lang w:val="en-US"/>
        </w:rPr>
        <w:t>I</w:t>
      </w:r>
      <w:r w:rsidRPr="0080737A">
        <w:rPr>
          <w:rFonts w:ascii="Times New Roman" w:hAnsi="Times New Roman"/>
          <w:sz w:val="24"/>
          <w:szCs w:val="24"/>
        </w:rPr>
        <w:t xml:space="preserve"> полугодии 2016 года израсходовано 52,2 тыс. рублей, на материальную поддержку безработных граждан израсходовано около 7,6 млн. рублей.</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sz w:val="24"/>
          <w:szCs w:val="24"/>
        </w:rPr>
        <w:t>Средний размер пособия по безработице в отчетном периоде составил 429,60 рублей, среднесписочная численность безработных получивших пособие по безработице составила 2 922 человека.</w:t>
      </w:r>
    </w:p>
    <w:p w:rsidR="006F4E1E" w:rsidRPr="0080737A" w:rsidRDefault="006F4E1E" w:rsidP="006F4E1E">
      <w:pPr>
        <w:spacing w:after="0" w:line="240" w:lineRule="auto"/>
        <w:ind w:firstLine="709"/>
        <w:jc w:val="both"/>
        <w:rPr>
          <w:rFonts w:ascii="Times New Roman" w:hAnsi="Times New Roman"/>
          <w:sz w:val="24"/>
          <w:szCs w:val="24"/>
        </w:rPr>
      </w:pPr>
      <w:r w:rsidRPr="0080737A">
        <w:rPr>
          <w:rFonts w:ascii="Times New Roman" w:hAnsi="Times New Roman"/>
          <w:color w:val="000000"/>
          <w:sz w:val="24"/>
          <w:szCs w:val="24"/>
        </w:rPr>
        <w:t xml:space="preserve">Ситуация на рынке труда в январе - июне 2016 года продолжает оставаться достаточной сложной. Она имеет определенную связь с демографической ситуацией и миграционными процессами, а также с изменением возрастной структуры населения республики. </w:t>
      </w:r>
      <w:r w:rsidRPr="0080737A">
        <w:rPr>
          <w:rFonts w:ascii="Times New Roman" w:hAnsi="Times New Roman"/>
          <w:sz w:val="24"/>
          <w:szCs w:val="24"/>
          <w:shd w:val="clear" w:color="auto" w:fill="FFFFFF"/>
        </w:rPr>
        <w:t>Трудовая миграция населения, вызванная в большей степени трудностями в работе предприятий реального сектора экономики, а также рисками функционирования предприятий отрасли сельского хозяйства оказывает негативное влияние как на рынок труда в целом, так и на уровень социальной защищенности трудового населения. Сложности при поиске места работы в сочетании со структурной безработицей, при которой на фоне прогрессирующего дефицита квалифицированных рабочих, непрестижности рабочих специальностей, значительная численность безработных сочетается с сокращением потребности организаций в работниках, порождает о</w:t>
      </w:r>
      <w:r w:rsidRPr="0080737A">
        <w:rPr>
          <w:rFonts w:ascii="Times New Roman" w:hAnsi="Times New Roman"/>
          <w:sz w:val="24"/>
          <w:szCs w:val="24"/>
        </w:rPr>
        <w:t xml:space="preserve">стрый дефицит рабочей силы, который зафиксирован не только среди квалифицированных специалистов узкого направления. Также следует отметить, что в настоящее время на рынке труда не хватает сотрудников на должности с низкой квалификацией. </w:t>
      </w:r>
      <w:r w:rsidRPr="0080737A">
        <w:rPr>
          <w:rFonts w:ascii="Roboto-Regular" w:hAnsi="Roboto-Regular"/>
          <w:kern w:val="36"/>
          <w:sz w:val="24"/>
          <w:szCs w:val="24"/>
        </w:rPr>
        <w:t>Между тем, ситуация с нехваткой специалистов рабочих профессий во многом зависит от изменения менталитета, а также от повышения престижа тех профессий, которых сейчас не хватает. При этом</w:t>
      </w:r>
      <w:proofErr w:type="gramStart"/>
      <w:r w:rsidRPr="0080737A">
        <w:rPr>
          <w:rFonts w:ascii="Roboto-Regular" w:hAnsi="Roboto-Regular"/>
          <w:kern w:val="36"/>
          <w:sz w:val="24"/>
          <w:szCs w:val="24"/>
        </w:rPr>
        <w:t>,</w:t>
      </w:r>
      <w:proofErr w:type="gramEnd"/>
      <w:r w:rsidRPr="0080737A">
        <w:rPr>
          <w:rFonts w:ascii="Roboto-Regular" w:hAnsi="Roboto-Regular"/>
          <w:kern w:val="36"/>
          <w:sz w:val="24"/>
          <w:szCs w:val="24"/>
        </w:rPr>
        <w:t xml:space="preserve"> увеличение числа высококвалифицированных кадров возможно путём дополнительного обучения и переподготовки.</w:t>
      </w:r>
    </w:p>
    <w:p w:rsidR="00335844" w:rsidRPr="0080737A" w:rsidRDefault="00335844" w:rsidP="00335844">
      <w:pPr>
        <w:spacing w:after="0" w:line="240" w:lineRule="auto"/>
        <w:ind w:right="-284"/>
        <w:jc w:val="both"/>
        <w:rPr>
          <w:rFonts w:ascii="Times New Roman" w:hAnsi="Times New Roman"/>
          <w:sz w:val="24"/>
          <w:szCs w:val="24"/>
        </w:rPr>
      </w:pPr>
    </w:p>
    <w:p w:rsidR="00335844" w:rsidRPr="0080737A" w:rsidRDefault="00335844" w:rsidP="00335844">
      <w:pPr>
        <w:spacing w:after="0" w:line="240" w:lineRule="auto"/>
        <w:ind w:firstLine="709"/>
        <w:jc w:val="both"/>
        <w:rPr>
          <w:rFonts w:ascii="Times New Roman" w:hAnsi="Times New Roman"/>
          <w:sz w:val="24"/>
          <w:szCs w:val="24"/>
          <w:shd w:val="clear" w:color="auto" w:fill="FFFFFF"/>
        </w:rPr>
      </w:pPr>
    </w:p>
    <w:p w:rsidR="00335844" w:rsidRPr="0080737A" w:rsidRDefault="00335844" w:rsidP="00335844">
      <w:pPr>
        <w:spacing w:after="0" w:line="240" w:lineRule="auto"/>
        <w:jc w:val="both"/>
        <w:rPr>
          <w:rFonts w:ascii="Times New Roman" w:hAnsi="Times New Roman"/>
          <w:sz w:val="24"/>
          <w:szCs w:val="24"/>
        </w:rPr>
        <w:sectPr w:rsidR="00335844" w:rsidRPr="0080737A" w:rsidSect="003F67B2">
          <w:pgSz w:w="11906" w:h="16838" w:code="9"/>
          <w:pgMar w:top="851" w:right="851" w:bottom="1134" w:left="1701" w:header="709" w:footer="709" w:gutter="0"/>
          <w:cols w:space="708"/>
          <w:titlePg/>
          <w:docGrid w:linePitch="360"/>
        </w:sectPr>
      </w:pPr>
    </w:p>
    <w:tbl>
      <w:tblPr>
        <w:tblpPr w:leftFromText="180" w:rightFromText="180" w:vertAnchor="page" w:horzAnchor="margin" w:tblpXSpec="center" w:tblpY="451"/>
        <w:tblW w:w="11207" w:type="dxa"/>
        <w:tblLayout w:type="fixed"/>
        <w:tblLook w:val="00A0"/>
      </w:tblPr>
      <w:tblGrid>
        <w:gridCol w:w="4219"/>
        <w:gridCol w:w="992"/>
        <w:gridCol w:w="1134"/>
        <w:gridCol w:w="709"/>
        <w:gridCol w:w="425"/>
        <w:gridCol w:w="544"/>
        <w:gridCol w:w="449"/>
        <w:gridCol w:w="567"/>
        <w:gridCol w:w="567"/>
        <w:gridCol w:w="515"/>
        <w:gridCol w:w="477"/>
        <w:gridCol w:w="609"/>
      </w:tblGrid>
      <w:tr w:rsidR="00335844" w:rsidRPr="0080737A" w:rsidTr="006A29F1">
        <w:trPr>
          <w:gridAfter w:val="2"/>
          <w:wAfter w:w="1086" w:type="dxa"/>
          <w:trHeight w:val="140"/>
        </w:trPr>
        <w:tc>
          <w:tcPr>
            <w:tcW w:w="10121" w:type="dxa"/>
            <w:gridSpan w:val="10"/>
            <w:tcBorders>
              <w:top w:val="nil"/>
              <w:left w:val="nil"/>
              <w:bottom w:val="nil"/>
              <w:right w:val="nil"/>
            </w:tcBorders>
            <w:vAlign w:val="bottom"/>
          </w:tcPr>
          <w:p w:rsidR="00335844" w:rsidRPr="0080737A" w:rsidRDefault="00335844" w:rsidP="003F67B2">
            <w:pPr>
              <w:spacing w:after="0" w:line="240" w:lineRule="auto"/>
              <w:rPr>
                <w:rFonts w:ascii="Times New Roman" w:hAnsi="Times New Roman"/>
                <w:b/>
                <w:bCs/>
                <w:color w:val="000000"/>
                <w:sz w:val="24"/>
                <w:szCs w:val="24"/>
              </w:rPr>
            </w:pPr>
          </w:p>
        </w:tc>
      </w:tr>
      <w:tr w:rsidR="006A29F1" w:rsidRPr="0080737A" w:rsidTr="006A29F1">
        <w:trPr>
          <w:gridAfter w:val="2"/>
          <w:wAfter w:w="1086" w:type="dxa"/>
          <w:trHeight w:val="322"/>
        </w:trPr>
        <w:tc>
          <w:tcPr>
            <w:tcW w:w="10121" w:type="dxa"/>
            <w:gridSpan w:val="10"/>
            <w:vAlign w:val="center"/>
            <w:hideMark/>
          </w:tcPr>
          <w:tbl>
            <w:tblPr>
              <w:tblpPr w:leftFromText="180" w:rightFromText="180" w:horzAnchor="page" w:tblpX="448" w:tblpY="-615"/>
              <w:tblW w:w="11340" w:type="dxa"/>
              <w:tblLayout w:type="fixed"/>
              <w:tblLook w:val="00A0"/>
            </w:tblPr>
            <w:tblGrid>
              <w:gridCol w:w="11340"/>
            </w:tblGrid>
            <w:tr w:rsidR="006A29F1" w:rsidRPr="0080737A" w:rsidTr="006A29F1">
              <w:trPr>
                <w:trHeight w:val="423"/>
              </w:trPr>
              <w:tc>
                <w:tcPr>
                  <w:tcW w:w="11339" w:type="dxa"/>
                  <w:vAlign w:val="bottom"/>
                </w:tcPr>
                <w:p w:rsidR="006A29F1" w:rsidRPr="0080737A" w:rsidRDefault="006A29F1" w:rsidP="006A29F1">
                  <w:pPr>
                    <w:tabs>
                      <w:tab w:val="left" w:pos="7122"/>
                    </w:tabs>
                    <w:spacing w:after="0" w:line="240" w:lineRule="auto"/>
                    <w:ind w:left="-142" w:right="1167" w:firstLine="142"/>
                    <w:jc w:val="right"/>
                    <w:rPr>
                      <w:rFonts w:ascii="Times New Roman" w:hAnsi="Times New Roman"/>
                      <w:b/>
                      <w:bCs/>
                      <w:color w:val="000000"/>
                      <w:sz w:val="24"/>
                      <w:szCs w:val="24"/>
                    </w:rPr>
                  </w:pPr>
                  <w:r w:rsidRPr="0080737A">
                    <w:rPr>
                      <w:rFonts w:ascii="Times New Roman" w:hAnsi="Times New Roman"/>
                      <w:b/>
                      <w:bCs/>
                      <w:color w:val="000000"/>
                      <w:sz w:val="24"/>
                      <w:szCs w:val="24"/>
                    </w:rPr>
                    <w:tab/>
                    <w:t>Приложение №1</w:t>
                  </w:r>
                </w:p>
                <w:p w:rsidR="006A29F1" w:rsidRPr="0080737A" w:rsidRDefault="006A29F1" w:rsidP="006A29F1">
                  <w:pPr>
                    <w:spacing w:after="0" w:line="240" w:lineRule="auto"/>
                    <w:ind w:left="-142" w:firstLine="142"/>
                    <w:jc w:val="center"/>
                    <w:rPr>
                      <w:rFonts w:ascii="Times New Roman" w:hAnsi="Times New Roman"/>
                      <w:b/>
                      <w:bCs/>
                      <w:color w:val="000000"/>
                    </w:rPr>
                  </w:pPr>
                </w:p>
              </w:tc>
            </w:tr>
            <w:tr w:rsidR="006A29F1" w:rsidRPr="0080737A" w:rsidTr="006A29F1">
              <w:trPr>
                <w:trHeight w:val="420"/>
              </w:trPr>
              <w:tc>
                <w:tcPr>
                  <w:tcW w:w="11339" w:type="dxa"/>
                  <w:vAlign w:val="bottom"/>
                  <w:hideMark/>
                </w:tcPr>
                <w:p w:rsidR="006A29F1" w:rsidRPr="0080737A" w:rsidRDefault="006A29F1" w:rsidP="006A29F1">
                  <w:pPr>
                    <w:spacing w:after="0" w:line="240" w:lineRule="auto"/>
                    <w:ind w:left="-108"/>
                    <w:jc w:val="center"/>
                    <w:rPr>
                      <w:rFonts w:ascii="Times New Roman" w:hAnsi="Times New Roman"/>
                      <w:b/>
                      <w:bCs/>
                      <w:color w:val="000000"/>
                      <w:sz w:val="24"/>
                      <w:szCs w:val="24"/>
                    </w:rPr>
                  </w:pPr>
                  <w:r w:rsidRPr="0080737A">
                    <w:rPr>
                      <w:rFonts w:ascii="Times New Roman" w:hAnsi="Times New Roman"/>
                      <w:b/>
                      <w:bCs/>
                      <w:color w:val="000000"/>
                      <w:sz w:val="24"/>
                      <w:szCs w:val="24"/>
                    </w:rPr>
                    <w:t>Основные макроэкономические показатели</w:t>
                  </w:r>
                </w:p>
                <w:p w:rsidR="006A29F1" w:rsidRPr="0080737A" w:rsidRDefault="006A29F1" w:rsidP="006A29F1">
                  <w:pPr>
                    <w:spacing w:after="0" w:line="240" w:lineRule="auto"/>
                    <w:ind w:left="-108"/>
                    <w:jc w:val="center"/>
                    <w:rPr>
                      <w:rFonts w:ascii="Times New Roman" w:hAnsi="Times New Roman"/>
                      <w:b/>
                      <w:bCs/>
                      <w:color w:val="000000"/>
                      <w:sz w:val="24"/>
                      <w:szCs w:val="24"/>
                    </w:rPr>
                  </w:pPr>
                  <w:r w:rsidRPr="0080737A">
                    <w:rPr>
                      <w:rFonts w:ascii="Times New Roman" w:hAnsi="Times New Roman"/>
                      <w:b/>
                      <w:bCs/>
                      <w:color w:val="000000"/>
                      <w:sz w:val="24"/>
                      <w:szCs w:val="24"/>
                    </w:rPr>
                    <w:t>Приднестровской Молдавской Республики за январь-июнь 2016 года</w:t>
                  </w:r>
                </w:p>
              </w:tc>
            </w:tr>
          </w:tbl>
          <w:p w:rsidR="006A29F1" w:rsidRPr="0080737A" w:rsidRDefault="006A29F1" w:rsidP="006A29F1">
            <w:pPr>
              <w:spacing w:after="0" w:line="240" w:lineRule="auto"/>
              <w:ind w:left="-142" w:firstLine="142"/>
              <w:rPr>
                <w:rFonts w:ascii="Times New Roman" w:hAnsi="Times New Roman"/>
                <w:b/>
                <w:bCs/>
                <w:color w:val="000000"/>
                <w:sz w:val="28"/>
                <w:szCs w:val="28"/>
              </w:rPr>
            </w:pPr>
          </w:p>
        </w:tc>
      </w:tr>
      <w:tr w:rsidR="006A29F1" w:rsidRPr="0080737A" w:rsidTr="006A29F1">
        <w:trPr>
          <w:trHeight w:val="80"/>
        </w:trPr>
        <w:tc>
          <w:tcPr>
            <w:tcW w:w="4219" w:type="dxa"/>
            <w:tcBorders>
              <w:top w:val="nil"/>
              <w:left w:val="nil"/>
              <w:bottom w:val="single" w:sz="4" w:space="0" w:color="auto"/>
              <w:right w:val="nil"/>
            </w:tcBorders>
            <w:noWrap/>
            <w:vAlign w:val="bottom"/>
          </w:tcPr>
          <w:p w:rsidR="006A29F1" w:rsidRPr="0080737A" w:rsidRDefault="006A29F1" w:rsidP="006A29F1">
            <w:pPr>
              <w:spacing w:after="0" w:line="240" w:lineRule="auto"/>
              <w:ind w:left="-142" w:firstLine="142"/>
              <w:rPr>
                <w:color w:val="000000"/>
              </w:rPr>
            </w:pPr>
          </w:p>
        </w:tc>
        <w:tc>
          <w:tcPr>
            <w:tcW w:w="992" w:type="dxa"/>
            <w:tcBorders>
              <w:top w:val="nil"/>
              <w:left w:val="nil"/>
              <w:bottom w:val="single" w:sz="4" w:space="0" w:color="auto"/>
              <w:right w:val="nil"/>
            </w:tcBorders>
            <w:noWrap/>
            <w:vAlign w:val="bottom"/>
          </w:tcPr>
          <w:p w:rsidR="006A29F1" w:rsidRPr="0080737A" w:rsidRDefault="006A29F1" w:rsidP="006A29F1">
            <w:pPr>
              <w:spacing w:after="0" w:line="240" w:lineRule="auto"/>
              <w:ind w:left="-142" w:firstLine="142"/>
              <w:rPr>
                <w:color w:val="000000"/>
              </w:rPr>
            </w:pPr>
          </w:p>
        </w:tc>
        <w:tc>
          <w:tcPr>
            <w:tcW w:w="1134" w:type="dxa"/>
            <w:tcBorders>
              <w:top w:val="nil"/>
              <w:left w:val="nil"/>
              <w:bottom w:val="single" w:sz="4" w:space="0" w:color="auto"/>
              <w:right w:val="nil"/>
            </w:tcBorders>
            <w:noWrap/>
            <w:vAlign w:val="bottom"/>
          </w:tcPr>
          <w:p w:rsidR="006A29F1" w:rsidRPr="0080737A" w:rsidRDefault="006A29F1" w:rsidP="006A29F1">
            <w:pPr>
              <w:spacing w:after="0" w:line="240" w:lineRule="auto"/>
              <w:ind w:left="-142" w:firstLine="142"/>
              <w:rPr>
                <w:color w:val="000000"/>
              </w:rPr>
            </w:pPr>
          </w:p>
        </w:tc>
        <w:tc>
          <w:tcPr>
            <w:tcW w:w="709" w:type="dxa"/>
            <w:tcBorders>
              <w:top w:val="nil"/>
              <w:left w:val="nil"/>
              <w:bottom w:val="single" w:sz="4" w:space="0" w:color="auto"/>
              <w:right w:val="nil"/>
            </w:tcBorders>
            <w:noWrap/>
            <w:vAlign w:val="bottom"/>
          </w:tcPr>
          <w:p w:rsidR="006A29F1" w:rsidRPr="0080737A" w:rsidRDefault="006A29F1" w:rsidP="006A29F1">
            <w:pPr>
              <w:spacing w:after="0" w:line="240" w:lineRule="auto"/>
              <w:ind w:left="-142" w:firstLine="142"/>
              <w:rPr>
                <w:color w:val="000000"/>
              </w:rPr>
            </w:pPr>
          </w:p>
        </w:tc>
        <w:tc>
          <w:tcPr>
            <w:tcW w:w="969" w:type="dxa"/>
            <w:gridSpan w:val="2"/>
            <w:tcBorders>
              <w:top w:val="nil"/>
              <w:left w:val="nil"/>
              <w:bottom w:val="single" w:sz="4" w:space="0" w:color="auto"/>
              <w:right w:val="nil"/>
            </w:tcBorders>
            <w:noWrap/>
            <w:vAlign w:val="bottom"/>
          </w:tcPr>
          <w:p w:rsidR="006A29F1" w:rsidRPr="0080737A" w:rsidRDefault="006A29F1" w:rsidP="006A29F1">
            <w:pPr>
              <w:spacing w:after="0" w:line="240" w:lineRule="auto"/>
              <w:ind w:left="-142" w:firstLine="142"/>
              <w:rPr>
                <w:color w:val="000000"/>
              </w:rPr>
            </w:pPr>
          </w:p>
        </w:tc>
        <w:tc>
          <w:tcPr>
            <w:tcW w:w="1016" w:type="dxa"/>
            <w:gridSpan w:val="2"/>
            <w:tcBorders>
              <w:top w:val="nil"/>
              <w:left w:val="nil"/>
              <w:bottom w:val="single" w:sz="4" w:space="0" w:color="auto"/>
              <w:right w:val="nil"/>
            </w:tcBorders>
            <w:noWrap/>
            <w:vAlign w:val="bottom"/>
          </w:tcPr>
          <w:p w:rsidR="006A29F1" w:rsidRPr="0080737A" w:rsidRDefault="006A29F1" w:rsidP="006A29F1">
            <w:pPr>
              <w:spacing w:after="0" w:line="240" w:lineRule="auto"/>
              <w:ind w:left="-142" w:firstLine="142"/>
              <w:rPr>
                <w:color w:val="000000"/>
              </w:rPr>
            </w:pPr>
          </w:p>
        </w:tc>
        <w:tc>
          <w:tcPr>
            <w:tcW w:w="1082" w:type="dxa"/>
            <w:gridSpan w:val="2"/>
            <w:tcBorders>
              <w:top w:val="nil"/>
              <w:left w:val="nil"/>
              <w:bottom w:val="single" w:sz="4" w:space="0" w:color="auto"/>
              <w:right w:val="nil"/>
            </w:tcBorders>
          </w:tcPr>
          <w:p w:rsidR="006A29F1" w:rsidRPr="0080737A" w:rsidRDefault="006A29F1" w:rsidP="006A29F1">
            <w:pPr>
              <w:spacing w:after="0" w:line="240" w:lineRule="auto"/>
              <w:ind w:left="-142" w:firstLine="142"/>
              <w:rPr>
                <w:color w:val="000000"/>
              </w:rPr>
            </w:pPr>
          </w:p>
        </w:tc>
        <w:tc>
          <w:tcPr>
            <w:tcW w:w="1086" w:type="dxa"/>
            <w:gridSpan w:val="2"/>
            <w:tcBorders>
              <w:top w:val="nil"/>
              <w:left w:val="nil"/>
              <w:right w:val="nil"/>
            </w:tcBorders>
            <w:noWrap/>
            <w:vAlign w:val="bottom"/>
          </w:tcPr>
          <w:p w:rsidR="006A29F1" w:rsidRPr="0080737A" w:rsidRDefault="006A29F1" w:rsidP="006A29F1">
            <w:pPr>
              <w:spacing w:after="0" w:line="240" w:lineRule="auto"/>
              <w:ind w:left="-142" w:firstLine="142"/>
              <w:rPr>
                <w:color w:val="000000"/>
              </w:rPr>
            </w:pPr>
          </w:p>
        </w:tc>
      </w:tr>
      <w:tr w:rsidR="006A29F1" w:rsidRPr="0080737A" w:rsidTr="006A29F1">
        <w:trPr>
          <w:gridAfter w:val="1"/>
          <w:wAfter w:w="609" w:type="dxa"/>
          <w:trHeight w:val="878"/>
        </w:trPr>
        <w:tc>
          <w:tcPr>
            <w:tcW w:w="4219"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Показатели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 xml:space="preserve">Ед. </w:t>
            </w:r>
            <w:proofErr w:type="spellStart"/>
            <w:r w:rsidRPr="0080737A">
              <w:rPr>
                <w:rFonts w:ascii="Times New Roman" w:hAnsi="Times New Roman"/>
                <w:b/>
                <w:bCs/>
                <w:color w:val="000000"/>
                <w:sz w:val="20"/>
                <w:szCs w:val="20"/>
              </w:rPr>
              <w:t>изм</w:t>
            </w:r>
            <w:proofErr w:type="spellEnd"/>
            <w:r w:rsidRPr="0080737A">
              <w:rPr>
                <w:rFonts w:ascii="Times New Roman" w:hAnsi="Times New Roman"/>
                <w:b/>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left="-142" w:firstLine="34"/>
              <w:jc w:val="center"/>
              <w:rPr>
                <w:rFonts w:ascii="Times New Roman" w:hAnsi="Times New Roman"/>
                <w:b/>
                <w:bCs/>
                <w:color w:val="000000"/>
                <w:sz w:val="20"/>
                <w:szCs w:val="20"/>
              </w:rPr>
            </w:pPr>
            <w:r w:rsidRPr="0080737A">
              <w:rPr>
                <w:rFonts w:ascii="Times New Roman" w:hAnsi="Times New Roman"/>
                <w:b/>
                <w:bCs/>
                <w:color w:val="000000"/>
                <w:sz w:val="20"/>
                <w:szCs w:val="20"/>
              </w:rPr>
              <w:t xml:space="preserve">Факт за I полугодие </w:t>
            </w:r>
          </w:p>
          <w:p w:rsidR="006A29F1" w:rsidRPr="0080737A" w:rsidRDefault="006A29F1" w:rsidP="006A29F1">
            <w:pPr>
              <w:spacing w:after="0" w:line="240" w:lineRule="auto"/>
              <w:ind w:left="-142" w:firstLine="34"/>
              <w:jc w:val="center"/>
              <w:rPr>
                <w:rFonts w:ascii="Times New Roman" w:hAnsi="Times New Roman"/>
                <w:b/>
                <w:bCs/>
                <w:color w:val="000000"/>
                <w:sz w:val="20"/>
                <w:szCs w:val="20"/>
              </w:rPr>
            </w:pPr>
            <w:r w:rsidRPr="0080737A">
              <w:rPr>
                <w:rFonts w:ascii="Times New Roman" w:hAnsi="Times New Roman"/>
                <w:b/>
                <w:bCs/>
                <w:color w:val="000000"/>
                <w:sz w:val="20"/>
                <w:szCs w:val="20"/>
              </w:rPr>
              <w:t>2014 г.</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tabs>
                <w:tab w:val="left" w:pos="918"/>
              </w:tabs>
              <w:spacing w:after="0" w:line="240" w:lineRule="auto"/>
              <w:ind w:left="-142" w:firstLine="34"/>
              <w:jc w:val="center"/>
              <w:rPr>
                <w:rFonts w:ascii="Times New Roman" w:hAnsi="Times New Roman"/>
                <w:b/>
                <w:bCs/>
                <w:color w:val="000000"/>
                <w:sz w:val="20"/>
                <w:szCs w:val="20"/>
              </w:rPr>
            </w:pPr>
            <w:r w:rsidRPr="0080737A">
              <w:rPr>
                <w:rFonts w:ascii="Times New Roman" w:hAnsi="Times New Roman"/>
                <w:b/>
                <w:bCs/>
                <w:color w:val="000000"/>
                <w:sz w:val="20"/>
                <w:szCs w:val="20"/>
              </w:rPr>
              <w:t>Факт за I полугодие 2015 г.</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left="-95" w:right="-80" w:firstLine="10"/>
              <w:jc w:val="center"/>
              <w:rPr>
                <w:rFonts w:ascii="Times New Roman" w:hAnsi="Times New Roman"/>
                <w:b/>
                <w:bCs/>
                <w:color w:val="000000"/>
                <w:sz w:val="20"/>
                <w:szCs w:val="20"/>
              </w:rPr>
            </w:pPr>
            <w:r w:rsidRPr="0080737A">
              <w:rPr>
                <w:rFonts w:ascii="Times New Roman" w:hAnsi="Times New Roman"/>
                <w:b/>
                <w:bCs/>
                <w:color w:val="000000"/>
                <w:sz w:val="20"/>
                <w:szCs w:val="20"/>
              </w:rPr>
              <w:t>Темп роста* 2015 г. к 2014 г.,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left="-142" w:firstLine="34"/>
              <w:jc w:val="center"/>
              <w:rPr>
                <w:rFonts w:ascii="Times New Roman" w:hAnsi="Times New Roman"/>
                <w:b/>
                <w:bCs/>
                <w:color w:val="000000"/>
                <w:sz w:val="20"/>
                <w:szCs w:val="20"/>
              </w:rPr>
            </w:pPr>
            <w:r w:rsidRPr="0080737A">
              <w:rPr>
                <w:rFonts w:ascii="Times New Roman" w:hAnsi="Times New Roman"/>
                <w:b/>
                <w:bCs/>
                <w:color w:val="000000"/>
                <w:sz w:val="20"/>
                <w:szCs w:val="20"/>
              </w:rPr>
              <w:t xml:space="preserve">Факт за I полугодие </w:t>
            </w:r>
          </w:p>
          <w:p w:rsidR="006A29F1" w:rsidRPr="0080737A" w:rsidRDefault="006A29F1" w:rsidP="006A29F1">
            <w:pPr>
              <w:spacing w:after="0" w:line="240" w:lineRule="auto"/>
              <w:ind w:left="-142" w:right="-108" w:firstLine="34"/>
              <w:jc w:val="center"/>
              <w:rPr>
                <w:rFonts w:ascii="Times New Roman" w:hAnsi="Times New Roman"/>
                <w:b/>
                <w:bCs/>
                <w:color w:val="000000"/>
                <w:sz w:val="20"/>
                <w:szCs w:val="20"/>
              </w:rPr>
            </w:pPr>
            <w:r w:rsidRPr="0080737A">
              <w:rPr>
                <w:rFonts w:ascii="Times New Roman" w:hAnsi="Times New Roman"/>
                <w:b/>
                <w:bCs/>
                <w:color w:val="000000"/>
                <w:sz w:val="20"/>
                <w:szCs w:val="20"/>
              </w:rPr>
              <w:t>2016 г.</w:t>
            </w:r>
          </w:p>
        </w:tc>
        <w:tc>
          <w:tcPr>
            <w:tcW w:w="992" w:type="dxa"/>
            <w:gridSpan w:val="2"/>
            <w:tcBorders>
              <w:top w:val="single" w:sz="4" w:space="0" w:color="auto"/>
              <w:left w:val="single" w:sz="4" w:space="0" w:color="auto"/>
              <w:bottom w:val="single" w:sz="4" w:space="0" w:color="auto"/>
              <w:right w:val="single" w:sz="4" w:space="0" w:color="auto"/>
            </w:tcBorders>
          </w:tcPr>
          <w:p w:rsidR="006A29F1" w:rsidRPr="0080737A" w:rsidRDefault="006A29F1" w:rsidP="006A29F1">
            <w:pPr>
              <w:spacing w:after="0" w:line="240" w:lineRule="auto"/>
              <w:ind w:left="-108" w:right="-108"/>
              <w:jc w:val="center"/>
              <w:rPr>
                <w:rFonts w:ascii="Times New Roman" w:hAnsi="Times New Roman"/>
                <w:b/>
                <w:bCs/>
                <w:color w:val="000000"/>
                <w:sz w:val="20"/>
                <w:szCs w:val="20"/>
              </w:rPr>
            </w:pPr>
            <w:r w:rsidRPr="0080737A">
              <w:rPr>
                <w:rFonts w:ascii="Times New Roman" w:hAnsi="Times New Roman"/>
                <w:b/>
                <w:bCs/>
                <w:color w:val="000000"/>
                <w:sz w:val="20"/>
                <w:szCs w:val="20"/>
              </w:rPr>
              <w:t>Темп роста*    2016 г. к 2015 г., %</w:t>
            </w:r>
          </w:p>
        </w:tc>
      </w:tr>
      <w:tr w:rsidR="006A29F1" w:rsidRPr="0080737A" w:rsidTr="006A29F1">
        <w:trPr>
          <w:gridAfter w:val="1"/>
          <w:wAfter w:w="609" w:type="dxa"/>
          <w:trHeight w:val="97"/>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6</w:t>
            </w:r>
          </w:p>
        </w:tc>
        <w:tc>
          <w:tcPr>
            <w:tcW w:w="992" w:type="dxa"/>
            <w:gridSpan w:val="2"/>
            <w:tcBorders>
              <w:top w:val="single" w:sz="4" w:space="0" w:color="auto"/>
              <w:left w:val="single" w:sz="4" w:space="0" w:color="auto"/>
              <w:bottom w:val="single" w:sz="4" w:space="0" w:color="auto"/>
              <w:right w:val="single" w:sz="4" w:space="0" w:color="auto"/>
            </w:tcBorders>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7</w:t>
            </w:r>
          </w:p>
        </w:tc>
      </w:tr>
      <w:tr w:rsidR="006A29F1" w:rsidRPr="0080737A" w:rsidTr="006A29F1">
        <w:trPr>
          <w:gridAfter w:val="1"/>
          <w:wAfter w:w="609" w:type="dxa"/>
          <w:trHeight w:val="225"/>
        </w:trPr>
        <w:tc>
          <w:tcPr>
            <w:tcW w:w="42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Валовой внутренний продукт</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0"/>
              <w:jc w:val="right"/>
              <w:rPr>
                <w:rFonts w:ascii="Times New Roman" w:hAnsi="Times New Roman"/>
                <w:color w:val="000000"/>
                <w:sz w:val="20"/>
                <w:szCs w:val="20"/>
              </w:rPr>
            </w:pPr>
            <w:r w:rsidRPr="0080737A">
              <w:rPr>
                <w:rFonts w:ascii="Times New Roman" w:hAnsi="Times New Roman"/>
                <w:color w:val="000000"/>
                <w:sz w:val="20"/>
                <w:szCs w:val="20"/>
              </w:rPr>
              <w:t>4 767,5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0"/>
              <w:jc w:val="right"/>
              <w:rPr>
                <w:rFonts w:ascii="Times New Roman" w:hAnsi="Times New Roman"/>
                <w:color w:val="000000"/>
                <w:sz w:val="20"/>
                <w:szCs w:val="20"/>
              </w:rPr>
            </w:pPr>
            <w:r w:rsidRPr="0080737A">
              <w:rPr>
                <w:rFonts w:ascii="Times New Roman" w:hAnsi="Times New Roman"/>
                <w:color w:val="000000"/>
                <w:sz w:val="20"/>
                <w:szCs w:val="20"/>
              </w:rPr>
              <w:t>3 753,0</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80,8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C27E68" w:rsidP="00C27E68">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3 950,0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C27E68"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117,6</w:t>
            </w:r>
          </w:p>
        </w:tc>
      </w:tr>
      <w:tr w:rsidR="006A29F1" w:rsidRPr="0080737A" w:rsidTr="006A29F1">
        <w:trPr>
          <w:gridAfter w:val="1"/>
          <w:wAfter w:w="609" w:type="dxa"/>
          <w:trHeight w:val="272"/>
        </w:trPr>
        <w:tc>
          <w:tcPr>
            <w:tcW w:w="42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Валовой внутренний продукт</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429,5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338,1</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80,8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C27E68"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352,1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C27E68"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117,6</w:t>
            </w:r>
          </w:p>
        </w:tc>
      </w:tr>
      <w:tr w:rsidR="006A29F1" w:rsidRPr="0080737A" w:rsidTr="006A29F1">
        <w:trPr>
          <w:gridAfter w:val="1"/>
          <w:wAfter w:w="609" w:type="dxa"/>
          <w:trHeight w:val="409"/>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Объем промышленного производства (оценка)</w:t>
            </w:r>
            <w:r w:rsidRPr="0080737A">
              <w:rPr>
                <w:rFonts w:ascii="Times New Roman" w:hAnsi="Times New Roman"/>
                <w:color w:val="000000"/>
                <w:sz w:val="20"/>
                <w:szCs w:val="20"/>
                <w:vertAlign w:val="superscript"/>
              </w:rPr>
              <w:t>1</w:t>
            </w:r>
            <w:r w:rsidRPr="0080737A">
              <w:rPr>
                <w:rFonts w:ascii="Times New Roman" w:hAnsi="Times New Roman"/>
                <w:color w:val="000000"/>
                <w:sz w:val="20"/>
                <w:szCs w:val="20"/>
              </w:rPr>
              <w:t xml:space="preserve"> (в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5218,7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4 404,6</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83,7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4 024,6</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90,5</w:t>
            </w:r>
          </w:p>
        </w:tc>
      </w:tr>
      <w:tr w:rsidR="006A29F1" w:rsidRPr="0080737A" w:rsidTr="006A29F1">
        <w:trPr>
          <w:gridAfter w:val="1"/>
          <w:wAfter w:w="609" w:type="dxa"/>
          <w:trHeight w:val="359"/>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в том числе по предприятия промышленности (в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4 945,2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4 159,3</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84,1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sz w:val="20"/>
                <w:szCs w:val="20"/>
              </w:rPr>
            </w:pPr>
            <w:r w:rsidRPr="0080737A">
              <w:rPr>
                <w:rFonts w:ascii="Times New Roman" w:hAnsi="Times New Roman"/>
                <w:sz w:val="20"/>
                <w:szCs w:val="20"/>
              </w:rPr>
              <w:t>3 836,4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sz w:val="20"/>
                <w:szCs w:val="20"/>
              </w:rPr>
            </w:pPr>
            <w:r w:rsidRPr="0080737A">
              <w:rPr>
                <w:rFonts w:ascii="Times New Roman" w:hAnsi="Times New Roman"/>
                <w:sz w:val="20"/>
                <w:szCs w:val="20"/>
              </w:rPr>
              <w:t>91,6</w:t>
            </w:r>
          </w:p>
        </w:tc>
      </w:tr>
      <w:tr w:rsidR="006A29F1" w:rsidRPr="0080737A" w:rsidTr="006A29F1">
        <w:trPr>
          <w:gridAfter w:val="1"/>
          <w:wAfter w:w="609" w:type="dxa"/>
          <w:trHeight w:val="324"/>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 xml:space="preserve">Объем промышленного производства по полному кругу предприятий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470,2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396,8</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83,7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358,8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89,6</w:t>
            </w:r>
          </w:p>
        </w:tc>
      </w:tr>
      <w:tr w:rsidR="006A29F1" w:rsidRPr="0080737A" w:rsidTr="006A29F1">
        <w:trPr>
          <w:gridAfter w:val="1"/>
          <w:wAfter w:w="609" w:type="dxa"/>
          <w:trHeight w:val="274"/>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 xml:space="preserve">в том числе по предприятия промышленности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445,5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374,7</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84,1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342,1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90,7</w:t>
            </w:r>
          </w:p>
        </w:tc>
      </w:tr>
      <w:tr w:rsidR="006A29F1" w:rsidRPr="0080737A" w:rsidTr="006A29F1">
        <w:trPr>
          <w:gridAfter w:val="1"/>
          <w:wAfter w:w="609" w:type="dxa"/>
          <w:trHeight w:val="419"/>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vertAlign w:val="superscript"/>
              </w:rPr>
            </w:pPr>
            <w:r w:rsidRPr="0080737A">
              <w:rPr>
                <w:rFonts w:ascii="Times New Roman" w:hAnsi="Times New Roman"/>
                <w:color w:val="000000"/>
                <w:sz w:val="20"/>
                <w:szCs w:val="20"/>
              </w:rPr>
              <w:t>Объем сельскохозяйственного производства (в текущих ценах)</w:t>
            </w:r>
            <w:r w:rsidRPr="0080737A">
              <w:rPr>
                <w:rFonts w:ascii="Times New Roman" w:hAnsi="Times New Roman"/>
                <w:color w:val="000000"/>
                <w:sz w:val="20"/>
                <w:szCs w:val="20"/>
                <w:vertAlign w:val="superscript"/>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415,3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438,9</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112,1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316,4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92,3</w:t>
            </w:r>
          </w:p>
        </w:tc>
      </w:tr>
      <w:tr w:rsidR="006A29F1" w:rsidRPr="0080737A" w:rsidTr="006A29F1">
        <w:trPr>
          <w:gridAfter w:val="1"/>
          <w:wAfter w:w="609" w:type="dxa"/>
          <w:trHeight w:val="225"/>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Объем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37,4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39,5</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112,1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28,2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91,3</w:t>
            </w:r>
          </w:p>
        </w:tc>
      </w:tr>
      <w:tr w:rsidR="006A29F1" w:rsidRPr="0080737A" w:rsidTr="006A29F1">
        <w:trPr>
          <w:gridAfter w:val="1"/>
          <w:wAfter w:w="609" w:type="dxa"/>
          <w:trHeight w:val="361"/>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 xml:space="preserve">Объем перевозок грузов организациями автомобильного транспорта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тыс. тонн</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1070,6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786,9</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73,5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786,6</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99,9</w:t>
            </w:r>
          </w:p>
        </w:tc>
      </w:tr>
      <w:tr w:rsidR="006A29F1" w:rsidRPr="0080737A" w:rsidTr="006A29F1">
        <w:trPr>
          <w:gridAfter w:val="1"/>
          <w:wAfter w:w="609" w:type="dxa"/>
          <w:trHeight w:val="750"/>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Инвестиции в основной капитал, с учетом оценки субъектов малого предпринимательства и индивидуальных застройщиков (в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711,7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462,1</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58,9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421,5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77,5</w:t>
            </w:r>
          </w:p>
        </w:tc>
      </w:tr>
      <w:tr w:rsidR="006A29F1" w:rsidRPr="0080737A" w:rsidTr="006A29F1">
        <w:trPr>
          <w:gridAfter w:val="1"/>
          <w:wAfter w:w="609" w:type="dxa"/>
          <w:trHeight w:val="476"/>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Ввод в действие жилых домов</w:t>
            </w:r>
          </w:p>
        </w:tc>
        <w:tc>
          <w:tcPr>
            <w:tcW w:w="992" w:type="dxa"/>
            <w:tcBorders>
              <w:top w:val="single" w:sz="4" w:space="0" w:color="auto"/>
              <w:left w:val="single" w:sz="4" w:space="0" w:color="auto"/>
              <w:bottom w:val="single" w:sz="4" w:space="0" w:color="auto"/>
              <w:right w:val="single" w:sz="4" w:space="0" w:color="auto"/>
            </w:tcBorders>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кв. м. общей площади</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11 721,7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9018,4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76,9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13 809,6</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153,1</w:t>
            </w:r>
          </w:p>
        </w:tc>
      </w:tr>
      <w:tr w:rsidR="006A29F1" w:rsidRPr="0080737A" w:rsidTr="006A29F1">
        <w:trPr>
          <w:gridAfter w:val="1"/>
          <w:wAfter w:w="609" w:type="dxa"/>
          <w:trHeight w:val="647"/>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Общий объем розничного товарооборота + общественное питание и платные услуги населению</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4675,4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3806,8</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81,5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3 575,0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93,0</w:t>
            </w:r>
          </w:p>
        </w:tc>
      </w:tr>
      <w:tr w:rsidR="006A29F1" w:rsidRPr="0080737A" w:rsidTr="006A29F1">
        <w:trPr>
          <w:gridAfter w:val="1"/>
          <w:wAfter w:w="609" w:type="dxa"/>
          <w:trHeight w:val="312"/>
        </w:trPr>
        <w:tc>
          <w:tcPr>
            <w:tcW w:w="42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Розничный товарооборот +общественное питание</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p>
        </w:tc>
      </w:tr>
      <w:tr w:rsidR="006A29F1" w:rsidRPr="0080737A" w:rsidTr="006A29F1">
        <w:trPr>
          <w:gridAfter w:val="1"/>
          <w:wAfter w:w="609" w:type="dxa"/>
          <w:trHeight w:val="284"/>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в текущих ценах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3575,9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2 698,7</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75,6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2 486,1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90,9</w:t>
            </w:r>
          </w:p>
        </w:tc>
      </w:tr>
      <w:tr w:rsidR="006A29F1" w:rsidRPr="0080737A" w:rsidTr="006A29F1">
        <w:trPr>
          <w:gridAfter w:val="1"/>
          <w:wAfter w:w="609" w:type="dxa"/>
          <w:trHeight w:val="101"/>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в сопоставимых ценах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98,8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77,7</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center"/>
              <w:rPr>
                <w:rFonts w:ascii="Times New Roman" w:hAnsi="Times New Roman"/>
                <w:sz w:val="20"/>
                <w:szCs w:val="20"/>
              </w:rPr>
            </w:pPr>
            <w:proofErr w:type="spellStart"/>
            <w:r w:rsidRPr="0080737A">
              <w:rPr>
                <w:rFonts w:ascii="Times New Roman" w:hAnsi="Times New Roman"/>
                <w:sz w:val="20"/>
                <w:szCs w:val="20"/>
              </w:rPr>
              <w:t>х</w:t>
            </w:r>
            <w:proofErr w:type="spellEnd"/>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92,1</w:t>
            </w:r>
          </w:p>
        </w:tc>
        <w:tc>
          <w:tcPr>
            <w:tcW w:w="992" w:type="dxa"/>
            <w:gridSpan w:val="2"/>
            <w:tcBorders>
              <w:top w:val="single" w:sz="4" w:space="0" w:color="auto"/>
              <w:left w:val="single" w:sz="4" w:space="0" w:color="auto"/>
              <w:bottom w:val="single" w:sz="4" w:space="0" w:color="auto"/>
              <w:right w:val="single" w:sz="4" w:space="0" w:color="auto"/>
            </w:tcBorders>
          </w:tcPr>
          <w:p w:rsidR="006A29F1" w:rsidRPr="0080737A" w:rsidRDefault="006A29F1" w:rsidP="006A29F1">
            <w:pPr>
              <w:spacing w:after="0" w:line="240" w:lineRule="auto"/>
              <w:ind w:left="-142" w:firstLine="142"/>
              <w:jc w:val="center"/>
              <w:rPr>
                <w:rFonts w:ascii="Times New Roman" w:hAnsi="Times New Roman"/>
                <w:color w:val="000000"/>
                <w:sz w:val="20"/>
                <w:szCs w:val="20"/>
              </w:rPr>
            </w:pPr>
            <w:proofErr w:type="spellStart"/>
            <w:r w:rsidRPr="0080737A">
              <w:rPr>
                <w:rFonts w:ascii="Times New Roman" w:hAnsi="Times New Roman"/>
                <w:sz w:val="20"/>
                <w:szCs w:val="20"/>
              </w:rPr>
              <w:t>х</w:t>
            </w:r>
            <w:proofErr w:type="spellEnd"/>
          </w:p>
        </w:tc>
      </w:tr>
      <w:tr w:rsidR="006A29F1" w:rsidRPr="0080737A" w:rsidTr="006A29F1">
        <w:trPr>
          <w:gridAfter w:val="1"/>
          <w:wAfter w:w="609" w:type="dxa"/>
          <w:trHeight w:val="169"/>
        </w:trPr>
        <w:tc>
          <w:tcPr>
            <w:tcW w:w="42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Объем платных услуг</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p>
        </w:tc>
      </w:tr>
      <w:tr w:rsidR="006A29F1" w:rsidRPr="0080737A" w:rsidTr="006A29F1">
        <w:trPr>
          <w:gridAfter w:val="1"/>
          <w:wAfter w:w="609" w:type="dxa"/>
          <w:trHeight w:val="225"/>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в текущих ценах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1 099,5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1 108,1</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100,6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1 088,9</w:t>
            </w:r>
          </w:p>
        </w:tc>
        <w:tc>
          <w:tcPr>
            <w:tcW w:w="992" w:type="dxa"/>
            <w:gridSpan w:val="2"/>
            <w:tcBorders>
              <w:top w:val="single" w:sz="4" w:space="0" w:color="auto"/>
              <w:left w:val="single" w:sz="4" w:space="0" w:color="auto"/>
              <w:bottom w:val="single" w:sz="4" w:space="0" w:color="auto"/>
              <w:right w:val="single" w:sz="4" w:space="0" w:color="auto"/>
            </w:tcBorders>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98,2</w:t>
            </w:r>
          </w:p>
        </w:tc>
      </w:tr>
      <w:tr w:rsidR="006A29F1" w:rsidRPr="0080737A" w:rsidTr="006A29F1">
        <w:trPr>
          <w:gridAfter w:val="1"/>
          <w:wAfter w:w="609" w:type="dxa"/>
          <w:trHeight w:val="270"/>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в сопоставимых ценах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104,5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92,4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center"/>
              <w:rPr>
                <w:rFonts w:ascii="Times New Roman" w:hAnsi="Times New Roman"/>
                <w:sz w:val="20"/>
                <w:szCs w:val="20"/>
              </w:rPr>
            </w:pPr>
            <w:proofErr w:type="spellStart"/>
            <w:r w:rsidRPr="0080737A">
              <w:rPr>
                <w:rFonts w:ascii="Times New Roman" w:hAnsi="Times New Roman"/>
                <w:sz w:val="20"/>
                <w:szCs w:val="20"/>
              </w:rPr>
              <w:t>х</w:t>
            </w:r>
            <w:proofErr w:type="spellEnd"/>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97,9</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center"/>
              <w:rPr>
                <w:rFonts w:ascii="Times New Roman" w:hAnsi="Times New Roman"/>
                <w:color w:val="000000"/>
                <w:sz w:val="20"/>
                <w:szCs w:val="20"/>
              </w:rPr>
            </w:pPr>
            <w:proofErr w:type="spellStart"/>
            <w:r w:rsidRPr="0080737A">
              <w:rPr>
                <w:rFonts w:ascii="Times New Roman" w:hAnsi="Times New Roman"/>
                <w:sz w:val="20"/>
                <w:szCs w:val="20"/>
              </w:rPr>
              <w:t>х</w:t>
            </w:r>
            <w:proofErr w:type="spellEnd"/>
          </w:p>
        </w:tc>
      </w:tr>
      <w:tr w:rsidR="006A29F1" w:rsidRPr="0080737A" w:rsidTr="006A29F1">
        <w:trPr>
          <w:gridAfter w:val="1"/>
          <w:wAfter w:w="609" w:type="dxa"/>
          <w:trHeight w:val="283"/>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Внешнеторговый оборот</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1187,6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905,2</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76,2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676,8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74,8</w:t>
            </w:r>
          </w:p>
        </w:tc>
      </w:tr>
      <w:tr w:rsidR="006A29F1" w:rsidRPr="0080737A" w:rsidTr="006A29F1">
        <w:trPr>
          <w:gridAfter w:val="1"/>
          <w:wAfter w:w="609" w:type="dxa"/>
          <w:trHeight w:val="285"/>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Экспорт товаров</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363,0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288,6</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79,5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253,5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87,9</w:t>
            </w:r>
          </w:p>
        </w:tc>
      </w:tr>
      <w:tr w:rsidR="006A29F1" w:rsidRPr="0080737A" w:rsidTr="006A29F1">
        <w:trPr>
          <w:gridAfter w:val="1"/>
          <w:wAfter w:w="609" w:type="dxa"/>
          <w:trHeight w:val="255"/>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Импорт товаров</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824,6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616,6</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74,8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423,2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68,6</w:t>
            </w:r>
          </w:p>
        </w:tc>
      </w:tr>
      <w:tr w:rsidR="006A29F1" w:rsidRPr="0080737A" w:rsidTr="006A29F1">
        <w:trPr>
          <w:gridAfter w:val="1"/>
          <w:wAfter w:w="609" w:type="dxa"/>
          <w:trHeight w:val="157"/>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Сальдо внешнеторгового оборота</w:t>
            </w:r>
            <w:proofErr w:type="gramStart"/>
            <w:r w:rsidRPr="0080737A">
              <w:rPr>
                <w:rFonts w:ascii="Times New Roman" w:hAnsi="Times New Roman"/>
                <w:color w:val="000000"/>
                <w:sz w:val="20"/>
                <w:szCs w:val="20"/>
              </w:rPr>
              <w:t xml:space="preserve"> (+;-)</w:t>
            </w:r>
            <w:proofErr w:type="gramEnd"/>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-461,6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-328,0</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center"/>
              <w:rPr>
                <w:rFonts w:ascii="Times New Roman" w:hAnsi="Times New Roman"/>
                <w:sz w:val="20"/>
                <w:szCs w:val="20"/>
              </w:rPr>
            </w:pPr>
            <w:proofErr w:type="spellStart"/>
            <w:r w:rsidRPr="0080737A">
              <w:rPr>
                <w:rFonts w:ascii="Times New Roman" w:hAnsi="Times New Roman"/>
                <w:sz w:val="20"/>
                <w:szCs w:val="20"/>
              </w:rPr>
              <w:t>х</w:t>
            </w:r>
            <w:proofErr w:type="spellEnd"/>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-169,7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center"/>
              <w:rPr>
                <w:rFonts w:ascii="Times New Roman" w:hAnsi="Times New Roman"/>
                <w:color w:val="000000"/>
                <w:sz w:val="20"/>
                <w:szCs w:val="20"/>
              </w:rPr>
            </w:pPr>
            <w:proofErr w:type="spellStart"/>
            <w:r w:rsidRPr="0080737A">
              <w:rPr>
                <w:rFonts w:ascii="Times New Roman" w:hAnsi="Times New Roman"/>
                <w:sz w:val="20"/>
                <w:szCs w:val="20"/>
              </w:rPr>
              <w:t>х</w:t>
            </w:r>
            <w:proofErr w:type="spellEnd"/>
          </w:p>
        </w:tc>
      </w:tr>
      <w:tr w:rsidR="006A29F1" w:rsidRPr="0080737A" w:rsidTr="006A29F1">
        <w:trPr>
          <w:gridAfter w:val="1"/>
          <w:wAfter w:w="609" w:type="dxa"/>
          <w:trHeight w:val="322"/>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Фонд заработной платы, включая субъекты предпринимательства (оценка)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2 508,0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2 308,1</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92,6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2 204,5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95,4</w:t>
            </w:r>
          </w:p>
        </w:tc>
      </w:tr>
      <w:tr w:rsidR="006A29F1" w:rsidRPr="0080737A" w:rsidTr="006A29F1">
        <w:trPr>
          <w:gridAfter w:val="1"/>
          <w:wAfter w:w="609" w:type="dxa"/>
          <w:trHeight w:val="257"/>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Фонд заработной платы</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2 275,9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2 075,4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91,8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1 991,5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96,3</w:t>
            </w:r>
          </w:p>
        </w:tc>
      </w:tr>
      <w:tr w:rsidR="006A29F1" w:rsidRPr="0080737A" w:rsidTr="006A29F1">
        <w:trPr>
          <w:gridAfter w:val="1"/>
          <w:wAfter w:w="609" w:type="dxa"/>
          <w:trHeight w:val="715"/>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 xml:space="preserve">Среднесписочная численность </w:t>
            </w:r>
            <w:proofErr w:type="gramStart"/>
            <w:r w:rsidRPr="0080737A">
              <w:rPr>
                <w:rFonts w:ascii="Times New Roman" w:hAnsi="Times New Roman"/>
                <w:color w:val="000000"/>
                <w:sz w:val="20"/>
                <w:szCs w:val="20"/>
              </w:rPr>
              <w:t>работающих</w:t>
            </w:r>
            <w:proofErr w:type="gramEnd"/>
            <w:r w:rsidRPr="0080737A">
              <w:rPr>
                <w:rFonts w:ascii="Times New Roman" w:hAnsi="Times New Roman"/>
                <w:color w:val="000000"/>
                <w:sz w:val="20"/>
                <w:szCs w:val="20"/>
              </w:rPr>
              <w:t>, включая субъекты предпринимательства (оценка)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color w:val="000000"/>
                <w:sz w:val="20"/>
                <w:szCs w:val="20"/>
              </w:rPr>
            </w:pPr>
            <w:r w:rsidRPr="0080737A">
              <w:rPr>
                <w:rFonts w:ascii="Times New Roman" w:hAnsi="Times New Roman"/>
                <w:color w:val="000000"/>
                <w:sz w:val="20"/>
                <w:szCs w:val="20"/>
              </w:rPr>
              <w:t>тыс. чел.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121,3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118,4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98,0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114,7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96,9</w:t>
            </w:r>
          </w:p>
        </w:tc>
      </w:tr>
      <w:tr w:rsidR="006A29F1" w:rsidRPr="0080737A" w:rsidTr="006A29F1">
        <w:trPr>
          <w:gridAfter w:val="1"/>
          <w:wAfter w:w="609" w:type="dxa"/>
          <w:trHeight w:val="309"/>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Среднемесячная заработная плата, включая субъекты предпринимательства (оценка)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color w:val="000000"/>
                <w:sz w:val="20"/>
                <w:szCs w:val="20"/>
              </w:rPr>
            </w:pPr>
            <w:r w:rsidRPr="0080737A">
              <w:rPr>
                <w:rFonts w:ascii="Times New Roman" w:hAnsi="Times New Roman"/>
                <w:color w:val="000000"/>
                <w:sz w:val="20"/>
                <w:szCs w:val="20"/>
              </w:rPr>
              <w:t>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3 930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3 776</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96,5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3 744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98,8</w:t>
            </w:r>
          </w:p>
        </w:tc>
      </w:tr>
      <w:tr w:rsidR="006A29F1" w:rsidRPr="0080737A" w:rsidTr="006A29F1">
        <w:trPr>
          <w:gridAfter w:val="1"/>
          <w:wAfter w:w="609" w:type="dxa"/>
          <w:trHeight w:val="574"/>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vertAlign w:val="superscript"/>
              </w:rPr>
            </w:pPr>
            <w:r w:rsidRPr="0080737A">
              <w:rPr>
                <w:rFonts w:ascii="Times New Roman" w:hAnsi="Times New Roman"/>
                <w:color w:val="000000"/>
                <w:sz w:val="20"/>
                <w:szCs w:val="20"/>
              </w:rPr>
              <w:t>Среднемесячная заработная плата одного работника</w:t>
            </w:r>
            <w:r w:rsidRPr="0080737A">
              <w:rPr>
                <w:rFonts w:ascii="Times New Roman" w:hAnsi="Times New Roman"/>
                <w:color w:val="000000"/>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color w:val="000000"/>
                <w:sz w:val="20"/>
                <w:szCs w:val="20"/>
              </w:rPr>
            </w:pPr>
            <w:r w:rsidRPr="0080737A">
              <w:rPr>
                <w:rFonts w:ascii="Times New Roman" w:hAnsi="Times New Roman"/>
                <w:color w:val="000000"/>
                <w:sz w:val="20"/>
                <w:szCs w:val="20"/>
              </w:rPr>
              <w:t>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4 020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3 839</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95,6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3 791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98,7</w:t>
            </w:r>
          </w:p>
        </w:tc>
      </w:tr>
      <w:tr w:rsidR="006A29F1" w:rsidRPr="0080737A" w:rsidTr="006A29F1">
        <w:trPr>
          <w:gridAfter w:val="1"/>
          <w:wAfter w:w="609" w:type="dxa"/>
          <w:trHeight w:val="554"/>
        </w:trPr>
        <w:tc>
          <w:tcPr>
            <w:tcW w:w="4219" w:type="dxa"/>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Среднемесячная заработная плата одного работника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color w:val="000000"/>
                <w:sz w:val="20"/>
                <w:szCs w:val="20"/>
              </w:rPr>
            </w:pPr>
            <w:r w:rsidRPr="0080737A">
              <w:rPr>
                <w:rFonts w:ascii="Times New Roman" w:hAnsi="Times New Roman"/>
                <w:color w:val="000000"/>
                <w:sz w:val="20"/>
                <w:szCs w:val="20"/>
              </w:rPr>
              <w:t>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362,2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345,9</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95,6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338,0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97,7</w:t>
            </w:r>
          </w:p>
        </w:tc>
      </w:tr>
      <w:tr w:rsidR="006A29F1" w:rsidRPr="0080737A" w:rsidTr="006A29F1">
        <w:trPr>
          <w:gridAfter w:val="1"/>
          <w:wAfter w:w="609" w:type="dxa"/>
          <w:trHeight w:val="70"/>
        </w:trPr>
        <w:tc>
          <w:tcPr>
            <w:tcW w:w="4219" w:type="dxa"/>
            <w:tcBorders>
              <w:top w:val="single" w:sz="4" w:space="0" w:color="auto"/>
              <w:left w:val="single" w:sz="4" w:space="0" w:color="auto"/>
              <w:bottom w:val="single" w:sz="4" w:space="0" w:color="auto"/>
              <w:right w:val="single" w:sz="4" w:space="0" w:color="auto"/>
            </w:tcBorders>
            <w:vAlign w:val="bottom"/>
            <w:hideMark/>
          </w:tcPr>
          <w:p w:rsidR="006A29F1" w:rsidRPr="0080737A" w:rsidRDefault="006A29F1" w:rsidP="006A29F1">
            <w:pPr>
              <w:spacing w:after="0" w:line="240" w:lineRule="auto"/>
              <w:ind w:right="-108"/>
              <w:jc w:val="center"/>
              <w:rPr>
                <w:rFonts w:ascii="Times New Roman" w:hAnsi="Times New Roman"/>
                <w:b/>
                <w:bCs/>
                <w:color w:val="000000"/>
                <w:sz w:val="20"/>
                <w:szCs w:val="20"/>
              </w:rPr>
            </w:pPr>
            <w:r w:rsidRPr="0080737A">
              <w:rPr>
                <w:rFonts w:ascii="Times New Roman" w:hAnsi="Times New Roman"/>
                <w:b/>
                <w:bCs/>
                <w:color w:val="000000"/>
                <w:sz w:val="20"/>
                <w:szCs w:val="20"/>
              </w:rPr>
              <w:lastRenderedPageBreak/>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6</w:t>
            </w:r>
          </w:p>
        </w:tc>
        <w:tc>
          <w:tcPr>
            <w:tcW w:w="992" w:type="dxa"/>
            <w:gridSpan w:val="2"/>
            <w:tcBorders>
              <w:top w:val="single" w:sz="4" w:space="0" w:color="auto"/>
              <w:left w:val="single" w:sz="4" w:space="0" w:color="auto"/>
              <w:bottom w:val="single" w:sz="4" w:space="0" w:color="auto"/>
              <w:right w:val="single" w:sz="4" w:space="0" w:color="auto"/>
            </w:tcBorders>
          </w:tcPr>
          <w:p w:rsidR="006A29F1" w:rsidRPr="0080737A" w:rsidRDefault="006A29F1" w:rsidP="006A29F1">
            <w:pPr>
              <w:spacing w:after="0" w:line="240" w:lineRule="auto"/>
              <w:ind w:left="-142" w:firstLine="142"/>
              <w:jc w:val="center"/>
              <w:rPr>
                <w:rFonts w:ascii="Times New Roman" w:hAnsi="Times New Roman"/>
                <w:b/>
                <w:bCs/>
                <w:color w:val="000000"/>
                <w:sz w:val="20"/>
                <w:szCs w:val="20"/>
              </w:rPr>
            </w:pPr>
            <w:r w:rsidRPr="0080737A">
              <w:rPr>
                <w:rFonts w:ascii="Times New Roman" w:hAnsi="Times New Roman"/>
                <w:b/>
                <w:bCs/>
                <w:color w:val="000000"/>
                <w:sz w:val="20"/>
                <w:szCs w:val="20"/>
              </w:rPr>
              <w:t>7</w:t>
            </w:r>
          </w:p>
        </w:tc>
      </w:tr>
      <w:tr w:rsidR="006A29F1" w:rsidRPr="0080737A" w:rsidTr="006A29F1">
        <w:trPr>
          <w:gridAfter w:val="1"/>
          <w:wAfter w:w="609" w:type="dxa"/>
          <w:trHeight w:val="454"/>
        </w:trPr>
        <w:tc>
          <w:tcPr>
            <w:tcW w:w="4219" w:type="dxa"/>
            <w:tcBorders>
              <w:top w:val="single" w:sz="4" w:space="0" w:color="auto"/>
              <w:left w:val="single" w:sz="4" w:space="0" w:color="auto"/>
              <w:bottom w:val="single" w:sz="4" w:space="0" w:color="auto"/>
              <w:right w:val="single" w:sz="4" w:space="0" w:color="auto"/>
            </w:tcBorders>
            <w:vAlign w:val="bottom"/>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Сводный индекс потребительских цен (инфляция)</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color w:val="000000"/>
                <w:sz w:val="20"/>
                <w:szCs w:val="20"/>
              </w:rPr>
            </w:pPr>
            <w:r w:rsidRPr="0080737A">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vertAlign w:val="superscript"/>
              </w:rPr>
            </w:pPr>
            <w:r w:rsidRPr="0080737A">
              <w:rPr>
                <w:rFonts w:ascii="Times New Roman" w:hAnsi="Times New Roman"/>
                <w:sz w:val="20"/>
                <w:szCs w:val="20"/>
              </w:rPr>
              <w:t>101,96</w:t>
            </w:r>
            <w:r w:rsidRPr="0080737A">
              <w:rPr>
                <w:rFonts w:ascii="Times New Roman" w:hAnsi="Times New Roman"/>
                <w:color w:val="000000"/>
                <w:sz w:val="20"/>
                <w:szCs w:val="20"/>
                <w:vertAlign w:val="superscript"/>
              </w:rPr>
              <w:t>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vertAlign w:val="superscript"/>
              </w:rPr>
            </w:pPr>
            <w:r w:rsidRPr="0080737A">
              <w:rPr>
                <w:rFonts w:ascii="Times New Roman" w:hAnsi="Times New Roman"/>
                <w:sz w:val="20"/>
                <w:szCs w:val="20"/>
              </w:rPr>
              <w:t>100,22</w:t>
            </w:r>
            <w:r w:rsidRPr="0080737A">
              <w:rPr>
                <w:rFonts w:ascii="Times New Roman" w:hAnsi="Times New Roman"/>
                <w:color w:val="000000"/>
                <w:sz w:val="20"/>
                <w:szCs w:val="20"/>
                <w:vertAlign w:val="superscript"/>
              </w:rPr>
              <w:t>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99,73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vertAlign w:val="superscript"/>
              </w:rPr>
            </w:pPr>
            <w:r w:rsidRPr="0080737A">
              <w:rPr>
                <w:rFonts w:ascii="Times New Roman" w:hAnsi="Times New Roman"/>
                <w:color w:val="000000"/>
                <w:sz w:val="20"/>
                <w:szCs w:val="20"/>
              </w:rPr>
              <w:t>103,75</w:t>
            </w:r>
            <w:r w:rsidRPr="0080737A">
              <w:rPr>
                <w:rFonts w:ascii="Times New Roman" w:hAnsi="Times New Roman"/>
                <w:color w:val="000000"/>
                <w:sz w:val="20"/>
                <w:szCs w:val="20"/>
                <w:vertAlign w:val="superscript"/>
              </w:rPr>
              <w:t>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100,22</w:t>
            </w:r>
          </w:p>
        </w:tc>
      </w:tr>
      <w:tr w:rsidR="006A29F1" w:rsidRPr="0080737A" w:rsidTr="006A29F1">
        <w:trPr>
          <w:gridAfter w:val="1"/>
          <w:wAfter w:w="609" w:type="dxa"/>
          <w:trHeight w:val="525"/>
        </w:trPr>
        <w:tc>
          <w:tcPr>
            <w:tcW w:w="4219" w:type="dxa"/>
            <w:tcBorders>
              <w:top w:val="single" w:sz="4" w:space="0" w:color="auto"/>
              <w:left w:val="single" w:sz="4" w:space="0" w:color="auto"/>
              <w:bottom w:val="single" w:sz="4" w:space="0" w:color="auto"/>
              <w:right w:val="single" w:sz="4" w:space="0" w:color="auto"/>
            </w:tcBorders>
            <w:vAlign w:val="bottom"/>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Индекс цен производителей на промышленную продукцию</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center"/>
              <w:rPr>
                <w:rFonts w:ascii="Times New Roman" w:hAnsi="Times New Roman"/>
                <w:color w:val="000000"/>
                <w:sz w:val="20"/>
                <w:szCs w:val="20"/>
              </w:rPr>
            </w:pPr>
            <w:r w:rsidRPr="0080737A">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vertAlign w:val="superscript"/>
              </w:rPr>
            </w:pPr>
            <w:r w:rsidRPr="0080737A">
              <w:rPr>
                <w:rFonts w:ascii="Times New Roman" w:hAnsi="Times New Roman"/>
                <w:sz w:val="20"/>
                <w:szCs w:val="20"/>
              </w:rPr>
              <w:t>110,8</w:t>
            </w:r>
            <w:r w:rsidRPr="0080737A">
              <w:rPr>
                <w:rFonts w:ascii="Times New Roman" w:hAnsi="Times New Roman"/>
                <w:color w:val="000000"/>
                <w:sz w:val="20"/>
                <w:szCs w:val="20"/>
                <w:vertAlign w:val="superscript"/>
              </w:rPr>
              <w:t>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vertAlign w:val="superscript"/>
              </w:rPr>
            </w:pPr>
            <w:r w:rsidRPr="0080737A">
              <w:rPr>
                <w:rFonts w:ascii="Times New Roman" w:hAnsi="Times New Roman"/>
                <w:sz w:val="20"/>
                <w:szCs w:val="20"/>
              </w:rPr>
              <w:t>90,6</w:t>
            </w:r>
            <w:r w:rsidRPr="0080737A">
              <w:rPr>
                <w:rFonts w:ascii="Times New Roman" w:hAnsi="Times New Roman"/>
                <w:color w:val="000000"/>
                <w:sz w:val="20"/>
                <w:szCs w:val="20"/>
                <w:vertAlign w:val="superscript"/>
              </w:rPr>
              <w:t>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sz w:val="20"/>
                <w:szCs w:val="20"/>
              </w:rPr>
            </w:pPr>
            <w:r w:rsidRPr="0080737A">
              <w:rPr>
                <w:rFonts w:ascii="Times New Roman" w:hAnsi="Times New Roman"/>
                <w:sz w:val="20"/>
                <w:szCs w:val="20"/>
              </w:rPr>
              <w:t>95,0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vertAlign w:val="superscript"/>
              </w:rPr>
            </w:pPr>
            <w:r w:rsidRPr="0080737A">
              <w:rPr>
                <w:rFonts w:ascii="Times New Roman" w:hAnsi="Times New Roman"/>
                <w:color w:val="000000"/>
                <w:sz w:val="20"/>
                <w:szCs w:val="20"/>
              </w:rPr>
              <w:t>104,5</w:t>
            </w:r>
            <w:r w:rsidRPr="0080737A">
              <w:rPr>
                <w:rFonts w:ascii="Times New Roman" w:hAnsi="Times New Roman"/>
                <w:color w:val="000000"/>
                <w:sz w:val="20"/>
                <w:szCs w:val="20"/>
                <w:vertAlign w:val="superscript"/>
              </w:rPr>
              <w:t>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84,6</w:t>
            </w:r>
          </w:p>
        </w:tc>
      </w:tr>
      <w:tr w:rsidR="006A29F1" w:rsidRPr="0080737A" w:rsidTr="006A29F1">
        <w:trPr>
          <w:gridAfter w:val="1"/>
          <w:wAfter w:w="609"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Доходы Консолидированного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lang w:val="en-US"/>
              </w:rPr>
            </w:pPr>
            <w:r w:rsidRPr="0080737A">
              <w:rPr>
                <w:rFonts w:ascii="Times New Roman" w:hAnsi="Times New Roman"/>
                <w:color w:val="1F497D"/>
                <w:sz w:val="20"/>
                <w:szCs w:val="20"/>
              </w:rPr>
              <w:t xml:space="preserve">1 </w:t>
            </w:r>
            <w:r w:rsidRPr="0080737A">
              <w:rPr>
                <w:rFonts w:ascii="Times New Roman" w:hAnsi="Times New Roman"/>
                <w:color w:val="1F497D"/>
                <w:sz w:val="20"/>
                <w:szCs w:val="20"/>
                <w:lang w:val="en-US"/>
              </w:rPr>
              <w:t>594</w:t>
            </w:r>
            <w:r w:rsidRPr="0080737A">
              <w:rPr>
                <w:rFonts w:ascii="Times New Roman" w:hAnsi="Times New Roman"/>
                <w:color w:val="1F497D"/>
                <w:sz w:val="20"/>
                <w:szCs w:val="20"/>
              </w:rPr>
              <w:t>,</w:t>
            </w:r>
            <w:r w:rsidRPr="0080737A">
              <w:rPr>
                <w:rFonts w:ascii="Times New Roman" w:hAnsi="Times New Roman"/>
                <w:color w:val="1F497D"/>
                <w:sz w:val="20"/>
                <w:szCs w:val="20"/>
                <w:lang w:val="en-US"/>
              </w:rPr>
              <w:t>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1 070,6</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67,1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1 144,4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106,9</w:t>
            </w:r>
          </w:p>
        </w:tc>
      </w:tr>
      <w:tr w:rsidR="006A29F1" w:rsidRPr="0080737A" w:rsidTr="006A29F1">
        <w:trPr>
          <w:gridAfter w:val="1"/>
          <w:wAfter w:w="609"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lang w:val="en-US"/>
              </w:rPr>
            </w:pPr>
            <w:r w:rsidRPr="0080737A">
              <w:rPr>
                <w:rFonts w:ascii="Times New Roman" w:hAnsi="Times New Roman"/>
                <w:color w:val="1F497D"/>
                <w:sz w:val="20"/>
                <w:szCs w:val="20"/>
              </w:rPr>
              <w:t>1</w:t>
            </w:r>
            <w:r w:rsidRPr="0080737A">
              <w:rPr>
                <w:rFonts w:ascii="Times New Roman" w:hAnsi="Times New Roman"/>
                <w:color w:val="1F497D"/>
                <w:sz w:val="20"/>
                <w:szCs w:val="20"/>
                <w:lang w:val="en-US"/>
              </w:rPr>
              <w:t>4</w:t>
            </w:r>
            <w:r w:rsidRPr="0080737A">
              <w:rPr>
                <w:rFonts w:ascii="Times New Roman" w:hAnsi="Times New Roman"/>
                <w:color w:val="1F497D"/>
                <w:sz w:val="20"/>
                <w:szCs w:val="20"/>
              </w:rPr>
              <w:t>3,</w:t>
            </w:r>
            <w:r w:rsidRPr="0080737A">
              <w:rPr>
                <w:rFonts w:ascii="Times New Roman" w:hAnsi="Times New Roman"/>
                <w:color w:val="1F497D"/>
                <w:sz w:val="20"/>
                <w:szCs w:val="20"/>
                <w:lang w:val="en-US"/>
              </w:rPr>
              <w:t>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96,4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67,1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103,1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106,9</w:t>
            </w:r>
          </w:p>
        </w:tc>
      </w:tr>
      <w:tr w:rsidR="006A29F1" w:rsidRPr="0080737A" w:rsidTr="006A29F1">
        <w:trPr>
          <w:gridAfter w:val="1"/>
          <w:wAfter w:w="609"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Доходы Республиканского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1 142,9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681,5</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59,6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767,7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112,6</w:t>
            </w:r>
          </w:p>
        </w:tc>
      </w:tr>
      <w:tr w:rsidR="006A29F1" w:rsidRPr="0080737A" w:rsidTr="006A29F1">
        <w:trPr>
          <w:gridAfter w:val="1"/>
          <w:wAfter w:w="609"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lang w:val="en-US"/>
              </w:rPr>
            </w:pPr>
            <w:r w:rsidRPr="0080737A">
              <w:rPr>
                <w:rFonts w:ascii="Times New Roman" w:hAnsi="Times New Roman"/>
                <w:color w:val="1F497D"/>
                <w:sz w:val="20"/>
                <w:szCs w:val="20"/>
              </w:rPr>
              <w:t>10</w:t>
            </w:r>
            <w:r w:rsidRPr="0080737A">
              <w:rPr>
                <w:rFonts w:ascii="Times New Roman" w:hAnsi="Times New Roman"/>
                <w:color w:val="1F497D"/>
                <w:sz w:val="20"/>
                <w:szCs w:val="20"/>
                <w:lang w:val="en-US"/>
              </w:rPr>
              <w:t>2</w:t>
            </w:r>
            <w:r w:rsidRPr="0080737A">
              <w:rPr>
                <w:rFonts w:ascii="Times New Roman" w:hAnsi="Times New Roman"/>
                <w:color w:val="1F497D"/>
                <w:sz w:val="20"/>
                <w:szCs w:val="20"/>
              </w:rPr>
              <w:t>,</w:t>
            </w:r>
            <w:r w:rsidRPr="0080737A">
              <w:rPr>
                <w:rFonts w:ascii="Times New Roman" w:hAnsi="Times New Roman"/>
                <w:color w:val="1F497D"/>
                <w:sz w:val="20"/>
                <w:szCs w:val="20"/>
                <w:lang w:val="en-US"/>
              </w:rPr>
              <w:t>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61,4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59,6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69,2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112,6</w:t>
            </w:r>
          </w:p>
        </w:tc>
      </w:tr>
      <w:tr w:rsidR="006A29F1" w:rsidRPr="0080737A" w:rsidTr="006A29F1">
        <w:trPr>
          <w:gridAfter w:val="1"/>
          <w:wAfter w:w="609"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Доходы местных бюджетов</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lang w:val="en-US"/>
              </w:rPr>
              <w:t>451</w:t>
            </w:r>
            <w:r w:rsidRPr="0080737A">
              <w:rPr>
                <w:rFonts w:ascii="Times New Roman" w:hAnsi="Times New Roman"/>
                <w:color w:val="1F497D"/>
                <w:sz w:val="20"/>
                <w:szCs w:val="20"/>
              </w:rPr>
              <w:t>,6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389,1</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86,2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376,7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96,8</w:t>
            </w:r>
          </w:p>
        </w:tc>
      </w:tr>
      <w:tr w:rsidR="006A29F1" w:rsidRPr="0080737A" w:rsidTr="006A29F1">
        <w:trPr>
          <w:gridAfter w:val="1"/>
          <w:wAfter w:w="609"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lang w:val="en-US"/>
              </w:rPr>
            </w:pPr>
            <w:r w:rsidRPr="0080737A">
              <w:rPr>
                <w:rFonts w:ascii="Times New Roman" w:hAnsi="Times New Roman"/>
                <w:color w:val="1F497D"/>
                <w:sz w:val="20"/>
                <w:szCs w:val="20"/>
                <w:lang w:val="en-US"/>
              </w:rPr>
              <w:t>40,7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35,0</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86,2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33,9</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96,8</w:t>
            </w:r>
          </w:p>
        </w:tc>
      </w:tr>
      <w:tr w:rsidR="006A29F1" w:rsidRPr="0080737A" w:rsidTr="006A29F1">
        <w:trPr>
          <w:gridAfter w:val="1"/>
          <w:wAfter w:w="609"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Расходы Консолидированного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lang w:val="en-US"/>
              </w:rPr>
            </w:pPr>
            <w:r w:rsidRPr="0080737A">
              <w:rPr>
                <w:rFonts w:ascii="Times New Roman" w:hAnsi="Times New Roman"/>
                <w:color w:val="1F497D"/>
                <w:sz w:val="20"/>
                <w:szCs w:val="20"/>
                <w:lang w:val="en-US"/>
              </w:rPr>
              <w:t>2021</w:t>
            </w:r>
            <w:r w:rsidRPr="0080737A">
              <w:rPr>
                <w:rFonts w:ascii="Times New Roman" w:hAnsi="Times New Roman"/>
                <w:color w:val="1F497D"/>
                <w:sz w:val="20"/>
                <w:szCs w:val="20"/>
              </w:rPr>
              <w:t>,</w:t>
            </w:r>
            <w:r w:rsidRPr="0080737A">
              <w:rPr>
                <w:rFonts w:ascii="Times New Roman" w:hAnsi="Times New Roman"/>
                <w:color w:val="1F497D"/>
                <w:sz w:val="20"/>
                <w:szCs w:val="20"/>
                <w:lang w:val="en-US"/>
              </w:rPr>
              <w:t>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1 472,6</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72,9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2 015,2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136,8</w:t>
            </w:r>
          </w:p>
        </w:tc>
      </w:tr>
      <w:tr w:rsidR="006A29F1" w:rsidRPr="0080737A" w:rsidTr="006A29F1">
        <w:trPr>
          <w:gridAfter w:val="1"/>
          <w:wAfter w:w="609"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lang w:val="en-US"/>
              </w:rPr>
            </w:pPr>
            <w:r w:rsidRPr="0080737A">
              <w:rPr>
                <w:rFonts w:ascii="Times New Roman" w:hAnsi="Times New Roman"/>
                <w:color w:val="1F497D"/>
                <w:sz w:val="20"/>
                <w:szCs w:val="20"/>
                <w:lang w:val="en-US"/>
              </w:rPr>
              <w:t>182</w:t>
            </w:r>
            <w:r w:rsidRPr="0080737A">
              <w:rPr>
                <w:rFonts w:ascii="Times New Roman" w:hAnsi="Times New Roman"/>
                <w:color w:val="1F497D"/>
                <w:sz w:val="20"/>
                <w:szCs w:val="20"/>
              </w:rPr>
              <w:t>,</w:t>
            </w:r>
            <w:r w:rsidRPr="0080737A">
              <w:rPr>
                <w:rFonts w:ascii="Times New Roman" w:hAnsi="Times New Roman"/>
                <w:color w:val="1F497D"/>
                <w:sz w:val="20"/>
                <w:szCs w:val="20"/>
                <w:lang w:val="en-US"/>
              </w:rPr>
              <w:t>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132,7</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72,9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181,5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136,8</w:t>
            </w:r>
          </w:p>
        </w:tc>
      </w:tr>
      <w:tr w:rsidR="006A29F1" w:rsidRPr="0080737A" w:rsidTr="006A29F1">
        <w:trPr>
          <w:gridAfter w:val="1"/>
          <w:wAfter w:w="609"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Расходы Республиканского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lang w:val="en-US"/>
              </w:rPr>
            </w:pPr>
            <w:r w:rsidRPr="0080737A">
              <w:rPr>
                <w:rFonts w:ascii="Times New Roman" w:hAnsi="Times New Roman"/>
                <w:color w:val="1F497D"/>
                <w:sz w:val="20"/>
                <w:szCs w:val="20"/>
                <w:lang w:val="en-US"/>
              </w:rPr>
              <w:t>1458</w:t>
            </w:r>
            <w:r w:rsidRPr="0080737A">
              <w:rPr>
                <w:rFonts w:ascii="Times New Roman" w:hAnsi="Times New Roman"/>
                <w:color w:val="1F497D"/>
                <w:sz w:val="20"/>
                <w:szCs w:val="20"/>
              </w:rPr>
              <w:t>,</w:t>
            </w:r>
            <w:r w:rsidRPr="0080737A">
              <w:rPr>
                <w:rFonts w:ascii="Times New Roman" w:hAnsi="Times New Roman"/>
                <w:color w:val="1F497D"/>
                <w:sz w:val="20"/>
                <w:szCs w:val="20"/>
                <w:lang w:val="en-US"/>
              </w:rPr>
              <w:t>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1 008,4</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69,2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1 427,6</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141,6</w:t>
            </w:r>
          </w:p>
        </w:tc>
      </w:tr>
      <w:tr w:rsidR="006A29F1" w:rsidRPr="0080737A" w:rsidTr="006A29F1">
        <w:trPr>
          <w:gridAfter w:val="1"/>
          <w:wAfter w:w="609"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lang w:val="en-US"/>
              </w:rPr>
              <w:t>131,</w:t>
            </w:r>
            <w:r w:rsidRPr="0080737A">
              <w:rPr>
                <w:rFonts w:ascii="Times New Roman" w:hAnsi="Times New Roman"/>
                <w:color w:val="1F497D"/>
                <w:sz w:val="20"/>
                <w:szCs w:val="20"/>
              </w:rPr>
              <w:t>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90,8</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69,2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128,6</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141,6</w:t>
            </w:r>
          </w:p>
        </w:tc>
      </w:tr>
      <w:tr w:rsidR="006A29F1" w:rsidRPr="0080737A" w:rsidTr="006A29F1">
        <w:trPr>
          <w:gridAfter w:val="1"/>
          <w:wAfter w:w="609"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ind w:right="-108"/>
              <w:rPr>
                <w:rFonts w:ascii="Times New Roman" w:hAnsi="Times New Roman"/>
                <w:color w:val="000000"/>
                <w:sz w:val="20"/>
                <w:szCs w:val="20"/>
              </w:rPr>
            </w:pPr>
            <w:r w:rsidRPr="0080737A">
              <w:rPr>
                <w:rFonts w:ascii="Times New Roman" w:hAnsi="Times New Roman"/>
                <w:color w:val="000000"/>
                <w:sz w:val="20"/>
                <w:szCs w:val="20"/>
              </w:rPr>
              <w:t>Расходы местных бюджетов</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563,1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464,2</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82,4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587,6</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126,6</w:t>
            </w:r>
          </w:p>
        </w:tc>
      </w:tr>
      <w:tr w:rsidR="006A29F1" w:rsidRPr="0080737A" w:rsidTr="006A29F1">
        <w:trPr>
          <w:gridAfter w:val="1"/>
          <w:wAfter w:w="609"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6A29F1" w:rsidRPr="0080737A" w:rsidRDefault="006A29F1" w:rsidP="006A29F1">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right="-108" w:firstLine="34"/>
              <w:jc w:val="center"/>
              <w:rPr>
                <w:rFonts w:ascii="Times New Roman" w:hAnsi="Times New Roman"/>
                <w:color w:val="000000"/>
                <w:sz w:val="20"/>
                <w:szCs w:val="20"/>
              </w:rPr>
            </w:pPr>
            <w:r w:rsidRPr="0080737A">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50,7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1F497D"/>
                <w:sz w:val="20"/>
                <w:szCs w:val="20"/>
              </w:rPr>
            </w:pPr>
            <w:r w:rsidRPr="0080737A">
              <w:rPr>
                <w:rFonts w:ascii="Times New Roman" w:hAnsi="Times New Roman"/>
                <w:color w:val="1F497D"/>
                <w:sz w:val="20"/>
                <w:szCs w:val="20"/>
              </w:rPr>
              <w:t>41,8</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jc w:val="right"/>
              <w:rPr>
                <w:rFonts w:ascii="Times New Roman" w:hAnsi="Times New Roman"/>
                <w:color w:val="000000"/>
                <w:sz w:val="20"/>
                <w:szCs w:val="20"/>
              </w:rPr>
            </w:pPr>
            <w:r w:rsidRPr="0080737A">
              <w:rPr>
                <w:rFonts w:ascii="Times New Roman" w:hAnsi="Times New Roman"/>
                <w:color w:val="000000"/>
                <w:sz w:val="20"/>
                <w:szCs w:val="20"/>
              </w:rPr>
              <w:t>82,4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52,9</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A29F1" w:rsidRPr="0080737A" w:rsidRDefault="006A29F1" w:rsidP="006A29F1">
            <w:pPr>
              <w:spacing w:after="0" w:line="240" w:lineRule="auto"/>
              <w:ind w:left="-142" w:firstLine="142"/>
              <w:jc w:val="right"/>
              <w:rPr>
                <w:rFonts w:ascii="Times New Roman" w:hAnsi="Times New Roman"/>
                <w:color w:val="000000"/>
                <w:sz w:val="20"/>
                <w:szCs w:val="20"/>
              </w:rPr>
            </w:pPr>
            <w:r w:rsidRPr="0080737A">
              <w:rPr>
                <w:rFonts w:ascii="Times New Roman" w:hAnsi="Times New Roman"/>
                <w:color w:val="000000"/>
                <w:sz w:val="20"/>
                <w:szCs w:val="20"/>
              </w:rPr>
              <w:t>126,6</w:t>
            </w:r>
          </w:p>
        </w:tc>
      </w:tr>
      <w:tr w:rsidR="006A29F1" w:rsidRPr="0080737A" w:rsidTr="006A29F1">
        <w:trPr>
          <w:trHeight w:val="300"/>
        </w:trPr>
        <w:tc>
          <w:tcPr>
            <w:tcW w:w="5211" w:type="dxa"/>
            <w:gridSpan w:val="2"/>
            <w:tcBorders>
              <w:top w:val="single" w:sz="4" w:space="0" w:color="auto"/>
              <w:left w:val="nil"/>
              <w:bottom w:val="nil"/>
              <w:right w:val="nil"/>
            </w:tcBorders>
            <w:noWrap/>
            <w:vAlign w:val="bottom"/>
            <w:hideMark/>
          </w:tcPr>
          <w:p w:rsidR="006A29F1" w:rsidRPr="0080737A" w:rsidRDefault="006A29F1" w:rsidP="006A29F1">
            <w:pPr>
              <w:spacing w:after="0" w:line="240" w:lineRule="auto"/>
              <w:ind w:left="-142" w:firstLine="142"/>
              <w:rPr>
                <w:rFonts w:ascii="Times New Roman" w:hAnsi="Times New Roman"/>
                <w:color w:val="000000"/>
                <w:sz w:val="20"/>
                <w:szCs w:val="20"/>
              </w:rPr>
            </w:pPr>
            <w:r w:rsidRPr="0080737A">
              <w:rPr>
                <w:rFonts w:ascii="Times New Roman" w:hAnsi="Times New Roman"/>
                <w:color w:val="000000"/>
                <w:sz w:val="20"/>
                <w:szCs w:val="20"/>
              </w:rPr>
              <w:t>* - темпы пересчитаны к уточненным данным;</w:t>
            </w:r>
          </w:p>
        </w:tc>
        <w:tc>
          <w:tcPr>
            <w:tcW w:w="1134" w:type="dxa"/>
            <w:tcBorders>
              <w:top w:val="single" w:sz="4" w:space="0" w:color="auto"/>
              <w:left w:val="nil"/>
              <w:bottom w:val="nil"/>
              <w:right w:val="nil"/>
            </w:tcBorders>
            <w:vAlign w:val="bottom"/>
          </w:tcPr>
          <w:p w:rsidR="006A29F1" w:rsidRPr="0080737A" w:rsidRDefault="006A29F1" w:rsidP="006A29F1">
            <w:pPr>
              <w:spacing w:after="0" w:line="240" w:lineRule="auto"/>
              <w:ind w:left="-142" w:firstLine="142"/>
              <w:rPr>
                <w:color w:val="000000"/>
              </w:rPr>
            </w:pPr>
          </w:p>
        </w:tc>
        <w:tc>
          <w:tcPr>
            <w:tcW w:w="709" w:type="dxa"/>
            <w:tcBorders>
              <w:top w:val="single" w:sz="4" w:space="0" w:color="auto"/>
              <w:left w:val="nil"/>
              <w:bottom w:val="nil"/>
              <w:right w:val="nil"/>
            </w:tcBorders>
            <w:noWrap/>
            <w:vAlign w:val="bottom"/>
          </w:tcPr>
          <w:p w:rsidR="006A29F1" w:rsidRPr="0080737A" w:rsidRDefault="006A29F1" w:rsidP="006A29F1">
            <w:pPr>
              <w:spacing w:after="0" w:line="240" w:lineRule="auto"/>
              <w:ind w:left="-142" w:firstLine="142"/>
              <w:rPr>
                <w:color w:val="000000"/>
              </w:rPr>
            </w:pPr>
          </w:p>
        </w:tc>
        <w:tc>
          <w:tcPr>
            <w:tcW w:w="969" w:type="dxa"/>
            <w:gridSpan w:val="2"/>
            <w:tcBorders>
              <w:top w:val="single" w:sz="4" w:space="0" w:color="auto"/>
              <w:left w:val="nil"/>
              <w:bottom w:val="nil"/>
              <w:right w:val="nil"/>
            </w:tcBorders>
            <w:noWrap/>
            <w:vAlign w:val="bottom"/>
          </w:tcPr>
          <w:p w:rsidR="006A29F1" w:rsidRPr="0080737A" w:rsidRDefault="006A29F1" w:rsidP="006A29F1">
            <w:pPr>
              <w:spacing w:after="0" w:line="240" w:lineRule="auto"/>
              <w:ind w:left="-142" w:firstLine="142"/>
              <w:rPr>
                <w:color w:val="000000"/>
              </w:rPr>
            </w:pPr>
          </w:p>
        </w:tc>
        <w:tc>
          <w:tcPr>
            <w:tcW w:w="1016" w:type="dxa"/>
            <w:gridSpan w:val="2"/>
            <w:tcBorders>
              <w:top w:val="single" w:sz="4" w:space="0" w:color="auto"/>
              <w:left w:val="nil"/>
              <w:bottom w:val="nil"/>
              <w:right w:val="nil"/>
            </w:tcBorders>
            <w:noWrap/>
            <w:vAlign w:val="bottom"/>
          </w:tcPr>
          <w:p w:rsidR="006A29F1" w:rsidRPr="0080737A" w:rsidRDefault="006A29F1" w:rsidP="006A29F1">
            <w:pPr>
              <w:spacing w:after="0" w:line="240" w:lineRule="auto"/>
              <w:ind w:left="-142" w:firstLine="142"/>
              <w:rPr>
                <w:color w:val="000000"/>
              </w:rPr>
            </w:pPr>
          </w:p>
        </w:tc>
        <w:tc>
          <w:tcPr>
            <w:tcW w:w="1082" w:type="dxa"/>
            <w:gridSpan w:val="2"/>
            <w:tcBorders>
              <w:top w:val="single" w:sz="4" w:space="0" w:color="auto"/>
              <w:left w:val="nil"/>
              <w:bottom w:val="nil"/>
              <w:right w:val="nil"/>
            </w:tcBorders>
          </w:tcPr>
          <w:p w:rsidR="006A29F1" w:rsidRPr="0080737A" w:rsidRDefault="006A29F1" w:rsidP="006A29F1">
            <w:pPr>
              <w:spacing w:after="0" w:line="240" w:lineRule="auto"/>
              <w:ind w:left="-142" w:firstLine="142"/>
              <w:rPr>
                <w:color w:val="000000"/>
              </w:rPr>
            </w:pPr>
          </w:p>
        </w:tc>
        <w:tc>
          <w:tcPr>
            <w:tcW w:w="1086" w:type="dxa"/>
            <w:gridSpan w:val="2"/>
            <w:tcBorders>
              <w:top w:val="single" w:sz="4" w:space="0" w:color="auto"/>
              <w:left w:val="nil"/>
              <w:bottom w:val="nil"/>
              <w:right w:val="nil"/>
            </w:tcBorders>
            <w:noWrap/>
            <w:vAlign w:val="bottom"/>
          </w:tcPr>
          <w:p w:rsidR="006A29F1" w:rsidRPr="0080737A" w:rsidRDefault="006A29F1" w:rsidP="006A29F1">
            <w:pPr>
              <w:spacing w:after="0" w:line="240" w:lineRule="auto"/>
              <w:ind w:left="-142" w:firstLine="142"/>
              <w:rPr>
                <w:color w:val="000000"/>
              </w:rPr>
            </w:pPr>
          </w:p>
        </w:tc>
      </w:tr>
      <w:tr w:rsidR="006A29F1" w:rsidRPr="0080737A" w:rsidTr="006A29F1">
        <w:trPr>
          <w:trHeight w:val="300"/>
        </w:trPr>
        <w:tc>
          <w:tcPr>
            <w:tcW w:w="6345" w:type="dxa"/>
            <w:gridSpan w:val="3"/>
            <w:noWrap/>
            <w:vAlign w:val="bottom"/>
            <w:hideMark/>
          </w:tcPr>
          <w:p w:rsidR="006A29F1" w:rsidRPr="0080737A" w:rsidRDefault="006A29F1" w:rsidP="006A29F1">
            <w:pPr>
              <w:spacing w:after="0" w:line="240" w:lineRule="auto"/>
              <w:ind w:left="-142" w:firstLine="142"/>
              <w:rPr>
                <w:rFonts w:ascii="Times New Roman" w:hAnsi="Times New Roman"/>
                <w:color w:val="000000"/>
                <w:sz w:val="20"/>
                <w:szCs w:val="20"/>
              </w:rPr>
            </w:pPr>
            <w:r w:rsidRPr="0080737A">
              <w:rPr>
                <w:rFonts w:ascii="Times New Roman" w:hAnsi="Times New Roman"/>
                <w:color w:val="000000"/>
                <w:sz w:val="20"/>
                <w:szCs w:val="20"/>
                <w:vertAlign w:val="superscript"/>
              </w:rPr>
              <w:t>1</w:t>
            </w:r>
            <w:r w:rsidRPr="0080737A">
              <w:rPr>
                <w:rFonts w:ascii="Times New Roman" w:hAnsi="Times New Roman"/>
                <w:color w:val="000000"/>
                <w:sz w:val="20"/>
                <w:szCs w:val="20"/>
              </w:rPr>
              <w:t xml:space="preserve"> - с учетом объемов субъектов малого предпринимательства;</w:t>
            </w:r>
          </w:p>
          <w:p w:rsidR="006A29F1" w:rsidRPr="0080737A" w:rsidRDefault="006A29F1" w:rsidP="006A29F1">
            <w:pPr>
              <w:spacing w:after="0" w:line="240" w:lineRule="auto"/>
              <w:ind w:left="-142" w:firstLine="142"/>
              <w:rPr>
                <w:rFonts w:ascii="Times New Roman" w:hAnsi="Times New Roman"/>
                <w:color w:val="000000"/>
                <w:sz w:val="20"/>
                <w:szCs w:val="20"/>
              </w:rPr>
            </w:pPr>
            <w:r w:rsidRPr="0080737A">
              <w:rPr>
                <w:rFonts w:ascii="Times New Roman" w:hAnsi="Times New Roman"/>
                <w:color w:val="000000"/>
                <w:sz w:val="20"/>
                <w:szCs w:val="20"/>
                <w:vertAlign w:val="superscript"/>
              </w:rPr>
              <w:t>2</w:t>
            </w:r>
            <w:r w:rsidRPr="0080737A">
              <w:rPr>
                <w:rFonts w:ascii="Times New Roman" w:hAnsi="Times New Roman"/>
                <w:color w:val="000000"/>
                <w:sz w:val="20"/>
                <w:szCs w:val="20"/>
              </w:rPr>
              <w:t xml:space="preserve"> - во всех категориях хозяйств;</w:t>
            </w:r>
          </w:p>
          <w:p w:rsidR="006A29F1" w:rsidRPr="0080737A" w:rsidRDefault="006A29F1" w:rsidP="006A29F1">
            <w:pPr>
              <w:spacing w:after="0" w:line="240" w:lineRule="auto"/>
              <w:ind w:left="-142" w:firstLine="142"/>
              <w:rPr>
                <w:rFonts w:ascii="Times New Roman" w:hAnsi="Times New Roman"/>
                <w:color w:val="000000"/>
                <w:sz w:val="20"/>
                <w:szCs w:val="20"/>
              </w:rPr>
            </w:pPr>
            <w:r w:rsidRPr="0080737A">
              <w:rPr>
                <w:rFonts w:ascii="Times New Roman" w:hAnsi="Times New Roman"/>
                <w:color w:val="000000"/>
                <w:sz w:val="20"/>
                <w:szCs w:val="20"/>
                <w:vertAlign w:val="superscript"/>
              </w:rPr>
              <w:t xml:space="preserve">3 – </w:t>
            </w:r>
            <w:r w:rsidRPr="0080737A">
              <w:rPr>
                <w:rFonts w:ascii="Times New Roman" w:hAnsi="Times New Roman"/>
                <w:color w:val="000000"/>
                <w:sz w:val="20"/>
                <w:szCs w:val="20"/>
              </w:rPr>
              <w:t xml:space="preserve">без силовых структур и таможенных органов; </w:t>
            </w:r>
          </w:p>
        </w:tc>
        <w:tc>
          <w:tcPr>
            <w:tcW w:w="709" w:type="dxa"/>
            <w:noWrap/>
            <w:vAlign w:val="bottom"/>
          </w:tcPr>
          <w:p w:rsidR="006A29F1" w:rsidRPr="0080737A" w:rsidRDefault="006A29F1" w:rsidP="006A29F1">
            <w:pPr>
              <w:spacing w:after="0" w:line="240" w:lineRule="auto"/>
              <w:ind w:left="-142" w:firstLine="142"/>
              <w:rPr>
                <w:color w:val="000000"/>
              </w:rPr>
            </w:pPr>
          </w:p>
        </w:tc>
        <w:tc>
          <w:tcPr>
            <w:tcW w:w="969" w:type="dxa"/>
            <w:gridSpan w:val="2"/>
            <w:noWrap/>
            <w:vAlign w:val="bottom"/>
          </w:tcPr>
          <w:p w:rsidR="006A29F1" w:rsidRPr="0080737A" w:rsidRDefault="006A29F1" w:rsidP="006A29F1">
            <w:pPr>
              <w:spacing w:after="0" w:line="240" w:lineRule="auto"/>
              <w:ind w:left="-142" w:firstLine="142"/>
              <w:rPr>
                <w:color w:val="000000"/>
              </w:rPr>
            </w:pPr>
          </w:p>
        </w:tc>
        <w:tc>
          <w:tcPr>
            <w:tcW w:w="1016" w:type="dxa"/>
            <w:gridSpan w:val="2"/>
            <w:noWrap/>
            <w:vAlign w:val="bottom"/>
          </w:tcPr>
          <w:p w:rsidR="006A29F1" w:rsidRPr="0080737A" w:rsidRDefault="006A29F1" w:rsidP="006A29F1">
            <w:pPr>
              <w:spacing w:after="0" w:line="240" w:lineRule="auto"/>
              <w:ind w:left="-142" w:firstLine="142"/>
              <w:rPr>
                <w:color w:val="000000"/>
              </w:rPr>
            </w:pPr>
          </w:p>
        </w:tc>
        <w:tc>
          <w:tcPr>
            <w:tcW w:w="1082" w:type="dxa"/>
            <w:gridSpan w:val="2"/>
          </w:tcPr>
          <w:p w:rsidR="006A29F1" w:rsidRPr="0080737A" w:rsidRDefault="006A29F1" w:rsidP="006A29F1">
            <w:pPr>
              <w:spacing w:after="0" w:line="240" w:lineRule="auto"/>
              <w:ind w:left="-142" w:firstLine="142"/>
              <w:rPr>
                <w:color w:val="000000"/>
              </w:rPr>
            </w:pPr>
          </w:p>
        </w:tc>
        <w:tc>
          <w:tcPr>
            <w:tcW w:w="1086" w:type="dxa"/>
            <w:gridSpan w:val="2"/>
            <w:noWrap/>
            <w:vAlign w:val="bottom"/>
          </w:tcPr>
          <w:p w:rsidR="006A29F1" w:rsidRPr="0080737A" w:rsidRDefault="006A29F1" w:rsidP="006A29F1">
            <w:pPr>
              <w:spacing w:after="0" w:line="240" w:lineRule="auto"/>
              <w:ind w:left="-142" w:firstLine="142"/>
              <w:rPr>
                <w:color w:val="000000"/>
              </w:rPr>
            </w:pPr>
          </w:p>
        </w:tc>
      </w:tr>
      <w:tr w:rsidR="006A29F1" w:rsidRPr="0080737A" w:rsidTr="006A29F1">
        <w:trPr>
          <w:trHeight w:val="300"/>
        </w:trPr>
        <w:tc>
          <w:tcPr>
            <w:tcW w:w="4219" w:type="dxa"/>
            <w:noWrap/>
            <w:vAlign w:val="bottom"/>
            <w:hideMark/>
          </w:tcPr>
          <w:p w:rsidR="006A29F1" w:rsidRPr="0080737A" w:rsidRDefault="006A29F1" w:rsidP="006A29F1">
            <w:pPr>
              <w:spacing w:after="0" w:line="240" w:lineRule="auto"/>
              <w:ind w:left="-142" w:firstLine="142"/>
              <w:rPr>
                <w:rFonts w:ascii="Times New Roman" w:hAnsi="Times New Roman"/>
                <w:color w:val="000000"/>
                <w:sz w:val="20"/>
                <w:szCs w:val="20"/>
              </w:rPr>
            </w:pPr>
            <w:r w:rsidRPr="0080737A">
              <w:rPr>
                <w:rFonts w:ascii="Times New Roman" w:hAnsi="Times New Roman"/>
                <w:color w:val="000000"/>
                <w:sz w:val="20"/>
                <w:szCs w:val="20"/>
                <w:vertAlign w:val="superscript"/>
              </w:rPr>
              <w:t>4</w:t>
            </w:r>
            <w:r w:rsidRPr="0080737A">
              <w:rPr>
                <w:rFonts w:ascii="Times New Roman" w:hAnsi="Times New Roman"/>
                <w:color w:val="000000"/>
                <w:sz w:val="20"/>
                <w:szCs w:val="20"/>
              </w:rPr>
              <w:t xml:space="preserve"> - к декабрю предыдущего года</w:t>
            </w:r>
          </w:p>
        </w:tc>
        <w:tc>
          <w:tcPr>
            <w:tcW w:w="2126" w:type="dxa"/>
            <w:gridSpan w:val="2"/>
            <w:vAlign w:val="bottom"/>
          </w:tcPr>
          <w:p w:rsidR="006A29F1" w:rsidRPr="0080737A" w:rsidRDefault="006A29F1" w:rsidP="006A29F1">
            <w:pPr>
              <w:spacing w:after="0" w:line="240" w:lineRule="auto"/>
              <w:ind w:left="-142" w:firstLine="142"/>
              <w:rPr>
                <w:color w:val="000000"/>
              </w:rPr>
            </w:pPr>
          </w:p>
        </w:tc>
        <w:tc>
          <w:tcPr>
            <w:tcW w:w="709" w:type="dxa"/>
            <w:noWrap/>
            <w:vAlign w:val="bottom"/>
          </w:tcPr>
          <w:p w:rsidR="006A29F1" w:rsidRPr="0080737A" w:rsidRDefault="006A29F1" w:rsidP="006A29F1">
            <w:pPr>
              <w:spacing w:after="0" w:line="240" w:lineRule="auto"/>
              <w:ind w:left="-142" w:firstLine="142"/>
              <w:rPr>
                <w:color w:val="000000"/>
              </w:rPr>
            </w:pPr>
          </w:p>
        </w:tc>
        <w:tc>
          <w:tcPr>
            <w:tcW w:w="969" w:type="dxa"/>
            <w:gridSpan w:val="2"/>
            <w:noWrap/>
            <w:vAlign w:val="bottom"/>
          </w:tcPr>
          <w:p w:rsidR="006A29F1" w:rsidRPr="0080737A" w:rsidRDefault="006A29F1" w:rsidP="006A29F1">
            <w:pPr>
              <w:spacing w:after="0" w:line="240" w:lineRule="auto"/>
              <w:ind w:left="-142" w:firstLine="142"/>
              <w:rPr>
                <w:color w:val="000000"/>
              </w:rPr>
            </w:pPr>
          </w:p>
        </w:tc>
        <w:tc>
          <w:tcPr>
            <w:tcW w:w="1016" w:type="dxa"/>
            <w:gridSpan w:val="2"/>
            <w:noWrap/>
            <w:vAlign w:val="bottom"/>
          </w:tcPr>
          <w:p w:rsidR="006A29F1" w:rsidRPr="0080737A" w:rsidRDefault="006A29F1" w:rsidP="006A29F1">
            <w:pPr>
              <w:spacing w:after="0" w:line="240" w:lineRule="auto"/>
              <w:ind w:left="-142" w:firstLine="142"/>
              <w:rPr>
                <w:color w:val="000000"/>
              </w:rPr>
            </w:pPr>
          </w:p>
        </w:tc>
        <w:tc>
          <w:tcPr>
            <w:tcW w:w="1082" w:type="dxa"/>
            <w:gridSpan w:val="2"/>
          </w:tcPr>
          <w:p w:rsidR="006A29F1" w:rsidRPr="0080737A" w:rsidRDefault="006A29F1" w:rsidP="006A29F1">
            <w:pPr>
              <w:spacing w:after="0" w:line="240" w:lineRule="auto"/>
              <w:ind w:left="-142" w:firstLine="142"/>
              <w:rPr>
                <w:color w:val="000000"/>
              </w:rPr>
            </w:pPr>
          </w:p>
        </w:tc>
        <w:tc>
          <w:tcPr>
            <w:tcW w:w="1086" w:type="dxa"/>
            <w:gridSpan w:val="2"/>
            <w:noWrap/>
            <w:vAlign w:val="bottom"/>
          </w:tcPr>
          <w:p w:rsidR="006A29F1" w:rsidRPr="0080737A" w:rsidRDefault="006A29F1" w:rsidP="006A29F1">
            <w:pPr>
              <w:spacing w:after="0" w:line="240" w:lineRule="auto"/>
              <w:ind w:left="-142" w:firstLine="142"/>
              <w:rPr>
                <w:color w:val="000000"/>
              </w:rPr>
            </w:pPr>
          </w:p>
        </w:tc>
      </w:tr>
    </w:tbl>
    <w:p w:rsidR="006A29F1" w:rsidRPr="0080737A" w:rsidRDefault="006A29F1" w:rsidP="006A29F1"/>
    <w:p w:rsidR="00335844" w:rsidRPr="0080737A" w:rsidRDefault="00335844" w:rsidP="00335844">
      <w:pPr>
        <w:spacing w:after="0" w:line="240" w:lineRule="auto"/>
        <w:ind w:firstLine="709"/>
        <w:jc w:val="center"/>
        <w:rPr>
          <w:rFonts w:ascii="Times New Roman" w:hAnsi="Times New Roman"/>
          <w:sz w:val="24"/>
          <w:szCs w:val="24"/>
        </w:rPr>
        <w:sectPr w:rsidR="00335844" w:rsidRPr="0080737A" w:rsidSect="003F67B2">
          <w:pgSz w:w="11906" w:h="16838" w:code="9"/>
          <w:pgMar w:top="1134" w:right="851" w:bottom="1134" w:left="1701" w:header="709" w:footer="709" w:gutter="0"/>
          <w:cols w:space="708"/>
          <w:titlePg/>
          <w:docGrid w:linePitch="360"/>
        </w:sectPr>
      </w:pPr>
    </w:p>
    <w:p w:rsidR="005074C0" w:rsidRPr="0080737A" w:rsidRDefault="005074C0" w:rsidP="005074C0">
      <w:pPr>
        <w:keepNext/>
        <w:spacing w:after="0" w:line="240" w:lineRule="auto"/>
        <w:jc w:val="right"/>
        <w:rPr>
          <w:rFonts w:ascii="Times New Roman" w:hAnsi="Times New Roman"/>
          <w:b/>
          <w:bCs/>
          <w:sz w:val="24"/>
          <w:szCs w:val="24"/>
        </w:rPr>
      </w:pPr>
      <w:r w:rsidRPr="0080737A">
        <w:rPr>
          <w:rFonts w:ascii="Times New Roman" w:hAnsi="Times New Roman"/>
          <w:b/>
          <w:bCs/>
          <w:sz w:val="24"/>
          <w:szCs w:val="24"/>
        </w:rPr>
        <w:lastRenderedPageBreak/>
        <w:t>Приложение №2</w:t>
      </w:r>
    </w:p>
    <w:p w:rsidR="005074C0" w:rsidRPr="0080737A" w:rsidRDefault="005074C0" w:rsidP="005074C0">
      <w:pPr>
        <w:spacing w:after="0" w:line="240" w:lineRule="auto"/>
        <w:ind w:firstLine="709"/>
        <w:jc w:val="right"/>
        <w:rPr>
          <w:rFonts w:ascii="Times New Roman" w:eastAsia="Calibri" w:hAnsi="Times New Roman"/>
          <w:b/>
          <w:sz w:val="24"/>
          <w:szCs w:val="24"/>
        </w:rPr>
      </w:pPr>
    </w:p>
    <w:p w:rsidR="005074C0" w:rsidRPr="0080737A" w:rsidRDefault="005074C0" w:rsidP="005074C0">
      <w:pPr>
        <w:spacing w:after="0" w:line="240" w:lineRule="auto"/>
        <w:jc w:val="center"/>
        <w:rPr>
          <w:rFonts w:ascii="Times New Roman" w:eastAsia="Calibri" w:hAnsi="Times New Roman"/>
          <w:b/>
          <w:sz w:val="24"/>
          <w:szCs w:val="24"/>
        </w:rPr>
      </w:pPr>
      <w:r w:rsidRPr="0080737A">
        <w:rPr>
          <w:rFonts w:ascii="Times New Roman" w:eastAsia="Calibri" w:hAnsi="Times New Roman"/>
          <w:b/>
          <w:sz w:val="24"/>
          <w:szCs w:val="24"/>
        </w:rPr>
        <w:t>Динамика и структура промышленного производства и реализации продукции по отраслям промышленности в январе-июне 2016 года</w:t>
      </w:r>
    </w:p>
    <w:p w:rsidR="005074C0" w:rsidRPr="0080737A" w:rsidRDefault="005074C0" w:rsidP="005074C0">
      <w:pPr>
        <w:spacing w:after="0" w:line="240" w:lineRule="auto"/>
        <w:jc w:val="center"/>
        <w:rPr>
          <w:rFonts w:ascii="Times New Roman" w:eastAsia="Calibri" w:hAnsi="Times New Roman"/>
          <w:b/>
          <w:sz w:val="28"/>
          <w:szCs w:val="28"/>
        </w:rPr>
      </w:pPr>
    </w:p>
    <w:tbl>
      <w:tblPr>
        <w:tblW w:w="9622" w:type="dxa"/>
        <w:tblInd w:w="-72" w:type="dxa"/>
        <w:tblLayout w:type="fixed"/>
        <w:tblLook w:val="0000"/>
      </w:tblPr>
      <w:tblGrid>
        <w:gridCol w:w="3183"/>
        <w:gridCol w:w="933"/>
        <w:gridCol w:w="784"/>
        <w:gridCol w:w="1140"/>
        <w:gridCol w:w="862"/>
        <w:gridCol w:w="791"/>
        <w:gridCol w:w="934"/>
        <w:gridCol w:w="995"/>
      </w:tblGrid>
      <w:tr w:rsidR="005074C0" w:rsidRPr="0080737A" w:rsidTr="00047DAA">
        <w:trPr>
          <w:cantSplit/>
          <w:trHeight w:val="366"/>
        </w:trPr>
        <w:tc>
          <w:tcPr>
            <w:tcW w:w="3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074C0" w:rsidRPr="0080737A" w:rsidRDefault="005074C0" w:rsidP="005074C0">
            <w:pPr>
              <w:spacing w:after="0" w:line="240" w:lineRule="auto"/>
              <w:ind w:left="-108" w:right="-108"/>
              <w:jc w:val="center"/>
              <w:rPr>
                <w:rFonts w:ascii="Times New Roman" w:eastAsia="Calibri" w:hAnsi="Times New Roman"/>
                <w:sz w:val="24"/>
                <w:szCs w:val="24"/>
              </w:rPr>
            </w:pPr>
            <w:r w:rsidRPr="0080737A">
              <w:rPr>
                <w:rFonts w:ascii="Times New Roman" w:eastAsia="Calibri" w:hAnsi="Times New Roman"/>
                <w:sz w:val="24"/>
                <w:szCs w:val="24"/>
              </w:rPr>
              <w:t>Название отраслей промышленности</w:t>
            </w:r>
          </w:p>
        </w:tc>
        <w:tc>
          <w:tcPr>
            <w:tcW w:w="3719" w:type="dxa"/>
            <w:gridSpan w:val="4"/>
            <w:tcBorders>
              <w:top w:val="single" w:sz="4" w:space="0" w:color="auto"/>
              <w:left w:val="nil"/>
              <w:bottom w:val="single" w:sz="4" w:space="0" w:color="auto"/>
              <w:right w:val="single" w:sz="4" w:space="0" w:color="auto"/>
            </w:tcBorders>
            <w:shd w:val="clear" w:color="auto" w:fill="auto"/>
            <w:noWrap/>
            <w:vAlign w:val="center"/>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Объем промышленного производства</w:t>
            </w:r>
          </w:p>
        </w:tc>
        <w:tc>
          <w:tcPr>
            <w:tcW w:w="7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Удельный вес отрасли в общем объеме производства, %</w:t>
            </w:r>
          </w:p>
        </w:tc>
        <w:tc>
          <w:tcPr>
            <w:tcW w:w="1929" w:type="dxa"/>
            <w:gridSpan w:val="2"/>
            <w:tcBorders>
              <w:top w:val="single" w:sz="4" w:space="0" w:color="auto"/>
              <w:left w:val="nil"/>
              <w:bottom w:val="single" w:sz="4" w:space="0" w:color="auto"/>
              <w:right w:val="single" w:sz="4" w:space="0" w:color="auto"/>
            </w:tcBorders>
            <w:shd w:val="clear" w:color="auto" w:fill="auto"/>
          </w:tcPr>
          <w:p w:rsidR="005074C0" w:rsidRPr="0080737A" w:rsidRDefault="005074C0" w:rsidP="005074C0">
            <w:pPr>
              <w:spacing w:after="0" w:line="240" w:lineRule="auto"/>
              <w:ind w:left="-169"/>
              <w:jc w:val="center"/>
              <w:rPr>
                <w:rFonts w:ascii="Times New Roman" w:eastAsia="Calibri" w:hAnsi="Times New Roman"/>
                <w:sz w:val="24"/>
                <w:szCs w:val="24"/>
              </w:rPr>
            </w:pPr>
            <w:r w:rsidRPr="0080737A">
              <w:rPr>
                <w:rFonts w:ascii="Times New Roman" w:eastAsia="Calibri" w:hAnsi="Times New Roman"/>
                <w:sz w:val="24"/>
                <w:szCs w:val="24"/>
              </w:rPr>
              <w:t>Объем реализованной продукции</w:t>
            </w:r>
          </w:p>
        </w:tc>
      </w:tr>
      <w:tr w:rsidR="005074C0" w:rsidRPr="0080737A" w:rsidTr="00047DAA">
        <w:trPr>
          <w:cantSplit/>
          <w:trHeight w:val="2587"/>
        </w:trPr>
        <w:tc>
          <w:tcPr>
            <w:tcW w:w="31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74C0" w:rsidRPr="0080737A" w:rsidRDefault="005074C0" w:rsidP="005074C0">
            <w:pPr>
              <w:spacing w:after="0" w:line="240" w:lineRule="auto"/>
              <w:ind w:left="-108" w:right="-108"/>
              <w:rPr>
                <w:rFonts w:ascii="Times New Roman" w:eastAsia="Calibri" w:hAnsi="Times New Roman"/>
                <w:sz w:val="24"/>
                <w:szCs w:val="24"/>
              </w:rPr>
            </w:pP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5074C0" w:rsidRPr="0080737A" w:rsidRDefault="005074C0" w:rsidP="005074C0">
            <w:pPr>
              <w:suppressAutoHyphens/>
              <w:spacing w:after="0" w:line="240" w:lineRule="auto"/>
              <w:jc w:val="center"/>
              <w:rPr>
                <w:rFonts w:ascii="Times New Roman" w:eastAsia="Calibri" w:hAnsi="Times New Roman"/>
                <w:snapToGrid w:val="0"/>
                <w:sz w:val="24"/>
                <w:szCs w:val="24"/>
              </w:rPr>
            </w:pPr>
            <w:r w:rsidRPr="0080737A">
              <w:rPr>
                <w:rFonts w:ascii="Times New Roman" w:eastAsia="Calibri" w:hAnsi="Times New Roman"/>
                <w:snapToGrid w:val="0"/>
                <w:sz w:val="24"/>
                <w:szCs w:val="24"/>
                <w:lang w:val="en-US"/>
              </w:rPr>
              <w:t>I</w:t>
            </w:r>
            <w:r w:rsidRPr="0080737A">
              <w:rPr>
                <w:rFonts w:ascii="Times New Roman" w:eastAsia="Calibri" w:hAnsi="Times New Roman"/>
                <w:snapToGrid w:val="0"/>
                <w:sz w:val="24"/>
                <w:szCs w:val="24"/>
              </w:rPr>
              <w:t xml:space="preserve"> полугодие 2016 г.,</w:t>
            </w:r>
          </w:p>
          <w:p w:rsidR="005074C0" w:rsidRPr="0080737A" w:rsidRDefault="005074C0" w:rsidP="005074C0">
            <w:pPr>
              <w:suppressAutoHyphens/>
              <w:spacing w:after="0" w:line="240" w:lineRule="auto"/>
              <w:jc w:val="center"/>
              <w:rPr>
                <w:rFonts w:ascii="Times New Roman" w:eastAsia="Calibri" w:hAnsi="Times New Roman"/>
                <w:snapToGrid w:val="0"/>
                <w:sz w:val="24"/>
                <w:szCs w:val="24"/>
              </w:rPr>
            </w:pPr>
            <w:r w:rsidRPr="0080737A">
              <w:rPr>
                <w:rFonts w:ascii="Times New Roman" w:eastAsia="Calibri" w:hAnsi="Times New Roman"/>
                <w:snapToGrid w:val="0"/>
                <w:sz w:val="24"/>
                <w:szCs w:val="24"/>
              </w:rPr>
              <w:t>млн. долл.</w:t>
            </w:r>
          </w:p>
        </w:tc>
        <w:tc>
          <w:tcPr>
            <w:tcW w:w="784" w:type="dxa"/>
            <w:tcBorders>
              <w:top w:val="single" w:sz="4" w:space="0" w:color="auto"/>
              <w:left w:val="nil"/>
              <w:bottom w:val="single" w:sz="4" w:space="0" w:color="auto"/>
              <w:right w:val="single" w:sz="4" w:space="0" w:color="auto"/>
            </w:tcBorders>
            <w:shd w:val="clear" w:color="auto" w:fill="auto"/>
            <w:textDirection w:val="btLr"/>
            <w:vAlign w:val="center"/>
          </w:tcPr>
          <w:p w:rsidR="005074C0" w:rsidRPr="0080737A" w:rsidRDefault="005074C0" w:rsidP="005074C0">
            <w:pPr>
              <w:widowControl w:val="0"/>
              <w:suppressAutoHyphens/>
              <w:snapToGrid w:val="0"/>
              <w:spacing w:after="0" w:line="240" w:lineRule="auto"/>
              <w:jc w:val="center"/>
              <w:rPr>
                <w:rFonts w:ascii="Times New Roman" w:hAnsi="Times New Roman"/>
                <w:snapToGrid w:val="0"/>
                <w:sz w:val="24"/>
                <w:szCs w:val="24"/>
              </w:rPr>
            </w:pPr>
            <w:r w:rsidRPr="0080737A">
              <w:rPr>
                <w:rFonts w:ascii="Times New Roman" w:hAnsi="Times New Roman"/>
                <w:sz w:val="24"/>
                <w:szCs w:val="24"/>
              </w:rPr>
              <w:t>Темп роста</w:t>
            </w:r>
          </w:p>
          <w:p w:rsidR="005074C0" w:rsidRPr="0080737A" w:rsidRDefault="005074C0" w:rsidP="005074C0">
            <w:pPr>
              <w:widowControl w:val="0"/>
              <w:suppressAutoHyphens/>
              <w:snapToGrid w:val="0"/>
              <w:spacing w:after="0" w:line="240" w:lineRule="auto"/>
              <w:jc w:val="center"/>
              <w:rPr>
                <w:rFonts w:ascii="Times New Roman" w:hAnsi="Times New Roman"/>
                <w:snapToGrid w:val="0"/>
                <w:sz w:val="24"/>
                <w:szCs w:val="24"/>
              </w:rPr>
            </w:pPr>
            <w:r w:rsidRPr="0080737A">
              <w:rPr>
                <w:rFonts w:ascii="Times New Roman" w:hAnsi="Times New Roman"/>
                <w:snapToGrid w:val="0"/>
                <w:sz w:val="24"/>
                <w:szCs w:val="24"/>
                <w:lang w:val="en-US"/>
              </w:rPr>
              <w:t>I</w:t>
            </w:r>
            <w:r w:rsidRPr="0080737A">
              <w:rPr>
                <w:rFonts w:ascii="Times New Roman" w:hAnsi="Times New Roman"/>
                <w:snapToGrid w:val="0"/>
                <w:sz w:val="24"/>
                <w:szCs w:val="24"/>
              </w:rPr>
              <w:t xml:space="preserve"> полугодие 2016 г.</w:t>
            </w:r>
          </w:p>
          <w:p w:rsidR="005074C0" w:rsidRPr="0080737A" w:rsidRDefault="005074C0" w:rsidP="005074C0">
            <w:pPr>
              <w:suppressAutoHyphens/>
              <w:spacing w:after="0" w:line="240" w:lineRule="auto"/>
              <w:jc w:val="center"/>
              <w:rPr>
                <w:rFonts w:ascii="Times New Roman" w:eastAsia="Calibri" w:hAnsi="Times New Roman"/>
                <w:snapToGrid w:val="0"/>
                <w:sz w:val="24"/>
                <w:szCs w:val="24"/>
              </w:rPr>
            </w:pPr>
            <w:r w:rsidRPr="0080737A">
              <w:rPr>
                <w:rFonts w:ascii="Times New Roman" w:eastAsia="Calibri" w:hAnsi="Times New Roman"/>
                <w:snapToGrid w:val="0"/>
                <w:sz w:val="24"/>
                <w:szCs w:val="24"/>
              </w:rPr>
              <w:t>к I полугодию 2015 г.</w:t>
            </w:r>
            <w:r w:rsidRPr="0080737A">
              <w:rPr>
                <w:rFonts w:ascii="Times New Roman" w:eastAsia="Calibri" w:hAnsi="Times New Roman"/>
                <w:sz w:val="24"/>
                <w:szCs w:val="24"/>
              </w:rPr>
              <w:t>, %</w:t>
            </w:r>
          </w:p>
        </w:tc>
        <w:tc>
          <w:tcPr>
            <w:tcW w:w="1140" w:type="dxa"/>
            <w:tcBorders>
              <w:top w:val="single" w:sz="4" w:space="0" w:color="auto"/>
              <w:left w:val="nil"/>
              <w:bottom w:val="single" w:sz="4" w:space="0" w:color="auto"/>
              <w:right w:val="single" w:sz="4" w:space="0" w:color="auto"/>
            </w:tcBorders>
            <w:shd w:val="clear" w:color="auto" w:fill="auto"/>
            <w:textDirection w:val="btLr"/>
            <w:vAlign w:val="center"/>
          </w:tcPr>
          <w:p w:rsidR="005074C0" w:rsidRPr="0080737A" w:rsidRDefault="005074C0" w:rsidP="005074C0">
            <w:pPr>
              <w:spacing w:after="0" w:line="240" w:lineRule="auto"/>
              <w:jc w:val="center"/>
              <w:rPr>
                <w:rFonts w:ascii="Times New Roman" w:eastAsia="Calibri" w:hAnsi="Times New Roman"/>
                <w:snapToGrid w:val="0"/>
                <w:sz w:val="24"/>
                <w:szCs w:val="24"/>
              </w:rPr>
            </w:pPr>
            <w:r w:rsidRPr="0080737A">
              <w:rPr>
                <w:rFonts w:ascii="Times New Roman" w:eastAsia="Calibri" w:hAnsi="Times New Roman"/>
                <w:snapToGrid w:val="0"/>
                <w:sz w:val="24"/>
                <w:szCs w:val="24"/>
                <w:lang w:val="en-US"/>
              </w:rPr>
              <w:t>I</w:t>
            </w:r>
            <w:r w:rsidRPr="0080737A">
              <w:rPr>
                <w:rFonts w:ascii="Times New Roman" w:eastAsia="Calibri" w:hAnsi="Times New Roman"/>
                <w:snapToGrid w:val="0"/>
                <w:sz w:val="24"/>
                <w:szCs w:val="24"/>
              </w:rPr>
              <w:t xml:space="preserve"> полугодие 2016 г. </w:t>
            </w:r>
          </w:p>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в текущих ценах,</w:t>
            </w:r>
          </w:p>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млн. руб.</w:t>
            </w:r>
          </w:p>
        </w:tc>
        <w:tc>
          <w:tcPr>
            <w:tcW w:w="862" w:type="dxa"/>
            <w:tcBorders>
              <w:top w:val="single" w:sz="4" w:space="0" w:color="auto"/>
              <w:left w:val="nil"/>
              <w:bottom w:val="single" w:sz="4" w:space="0" w:color="auto"/>
              <w:right w:val="single" w:sz="4" w:space="0" w:color="auto"/>
            </w:tcBorders>
            <w:shd w:val="clear" w:color="auto" w:fill="auto"/>
            <w:textDirection w:val="btLr"/>
            <w:vAlign w:val="center"/>
          </w:tcPr>
          <w:p w:rsidR="005074C0" w:rsidRPr="0080737A" w:rsidRDefault="005074C0" w:rsidP="005074C0">
            <w:pPr>
              <w:widowControl w:val="0"/>
              <w:suppressAutoHyphens/>
              <w:snapToGrid w:val="0"/>
              <w:spacing w:after="0" w:line="240" w:lineRule="auto"/>
              <w:jc w:val="center"/>
              <w:rPr>
                <w:rFonts w:ascii="Times New Roman" w:hAnsi="Times New Roman"/>
                <w:snapToGrid w:val="0"/>
                <w:sz w:val="24"/>
                <w:szCs w:val="24"/>
              </w:rPr>
            </w:pPr>
            <w:r w:rsidRPr="0080737A">
              <w:rPr>
                <w:rFonts w:ascii="Times New Roman" w:hAnsi="Times New Roman"/>
                <w:sz w:val="24"/>
                <w:szCs w:val="24"/>
              </w:rPr>
              <w:t>Темп роста</w:t>
            </w:r>
          </w:p>
          <w:p w:rsidR="005074C0" w:rsidRPr="0080737A" w:rsidRDefault="005074C0" w:rsidP="005074C0">
            <w:pPr>
              <w:widowControl w:val="0"/>
              <w:suppressAutoHyphens/>
              <w:snapToGrid w:val="0"/>
              <w:spacing w:after="0" w:line="240" w:lineRule="auto"/>
              <w:jc w:val="center"/>
              <w:rPr>
                <w:rFonts w:ascii="Times New Roman" w:hAnsi="Times New Roman"/>
                <w:snapToGrid w:val="0"/>
                <w:sz w:val="24"/>
                <w:szCs w:val="24"/>
              </w:rPr>
            </w:pPr>
            <w:r w:rsidRPr="0080737A">
              <w:rPr>
                <w:rFonts w:ascii="Times New Roman" w:hAnsi="Times New Roman"/>
                <w:snapToGrid w:val="0"/>
                <w:sz w:val="24"/>
                <w:szCs w:val="24"/>
                <w:lang w:val="en-US"/>
              </w:rPr>
              <w:t>I</w:t>
            </w:r>
            <w:r w:rsidRPr="0080737A">
              <w:rPr>
                <w:rFonts w:ascii="Times New Roman" w:hAnsi="Times New Roman"/>
                <w:snapToGrid w:val="0"/>
                <w:sz w:val="24"/>
                <w:szCs w:val="24"/>
              </w:rPr>
              <w:t xml:space="preserve"> полугодие 2016 г.</w:t>
            </w:r>
          </w:p>
          <w:p w:rsidR="005074C0" w:rsidRPr="0080737A" w:rsidRDefault="005074C0" w:rsidP="005074C0">
            <w:pPr>
              <w:suppressAutoHyphens/>
              <w:spacing w:after="0" w:line="240" w:lineRule="auto"/>
              <w:jc w:val="center"/>
              <w:rPr>
                <w:rFonts w:ascii="Times New Roman" w:eastAsia="Calibri" w:hAnsi="Times New Roman"/>
                <w:snapToGrid w:val="0"/>
                <w:sz w:val="24"/>
                <w:szCs w:val="24"/>
              </w:rPr>
            </w:pPr>
            <w:r w:rsidRPr="0080737A">
              <w:rPr>
                <w:rFonts w:ascii="Times New Roman" w:eastAsia="Calibri" w:hAnsi="Times New Roman"/>
                <w:snapToGrid w:val="0"/>
                <w:sz w:val="24"/>
                <w:szCs w:val="24"/>
              </w:rPr>
              <w:t>к I полугодию 2015 г.</w:t>
            </w:r>
            <w:r w:rsidRPr="0080737A">
              <w:rPr>
                <w:rFonts w:ascii="Times New Roman" w:eastAsia="Calibri" w:hAnsi="Times New Roman"/>
                <w:sz w:val="24"/>
                <w:szCs w:val="24"/>
              </w:rPr>
              <w:t>, %</w:t>
            </w:r>
          </w:p>
        </w:tc>
        <w:tc>
          <w:tcPr>
            <w:tcW w:w="7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74C0" w:rsidRPr="0080737A" w:rsidRDefault="005074C0" w:rsidP="005074C0">
            <w:pPr>
              <w:spacing w:after="0" w:line="240" w:lineRule="auto"/>
              <w:jc w:val="center"/>
              <w:rPr>
                <w:rFonts w:ascii="Times New Roman" w:eastAsia="Calibri" w:hAnsi="Times New Roman"/>
                <w:sz w:val="24"/>
                <w:szCs w:val="24"/>
              </w:rPr>
            </w:pPr>
          </w:p>
        </w:tc>
        <w:tc>
          <w:tcPr>
            <w:tcW w:w="934" w:type="dxa"/>
            <w:tcBorders>
              <w:top w:val="nil"/>
              <w:left w:val="nil"/>
              <w:bottom w:val="single" w:sz="4" w:space="0" w:color="auto"/>
              <w:right w:val="single" w:sz="4" w:space="0" w:color="auto"/>
            </w:tcBorders>
            <w:shd w:val="clear" w:color="auto" w:fill="auto"/>
            <w:textDirection w:val="btLr"/>
            <w:vAlign w:val="center"/>
          </w:tcPr>
          <w:p w:rsidR="005074C0" w:rsidRPr="0080737A" w:rsidRDefault="005074C0" w:rsidP="005074C0">
            <w:pPr>
              <w:spacing w:after="0" w:line="240" w:lineRule="auto"/>
              <w:jc w:val="center"/>
              <w:rPr>
                <w:rFonts w:ascii="Times New Roman" w:eastAsia="Calibri" w:hAnsi="Times New Roman"/>
                <w:snapToGrid w:val="0"/>
                <w:sz w:val="24"/>
                <w:szCs w:val="24"/>
              </w:rPr>
            </w:pPr>
            <w:r w:rsidRPr="0080737A">
              <w:rPr>
                <w:rFonts w:ascii="Times New Roman" w:eastAsia="Calibri" w:hAnsi="Times New Roman"/>
                <w:snapToGrid w:val="0"/>
                <w:sz w:val="24"/>
                <w:szCs w:val="24"/>
                <w:lang w:val="en-US"/>
              </w:rPr>
              <w:t>I</w:t>
            </w:r>
            <w:r w:rsidRPr="0080737A">
              <w:rPr>
                <w:rFonts w:ascii="Times New Roman" w:eastAsia="Calibri" w:hAnsi="Times New Roman"/>
                <w:snapToGrid w:val="0"/>
                <w:sz w:val="24"/>
                <w:szCs w:val="24"/>
              </w:rPr>
              <w:t xml:space="preserve"> полугодие 2016 г.,</w:t>
            </w:r>
          </w:p>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млн. руб.</w:t>
            </w:r>
          </w:p>
        </w:tc>
        <w:tc>
          <w:tcPr>
            <w:tcW w:w="995" w:type="dxa"/>
            <w:tcBorders>
              <w:top w:val="nil"/>
              <w:left w:val="nil"/>
              <w:bottom w:val="single" w:sz="4" w:space="0" w:color="auto"/>
              <w:right w:val="single" w:sz="4" w:space="0" w:color="auto"/>
            </w:tcBorders>
            <w:shd w:val="clear" w:color="auto" w:fill="auto"/>
            <w:textDirection w:val="btLr"/>
            <w:vAlign w:val="center"/>
          </w:tcPr>
          <w:p w:rsidR="005074C0" w:rsidRPr="0080737A" w:rsidRDefault="005074C0" w:rsidP="005074C0">
            <w:pPr>
              <w:widowControl w:val="0"/>
              <w:suppressAutoHyphens/>
              <w:snapToGrid w:val="0"/>
              <w:spacing w:after="0" w:line="240" w:lineRule="auto"/>
              <w:jc w:val="center"/>
              <w:rPr>
                <w:rFonts w:ascii="Times New Roman" w:hAnsi="Times New Roman"/>
                <w:snapToGrid w:val="0"/>
                <w:sz w:val="24"/>
                <w:szCs w:val="24"/>
              </w:rPr>
            </w:pPr>
            <w:r w:rsidRPr="0080737A">
              <w:rPr>
                <w:rFonts w:ascii="Times New Roman" w:hAnsi="Times New Roman"/>
                <w:sz w:val="24"/>
                <w:szCs w:val="24"/>
              </w:rPr>
              <w:t>Темп роста</w:t>
            </w:r>
          </w:p>
          <w:p w:rsidR="005074C0" w:rsidRPr="0080737A" w:rsidRDefault="005074C0" w:rsidP="005074C0">
            <w:pPr>
              <w:widowControl w:val="0"/>
              <w:suppressAutoHyphens/>
              <w:snapToGrid w:val="0"/>
              <w:spacing w:after="0" w:line="240" w:lineRule="auto"/>
              <w:jc w:val="center"/>
              <w:rPr>
                <w:rFonts w:ascii="Times New Roman" w:hAnsi="Times New Roman"/>
                <w:snapToGrid w:val="0"/>
                <w:sz w:val="24"/>
                <w:szCs w:val="24"/>
              </w:rPr>
            </w:pPr>
            <w:r w:rsidRPr="0080737A">
              <w:rPr>
                <w:rFonts w:ascii="Times New Roman" w:hAnsi="Times New Roman"/>
                <w:snapToGrid w:val="0"/>
                <w:sz w:val="24"/>
                <w:szCs w:val="24"/>
                <w:lang w:val="en-US"/>
              </w:rPr>
              <w:t>I</w:t>
            </w:r>
            <w:r w:rsidRPr="0080737A">
              <w:rPr>
                <w:rFonts w:ascii="Times New Roman" w:hAnsi="Times New Roman"/>
                <w:snapToGrid w:val="0"/>
                <w:sz w:val="24"/>
                <w:szCs w:val="24"/>
              </w:rPr>
              <w:t xml:space="preserve"> полугодие 2016 г.</w:t>
            </w:r>
          </w:p>
          <w:p w:rsidR="005074C0" w:rsidRPr="0080737A" w:rsidRDefault="005074C0" w:rsidP="005074C0">
            <w:pPr>
              <w:suppressAutoHyphens/>
              <w:spacing w:after="0" w:line="240" w:lineRule="auto"/>
              <w:jc w:val="center"/>
              <w:rPr>
                <w:rFonts w:ascii="Times New Roman" w:eastAsia="Calibri" w:hAnsi="Times New Roman"/>
                <w:snapToGrid w:val="0"/>
                <w:sz w:val="24"/>
                <w:szCs w:val="24"/>
              </w:rPr>
            </w:pPr>
            <w:r w:rsidRPr="0080737A">
              <w:rPr>
                <w:rFonts w:ascii="Times New Roman" w:eastAsia="Calibri" w:hAnsi="Times New Roman"/>
                <w:snapToGrid w:val="0"/>
                <w:sz w:val="24"/>
                <w:szCs w:val="24"/>
              </w:rPr>
              <w:t>к I полугодию 2015 г.</w:t>
            </w:r>
            <w:r w:rsidRPr="0080737A">
              <w:rPr>
                <w:rFonts w:ascii="Times New Roman" w:eastAsia="Calibri" w:hAnsi="Times New Roman"/>
                <w:sz w:val="24"/>
                <w:szCs w:val="24"/>
              </w:rPr>
              <w:t>, %</w:t>
            </w:r>
          </w:p>
        </w:tc>
      </w:tr>
      <w:tr w:rsidR="005074C0" w:rsidRPr="0080737A" w:rsidTr="00047DAA">
        <w:trPr>
          <w:trHeight w:val="332"/>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Электроэнергетика</w:t>
            </w:r>
          </w:p>
        </w:tc>
        <w:tc>
          <w:tcPr>
            <w:tcW w:w="933" w:type="dxa"/>
            <w:tcBorders>
              <w:top w:val="single" w:sz="4"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165,9</w:t>
            </w:r>
          </w:p>
        </w:tc>
        <w:tc>
          <w:tcPr>
            <w:tcW w:w="784" w:type="dxa"/>
            <w:tcBorders>
              <w:top w:val="single" w:sz="4"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87,3</w:t>
            </w:r>
          </w:p>
        </w:tc>
        <w:tc>
          <w:tcPr>
            <w:tcW w:w="1140" w:type="dxa"/>
            <w:tcBorders>
              <w:top w:val="single" w:sz="4"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1 857,7</w:t>
            </w:r>
          </w:p>
        </w:tc>
        <w:tc>
          <w:tcPr>
            <w:tcW w:w="862" w:type="dxa"/>
            <w:tcBorders>
              <w:top w:val="single" w:sz="4"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88,1</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48,4</w:t>
            </w:r>
          </w:p>
        </w:tc>
        <w:tc>
          <w:tcPr>
            <w:tcW w:w="934" w:type="dxa"/>
            <w:tcBorders>
              <w:top w:val="nil"/>
              <w:left w:val="nil"/>
              <w:bottom w:val="single" w:sz="4" w:space="0" w:color="auto"/>
              <w:right w:val="single" w:sz="4" w:space="0" w:color="auto"/>
            </w:tcBorders>
            <w:shd w:val="clear" w:color="auto" w:fill="auto"/>
            <w:noWrap/>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1 963,5</w:t>
            </w:r>
          </w:p>
        </w:tc>
        <w:tc>
          <w:tcPr>
            <w:tcW w:w="995" w:type="dxa"/>
            <w:tcBorders>
              <w:top w:val="nil"/>
              <w:left w:val="nil"/>
              <w:bottom w:val="single" w:sz="4" w:space="0" w:color="auto"/>
              <w:right w:val="single" w:sz="4" w:space="0" w:color="auto"/>
            </w:tcBorders>
            <w:shd w:val="clear" w:color="auto" w:fill="auto"/>
            <w:noWrap/>
            <w:vAlign w:val="bottom"/>
          </w:tcPr>
          <w:p w:rsidR="005074C0" w:rsidRPr="0080737A" w:rsidRDefault="005074C0" w:rsidP="005074C0">
            <w:pPr>
              <w:spacing w:after="0" w:line="240" w:lineRule="auto"/>
              <w:ind w:left="-65"/>
              <w:jc w:val="center"/>
              <w:rPr>
                <w:rFonts w:ascii="Times New Roman" w:eastAsia="Calibri" w:hAnsi="Times New Roman"/>
                <w:sz w:val="24"/>
                <w:szCs w:val="24"/>
              </w:rPr>
            </w:pPr>
            <w:r w:rsidRPr="0080737A">
              <w:rPr>
                <w:rFonts w:ascii="Times New Roman" w:eastAsia="Calibri" w:hAnsi="Times New Roman"/>
                <w:sz w:val="24"/>
                <w:szCs w:val="24"/>
              </w:rPr>
              <w:t>87,2</w:t>
            </w:r>
          </w:p>
        </w:tc>
      </w:tr>
      <w:tr w:rsidR="005074C0" w:rsidRPr="0080737A" w:rsidTr="00047DAA">
        <w:trPr>
          <w:trHeight w:val="302"/>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Черная металлургия</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46,9</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79,4</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526,2</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80,3</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13,7</w:t>
            </w:r>
          </w:p>
        </w:tc>
        <w:tc>
          <w:tcPr>
            <w:tcW w:w="934" w:type="dxa"/>
            <w:tcBorders>
              <w:top w:val="nil"/>
              <w:left w:val="nil"/>
              <w:bottom w:val="single" w:sz="4" w:space="0" w:color="auto"/>
              <w:right w:val="single" w:sz="4" w:space="0" w:color="auto"/>
            </w:tcBorders>
            <w:shd w:val="clear" w:color="auto" w:fill="auto"/>
            <w:noWrap/>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529,8</w:t>
            </w:r>
          </w:p>
        </w:tc>
        <w:tc>
          <w:tcPr>
            <w:tcW w:w="995" w:type="dxa"/>
            <w:tcBorders>
              <w:top w:val="nil"/>
              <w:left w:val="nil"/>
              <w:bottom w:val="single" w:sz="4" w:space="0" w:color="auto"/>
              <w:right w:val="single" w:sz="4" w:space="0" w:color="auto"/>
            </w:tcBorders>
            <w:shd w:val="clear" w:color="auto" w:fill="auto"/>
            <w:noWrap/>
            <w:vAlign w:val="bottom"/>
          </w:tcPr>
          <w:p w:rsidR="005074C0" w:rsidRPr="0080737A" w:rsidRDefault="005074C0" w:rsidP="005074C0">
            <w:pPr>
              <w:spacing w:after="0" w:line="240" w:lineRule="auto"/>
              <w:ind w:left="-95"/>
              <w:jc w:val="center"/>
              <w:rPr>
                <w:rFonts w:ascii="Times New Roman" w:eastAsia="Calibri" w:hAnsi="Times New Roman"/>
                <w:sz w:val="24"/>
                <w:szCs w:val="24"/>
              </w:rPr>
            </w:pPr>
            <w:r w:rsidRPr="0080737A">
              <w:rPr>
                <w:rFonts w:ascii="Times New Roman" w:eastAsia="Calibri" w:hAnsi="Times New Roman"/>
                <w:sz w:val="24"/>
                <w:szCs w:val="24"/>
              </w:rPr>
              <w:t>80,6</w:t>
            </w:r>
          </w:p>
        </w:tc>
      </w:tr>
      <w:tr w:rsidR="005074C0" w:rsidRPr="0080737A" w:rsidTr="00047DAA">
        <w:trPr>
          <w:trHeight w:val="235"/>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Химическая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7,0</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115,5</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78,3</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116,8</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2</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89,3</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119,8</w:t>
            </w:r>
          </w:p>
        </w:tc>
      </w:tr>
      <w:tr w:rsidR="005074C0" w:rsidRPr="0080737A" w:rsidTr="00047DAA">
        <w:trPr>
          <w:trHeight w:val="335"/>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Машиностроение и металлообработка</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7,4</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90,2</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83,8</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91,3</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2,2</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87,8</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104,4</w:t>
            </w:r>
          </w:p>
        </w:tc>
      </w:tr>
      <w:tr w:rsidR="005074C0" w:rsidRPr="0080737A" w:rsidTr="00047DAA">
        <w:trPr>
          <w:trHeight w:val="414"/>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Электротехническая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5,0</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80,3</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56,7</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81,4</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1,5</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54,1</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75,1</w:t>
            </w:r>
          </w:p>
        </w:tc>
      </w:tr>
      <w:tr w:rsidR="005074C0" w:rsidRPr="0080737A" w:rsidTr="00047DAA">
        <w:trPr>
          <w:trHeight w:val="492"/>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Лесная и деревообрабатывающая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0,2</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26,3</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2,3</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26,7</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0,1</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2,1</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79,0</w:t>
            </w:r>
          </w:p>
        </w:tc>
      </w:tr>
      <w:tr w:rsidR="005074C0" w:rsidRPr="0080737A" w:rsidTr="00047DAA">
        <w:trPr>
          <w:trHeight w:val="514"/>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Промышленность стройматериалов</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13,9</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104,3</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156,1</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105,9</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4,1</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159,4</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105,0</w:t>
            </w:r>
          </w:p>
        </w:tc>
      </w:tr>
      <w:tr w:rsidR="005074C0" w:rsidRPr="0080737A" w:rsidTr="00047DAA">
        <w:trPr>
          <w:trHeight w:val="233"/>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Легкая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49,1</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116,1</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550,7</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117,5</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14,3</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470,6</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108,2</w:t>
            </w:r>
          </w:p>
        </w:tc>
      </w:tr>
      <w:tr w:rsidR="005074C0" w:rsidRPr="0080737A" w:rsidTr="00047DAA">
        <w:trPr>
          <w:trHeight w:val="239"/>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Пищевая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41,4</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95,3</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465,3</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96,4</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12,1</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469,0</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97,3</w:t>
            </w:r>
          </w:p>
        </w:tc>
      </w:tr>
      <w:tr w:rsidR="005074C0" w:rsidRPr="0080737A" w:rsidTr="00047DAA">
        <w:trPr>
          <w:trHeight w:val="362"/>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Мукомольно-крупяная и комбикормовая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4,3</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81,5</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48,5</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82,4</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1,3</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49,5</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right="-33"/>
              <w:jc w:val="center"/>
              <w:rPr>
                <w:rFonts w:ascii="Times New Roman" w:eastAsia="Calibri" w:hAnsi="Times New Roman"/>
                <w:sz w:val="24"/>
                <w:szCs w:val="24"/>
              </w:rPr>
            </w:pPr>
            <w:r w:rsidRPr="0080737A">
              <w:rPr>
                <w:rFonts w:ascii="Times New Roman" w:eastAsia="Calibri" w:hAnsi="Times New Roman"/>
                <w:sz w:val="24"/>
                <w:szCs w:val="24"/>
              </w:rPr>
              <w:t>85,9</w:t>
            </w:r>
          </w:p>
        </w:tc>
      </w:tr>
      <w:tr w:rsidR="005074C0" w:rsidRPr="0080737A" w:rsidTr="00047DAA">
        <w:trPr>
          <w:trHeight w:val="129"/>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Полиграфическая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1,0</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38,6</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10,8</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39,0</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color w:val="000000"/>
                <w:sz w:val="24"/>
                <w:szCs w:val="24"/>
              </w:rPr>
            </w:pPr>
            <w:r w:rsidRPr="0080737A">
              <w:rPr>
                <w:rFonts w:ascii="Times New Roman" w:eastAsia="Calibri" w:hAnsi="Times New Roman"/>
                <w:color w:val="000000"/>
                <w:sz w:val="24"/>
                <w:szCs w:val="24"/>
              </w:rPr>
              <w:t>0,3</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9,5</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40,6</w:t>
            </w:r>
          </w:p>
        </w:tc>
      </w:tr>
      <w:tr w:rsidR="005074C0" w:rsidRPr="0080737A" w:rsidTr="00047DAA">
        <w:trPr>
          <w:trHeight w:val="227"/>
        </w:trPr>
        <w:tc>
          <w:tcPr>
            <w:tcW w:w="3183" w:type="dxa"/>
            <w:tcBorders>
              <w:top w:val="nil"/>
              <w:left w:val="single" w:sz="4"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108"/>
              <w:rPr>
                <w:rFonts w:ascii="Times New Roman" w:eastAsia="Calibri" w:hAnsi="Times New Roman"/>
                <w:sz w:val="24"/>
                <w:szCs w:val="24"/>
              </w:rPr>
            </w:pPr>
            <w:r w:rsidRPr="0080737A">
              <w:rPr>
                <w:rFonts w:ascii="Times New Roman" w:eastAsia="Calibri" w:hAnsi="Times New Roman"/>
                <w:sz w:val="24"/>
                <w:szCs w:val="24"/>
              </w:rPr>
              <w:t>ИТОГО по ПМР</w:t>
            </w:r>
          </w:p>
        </w:tc>
        <w:tc>
          <w:tcPr>
            <w:tcW w:w="933" w:type="dxa"/>
            <w:tcBorders>
              <w:top w:val="single" w:sz="6" w:space="0" w:color="auto"/>
              <w:left w:val="nil"/>
              <w:bottom w:val="single" w:sz="4" w:space="0" w:color="auto"/>
              <w:right w:val="single" w:sz="6" w:space="0" w:color="auto"/>
            </w:tcBorders>
            <w:shd w:val="clear" w:color="auto" w:fill="auto"/>
            <w:vAlign w:val="bottom"/>
          </w:tcPr>
          <w:p w:rsidR="005074C0" w:rsidRPr="0080737A" w:rsidRDefault="005074C0" w:rsidP="005074C0">
            <w:pPr>
              <w:spacing w:after="0" w:line="240" w:lineRule="auto"/>
              <w:ind w:left="-74" w:right="-94"/>
              <w:jc w:val="center"/>
              <w:rPr>
                <w:rFonts w:ascii="Times New Roman" w:eastAsia="Calibri" w:hAnsi="Times New Roman"/>
                <w:sz w:val="24"/>
                <w:szCs w:val="24"/>
              </w:rPr>
            </w:pPr>
            <w:r w:rsidRPr="0080737A">
              <w:rPr>
                <w:rFonts w:ascii="Times New Roman" w:eastAsia="Calibri" w:hAnsi="Times New Roman"/>
                <w:sz w:val="24"/>
                <w:szCs w:val="24"/>
              </w:rPr>
              <w:t>342,1</w:t>
            </w:r>
          </w:p>
        </w:tc>
        <w:tc>
          <w:tcPr>
            <w:tcW w:w="784" w:type="dxa"/>
            <w:tcBorders>
              <w:top w:val="single" w:sz="6" w:space="0" w:color="auto"/>
              <w:left w:val="single" w:sz="6" w:space="0" w:color="auto"/>
              <w:bottom w:val="single" w:sz="4" w:space="0" w:color="auto"/>
              <w:right w:val="single" w:sz="6" w:space="0" w:color="auto"/>
            </w:tcBorders>
            <w:shd w:val="clear" w:color="auto" w:fill="auto"/>
            <w:vAlign w:val="bottom"/>
          </w:tcPr>
          <w:p w:rsidR="005074C0" w:rsidRPr="0080737A" w:rsidRDefault="005074C0" w:rsidP="005074C0">
            <w:pPr>
              <w:spacing w:after="0" w:line="240" w:lineRule="auto"/>
              <w:ind w:right="-108"/>
              <w:jc w:val="center"/>
              <w:rPr>
                <w:rFonts w:ascii="Times New Roman" w:eastAsia="Calibri" w:hAnsi="Times New Roman"/>
                <w:sz w:val="24"/>
                <w:szCs w:val="24"/>
              </w:rPr>
            </w:pPr>
            <w:r w:rsidRPr="0080737A">
              <w:rPr>
                <w:rFonts w:ascii="Times New Roman" w:eastAsia="Calibri" w:hAnsi="Times New Roman"/>
                <w:sz w:val="24"/>
                <w:szCs w:val="24"/>
              </w:rPr>
              <w:t>90,7</w:t>
            </w:r>
          </w:p>
        </w:tc>
        <w:tc>
          <w:tcPr>
            <w:tcW w:w="1140" w:type="dxa"/>
            <w:tcBorders>
              <w:top w:val="single" w:sz="6" w:space="0" w:color="auto"/>
              <w:left w:val="single" w:sz="6" w:space="0" w:color="auto"/>
              <w:bottom w:val="single" w:sz="4" w:space="0" w:color="auto"/>
              <w:right w:val="single" w:sz="6"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3 836,4</w:t>
            </w:r>
          </w:p>
        </w:tc>
        <w:tc>
          <w:tcPr>
            <w:tcW w:w="862" w:type="dxa"/>
            <w:tcBorders>
              <w:top w:val="single" w:sz="6" w:space="0" w:color="auto"/>
              <w:left w:val="single" w:sz="6" w:space="0" w:color="auto"/>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91,6</w:t>
            </w:r>
          </w:p>
        </w:tc>
        <w:tc>
          <w:tcPr>
            <w:tcW w:w="791"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0" w:lineRule="atLeast"/>
              <w:jc w:val="center"/>
              <w:rPr>
                <w:rFonts w:ascii="Times New Roman" w:eastAsia="Calibri" w:hAnsi="Times New Roman"/>
                <w:sz w:val="24"/>
                <w:szCs w:val="24"/>
              </w:rPr>
            </w:pPr>
            <w:r w:rsidRPr="0080737A">
              <w:rPr>
                <w:rFonts w:ascii="Times New Roman" w:eastAsia="Calibri" w:hAnsi="Times New Roman"/>
                <w:sz w:val="24"/>
                <w:szCs w:val="24"/>
              </w:rPr>
              <w:t>100,0</w:t>
            </w:r>
          </w:p>
        </w:tc>
        <w:tc>
          <w:tcPr>
            <w:tcW w:w="934"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ind w:left="-108" w:right="-66"/>
              <w:jc w:val="center"/>
              <w:rPr>
                <w:rFonts w:ascii="Times New Roman" w:eastAsia="Calibri" w:hAnsi="Times New Roman"/>
                <w:sz w:val="24"/>
                <w:szCs w:val="24"/>
              </w:rPr>
            </w:pPr>
            <w:r w:rsidRPr="0080737A">
              <w:rPr>
                <w:rFonts w:ascii="Times New Roman" w:eastAsia="Calibri" w:hAnsi="Times New Roman"/>
                <w:sz w:val="24"/>
                <w:szCs w:val="24"/>
              </w:rPr>
              <w:t>3 884,6</w:t>
            </w:r>
          </w:p>
        </w:tc>
        <w:tc>
          <w:tcPr>
            <w:tcW w:w="995" w:type="dxa"/>
            <w:tcBorders>
              <w:top w:val="nil"/>
              <w:left w:val="nil"/>
              <w:bottom w:val="single" w:sz="4" w:space="0" w:color="auto"/>
              <w:right w:val="single" w:sz="4" w:space="0" w:color="auto"/>
            </w:tcBorders>
            <w:shd w:val="clear" w:color="auto" w:fill="auto"/>
            <w:vAlign w:val="bottom"/>
          </w:tcPr>
          <w:p w:rsidR="005074C0" w:rsidRPr="0080737A" w:rsidRDefault="005074C0" w:rsidP="005074C0">
            <w:pPr>
              <w:spacing w:after="0" w:line="240" w:lineRule="auto"/>
              <w:jc w:val="center"/>
              <w:rPr>
                <w:rFonts w:ascii="Times New Roman" w:eastAsia="Calibri" w:hAnsi="Times New Roman"/>
                <w:sz w:val="24"/>
                <w:szCs w:val="24"/>
              </w:rPr>
            </w:pPr>
            <w:r w:rsidRPr="0080737A">
              <w:rPr>
                <w:rFonts w:ascii="Times New Roman" w:eastAsia="Calibri" w:hAnsi="Times New Roman"/>
                <w:sz w:val="24"/>
                <w:szCs w:val="24"/>
              </w:rPr>
              <w:t>90,5</w:t>
            </w:r>
          </w:p>
        </w:tc>
      </w:tr>
    </w:tbl>
    <w:p w:rsidR="005074C0" w:rsidRPr="0080737A" w:rsidRDefault="005074C0" w:rsidP="005074C0">
      <w:pPr>
        <w:spacing w:after="0" w:line="240" w:lineRule="auto"/>
        <w:ind w:firstLine="709"/>
        <w:jc w:val="right"/>
        <w:rPr>
          <w:rFonts w:ascii="Times New Roman" w:eastAsia="Calibri" w:hAnsi="Times New Roman"/>
          <w:b/>
          <w:sz w:val="28"/>
          <w:szCs w:val="28"/>
        </w:rPr>
      </w:pPr>
    </w:p>
    <w:p w:rsidR="005074C0" w:rsidRPr="0080737A" w:rsidRDefault="005074C0" w:rsidP="005074C0">
      <w:pPr>
        <w:rPr>
          <w:rFonts w:eastAsia="Calibri"/>
        </w:rPr>
      </w:pPr>
    </w:p>
    <w:p w:rsidR="00335844" w:rsidRPr="0080737A" w:rsidRDefault="00335844" w:rsidP="00335844">
      <w:pPr>
        <w:spacing w:after="0" w:line="240" w:lineRule="auto"/>
        <w:ind w:firstLine="709"/>
        <w:jc w:val="right"/>
        <w:rPr>
          <w:rFonts w:ascii="Times New Roman" w:hAnsi="Times New Roman"/>
          <w:b/>
          <w:sz w:val="28"/>
          <w:szCs w:val="28"/>
        </w:rPr>
      </w:pPr>
    </w:p>
    <w:p w:rsidR="00335844" w:rsidRPr="0080737A" w:rsidRDefault="00335844" w:rsidP="00335844"/>
    <w:p w:rsidR="00335844" w:rsidRPr="0080737A" w:rsidRDefault="00335844" w:rsidP="00335844">
      <w:pPr>
        <w:spacing w:after="0" w:line="240" w:lineRule="auto"/>
        <w:ind w:firstLine="709"/>
        <w:jc w:val="right"/>
        <w:rPr>
          <w:rFonts w:ascii="Times New Roman" w:hAnsi="Times New Roman"/>
          <w:b/>
          <w:sz w:val="28"/>
          <w:szCs w:val="28"/>
        </w:rPr>
      </w:pPr>
    </w:p>
    <w:p w:rsidR="00335844" w:rsidRPr="0080737A" w:rsidRDefault="00335844" w:rsidP="00335844"/>
    <w:p w:rsidR="00335844" w:rsidRPr="0080737A" w:rsidRDefault="00335844" w:rsidP="00335844"/>
    <w:p w:rsidR="00335844" w:rsidRPr="0080737A" w:rsidRDefault="00335844" w:rsidP="00335844"/>
    <w:p w:rsidR="00335844" w:rsidRPr="0080737A" w:rsidRDefault="00335844" w:rsidP="00335844">
      <w:pPr>
        <w:spacing w:after="0" w:line="240" w:lineRule="auto"/>
        <w:ind w:firstLine="709"/>
        <w:jc w:val="right"/>
        <w:rPr>
          <w:rFonts w:ascii="Times New Roman" w:hAnsi="Times New Roman"/>
          <w:b/>
          <w:sz w:val="24"/>
          <w:szCs w:val="24"/>
        </w:rPr>
      </w:pPr>
    </w:p>
    <w:p w:rsidR="00D212FF" w:rsidRPr="0080737A" w:rsidRDefault="00D212FF" w:rsidP="00D212FF">
      <w:pPr>
        <w:spacing w:after="0" w:line="240" w:lineRule="auto"/>
        <w:ind w:firstLine="709"/>
        <w:jc w:val="right"/>
        <w:rPr>
          <w:rFonts w:ascii="Times New Roman" w:hAnsi="Times New Roman"/>
          <w:b/>
          <w:sz w:val="24"/>
          <w:szCs w:val="24"/>
        </w:rPr>
      </w:pPr>
      <w:r w:rsidRPr="0080737A">
        <w:rPr>
          <w:rFonts w:ascii="Times New Roman" w:hAnsi="Times New Roman"/>
          <w:b/>
          <w:sz w:val="24"/>
          <w:szCs w:val="24"/>
        </w:rPr>
        <w:lastRenderedPageBreak/>
        <w:t>Приложение№3</w:t>
      </w:r>
    </w:p>
    <w:p w:rsidR="00D212FF" w:rsidRPr="0080737A" w:rsidRDefault="00D212FF" w:rsidP="00D212FF">
      <w:pPr>
        <w:spacing w:after="0" w:line="240" w:lineRule="auto"/>
        <w:jc w:val="center"/>
        <w:rPr>
          <w:rFonts w:ascii="Times New Roman" w:hAnsi="Times New Roman"/>
          <w:b/>
          <w:sz w:val="24"/>
          <w:szCs w:val="24"/>
        </w:rPr>
      </w:pPr>
    </w:p>
    <w:p w:rsidR="00D212FF" w:rsidRPr="0080737A" w:rsidRDefault="00D212FF" w:rsidP="00D212FF">
      <w:pPr>
        <w:spacing w:after="0" w:line="240" w:lineRule="auto"/>
        <w:jc w:val="center"/>
        <w:rPr>
          <w:rFonts w:ascii="Times New Roman" w:hAnsi="Times New Roman"/>
          <w:b/>
          <w:sz w:val="24"/>
          <w:szCs w:val="24"/>
        </w:rPr>
      </w:pPr>
      <w:r w:rsidRPr="0080737A">
        <w:rPr>
          <w:rFonts w:ascii="Times New Roman" w:hAnsi="Times New Roman"/>
          <w:b/>
          <w:sz w:val="24"/>
          <w:szCs w:val="24"/>
        </w:rPr>
        <w:t>Основные показатели развития малого предпринимательства</w:t>
      </w:r>
    </w:p>
    <w:p w:rsidR="00D212FF" w:rsidRPr="0080737A" w:rsidRDefault="00D212FF" w:rsidP="00D212FF">
      <w:pPr>
        <w:spacing w:after="0" w:line="240" w:lineRule="auto"/>
        <w:jc w:val="center"/>
        <w:rPr>
          <w:rFonts w:ascii="Times New Roman" w:hAnsi="Times New Roman"/>
          <w:b/>
          <w:sz w:val="24"/>
          <w:szCs w:val="24"/>
        </w:rPr>
      </w:pPr>
      <w:r w:rsidRPr="0080737A">
        <w:rPr>
          <w:rFonts w:ascii="Times New Roman" w:hAnsi="Times New Roman"/>
          <w:b/>
          <w:sz w:val="24"/>
          <w:szCs w:val="24"/>
        </w:rPr>
        <w:t>за январь-июнь 2016 года</w:t>
      </w:r>
    </w:p>
    <w:p w:rsidR="00D212FF" w:rsidRPr="0080737A" w:rsidRDefault="00D212FF" w:rsidP="00D212FF">
      <w:pPr>
        <w:spacing w:after="0" w:line="240" w:lineRule="auto"/>
        <w:jc w:val="center"/>
        <w:rPr>
          <w:rFonts w:ascii="Times New Roman" w:hAnsi="Times New Roman"/>
          <w:b/>
          <w:sz w:val="20"/>
          <w:szCs w:val="20"/>
        </w:rPr>
      </w:pPr>
    </w:p>
    <w:tbl>
      <w:tblPr>
        <w:tblW w:w="9729" w:type="dxa"/>
        <w:tblInd w:w="94" w:type="dxa"/>
        <w:tblLayout w:type="fixed"/>
        <w:tblLook w:val="0000"/>
      </w:tblPr>
      <w:tblGrid>
        <w:gridCol w:w="4731"/>
        <w:gridCol w:w="1270"/>
        <w:gridCol w:w="1270"/>
        <w:gridCol w:w="1270"/>
        <w:gridCol w:w="1188"/>
      </w:tblGrid>
      <w:tr w:rsidR="00D212FF" w:rsidRPr="0080737A" w:rsidTr="006808A1">
        <w:trPr>
          <w:trHeight w:val="257"/>
        </w:trPr>
        <w:tc>
          <w:tcPr>
            <w:tcW w:w="473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b/>
                <w:bCs/>
                <w:color w:val="000000"/>
                <w:sz w:val="24"/>
                <w:szCs w:val="24"/>
              </w:rPr>
            </w:pPr>
            <w:r w:rsidRPr="0080737A">
              <w:rPr>
                <w:rFonts w:ascii="Times New Roman" w:hAnsi="Times New Roman"/>
                <w:b/>
                <w:bCs/>
                <w:color w:val="000000"/>
                <w:sz w:val="24"/>
                <w:szCs w:val="24"/>
              </w:rPr>
              <w:t>Показатели</w:t>
            </w:r>
          </w:p>
        </w:tc>
        <w:tc>
          <w:tcPr>
            <w:tcW w:w="12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212FF" w:rsidRPr="0080737A" w:rsidRDefault="00D212FF" w:rsidP="006808A1">
            <w:pPr>
              <w:spacing w:after="0" w:line="240" w:lineRule="auto"/>
              <w:ind w:left="-108" w:right="-84"/>
              <w:jc w:val="center"/>
              <w:rPr>
                <w:rFonts w:ascii="Times New Roman" w:hAnsi="Times New Roman"/>
                <w:b/>
                <w:bCs/>
                <w:color w:val="000000"/>
                <w:sz w:val="24"/>
                <w:szCs w:val="24"/>
              </w:rPr>
            </w:pPr>
            <w:r w:rsidRPr="0080737A">
              <w:rPr>
                <w:rFonts w:ascii="Times New Roman" w:hAnsi="Times New Roman"/>
                <w:b/>
                <w:bCs/>
                <w:color w:val="000000"/>
                <w:sz w:val="24"/>
                <w:szCs w:val="24"/>
              </w:rPr>
              <w:t>Ед. измерения</w:t>
            </w:r>
          </w:p>
        </w:tc>
        <w:tc>
          <w:tcPr>
            <w:tcW w:w="2540" w:type="dxa"/>
            <w:gridSpan w:val="2"/>
            <w:tcBorders>
              <w:top w:val="single" w:sz="8" w:space="0" w:color="auto"/>
              <w:left w:val="nil"/>
              <w:bottom w:val="single" w:sz="4" w:space="0" w:color="auto"/>
              <w:right w:val="single" w:sz="8" w:space="0" w:color="000000"/>
            </w:tcBorders>
            <w:shd w:val="clear" w:color="auto" w:fill="auto"/>
            <w:vAlign w:val="center"/>
          </w:tcPr>
          <w:p w:rsidR="00D212FF" w:rsidRPr="0080737A" w:rsidRDefault="00D212FF" w:rsidP="006808A1">
            <w:pPr>
              <w:spacing w:after="0" w:line="240" w:lineRule="auto"/>
              <w:jc w:val="center"/>
              <w:rPr>
                <w:rFonts w:ascii="Times New Roman" w:hAnsi="Times New Roman"/>
                <w:b/>
                <w:bCs/>
                <w:color w:val="000000"/>
                <w:sz w:val="24"/>
                <w:szCs w:val="24"/>
              </w:rPr>
            </w:pPr>
            <w:r w:rsidRPr="0080737A">
              <w:rPr>
                <w:rFonts w:ascii="Times New Roman" w:hAnsi="Times New Roman"/>
                <w:b/>
                <w:bCs/>
                <w:color w:val="000000"/>
                <w:sz w:val="24"/>
                <w:szCs w:val="24"/>
              </w:rPr>
              <w:t>Факт</w:t>
            </w:r>
          </w:p>
        </w:tc>
        <w:tc>
          <w:tcPr>
            <w:tcW w:w="11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212FF" w:rsidRPr="0080737A" w:rsidRDefault="00D212FF" w:rsidP="006808A1">
            <w:pPr>
              <w:spacing w:after="0" w:line="240" w:lineRule="auto"/>
              <w:ind w:left="-108" w:right="-108"/>
              <w:jc w:val="center"/>
              <w:rPr>
                <w:rFonts w:ascii="Times New Roman" w:hAnsi="Times New Roman"/>
                <w:b/>
                <w:bCs/>
                <w:color w:val="000000"/>
                <w:sz w:val="24"/>
                <w:szCs w:val="24"/>
              </w:rPr>
            </w:pPr>
            <w:r w:rsidRPr="0080737A">
              <w:rPr>
                <w:rFonts w:ascii="Times New Roman" w:hAnsi="Times New Roman"/>
                <w:b/>
                <w:bCs/>
                <w:color w:val="000000"/>
                <w:sz w:val="24"/>
                <w:szCs w:val="24"/>
              </w:rPr>
              <w:t>Темп роста  2016 г. к       2015 г., %</w:t>
            </w:r>
          </w:p>
        </w:tc>
      </w:tr>
      <w:tr w:rsidR="00D212FF" w:rsidRPr="0080737A" w:rsidTr="006808A1">
        <w:trPr>
          <w:trHeight w:val="529"/>
        </w:trPr>
        <w:tc>
          <w:tcPr>
            <w:tcW w:w="4731" w:type="dxa"/>
            <w:vMerge/>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both"/>
              <w:rPr>
                <w:rFonts w:ascii="Times New Roman" w:hAnsi="Times New Roman"/>
                <w:b/>
                <w:bCs/>
                <w:color w:val="000000"/>
                <w:sz w:val="24"/>
                <w:szCs w:val="24"/>
              </w:rPr>
            </w:pPr>
          </w:p>
        </w:tc>
        <w:tc>
          <w:tcPr>
            <w:tcW w:w="1270" w:type="dxa"/>
            <w:vMerge/>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b/>
                <w:bCs/>
                <w:color w:val="000000"/>
                <w:sz w:val="24"/>
                <w:szCs w:val="24"/>
              </w:rPr>
            </w:pPr>
          </w:p>
        </w:tc>
        <w:tc>
          <w:tcPr>
            <w:tcW w:w="1270" w:type="dxa"/>
            <w:tcBorders>
              <w:top w:val="nil"/>
              <w:left w:val="nil"/>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left="-62" w:right="-103"/>
              <w:jc w:val="center"/>
              <w:rPr>
                <w:rFonts w:ascii="Times New Roman" w:hAnsi="Times New Roman"/>
                <w:b/>
                <w:bCs/>
                <w:color w:val="000000"/>
                <w:sz w:val="24"/>
                <w:szCs w:val="24"/>
              </w:rPr>
            </w:pPr>
            <w:r w:rsidRPr="0080737A">
              <w:rPr>
                <w:rFonts w:ascii="Times New Roman" w:hAnsi="Times New Roman"/>
                <w:b/>
                <w:bCs/>
                <w:color w:val="000000"/>
                <w:sz w:val="24"/>
                <w:szCs w:val="24"/>
                <w:lang w:val="en-US"/>
              </w:rPr>
              <w:t>I</w:t>
            </w:r>
            <w:r w:rsidRPr="0080737A">
              <w:rPr>
                <w:rFonts w:ascii="Times New Roman" w:hAnsi="Times New Roman"/>
                <w:b/>
                <w:bCs/>
                <w:color w:val="000000"/>
                <w:sz w:val="24"/>
                <w:szCs w:val="24"/>
              </w:rPr>
              <w:t xml:space="preserve"> полугодие 2015 год</w:t>
            </w:r>
          </w:p>
        </w:tc>
        <w:tc>
          <w:tcPr>
            <w:tcW w:w="1270" w:type="dxa"/>
            <w:tcBorders>
              <w:top w:val="nil"/>
              <w:left w:val="nil"/>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left="-62" w:right="-103"/>
              <w:jc w:val="center"/>
              <w:rPr>
                <w:rFonts w:ascii="Times New Roman" w:hAnsi="Times New Roman"/>
                <w:b/>
                <w:bCs/>
                <w:color w:val="000000"/>
                <w:sz w:val="24"/>
                <w:szCs w:val="24"/>
              </w:rPr>
            </w:pPr>
            <w:r w:rsidRPr="0080737A">
              <w:rPr>
                <w:rFonts w:ascii="Times New Roman" w:hAnsi="Times New Roman"/>
                <w:b/>
                <w:bCs/>
                <w:color w:val="000000"/>
                <w:sz w:val="24"/>
                <w:szCs w:val="24"/>
                <w:lang w:val="en-US"/>
              </w:rPr>
              <w:t>I</w:t>
            </w:r>
            <w:r w:rsidRPr="0080737A">
              <w:rPr>
                <w:rFonts w:ascii="Times New Roman" w:hAnsi="Times New Roman"/>
                <w:b/>
                <w:bCs/>
                <w:color w:val="000000"/>
                <w:sz w:val="24"/>
                <w:szCs w:val="24"/>
              </w:rPr>
              <w:t xml:space="preserve"> полугодие 2016 год</w:t>
            </w:r>
          </w:p>
        </w:tc>
        <w:tc>
          <w:tcPr>
            <w:tcW w:w="1188" w:type="dxa"/>
            <w:vMerge/>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b/>
                <w:bCs/>
                <w:color w:val="000000"/>
                <w:sz w:val="24"/>
                <w:szCs w:val="24"/>
              </w:rPr>
            </w:pPr>
          </w:p>
        </w:tc>
      </w:tr>
      <w:tr w:rsidR="00D212FF" w:rsidRPr="0080737A" w:rsidTr="006808A1">
        <w:trPr>
          <w:trHeight w:val="30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Количество отчитавшихся предприятий</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единиц</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4 148</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3 841</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color w:val="000000"/>
                <w:sz w:val="24"/>
                <w:szCs w:val="24"/>
              </w:rPr>
            </w:pPr>
            <w:r w:rsidRPr="0080737A">
              <w:rPr>
                <w:rFonts w:ascii="Times New Roman" w:hAnsi="Times New Roman"/>
                <w:color w:val="000000"/>
                <w:sz w:val="24"/>
                <w:szCs w:val="24"/>
              </w:rPr>
              <w:t>92,6</w:t>
            </w:r>
          </w:p>
        </w:tc>
      </w:tr>
      <w:tr w:rsidR="00D212FF" w:rsidRPr="0080737A" w:rsidTr="006808A1">
        <w:trPr>
          <w:trHeight w:val="262"/>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xml:space="preserve">Среднесписочная численность работников </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чел.</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 xml:space="preserve">14 430 </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 xml:space="preserve">13 646 </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color w:val="000000"/>
                <w:sz w:val="24"/>
                <w:szCs w:val="24"/>
              </w:rPr>
            </w:pPr>
            <w:r w:rsidRPr="0080737A">
              <w:rPr>
                <w:rFonts w:ascii="Times New Roman" w:hAnsi="Times New Roman"/>
                <w:color w:val="000000"/>
                <w:sz w:val="24"/>
                <w:szCs w:val="24"/>
              </w:rPr>
              <w:t>94,6</w:t>
            </w:r>
          </w:p>
        </w:tc>
      </w:tr>
      <w:tr w:rsidR="00D212FF" w:rsidRPr="0080737A" w:rsidTr="006808A1">
        <w:trPr>
          <w:trHeight w:val="272"/>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Фонд начисленной заработной платы</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187 102,5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161 723,4</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86,4</w:t>
            </w:r>
          </w:p>
        </w:tc>
      </w:tr>
      <w:tr w:rsidR="00D212FF" w:rsidRPr="0080737A" w:rsidTr="006808A1">
        <w:trPr>
          <w:trHeight w:val="426"/>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Среднемесячная номинальная начисленная заработная плата одного работника</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3 158,8</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3 056,3</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96,8</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Доход от продаж (выручка)</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left="-94" w:right="-138"/>
              <w:rPr>
                <w:rFonts w:ascii="Times New Roman" w:hAnsi="Times New Roman"/>
                <w:sz w:val="24"/>
                <w:szCs w:val="24"/>
              </w:rPr>
            </w:pPr>
            <w:r w:rsidRPr="0080737A">
              <w:rPr>
                <w:rFonts w:ascii="Times New Roman" w:hAnsi="Times New Roman"/>
                <w:sz w:val="24"/>
                <w:szCs w:val="24"/>
              </w:rPr>
              <w:t>1 514 801,9</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left="-78" w:right="-153"/>
              <w:jc w:val="center"/>
              <w:rPr>
                <w:rFonts w:ascii="Times New Roman" w:hAnsi="Times New Roman"/>
                <w:sz w:val="24"/>
                <w:szCs w:val="24"/>
              </w:rPr>
            </w:pPr>
            <w:r w:rsidRPr="0080737A">
              <w:rPr>
                <w:rFonts w:ascii="Times New Roman" w:hAnsi="Times New Roman"/>
                <w:sz w:val="24"/>
                <w:szCs w:val="24"/>
              </w:rPr>
              <w:t>1 450 219,1</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95,7</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из него по основным видам деятельности:</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808080"/>
                <w:sz w:val="24"/>
                <w:szCs w:val="24"/>
              </w:rPr>
            </w:pP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808080"/>
                <w:sz w:val="24"/>
                <w:szCs w:val="24"/>
              </w:rPr>
            </w:pP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color w:val="808080"/>
                <w:sz w:val="24"/>
                <w:szCs w:val="24"/>
              </w:rPr>
            </w:pP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промышленность</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168 159,7</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129 286,4</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76,9</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сельское хозяйство</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136 607,5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121 122,5</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88,7</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транспорт</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40 732,5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33 092,0</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81,2</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строительство</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100 298,4</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67 649,0</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67,4</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торговля и общепит</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left="-94" w:right="-138"/>
              <w:jc w:val="center"/>
              <w:rPr>
                <w:rFonts w:ascii="Times New Roman" w:hAnsi="Times New Roman"/>
                <w:sz w:val="24"/>
                <w:szCs w:val="24"/>
              </w:rPr>
            </w:pPr>
            <w:r w:rsidRPr="0080737A">
              <w:rPr>
                <w:rFonts w:ascii="Times New Roman" w:hAnsi="Times New Roman"/>
                <w:sz w:val="24"/>
                <w:szCs w:val="24"/>
              </w:rPr>
              <w:t>927 691,2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left="-78" w:right="-153"/>
              <w:jc w:val="center"/>
              <w:rPr>
                <w:rFonts w:ascii="Times New Roman" w:hAnsi="Times New Roman"/>
                <w:sz w:val="24"/>
                <w:szCs w:val="24"/>
              </w:rPr>
            </w:pPr>
            <w:r w:rsidRPr="0080737A">
              <w:rPr>
                <w:rFonts w:ascii="Times New Roman" w:hAnsi="Times New Roman"/>
                <w:sz w:val="24"/>
                <w:szCs w:val="24"/>
              </w:rPr>
              <w:t>966 202,4</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104,2</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общая коммерческая деятельность</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23 142,8</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17 101,4</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73,9</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отдых и туризм</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10 085,0</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9 798,5</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97,2</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Объем розничного товарооборота</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left="-141"/>
              <w:jc w:val="center"/>
              <w:rPr>
                <w:rFonts w:ascii="Times New Roman" w:hAnsi="Times New Roman"/>
                <w:sz w:val="24"/>
                <w:szCs w:val="24"/>
              </w:rPr>
            </w:pPr>
            <w:r w:rsidRPr="0080737A">
              <w:rPr>
                <w:rFonts w:ascii="Times New Roman" w:hAnsi="Times New Roman"/>
                <w:sz w:val="24"/>
                <w:szCs w:val="24"/>
              </w:rPr>
              <w:t>365 334,3</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left="-135"/>
              <w:jc w:val="center"/>
              <w:rPr>
                <w:rFonts w:ascii="Times New Roman" w:hAnsi="Times New Roman"/>
                <w:sz w:val="24"/>
                <w:szCs w:val="24"/>
              </w:rPr>
            </w:pPr>
            <w:r w:rsidRPr="0080737A">
              <w:rPr>
                <w:rFonts w:ascii="Times New Roman" w:hAnsi="Times New Roman"/>
                <w:sz w:val="24"/>
                <w:szCs w:val="24"/>
              </w:rPr>
              <w:t>366 674,8</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100,4</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Объем платных услуг</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68 390,4</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65 015,7</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95,1</w:t>
            </w:r>
          </w:p>
        </w:tc>
      </w:tr>
      <w:tr w:rsidR="00D212FF" w:rsidRPr="0080737A" w:rsidTr="006808A1">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Инвестиции в основной капитал</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90 517,0</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47 593,2</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52,6</w:t>
            </w:r>
          </w:p>
        </w:tc>
      </w:tr>
      <w:tr w:rsidR="00D212FF" w:rsidRPr="0080737A" w:rsidTr="006808A1">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Платежи в бюджет и внебюджетные фонды (фактически внесено), в том числе:</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135 045,4</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125 425,3</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92,9</w:t>
            </w:r>
          </w:p>
        </w:tc>
      </w:tr>
      <w:tr w:rsidR="00D212FF" w:rsidRPr="0080737A" w:rsidTr="006808A1">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налог на доходы организаций</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51 393,5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46 567,2</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90,6</w:t>
            </w:r>
          </w:p>
        </w:tc>
      </w:tr>
      <w:tr w:rsidR="00D212FF" w:rsidRPr="0080737A" w:rsidTr="006808A1">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единый социальный налог</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42 819,3</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35 597,4</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83,1</w:t>
            </w:r>
          </w:p>
        </w:tc>
      </w:tr>
      <w:tr w:rsidR="00D212FF" w:rsidRPr="0080737A" w:rsidTr="006808A1">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подоходный налог с физических лиц</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13 113,3</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10 527,3</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80,3</w:t>
            </w:r>
          </w:p>
        </w:tc>
      </w:tr>
      <w:tr w:rsidR="00D212FF" w:rsidRPr="0080737A" w:rsidTr="006808A1">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земельный налог</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4 791,8</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5 519,1</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115,2</w:t>
            </w:r>
          </w:p>
        </w:tc>
      </w:tr>
      <w:tr w:rsidR="00D212FF" w:rsidRPr="00E25EC3" w:rsidTr="006808A1">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D212FF" w:rsidRPr="0080737A" w:rsidRDefault="00D212FF" w:rsidP="006808A1">
            <w:pPr>
              <w:spacing w:after="0" w:line="240" w:lineRule="auto"/>
              <w:ind w:right="-108"/>
              <w:rPr>
                <w:rFonts w:ascii="Times New Roman" w:hAnsi="Times New Roman"/>
                <w:color w:val="000000"/>
                <w:sz w:val="24"/>
                <w:szCs w:val="24"/>
              </w:rPr>
            </w:pPr>
            <w:r w:rsidRPr="0080737A">
              <w:rPr>
                <w:rFonts w:ascii="Times New Roman" w:hAnsi="Times New Roman"/>
                <w:color w:val="000000"/>
                <w:sz w:val="24"/>
                <w:szCs w:val="24"/>
              </w:rPr>
              <w:t>- акцизы</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color w:val="000000"/>
                <w:sz w:val="24"/>
                <w:szCs w:val="24"/>
              </w:rPr>
            </w:pPr>
            <w:r w:rsidRPr="0080737A">
              <w:rPr>
                <w:rFonts w:ascii="Times New Roman" w:hAnsi="Times New Roman"/>
                <w:color w:val="000000"/>
                <w:sz w:val="24"/>
                <w:szCs w:val="24"/>
              </w:rPr>
              <w:t>тыс.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1 772,3</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80737A" w:rsidRDefault="00D212FF" w:rsidP="006808A1">
            <w:pPr>
              <w:spacing w:after="0" w:line="240" w:lineRule="auto"/>
              <w:jc w:val="center"/>
              <w:rPr>
                <w:rFonts w:ascii="Times New Roman" w:hAnsi="Times New Roman"/>
                <w:sz w:val="24"/>
                <w:szCs w:val="24"/>
              </w:rPr>
            </w:pPr>
            <w:r w:rsidRPr="0080737A">
              <w:rPr>
                <w:rFonts w:ascii="Times New Roman" w:hAnsi="Times New Roman"/>
                <w:sz w:val="24"/>
                <w:szCs w:val="24"/>
              </w:rPr>
              <w:t>2 332,1</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D212FF" w:rsidRPr="00143F68" w:rsidRDefault="00D212FF" w:rsidP="006808A1">
            <w:pPr>
              <w:spacing w:after="0" w:line="240" w:lineRule="auto"/>
              <w:ind w:right="-108"/>
              <w:jc w:val="center"/>
              <w:rPr>
                <w:rFonts w:ascii="Times New Roman" w:hAnsi="Times New Roman"/>
                <w:sz w:val="24"/>
                <w:szCs w:val="24"/>
              </w:rPr>
            </w:pPr>
            <w:r w:rsidRPr="0080737A">
              <w:rPr>
                <w:rFonts w:ascii="Times New Roman" w:hAnsi="Times New Roman"/>
                <w:sz w:val="24"/>
                <w:szCs w:val="24"/>
              </w:rPr>
              <w:t>131,6</w:t>
            </w:r>
          </w:p>
        </w:tc>
      </w:tr>
    </w:tbl>
    <w:p w:rsidR="006F6442" w:rsidRDefault="006F6442" w:rsidP="00D212FF">
      <w:pPr>
        <w:spacing w:after="0" w:line="240" w:lineRule="auto"/>
        <w:ind w:firstLine="709"/>
        <w:jc w:val="right"/>
      </w:pPr>
    </w:p>
    <w:sectPr w:rsidR="006F6442" w:rsidSect="00E57013">
      <w:pgSz w:w="11906" w:h="16838"/>
      <w:pgMar w:top="1134" w:right="720"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08C" w:rsidRDefault="00CA508C" w:rsidP="0009759B">
      <w:pPr>
        <w:spacing w:after="0" w:line="240" w:lineRule="auto"/>
      </w:pPr>
      <w:r>
        <w:separator/>
      </w:r>
    </w:p>
  </w:endnote>
  <w:endnote w:type="continuationSeparator" w:id="1">
    <w:p w:rsidR="00CA508C" w:rsidRDefault="00CA508C" w:rsidP="000975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New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Robot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37A" w:rsidRDefault="00CA325B" w:rsidP="003F67B2">
    <w:pPr>
      <w:pStyle w:val="af2"/>
      <w:framePr w:wrap="around" w:vAnchor="text" w:hAnchor="margin" w:xAlign="right" w:y="1"/>
      <w:rPr>
        <w:rStyle w:val="af7"/>
      </w:rPr>
    </w:pPr>
    <w:r>
      <w:rPr>
        <w:rStyle w:val="af7"/>
      </w:rPr>
      <w:fldChar w:fldCharType="begin"/>
    </w:r>
    <w:r w:rsidR="0080737A">
      <w:rPr>
        <w:rStyle w:val="af7"/>
      </w:rPr>
      <w:instrText xml:space="preserve">PAGE  </w:instrText>
    </w:r>
    <w:r>
      <w:rPr>
        <w:rStyle w:val="af7"/>
      </w:rPr>
      <w:fldChar w:fldCharType="end"/>
    </w:r>
  </w:p>
  <w:p w:rsidR="0080737A" w:rsidRDefault="0080737A" w:rsidP="003F67B2">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37A" w:rsidRDefault="00CA325B" w:rsidP="003F67B2">
    <w:pPr>
      <w:pStyle w:val="af2"/>
      <w:framePr w:wrap="around" w:vAnchor="text" w:hAnchor="margin" w:xAlign="right" w:y="1"/>
      <w:rPr>
        <w:rStyle w:val="af7"/>
      </w:rPr>
    </w:pPr>
    <w:r>
      <w:rPr>
        <w:rStyle w:val="af7"/>
      </w:rPr>
      <w:fldChar w:fldCharType="begin"/>
    </w:r>
    <w:r w:rsidR="0080737A">
      <w:rPr>
        <w:rStyle w:val="af7"/>
      </w:rPr>
      <w:instrText xml:space="preserve">PAGE  </w:instrText>
    </w:r>
    <w:r>
      <w:rPr>
        <w:rStyle w:val="af7"/>
      </w:rPr>
      <w:fldChar w:fldCharType="separate"/>
    </w:r>
    <w:r w:rsidR="000E368B">
      <w:rPr>
        <w:rStyle w:val="af7"/>
        <w:noProof/>
      </w:rPr>
      <w:t>59</w:t>
    </w:r>
    <w:r>
      <w:rPr>
        <w:rStyle w:val="af7"/>
      </w:rPr>
      <w:fldChar w:fldCharType="end"/>
    </w:r>
  </w:p>
  <w:p w:rsidR="0080737A" w:rsidRDefault="0080737A" w:rsidP="003F67B2">
    <w:pPr>
      <w:pStyle w:val="af2"/>
      <w:ind w:right="360"/>
      <w:jc w:val="right"/>
    </w:pPr>
  </w:p>
  <w:p w:rsidR="0080737A" w:rsidRDefault="0080737A">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08C" w:rsidRDefault="00CA508C" w:rsidP="0009759B">
      <w:pPr>
        <w:spacing w:after="0" w:line="240" w:lineRule="auto"/>
      </w:pPr>
      <w:r>
        <w:separator/>
      </w:r>
    </w:p>
  </w:footnote>
  <w:footnote w:type="continuationSeparator" w:id="1">
    <w:p w:rsidR="00CA508C" w:rsidRDefault="00CA508C" w:rsidP="0009759B">
      <w:pPr>
        <w:spacing w:after="0" w:line="240" w:lineRule="auto"/>
      </w:pPr>
      <w:r>
        <w:continuationSeparator/>
      </w:r>
    </w:p>
  </w:footnote>
  <w:footnote w:id="2">
    <w:p w:rsidR="0080737A" w:rsidRPr="00445605" w:rsidRDefault="0080737A" w:rsidP="00445605">
      <w:pPr>
        <w:spacing w:after="0" w:line="240" w:lineRule="auto"/>
        <w:jc w:val="both"/>
        <w:rPr>
          <w:rFonts w:ascii="Times New Roman" w:hAnsi="Times New Roman"/>
          <w:sz w:val="26"/>
          <w:szCs w:val="26"/>
        </w:rPr>
      </w:pPr>
      <w:r>
        <w:rPr>
          <w:rStyle w:val="aff"/>
        </w:rPr>
        <w:footnoteRef/>
      </w:r>
      <w:r>
        <w:t xml:space="preserve"> </w:t>
      </w:r>
      <w:proofErr w:type="gramStart"/>
      <w:r w:rsidRPr="00015EB7">
        <w:rPr>
          <w:rFonts w:ascii="Times New Roman" w:hAnsi="Times New Roman"/>
          <w:sz w:val="18"/>
          <w:szCs w:val="18"/>
        </w:rPr>
        <w:t>к социальной категории населения относятся лица, оформившие в соответствии с законодательством Приднестровской Молдавской Республики право на льготы по оплате за услуги теплоснабжения, а также граждане Приднестровской Молдавской Республики пенсионного возраста (мужчины, достигшие возраста 60 лет, женщины – 55 лет), получающие пенсию в соответствии с законодательством Приднестровской Молдавской Республики, и лица, получающие в соответствии с законодательством Приднестровской Молдавской Республики пенсию по инвалидности</w:t>
      </w:r>
      <w:proofErr w:type="gramEnd"/>
      <w:r w:rsidRPr="00015EB7">
        <w:rPr>
          <w:rFonts w:ascii="Times New Roman" w:hAnsi="Times New Roman"/>
          <w:sz w:val="18"/>
          <w:szCs w:val="18"/>
        </w:rPr>
        <w:t xml:space="preserve">, </w:t>
      </w:r>
      <w:proofErr w:type="gramStart"/>
      <w:r w:rsidRPr="00015EB7">
        <w:rPr>
          <w:rFonts w:ascii="Times New Roman" w:hAnsi="Times New Roman"/>
          <w:sz w:val="18"/>
          <w:szCs w:val="18"/>
        </w:rPr>
        <w:t>включая имеющих постоянную прописку (регистрацию) на территории Российской Федерации или Украины; лица, имеющие официальный статус безработного; лица, получающие ежемесячное пособие по уходу за ребенком до достижения им возраста полутора лет; граждане, работающие в бюджетной сфере Приднестровской Молдавской Республики; дети до 18 лет; лица, которые являются единственным родителем до достижения ребенком 18 лет;</w:t>
      </w:r>
      <w:proofErr w:type="gramEnd"/>
      <w:r w:rsidRPr="00015EB7">
        <w:rPr>
          <w:rFonts w:ascii="Times New Roman" w:hAnsi="Times New Roman"/>
          <w:sz w:val="18"/>
          <w:szCs w:val="18"/>
        </w:rPr>
        <w:t xml:space="preserve"> студенты граждане Приднестровской Молдавской Республики, обучающиеся на дневном отделении организаций профессионального образования, имеющих лицензию и (или) аккредитацию Приднестровской Молдавской Республики.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E61"/>
    <w:multiLevelType w:val="hybridMultilevel"/>
    <w:tmpl w:val="B2F02A5C"/>
    <w:lvl w:ilvl="0" w:tplc="335825B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1531EB2"/>
    <w:multiLevelType w:val="hybridMultilevel"/>
    <w:tmpl w:val="7AA225A2"/>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
    <w:nsid w:val="24FB6EEF"/>
    <w:multiLevelType w:val="hybridMultilevel"/>
    <w:tmpl w:val="A3C8D568"/>
    <w:lvl w:ilvl="0" w:tplc="9B0236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FC037DF"/>
    <w:multiLevelType w:val="hybridMultilevel"/>
    <w:tmpl w:val="80A0131C"/>
    <w:lvl w:ilvl="0" w:tplc="809EB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DC35656"/>
    <w:multiLevelType w:val="hybridMultilevel"/>
    <w:tmpl w:val="C7CEB3D4"/>
    <w:lvl w:ilvl="0" w:tplc="6010CF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5DC5D64"/>
    <w:multiLevelType w:val="hybridMultilevel"/>
    <w:tmpl w:val="1F48670A"/>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335844"/>
    <w:rsid w:val="00003EF6"/>
    <w:rsid w:val="00005D3C"/>
    <w:rsid w:val="00034BEF"/>
    <w:rsid w:val="000436F6"/>
    <w:rsid w:val="00047DAA"/>
    <w:rsid w:val="00057CA6"/>
    <w:rsid w:val="00071E07"/>
    <w:rsid w:val="0007541F"/>
    <w:rsid w:val="000806BE"/>
    <w:rsid w:val="0009396E"/>
    <w:rsid w:val="000943F5"/>
    <w:rsid w:val="0009759B"/>
    <w:rsid w:val="000A1502"/>
    <w:rsid w:val="000A3FF8"/>
    <w:rsid w:val="000D4F46"/>
    <w:rsid w:val="000D61DA"/>
    <w:rsid w:val="000E368B"/>
    <w:rsid w:val="0010352C"/>
    <w:rsid w:val="0012122B"/>
    <w:rsid w:val="00132C09"/>
    <w:rsid w:val="001354B7"/>
    <w:rsid w:val="00143836"/>
    <w:rsid w:val="00174F6B"/>
    <w:rsid w:val="00196C8F"/>
    <w:rsid w:val="001B363E"/>
    <w:rsid w:val="002153BA"/>
    <w:rsid w:val="002220CA"/>
    <w:rsid w:val="002230CC"/>
    <w:rsid w:val="002361A2"/>
    <w:rsid w:val="0025232B"/>
    <w:rsid w:val="002524A9"/>
    <w:rsid w:val="002610C6"/>
    <w:rsid w:val="00261469"/>
    <w:rsid w:val="002619F6"/>
    <w:rsid w:val="00281CC6"/>
    <w:rsid w:val="00282C86"/>
    <w:rsid w:val="00285C9F"/>
    <w:rsid w:val="002B1C01"/>
    <w:rsid w:val="002B7296"/>
    <w:rsid w:val="003028B7"/>
    <w:rsid w:val="0032086A"/>
    <w:rsid w:val="00335844"/>
    <w:rsid w:val="0035600F"/>
    <w:rsid w:val="003613E3"/>
    <w:rsid w:val="003733BF"/>
    <w:rsid w:val="00374268"/>
    <w:rsid w:val="00374673"/>
    <w:rsid w:val="003D7204"/>
    <w:rsid w:val="003F67B2"/>
    <w:rsid w:val="00400095"/>
    <w:rsid w:val="00406BFA"/>
    <w:rsid w:val="00415F99"/>
    <w:rsid w:val="0041685A"/>
    <w:rsid w:val="00437D0D"/>
    <w:rsid w:val="0044462C"/>
    <w:rsid w:val="00445605"/>
    <w:rsid w:val="00460A09"/>
    <w:rsid w:val="004642A8"/>
    <w:rsid w:val="00475A52"/>
    <w:rsid w:val="004839A0"/>
    <w:rsid w:val="004905EE"/>
    <w:rsid w:val="0049074B"/>
    <w:rsid w:val="00494A9C"/>
    <w:rsid w:val="0049581A"/>
    <w:rsid w:val="004A339A"/>
    <w:rsid w:val="004B6D4D"/>
    <w:rsid w:val="004C5F3F"/>
    <w:rsid w:val="004D494D"/>
    <w:rsid w:val="005018DA"/>
    <w:rsid w:val="005074C0"/>
    <w:rsid w:val="00513069"/>
    <w:rsid w:val="00546808"/>
    <w:rsid w:val="00557D3D"/>
    <w:rsid w:val="00590F6F"/>
    <w:rsid w:val="005B2F7C"/>
    <w:rsid w:val="005B5A6A"/>
    <w:rsid w:val="005C0F1D"/>
    <w:rsid w:val="005C20B9"/>
    <w:rsid w:val="005C2655"/>
    <w:rsid w:val="005F519F"/>
    <w:rsid w:val="005F7704"/>
    <w:rsid w:val="0063092C"/>
    <w:rsid w:val="00641EB5"/>
    <w:rsid w:val="00652529"/>
    <w:rsid w:val="00667003"/>
    <w:rsid w:val="006808A1"/>
    <w:rsid w:val="00682EED"/>
    <w:rsid w:val="00690DBF"/>
    <w:rsid w:val="006A29F1"/>
    <w:rsid w:val="006B78FA"/>
    <w:rsid w:val="006C3634"/>
    <w:rsid w:val="006C5665"/>
    <w:rsid w:val="006D1DEF"/>
    <w:rsid w:val="006D561B"/>
    <w:rsid w:val="006D713A"/>
    <w:rsid w:val="006F4E1E"/>
    <w:rsid w:val="006F6442"/>
    <w:rsid w:val="00703FA6"/>
    <w:rsid w:val="00716471"/>
    <w:rsid w:val="00722024"/>
    <w:rsid w:val="007316BD"/>
    <w:rsid w:val="0073305E"/>
    <w:rsid w:val="00747D66"/>
    <w:rsid w:val="00787577"/>
    <w:rsid w:val="00793E36"/>
    <w:rsid w:val="007A2EE2"/>
    <w:rsid w:val="007A78C2"/>
    <w:rsid w:val="007B14B0"/>
    <w:rsid w:val="007D50AD"/>
    <w:rsid w:val="007E3799"/>
    <w:rsid w:val="008022A1"/>
    <w:rsid w:val="00804C13"/>
    <w:rsid w:val="0080737A"/>
    <w:rsid w:val="00825523"/>
    <w:rsid w:val="00830EBC"/>
    <w:rsid w:val="00834CD9"/>
    <w:rsid w:val="008423D7"/>
    <w:rsid w:val="00860F21"/>
    <w:rsid w:val="008623ED"/>
    <w:rsid w:val="00862B36"/>
    <w:rsid w:val="00872ACE"/>
    <w:rsid w:val="00885F05"/>
    <w:rsid w:val="008B5D6A"/>
    <w:rsid w:val="008B5F4B"/>
    <w:rsid w:val="008B783B"/>
    <w:rsid w:val="008C68B8"/>
    <w:rsid w:val="008C7AFF"/>
    <w:rsid w:val="008D41F7"/>
    <w:rsid w:val="008E524B"/>
    <w:rsid w:val="008F70F5"/>
    <w:rsid w:val="00901829"/>
    <w:rsid w:val="00905FE6"/>
    <w:rsid w:val="00932EF0"/>
    <w:rsid w:val="00937826"/>
    <w:rsid w:val="00940B2E"/>
    <w:rsid w:val="00950524"/>
    <w:rsid w:val="009717AC"/>
    <w:rsid w:val="0097216C"/>
    <w:rsid w:val="009832EC"/>
    <w:rsid w:val="009843C8"/>
    <w:rsid w:val="0098695D"/>
    <w:rsid w:val="009A2013"/>
    <w:rsid w:val="009A50F2"/>
    <w:rsid w:val="009C762B"/>
    <w:rsid w:val="009E1383"/>
    <w:rsid w:val="009E463D"/>
    <w:rsid w:val="00A06803"/>
    <w:rsid w:val="00A218CA"/>
    <w:rsid w:val="00A23F62"/>
    <w:rsid w:val="00A278C2"/>
    <w:rsid w:val="00A471FD"/>
    <w:rsid w:val="00A57742"/>
    <w:rsid w:val="00A61992"/>
    <w:rsid w:val="00A6315E"/>
    <w:rsid w:val="00A82107"/>
    <w:rsid w:val="00A923D4"/>
    <w:rsid w:val="00AD364E"/>
    <w:rsid w:val="00AD50BA"/>
    <w:rsid w:val="00AF2A6E"/>
    <w:rsid w:val="00AF42F2"/>
    <w:rsid w:val="00B0566B"/>
    <w:rsid w:val="00B202D2"/>
    <w:rsid w:val="00B2311D"/>
    <w:rsid w:val="00B24C6D"/>
    <w:rsid w:val="00B27C8B"/>
    <w:rsid w:val="00B3408A"/>
    <w:rsid w:val="00B34F82"/>
    <w:rsid w:val="00B5001E"/>
    <w:rsid w:val="00B531A1"/>
    <w:rsid w:val="00B54282"/>
    <w:rsid w:val="00B638E6"/>
    <w:rsid w:val="00B82901"/>
    <w:rsid w:val="00B830EB"/>
    <w:rsid w:val="00B9157B"/>
    <w:rsid w:val="00B953F1"/>
    <w:rsid w:val="00B96ECC"/>
    <w:rsid w:val="00BA4E82"/>
    <w:rsid w:val="00BB3679"/>
    <w:rsid w:val="00BB569E"/>
    <w:rsid w:val="00BC044C"/>
    <w:rsid w:val="00BC7E62"/>
    <w:rsid w:val="00BE10AA"/>
    <w:rsid w:val="00BE10EB"/>
    <w:rsid w:val="00BE3886"/>
    <w:rsid w:val="00C27E68"/>
    <w:rsid w:val="00C34F7A"/>
    <w:rsid w:val="00C61F2E"/>
    <w:rsid w:val="00C84F2A"/>
    <w:rsid w:val="00C85BAC"/>
    <w:rsid w:val="00C92DA9"/>
    <w:rsid w:val="00C94C0B"/>
    <w:rsid w:val="00CA1A34"/>
    <w:rsid w:val="00CA325B"/>
    <w:rsid w:val="00CA508C"/>
    <w:rsid w:val="00CB3639"/>
    <w:rsid w:val="00CB4025"/>
    <w:rsid w:val="00CC2D9B"/>
    <w:rsid w:val="00CD1894"/>
    <w:rsid w:val="00CE11FA"/>
    <w:rsid w:val="00CE1DEA"/>
    <w:rsid w:val="00CF6691"/>
    <w:rsid w:val="00D212FF"/>
    <w:rsid w:val="00D25279"/>
    <w:rsid w:val="00D34FAD"/>
    <w:rsid w:val="00D54854"/>
    <w:rsid w:val="00D57ABD"/>
    <w:rsid w:val="00D73ED0"/>
    <w:rsid w:val="00D75287"/>
    <w:rsid w:val="00D80FCA"/>
    <w:rsid w:val="00DB2613"/>
    <w:rsid w:val="00DC6DB7"/>
    <w:rsid w:val="00DD0B3F"/>
    <w:rsid w:val="00DE06AD"/>
    <w:rsid w:val="00DE0C53"/>
    <w:rsid w:val="00E20379"/>
    <w:rsid w:val="00E26FAD"/>
    <w:rsid w:val="00E27A44"/>
    <w:rsid w:val="00E57013"/>
    <w:rsid w:val="00E66F58"/>
    <w:rsid w:val="00E7353B"/>
    <w:rsid w:val="00E96746"/>
    <w:rsid w:val="00EA4BE3"/>
    <w:rsid w:val="00EC5931"/>
    <w:rsid w:val="00EF1960"/>
    <w:rsid w:val="00EF7D3C"/>
    <w:rsid w:val="00F0250D"/>
    <w:rsid w:val="00F05AE5"/>
    <w:rsid w:val="00F167DC"/>
    <w:rsid w:val="00F1795B"/>
    <w:rsid w:val="00F34FEB"/>
    <w:rsid w:val="00F37A47"/>
    <w:rsid w:val="00F600B6"/>
    <w:rsid w:val="00F83CB3"/>
    <w:rsid w:val="00F9060E"/>
    <w:rsid w:val="00FA59F9"/>
    <w:rsid w:val="00FB5017"/>
    <w:rsid w:val="00FC3D67"/>
    <w:rsid w:val="00FD446C"/>
    <w:rsid w:val="00FE50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844"/>
    <w:rPr>
      <w:rFonts w:ascii="Calibri" w:eastAsia="Times New Roman" w:hAnsi="Calibri" w:cs="Times New Roman"/>
      <w:lang w:eastAsia="ru-RU"/>
    </w:rPr>
  </w:style>
  <w:style w:type="paragraph" w:styleId="1">
    <w:name w:val="heading 1"/>
    <w:basedOn w:val="a"/>
    <w:next w:val="a"/>
    <w:link w:val="10"/>
    <w:uiPriority w:val="99"/>
    <w:qFormat/>
    <w:rsid w:val="00335844"/>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33584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335844"/>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5844"/>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335844"/>
    <w:rPr>
      <w:rFonts w:ascii="Cambria" w:eastAsia="Times New Roman" w:hAnsi="Cambria" w:cs="Times New Roman"/>
      <w:b/>
      <w:bCs/>
      <w:color w:val="4F81BD"/>
    </w:rPr>
  </w:style>
  <w:style w:type="character" w:customStyle="1" w:styleId="40">
    <w:name w:val="Заголовок 4 Знак"/>
    <w:basedOn w:val="a0"/>
    <w:link w:val="4"/>
    <w:uiPriority w:val="99"/>
    <w:rsid w:val="00335844"/>
    <w:rPr>
      <w:rFonts w:ascii="Times New Roman" w:eastAsia="Times New Roman" w:hAnsi="Times New Roman" w:cs="Times New Roman"/>
      <w:b/>
      <w:bCs/>
      <w:sz w:val="28"/>
      <w:szCs w:val="28"/>
    </w:rPr>
  </w:style>
  <w:style w:type="character" w:styleId="a3">
    <w:name w:val="Hyperlink"/>
    <w:uiPriority w:val="99"/>
    <w:rsid w:val="00335844"/>
    <w:rPr>
      <w:rFonts w:cs="Times New Roman"/>
      <w:color w:val="0000FF"/>
      <w:u w:val="single"/>
    </w:rPr>
  </w:style>
  <w:style w:type="paragraph" w:styleId="a4">
    <w:name w:val="No Spacing"/>
    <w:link w:val="a5"/>
    <w:uiPriority w:val="1"/>
    <w:qFormat/>
    <w:rsid w:val="00335844"/>
    <w:pPr>
      <w:spacing w:after="0" w:line="240" w:lineRule="auto"/>
      <w:ind w:firstLine="709"/>
      <w:jc w:val="both"/>
    </w:pPr>
    <w:rPr>
      <w:rFonts w:ascii="Times New Roman" w:eastAsia="Times New Roman" w:hAnsi="Times New Roman" w:cs="Times New Roman"/>
      <w:sz w:val="24"/>
      <w:lang w:eastAsia="ru-RU"/>
    </w:rPr>
  </w:style>
  <w:style w:type="character" w:customStyle="1" w:styleId="a5">
    <w:name w:val="Без интервала Знак"/>
    <w:link w:val="a4"/>
    <w:uiPriority w:val="99"/>
    <w:locked/>
    <w:rsid w:val="00335844"/>
    <w:rPr>
      <w:rFonts w:ascii="Times New Roman" w:eastAsia="Times New Roman" w:hAnsi="Times New Roman" w:cs="Times New Roman"/>
      <w:sz w:val="24"/>
      <w:lang w:eastAsia="ru-RU"/>
    </w:rPr>
  </w:style>
  <w:style w:type="paragraph" w:styleId="a6">
    <w:name w:val="List Paragraph"/>
    <w:basedOn w:val="a"/>
    <w:uiPriority w:val="34"/>
    <w:qFormat/>
    <w:rsid w:val="00335844"/>
    <w:pPr>
      <w:ind w:left="720"/>
      <w:contextualSpacing/>
    </w:pPr>
  </w:style>
  <w:style w:type="paragraph" w:styleId="a7">
    <w:name w:val="Balloon Text"/>
    <w:basedOn w:val="a"/>
    <w:link w:val="a8"/>
    <w:uiPriority w:val="99"/>
    <w:semiHidden/>
    <w:rsid w:val="00335844"/>
    <w:pPr>
      <w:spacing w:after="0" w:line="240" w:lineRule="auto"/>
    </w:pPr>
    <w:rPr>
      <w:rFonts w:ascii="Tahoma" w:hAnsi="Tahoma"/>
      <w:sz w:val="16"/>
      <w:szCs w:val="16"/>
    </w:rPr>
  </w:style>
  <w:style w:type="character" w:customStyle="1" w:styleId="a8">
    <w:name w:val="Текст выноски Знак"/>
    <w:basedOn w:val="a0"/>
    <w:link w:val="a7"/>
    <w:uiPriority w:val="99"/>
    <w:semiHidden/>
    <w:rsid w:val="00335844"/>
    <w:rPr>
      <w:rFonts w:ascii="Tahoma" w:eastAsia="Times New Roman" w:hAnsi="Tahoma" w:cs="Times New Roman"/>
      <w:sz w:val="16"/>
      <w:szCs w:val="16"/>
    </w:rPr>
  </w:style>
  <w:style w:type="paragraph" w:customStyle="1" w:styleId="2">
    <w:name w:val="сновной текст с отступом 2"/>
    <w:basedOn w:val="a"/>
    <w:uiPriority w:val="99"/>
    <w:rsid w:val="00335844"/>
    <w:pPr>
      <w:widowControl w:val="0"/>
      <w:spacing w:after="0" w:line="240" w:lineRule="auto"/>
      <w:ind w:firstLine="720"/>
      <w:jc w:val="both"/>
    </w:pPr>
    <w:rPr>
      <w:rFonts w:ascii="Times New Roman" w:hAnsi="Times New Roman"/>
      <w:sz w:val="26"/>
      <w:szCs w:val="20"/>
    </w:rPr>
  </w:style>
  <w:style w:type="paragraph" w:styleId="20">
    <w:name w:val="Body Text Indent 2"/>
    <w:basedOn w:val="a"/>
    <w:link w:val="21"/>
    <w:uiPriority w:val="99"/>
    <w:semiHidden/>
    <w:rsid w:val="00335844"/>
    <w:pPr>
      <w:spacing w:after="120" w:line="480" w:lineRule="auto"/>
      <w:ind w:left="283"/>
    </w:pPr>
  </w:style>
  <w:style w:type="character" w:customStyle="1" w:styleId="21">
    <w:name w:val="Основной текст с отступом 2 Знак"/>
    <w:basedOn w:val="a0"/>
    <w:link w:val="20"/>
    <w:uiPriority w:val="99"/>
    <w:semiHidden/>
    <w:rsid w:val="00335844"/>
    <w:rPr>
      <w:rFonts w:ascii="Calibri" w:eastAsia="Times New Roman" w:hAnsi="Calibri" w:cs="Times New Roman"/>
    </w:rPr>
  </w:style>
  <w:style w:type="paragraph" w:styleId="31">
    <w:name w:val="Body Text Indent 3"/>
    <w:basedOn w:val="a"/>
    <w:link w:val="32"/>
    <w:uiPriority w:val="99"/>
    <w:semiHidden/>
    <w:rsid w:val="00335844"/>
    <w:pPr>
      <w:spacing w:after="120"/>
      <w:ind w:left="283"/>
    </w:pPr>
    <w:rPr>
      <w:sz w:val="16"/>
      <w:szCs w:val="16"/>
    </w:rPr>
  </w:style>
  <w:style w:type="character" w:customStyle="1" w:styleId="32">
    <w:name w:val="Основной текст с отступом 3 Знак"/>
    <w:basedOn w:val="a0"/>
    <w:link w:val="31"/>
    <w:uiPriority w:val="99"/>
    <w:semiHidden/>
    <w:rsid w:val="00335844"/>
    <w:rPr>
      <w:rFonts w:ascii="Calibri" w:eastAsia="Times New Roman" w:hAnsi="Calibri" w:cs="Times New Roman"/>
      <w:sz w:val="16"/>
      <w:szCs w:val="16"/>
    </w:rPr>
  </w:style>
  <w:style w:type="character" w:customStyle="1" w:styleId="FontStyle186">
    <w:name w:val="Font Style186"/>
    <w:uiPriority w:val="99"/>
    <w:rsid w:val="00335844"/>
    <w:rPr>
      <w:rFonts w:ascii="Sylfaen" w:hAnsi="Sylfaen" w:cs="Sylfaen"/>
      <w:i/>
      <w:iCs/>
      <w:spacing w:val="-10"/>
      <w:sz w:val="22"/>
      <w:szCs w:val="22"/>
    </w:rPr>
  </w:style>
  <w:style w:type="character" w:customStyle="1" w:styleId="FontStyle183">
    <w:name w:val="Font Style183"/>
    <w:rsid w:val="00335844"/>
    <w:rPr>
      <w:rFonts w:ascii="Sylfaen" w:hAnsi="Sylfaen" w:cs="Sylfaen"/>
      <w:sz w:val="20"/>
      <w:szCs w:val="20"/>
    </w:rPr>
  </w:style>
  <w:style w:type="paragraph" w:customStyle="1" w:styleId="Style26">
    <w:name w:val="Style26"/>
    <w:basedOn w:val="a"/>
    <w:rsid w:val="00335844"/>
    <w:pPr>
      <w:widowControl w:val="0"/>
      <w:autoSpaceDE w:val="0"/>
      <w:autoSpaceDN w:val="0"/>
      <w:adjustRightInd w:val="0"/>
      <w:spacing w:after="0" w:line="289" w:lineRule="exact"/>
      <w:ind w:firstLine="432"/>
      <w:jc w:val="both"/>
    </w:pPr>
    <w:rPr>
      <w:rFonts w:ascii="Sylfaen" w:hAnsi="Sylfaen"/>
      <w:sz w:val="24"/>
      <w:szCs w:val="24"/>
    </w:rPr>
  </w:style>
  <w:style w:type="paragraph" w:customStyle="1" w:styleId="11">
    <w:name w:val="Без интервала1"/>
    <w:rsid w:val="00335844"/>
    <w:pPr>
      <w:spacing w:after="0" w:line="240" w:lineRule="auto"/>
    </w:pPr>
    <w:rPr>
      <w:rFonts w:ascii="Calibri" w:eastAsia="Times New Roman" w:hAnsi="Calibri" w:cs="Times New Roman"/>
      <w:lang w:eastAsia="ru-RU"/>
    </w:rPr>
  </w:style>
  <w:style w:type="paragraph" w:styleId="22">
    <w:name w:val="Body Text 2"/>
    <w:basedOn w:val="a"/>
    <w:link w:val="23"/>
    <w:rsid w:val="00335844"/>
    <w:pPr>
      <w:spacing w:after="120" w:line="480" w:lineRule="auto"/>
    </w:pPr>
  </w:style>
  <w:style w:type="character" w:customStyle="1" w:styleId="23">
    <w:name w:val="Основной текст 2 Знак"/>
    <w:basedOn w:val="a0"/>
    <w:link w:val="22"/>
    <w:rsid w:val="00335844"/>
    <w:rPr>
      <w:rFonts w:ascii="Calibri" w:eastAsia="Times New Roman" w:hAnsi="Calibri" w:cs="Times New Roman"/>
    </w:rPr>
  </w:style>
  <w:style w:type="paragraph" w:styleId="a9">
    <w:name w:val="caption"/>
    <w:basedOn w:val="a"/>
    <w:next w:val="a"/>
    <w:uiPriority w:val="35"/>
    <w:qFormat/>
    <w:rsid w:val="00335844"/>
    <w:pPr>
      <w:spacing w:line="240" w:lineRule="auto"/>
    </w:pPr>
    <w:rPr>
      <w:b/>
      <w:bCs/>
      <w:color w:val="4F81BD"/>
      <w:sz w:val="18"/>
      <w:szCs w:val="18"/>
    </w:rPr>
  </w:style>
  <w:style w:type="paragraph" w:styleId="aa">
    <w:name w:val="Plain Text"/>
    <w:aliases w:val="Текст Знак1 Знак,Текст Знак Знак Знак,Знак Знак Знак Знак,Знак,Текст Знак1,Знак Знак Знак,Текст Знак2,Знак Знак Знак Знак1,Текст Знак1 Знак1 Знак,Текст Знак Знак Знак1 Знак,Текст Знак Знак1,Текст Знак2 Знак Знак1,Зн,Зна, Знак,Текст Знак Знак"/>
    <w:basedOn w:val="a"/>
    <w:link w:val="33"/>
    <w:rsid w:val="00335844"/>
    <w:pPr>
      <w:spacing w:after="0" w:line="240" w:lineRule="auto"/>
    </w:pPr>
    <w:rPr>
      <w:rFonts w:ascii="Courier New" w:hAnsi="Courier New"/>
      <w:sz w:val="20"/>
      <w:szCs w:val="20"/>
    </w:rPr>
  </w:style>
  <w:style w:type="character" w:customStyle="1" w:styleId="33">
    <w:name w:val="Текст Знак3"/>
    <w:aliases w:val="Текст Знак1 Знак Знак,Текст Знак Знак Знак Знак,Знак Знак Знак Знак Знак,Знак Знак,Текст Знак1 Знак1,Знак Знак Знак Знак2,Текст Знак2 Знак,Знак Знак Знак Знак1 Знак,Текст Знак1 Знак1 Знак Знак,Текст Знак Знак Знак1 Знак Знак,Зн Знак,Зна Знак"/>
    <w:link w:val="aa"/>
    <w:locked/>
    <w:rsid w:val="00335844"/>
    <w:rPr>
      <w:rFonts w:ascii="Courier New" w:eastAsia="Times New Roman" w:hAnsi="Courier New" w:cs="Times New Roman"/>
      <w:sz w:val="20"/>
      <w:szCs w:val="20"/>
    </w:rPr>
  </w:style>
  <w:style w:type="character" w:customStyle="1" w:styleId="ab">
    <w:name w:val="Текст Знак"/>
    <w:basedOn w:val="a0"/>
    <w:rsid w:val="00335844"/>
    <w:rPr>
      <w:rFonts w:ascii="Consolas" w:eastAsia="Times New Roman" w:hAnsi="Consolas" w:cs="Times New Roman"/>
      <w:sz w:val="21"/>
      <w:szCs w:val="21"/>
      <w:lang w:eastAsia="ru-RU"/>
    </w:rPr>
  </w:style>
  <w:style w:type="character" w:customStyle="1" w:styleId="ac">
    <w:name w:val="Основной текст Знак"/>
    <w:aliases w:val="Знак3 Знак"/>
    <w:link w:val="ad"/>
    <w:locked/>
    <w:rsid w:val="00335844"/>
    <w:rPr>
      <w:rFonts w:cs="Times New Roman"/>
    </w:rPr>
  </w:style>
  <w:style w:type="paragraph" w:styleId="ad">
    <w:name w:val="Body Text"/>
    <w:aliases w:val="Знак3"/>
    <w:basedOn w:val="a"/>
    <w:link w:val="ac"/>
    <w:rsid w:val="00335844"/>
    <w:pPr>
      <w:spacing w:after="120" w:line="240" w:lineRule="auto"/>
    </w:pPr>
    <w:rPr>
      <w:rFonts w:asciiTheme="minorHAnsi" w:eastAsiaTheme="minorHAnsi" w:hAnsiTheme="minorHAnsi"/>
      <w:lang w:eastAsia="en-US"/>
    </w:rPr>
  </w:style>
  <w:style w:type="character" w:customStyle="1" w:styleId="12">
    <w:name w:val="Основной текст Знак1"/>
    <w:basedOn w:val="a0"/>
    <w:uiPriority w:val="99"/>
    <w:semiHidden/>
    <w:rsid w:val="00335844"/>
    <w:rPr>
      <w:rFonts w:ascii="Calibri" w:eastAsia="Times New Roman" w:hAnsi="Calibri" w:cs="Times New Roman"/>
      <w:lang w:eastAsia="ru-RU"/>
    </w:rPr>
  </w:style>
  <w:style w:type="character" w:customStyle="1" w:styleId="BodyTextChar1">
    <w:name w:val="Body Text Char1"/>
    <w:aliases w:val="Знак3 Char1"/>
    <w:uiPriority w:val="99"/>
    <w:semiHidden/>
    <w:rsid w:val="00335844"/>
    <w:rPr>
      <w:rFonts w:ascii="Calibri" w:hAnsi="Calibri"/>
    </w:rPr>
  </w:style>
  <w:style w:type="paragraph" w:customStyle="1" w:styleId="13">
    <w:name w:val="Обычный (веб)1"/>
    <w:basedOn w:val="a"/>
    <w:rsid w:val="00335844"/>
    <w:pPr>
      <w:spacing w:after="0" w:line="240" w:lineRule="auto"/>
    </w:pPr>
    <w:rPr>
      <w:rFonts w:ascii="Arial" w:hAnsi="Arial" w:cs="Arial"/>
      <w:sz w:val="24"/>
      <w:szCs w:val="24"/>
    </w:rPr>
  </w:style>
  <w:style w:type="paragraph" w:customStyle="1" w:styleId="ae">
    <w:name w:val="Нормальный"/>
    <w:basedOn w:val="a"/>
    <w:rsid w:val="00335844"/>
    <w:pPr>
      <w:spacing w:after="0" w:line="240" w:lineRule="auto"/>
      <w:jc w:val="both"/>
    </w:pPr>
    <w:rPr>
      <w:rFonts w:ascii="Times New Roman" w:hAnsi="Times New Roman"/>
      <w:sz w:val="28"/>
      <w:szCs w:val="20"/>
    </w:rPr>
  </w:style>
  <w:style w:type="character" w:customStyle="1" w:styleId="af">
    <w:name w:val="Основной текст_"/>
    <w:rsid w:val="00335844"/>
    <w:rPr>
      <w:rFonts w:ascii="Times New Roman" w:hAnsi="Times New Roman" w:cs="Times New Roman"/>
      <w:sz w:val="27"/>
      <w:szCs w:val="27"/>
      <w:u w:val="none"/>
    </w:rPr>
  </w:style>
  <w:style w:type="paragraph" w:styleId="af0">
    <w:name w:val="Normal (Web)"/>
    <w:aliases w:val="Обычный (веб) Знак1,Обычный (веб) Знак Знак,Знак Знак3,Знак4,Знак4 Знак Знак,Знак4 Знак,Обычный (Web)1,Обычный (веб) Знак Знак1,Знак Знак1 Знак,Обычный (веб) Знак Знак Знак,Знак Знак1 Знак Знак"/>
    <w:basedOn w:val="a"/>
    <w:link w:val="af1"/>
    <w:uiPriority w:val="99"/>
    <w:rsid w:val="00335844"/>
    <w:pPr>
      <w:spacing w:before="100" w:beforeAutospacing="1" w:after="100" w:afterAutospacing="1" w:line="240" w:lineRule="auto"/>
    </w:pPr>
    <w:rPr>
      <w:rFonts w:ascii="Times New Roman" w:hAnsi="Times New Roman"/>
      <w:sz w:val="24"/>
      <w:szCs w:val="24"/>
    </w:rPr>
  </w:style>
  <w:style w:type="character" w:customStyle="1" w:styleId="af1">
    <w:name w:val="Обычный (веб) Знак"/>
    <w:aliases w:val="Обычный (веб) Знак1 Знак1,Обычный (веб) Знак Знак Знак2,Знак Знак3 Знак1,Знак4 Знак2,Знак4 Знак Знак Знак1,Знак4 Знак Знак2,Обычный (Web)1 Знак1,Обычный (веб) Знак Знак1 Знак1,Знак Знак1 Знак Знак1,Обычный (веб) Знак Знак Знак Знак"/>
    <w:link w:val="af0"/>
    <w:rsid w:val="00335844"/>
    <w:rPr>
      <w:rFonts w:ascii="Times New Roman" w:eastAsia="Times New Roman" w:hAnsi="Times New Roman" w:cs="Times New Roman"/>
      <w:sz w:val="24"/>
      <w:szCs w:val="24"/>
    </w:rPr>
  </w:style>
  <w:style w:type="paragraph" w:styleId="af2">
    <w:name w:val="footer"/>
    <w:basedOn w:val="a"/>
    <w:link w:val="af3"/>
    <w:rsid w:val="00335844"/>
    <w:pPr>
      <w:tabs>
        <w:tab w:val="center" w:pos="4153"/>
        <w:tab w:val="right" w:pos="8306"/>
      </w:tabs>
      <w:spacing w:after="0" w:line="240" w:lineRule="auto"/>
    </w:pPr>
    <w:rPr>
      <w:rFonts w:ascii="Times New Roman" w:hAnsi="Times New Roman"/>
      <w:sz w:val="20"/>
      <w:szCs w:val="20"/>
    </w:rPr>
  </w:style>
  <w:style w:type="character" w:customStyle="1" w:styleId="af3">
    <w:name w:val="Нижний колонтитул Знак"/>
    <w:basedOn w:val="a0"/>
    <w:link w:val="af2"/>
    <w:rsid w:val="00335844"/>
    <w:rPr>
      <w:rFonts w:ascii="Times New Roman" w:eastAsia="Times New Roman" w:hAnsi="Times New Roman" w:cs="Times New Roman"/>
      <w:sz w:val="20"/>
      <w:szCs w:val="20"/>
    </w:rPr>
  </w:style>
  <w:style w:type="table" w:styleId="af4">
    <w:name w:val="Table Grid"/>
    <w:basedOn w:val="a1"/>
    <w:uiPriority w:val="59"/>
    <w:rsid w:val="0033584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Без интервала2"/>
    <w:rsid w:val="00335844"/>
    <w:pPr>
      <w:spacing w:after="0" w:line="240" w:lineRule="auto"/>
      <w:ind w:firstLine="709"/>
      <w:jc w:val="both"/>
    </w:pPr>
    <w:rPr>
      <w:rFonts w:ascii="Times New Roman" w:eastAsia="Times New Roman" w:hAnsi="Times New Roman" w:cs="Times New Roman"/>
      <w:sz w:val="24"/>
      <w:szCs w:val="24"/>
      <w:lang w:eastAsia="ru-RU"/>
    </w:rPr>
  </w:style>
  <w:style w:type="paragraph" w:styleId="af5">
    <w:name w:val="header"/>
    <w:basedOn w:val="a"/>
    <w:link w:val="af6"/>
    <w:uiPriority w:val="99"/>
    <w:semiHidden/>
    <w:rsid w:val="00335844"/>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335844"/>
    <w:rPr>
      <w:rFonts w:ascii="Calibri" w:eastAsia="Times New Roman" w:hAnsi="Calibri" w:cs="Times New Roman"/>
    </w:rPr>
  </w:style>
  <w:style w:type="character" w:styleId="af7">
    <w:name w:val="page number"/>
    <w:uiPriority w:val="99"/>
    <w:rsid w:val="00335844"/>
    <w:rPr>
      <w:rFonts w:cs="Times New Roman"/>
    </w:rPr>
  </w:style>
  <w:style w:type="paragraph" w:styleId="af8">
    <w:name w:val="Body Text Indent"/>
    <w:basedOn w:val="a"/>
    <w:link w:val="af9"/>
    <w:uiPriority w:val="99"/>
    <w:unhideWhenUsed/>
    <w:rsid w:val="00335844"/>
    <w:pPr>
      <w:spacing w:after="120"/>
      <w:ind w:left="283"/>
    </w:pPr>
    <w:rPr>
      <w:rFonts w:eastAsia="Calibri"/>
    </w:rPr>
  </w:style>
  <w:style w:type="character" w:customStyle="1" w:styleId="af9">
    <w:name w:val="Основной текст с отступом Знак"/>
    <w:basedOn w:val="a0"/>
    <w:link w:val="af8"/>
    <w:uiPriority w:val="99"/>
    <w:rsid w:val="00335844"/>
    <w:rPr>
      <w:rFonts w:ascii="Calibri" w:eastAsia="Calibri" w:hAnsi="Calibri" w:cs="Times New Roman"/>
    </w:rPr>
  </w:style>
  <w:style w:type="character" w:customStyle="1" w:styleId="34">
    <w:name w:val="Основной текст (3)_"/>
    <w:link w:val="35"/>
    <w:rsid w:val="00335844"/>
    <w:rPr>
      <w:b/>
      <w:bCs/>
      <w:sz w:val="27"/>
      <w:szCs w:val="27"/>
      <w:shd w:val="clear" w:color="auto" w:fill="FFFFFF"/>
    </w:rPr>
  </w:style>
  <w:style w:type="paragraph" w:customStyle="1" w:styleId="35">
    <w:name w:val="Основной текст (3)"/>
    <w:basedOn w:val="a"/>
    <w:link w:val="34"/>
    <w:rsid w:val="00335844"/>
    <w:pPr>
      <w:widowControl w:val="0"/>
      <w:shd w:val="clear" w:color="auto" w:fill="FFFFFF"/>
      <w:spacing w:after="0" w:line="322" w:lineRule="exact"/>
      <w:ind w:firstLine="580"/>
      <w:jc w:val="both"/>
    </w:pPr>
    <w:rPr>
      <w:rFonts w:asciiTheme="minorHAnsi" w:eastAsiaTheme="minorHAnsi" w:hAnsiTheme="minorHAnsi" w:cstheme="minorBidi"/>
      <w:b/>
      <w:bCs/>
      <w:sz w:val="27"/>
      <w:szCs w:val="27"/>
      <w:lang w:eastAsia="en-US"/>
    </w:rPr>
  </w:style>
  <w:style w:type="character" w:customStyle="1" w:styleId="afa">
    <w:name w:val="Подпись к таблице_"/>
    <w:link w:val="afb"/>
    <w:rsid w:val="00335844"/>
    <w:rPr>
      <w:b/>
      <w:bCs/>
      <w:sz w:val="27"/>
      <w:szCs w:val="27"/>
      <w:shd w:val="clear" w:color="auto" w:fill="FFFFFF"/>
    </w:rPr>
  </w:style>
  <w:style w:type="paragraph" w:customStyle="1" w:styleId="afb">
    <w:name w:val="Подпись к таблице"/>
    <w:basedOn w:val="a"/>
    <w:link w:val="afa"/>
    <w:rsid w:val="00335844"/>
    <w:pPr>
      <w:widowControl w:val="0"/>
      <w:shd w:val="clear" w:color="auto" w:fill="FFFFFF"/>
      <w:spacing w:after="0" w:line="240" w:lineRule="atLeast"/>
    </w:pPr>
    <w:rPr>
      <w:rFonts w:asciiTheme="minorHAnsi" w:eastAsiaTheme="minorHAnsi" w:hAnsiTheme="minorHAnsi" w:cstheme="minorBidi"/>
      <w:b/>
      <w:bCs/>
      <w:sz w:val="27"/>
      <w:szCs w:val="27"/>
      <w:lang w:eastAsia="en-US"/>
    </w:rPr>
  </w:style>
  <w:style w:type="paragraph" w:styleId="afc">
    <w:name w:val="Block Text"/>
    <w:basedOn w:val="a"/>
    <w:rsid w:val="00335844"/>
    <w:pPr>
      <w:widowControl w:val="0"/>
      <w:suppressAutoHyphens/>
      <w:snapToGrid w:val="0"/>
      <w:spacing w:after="0" w:line="240" w:lineRule="auto"/>
      <w:ind w:left="-32" w:right="-92"/>
      <w:jc w:val="center"/>
    </w:pPr>
    <w:rPr>
      <w:rFonts w:ascii="Times New Roman" w:hAnsi="Times New Roman"/>
      <w:b/>
      <w:sz w:val="20"/>
      <w:szCs w:val="20"/>
    </w:rPr>
  </w:style>
  <w:style w:type="table" w:customStyle="1" w:styleId="14">
    <w:name w:val="Сетка таблицы1"/>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
    <w:name w:val="Обычный (веб) Знак2"/>
    <w:aliases w:val="Обычный (веб)1 Знак,Обычный (веб) Знак Знак2,Обычный (веб) Знак1 Знак,Обычный (веб) Знак Знак Знак1,Знак Знак3 Знак,Знак4 Знак1,Знак4 Знак Знак Знак,Знак4 Знак Знак1,Обычный (Web)1 Знак,Обычный (веб) Знак Знак1 Знак"/>
    <w:locked/>
    <w:rsid w:val="003F67B2"/>
    <w:rPr>
      <w:rFonts w:ascii="Times New Roman" w:eastAsia="Times New Roman" w:hAnsi="Times New Roman" w:cs="Times New Roman"/>
      <w:sz w:val="24"/>
      <w:szCs w:val="24"/>
    </w:rPr>
  </w:style>
  <w:style w:type="paragraph" w:customStyle="1" w:styleId="37">
    <w:name w:val="Без интервала3"/>
    <w:rsid w:val="00F83CB3"/>
    <w:pPr>
      <w:spacing w:after="0" w:line="240" w:lineRule="auto"/>
    </w:pPr>
    <w:rPr>
      <w:rFonts w:ascii="Calibri" w:eastAsia="Times New Roman" w:hAnsi="Calibri" w:cs="Times New Roman"/>
      <w:lang w:eastAsia="ru-RU"/>
    </w:rPr>
  </w:style>
  <w:style w:type="character" w:customStyle="1" w:styleId="FontStyle32">
    <w:name w:val="Font Style32"/>
    <w:basedOn w:val="a0"/>
    <w:rsid w:val="00A82107"/>
    <w:rPr>
      <w:rFonts w:ascii="Times New Roman" w:hAnsi="Times New Roman" w:cs="Times New Roman"/>
      <w:sz w:val="22"/>
      <w:szCs w:val="22"/>
    </w:rPr>
  </w:style>
  <w:style w:type="paragraph" w:styleId="afd">
    <w:name w:val="footnote text"/>
    <w:basedOn w:val="a"/>
    <w:link w:val="afe"/>
    <w:uiPriority w:val="99"/>
    <w:semiHidden/>
    <w:unhideWhenUsed/>
    <w:rsid w:val="002610C6"/>
    <w:pPr>
      <w:spacing w:after="0" w:line="240" w:lineRule="auto"/>
    </w:pPr>
    <w:rPr>
      <w:sz w:val="20"/>
      <w:szCs w:val="20"/>
    </w:rPr>
  </w:style>
  <w:style w:type="character" w:customStyle="1" w:styleId="afe">
    <w:name w:val="Текст сноски Знак"/>
    <w:basedOn w:val="a0"/>
    <w:link w:val="afd"/>
    <w:uiPriority w:val="99"/>
    <w:semiHidden/>
    <w:rsid w:val="002610C6"/>
    <w:rPr>
      <w:rFonts w:ascii="Calibri" w:eastAsia="Times New Roman" w:hAnsi="Calibri" w:cs="Times New Roman"/>
      <w:sz w:val="20"/>
      <w:szCs w:val="20"/>
      <w:lang w:eastAsia="ru-RU"/>
    </w:rPr>
  </w:style>
  <w:style w:type="character" w:styleId="aff">
    <w:name w:val="footnote reference"/>
    <w:basedOn w:val="a0"/>
    <w:uiPriority w:val="99"/>
    <w:semiHidden/>
    <w:unhideWhenUsed/>
    <w:rsid w:val="002610C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chart" Target="charts/chart59.xml"/><Relationship Id="rId76" Type="http://schemas.openxmlformats.org/officeDocument/2006/relationships/chart" Target="charts/chart67.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62.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74" Type="http://schemas.openxmlformats.org/officeDocument/2006/relationships/chart" Target="charts/chart65.xml"/><Relationship Id="rId79" Type="http://schemas.openxmlformats.org/officeDocument/2006/relationships/chart" Target="charts/chart70.xml"/><Relationship Id="rId5" Type="http://schemas.openxmlformats.org/officeDocument/2006/relationships/webSettings" Target="webSettings.xml"/><Relationship Id="rId61" Type="http://schemas.openxmlformats.org/officeDocument/2006/relationships/chart" Target="charts/chart52.xml"/><Relationship Id="rId82" Type="http://schemas.openxmlformats.org/officeDocument/2006/relationships/chart" Target="charts/chart7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chart" Target="charts/chart68.xml"/><Relationship Id="rId8" Type="http://schemas.openxmlformats.org/officeDocument/2006/relationships/footer" Target="footer1.xml"/><Relationship Id="rId51" Type="http://schemas.openxmlformats.org/officeDocument/2006/relationships/chart" Target="charts/chart42.xml"/><Relationship Id="rId72" Type="http://schemas.openxmlformats.org/officeDocument/2006/relationships/chart" Target="charts/chart63.xml"/><Relationship Id="rId80" Type="http://schemas.openxmlformats.org/officeDocument/2006/relationships/chart" Target="charts/chart71.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4.jpeg"/><Relationship Id="rId6" Type="http://schemas.openxmlformats.org/officeDocument/2006/relationships/package" Target="../embeddings/_____Microsoft_Office_Excel25.xlsx"/><Relationship Id="rId5" Type="http://schemas.openxmlformats.org/officeDocument/2006/relationships/image" Target="../media/image7.jpeg"/><Relationship Id="rId4" Type="http://schemas.openxmlformats.org/officeDocument/2006/relationships/image" Target="../media/image6.jpeg"/></Relationships>
</file>

<file path=word/charts/_rels/chart2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4.jpeg"/><Relationship Id="rId6" Type="http://schemas.openxmlformats.org/officeDocument/2006/relationships/package" Target="../embeddings/_____Microsoft_Office_Excel26.xlsx"/><Relationship Id="rId5" Type="http://schemas.openxmlformats.org/officeDocument/2006/relationships/image" Target="../media/image7.jpeg"/><Relationship Id="rId4" Type="http://schemas.openxmlformats.org/officeDocument/2006/relationships/image" Target="../media/image6.jpeg"/></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40.xlsx"/><Relationship Id="rId1" Type="http://schemas.openxmlformats.org/officeDocument/2006/relationships/themeOverride" Target="../theme/themeOverride3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3.xm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themeOverride" Target="../theme/themeOverride34.xml"/><Relationship Id="rId6" Type="http://schemas.openxmlformats.org/officeDocument/2006/relationships/package" Target="../embeddings/_____Microsoft_Office_Excel44.xlsx"/><Relationship Id="rId5" Type="http://schemas.openxmlformats.org/officeDocument/2006/relationships/image" Target="../media/image11.jpeg"/><Relationship Id="rId4" Type="http://schemas.openxmlformats.org/officeDocument/2006/relationships/image" Target="../media/image10.jpeg"/></Relationships>
</file>

<file path=word/charts/_rels/chart4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themeOverride" Target="../theme/themeOverride35.xml"/><Relationship Id="rId6" Type="http://schemas.openxmlformats.org/officeDocument/2006/relationships/package" Target="../embeddings/_____Microsoft_Office_Excel45.xlsx"/><Relationship Id="rId5" Type="http://schemas.openxmlformats.org/officeDocument/2006/relationships/image" Target="../media/image11.jpeg"/><Relationship Id="rId4" Type="http://schemas.openxmlformats.org/officeDocument/2006/relationships/image" Target="../media/image10.jpeg"/></Relationships>
</file>

<file path=word/charts/_rels/chart46.xml.rels><?xml version="1.0" encoding="UTF-8" standalone="yes"?>
<Relationships xmlns="http://schemas.openxmlformats.org/package/2006/relationships"><Relationship Id="rId3" Type="http://schemas.openxmlformats.org/officeDocument/2006/relationships/package" Target="../embeddings/_____Microsoft_Office_Excel46.xlsx"/><Relationship Id="rId2" Type="http://schemas.openxmlformats.org/officeDocument/2006/relationships/image" Target="../media/image8.jpeg"/><Relationship Id="rId1" Type="http://schemas.openxmlformats.org/officeDocument/2006/relationships/themeOverride" Target="../theme/themeOverride3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Office_Excel47.xlsx"/><Relationship Id="rId2" Type="http://schemas.openxmlformats.org/officeDocument/2006/relationships/image" Target="../media/image8.jpeg"/><Relationship Id="rId1" Type="http://schemas.openxmlformats.org/officeDocument/2006/relationships/themeOverride" Target="../theme/themeOverride37.xm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image" Target="../media/image8.jpeg"/></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2.jpeg"/><Relationship Id="rId1" Type="http://schemas.openxmlformats.org/officeDocument/2006/relationships/themeOverride" Target="../theme/themeOverride41.xml"/><Relationship Id="rId4"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7.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8.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9.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5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2.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3.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4.xml"/></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6.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7.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8.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158292546408815"/>
          <c:y val="9.3609654084816307E-2"/>
          <c:w val="0.58734982332156682"/>
          <c:h val="0.49271517784416596"/>
        </c:manualLayout>
      </c:layout>
      <c:lineChart>
        <c:grouping val="standard"/>
        <c:ser>
          <c:idx val="0"/>
          <c:order val="0"/>
          <c:tx>
            <c:strRef>
              <c:f>Лист1!$B$1</c:f>
              <c:strCache>
                <c:ptCount val="1"/>
                <c:pt idx="0">
                  <c:v>Валовой внутренний продукт (в текущих ценах), млн. долл. США</c:v>
                </c:pt>
              </c:strCache>
            </c:strRef>
          </c:tx>
          <c:spPr>
            <a:ln>
              <a:solidFill>
                <a:schemeClr val="accent3">
                  <a:lumMod val="75000"/>
                </a:schemeClr>
              </a:solidFill>
            </a:ln>
          </c:spPr>
          <c:marker>
            <c:spPr>
              <a:ln cap="sq">
                <a:solidFill>
                  <a:schemeClr val="accent3">
                    <a:lumMod val="75000"/>
                  </a:schemeClr>
                </a:solidFill>
                <a:bevel/>
              </a:ln>
            </c:spPr>
          </c:marker>
          <c:dLbls>
            <c:dLbl>
              <c:idx val="0"/>
              <c:layout>
                <c:manualLayout>
                  <c:x val="3.4603607241402629E-3"/>
                  <c:y val="0.20796104794994624"/>
                </c:manualLayout>
              </c:layout>
              <c:tx>
                <c:rich>
                  <a:bodyPr/>
                  <a:lstStyle/>
                  <a:p>
                    <a:r>
                      <a:rPr lang="ru-RU" sz="800" b="1">
                        <a:latin typeface="Times New Roman" pitchFamily="18" charset="0"/>
                        <a:cs typeface="Times New Roman" pitchFamily="18" charset="0"/>
                      </a:rPr>
                      <a:t>-19,2%*</a:t>
                    </a:r>
                    <a:endParaRPr lang="en-US" sz="800" b="1">
                      <a:latin typeface="Times New Roman" pitchFamily="18" charset="0"/>
                      <a:cs typeface="Times New Roman" pitchFamily="18" charset="0"/>
                    </a:endParaRPr>
                  </a:p>
                </c:rich>
              </c:tx>
              <c:dLblPos val="t"/>
              <c:showVal val="1"/>
            </c:dLbl>
            <c:dLbl>
              <c:idx val="1"/>
              <c:layout>
                <c:manualLayout>
                  <c:x val="4.4936010470631636E-2"/>
                  <c:y val="0.11259114756480598"/>
                </c:manualLayout>
              </c:layout>
              <c:tx>
                <c:rich>
                  <a:bodyPr/>
                  <a:lstStyle/>
                  <a:p>
                    <a:r>
                      <a:rPr lang="ru-RU" sz="800" b="1">
                        <a:latin typeface="Times New Roman" pitchFamily="18" charset="0"/>
                        <a:cs typeface="Times New Roman" pitchFamily="18" charset="0"/>
                      </a:rPr>
                      <a:t>+17,6%*</a:t>
                    </a:r>
                  </a:p>
                  <a:p>
                    <a:endParaRPr lang="en-US" sz="800" b="1">
                      <a:latin typeface="Times New Roman" pitchFamily="18" charset="0"/>
                      <a:cs typeface="Times New Roman" pitchFamily="18" charset="0"/>
                    </a:endParaRPr>
                  </a:p>
                </c:rich>
              </c:tx>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Лист1!$A$2:$A$3</c:f>
              <c:strCache>
                <c:ptCount val="2"/>
                <c:pt idx="0">
                  <c:v>январь-июнь 2015 года</c:v>
                </c:pt>
                <c:pt idx="1">
                  <c:v>январь - июнь 2016 года</c:v>
                </c:pt>
              </c:strCache>
            </c:strRef>
          </c:cat>
          <c:val>
            <c:numRef>
              <c:f>Лист1!$B$2:$B$3</c:f>
              <c:numCache>
                <c:formatCode>#,##0.0</c:formatCode>
                <c:ptCount val="2"/>
                <c:pt idx="0">
                  <c:v>320.10000000000002</c:v>
                </c:pt>
                <c:pt idx="1">
                  <c:v>352.1</c:v>
                </c:pt>
              </c:numCache>
            </c:numRef>
          </c:val>
        </c:ser>
        <c:dLbls>
          <c:showVal val="1"/>
        </c:dLbls>
        <c:marker val="1"/>
        <c:axId val="89976192"/>
        <c:axId val="95913088"/>
      </c:lineChart>
      <c:catAx>
        <c:axId val="89976192"/>
        <c:scaling>
          <c:orientation val="minMax"/>
        </c:scaling>
        <c:axPos val="b"/>
        <c:tickLblPos val="nextTo"/>
        <c:crossAx val="95913088"/>
        <c:crosses val="autoZero"/>
        <c:auto val="1"/>
        <c:lblAlgn val="ctr"/>
        <c:lblOffset val="100"/>
      </c:catAx>
      <c:valAx>
        <c:axId val="95913088"/>
        <c:scaling>
          <c:orientation val="minMax"/>
          <c:min val="200"/>
        </c:scaling>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реальный прирост ВВП</a:t>
                </a:r>
              </a:p>
            </c:rich>
          </c:tx>
          <c:layout>
            <c:manualLayout>
              <c:xMode val="edge"/>
              <c:yMode val="edge"/>
              <c:x val="4.623164996119377E-2"/>
              <c:y val="0.3209821069636325"/>
            </c:manualLayout>
          </c:layout>
        </c:title>
        <c:numFmt formatCode="#,##0.0" sourceLinked="1"/>
        <c:tickLblPos val="nextTo"/>
        <c:txPr>
          <a:bodyPr/>
          <a:lstStyle/>
          <a:p>
            <a:pPr>
              <a:defRPr lang="ru-RU" b="1">
                <a:latin typeface="Times New Roman" pitchFamily="18" charset="0"/>
                <a:cs typeface="Times New Roman" pitchFamily="18" charset="0"/>
              </a:defRPr>
            </a:pPr>
            <a:endParaRPr lang="ru-RU"/>
          </a:p>
        </c:txPr>
        <c:crossAx val="89976192"/>
        <c:crosses val="autoZero"/>
        <c:crossBetween val="between"/>
        <c:majorUnit val="2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62">
                <a:latin typeface="Times New Roman" pitchFamily="18" charset="0"/>
                <a:cs typeface="Times New Roman" pitchFamily="18" charset="0"/>
              </a:defRPr>
            </a:pPr>
            <a:r>
              <a:rPr lang="ru-RU" sz="1100">
                <a:latin typeface="Times New Roman" pitchFamily="18" charset="0"/>
                <a:cs typeface="Times New Roman" pitchFamily="18" charset="0"/>
              </a:rPr>
              <a:t>Динамика валовой продукции сельского хозяйства</a:t>
            </a:r>
          </a:p>
        </c:rich>
      </c:tx>
      <c:layout>
        <c:manualLayout>
          <c:xMode val="edge"/>
          <c:yMode val="edge"/>
          <c:x val="0.30687436428172316"/>
          <c:y val="5.2500285290425733E-2"/>
        </c:manualLayout>
      </c:layout>
    </c:title>
    <c:plotArea>
      <c:layout/>
      <c:barChart>
        <c:barDir val="col"/>
        <c:grouping val="clustered"/>
        <c:ser>
          <c:idx val="0"/>
          <c:order val="0"/>
          <c:tx>
            <c:strRef>
              <c:f>Лист1!$B$1</c:f>
              <c:strCache>
                <c:ptCount val="1"/>
                <c:pt idx="0">
                  <c:v>Валовая продукция сельского хозяйства (во всех категориях хозяйств), млн. руб.</c:v>
                </c:pt>
              </c:strCache>
            </c:strRef>
          </c:tx>
          <c:dLbls>
            <c:dLbl>
              <c:idx val="0"/>
              <c:tx>
                <c:rich>
                  <a:bodyPr/>
                  <a:lstStyle/>
                  <a:p>
                    <a:r>
                      <a:rPr lang="ru-RU" sz="850" b="1">
                        <a:latin typeface="Times New Roman" pitchFamily="18" charset="0"/>
                        <a:cs typeface="Times New Roman" pitchFamily="18" charset="0"/>
                      </a:rPr>
                      <a:t>+12,1%*</a:t>
                    </a:r>
                    <a:endParaRPr lang="en-US" sz="850" b="1">
                      <a:latin typeface="Times New Roman" pitchFamily="18" charset="0"/>
                      <a:cs typeface="Times New Roman" pitchFamily="18" charset="0"/>
                    </a:endParaRPr>
                  </a:p>
                </c:rich>
              </c:tx>
              <c:dLblPos val="outEnd"/>
            </c:dLbl>
            <c:dLbl>
              <c:idx val="1"/>
              <c:tx>
                <c:rich>
                  <a:bodyPr/>
                  <a:lstStyle/>
                  <a:p>
                    <a:r>
                      <a:rPr lang="ru-RU" sz="850" b="1">
                        <a:latin typeface="Times New Roman" pitchFamily="18" charset="0"/>
                        <a:cs typeface="Times New Roman" pitchFamily="18" charset="0"/>
                      </a:rPr>
                      <a:t>-7,7%*</a:t>
                    </a:r>
                    <a:endParaRPr lang="en-US" sz="850" b="1">
                      <a:latin typeface="Times New Roman" pitchFamily="18" charset="0"/>
                      <a:cs typeface="Times New Roman" pitchFamily="18" charset="0"/>
                    </a:endParaRPr>
                  </a:p>
                </c:rich>
              </c:tx>
              <c:dLblPos val="outEnd"/>
            </c:dLbl>
            <c:txPr>
              <a:bodyPr/>
              <a:lstStyle/>
              <a:p>
                <a:pPr>
                  <a:defRPr sz="850" b="1">
                    <a:latin typeface="Times New Roman" pitchFamily="18" charset="0"/>
                    <a:cs typeface="Times New Roman" pitchFamily="18" charset="0"/>
                  </a:defRPr>
                </a:pPr>
                <a:endParaRPr lang="ru-RU"/>
              </a:p>
            </c:txPr>
            <c:dLblPos val="outEnd"/>
            <c:showVal val="1"/>
          </c:dLbls>
          <c:cat>
            <c:strRef>
              <c:f>Лист1!$A$2:$A$3</c:f>
              <c:strCache>
                <c:ptCount val="2"/>
                <c:pt idx="0">
                  <c:v>январь-июнь 2015 года</c:v>
                </c:pt>
                <c:pt idx="1">
                  <c:v>январь-июнь 2016 года</c:v>
                </c:pt>
              </c:strCache>
            </c:strRef>
          </c:cat>
          <c:val>
            <c:numRef>
              <c:f>Лист1!$B$2:$B$3</c:f>
              <c:numCache>
                <c:formatCode>General</c:formatCode>
                <c:ptCount val="2"/>
                <c:pt idx="0">
                  <c:v>438.9</c:v>
                </c:pt>
                <c:pt idx="1">
                  <c:v>316.39999999999969</c:v>
                </c:pt>
              </c:numCache>
            </c:numRef>
          </c:val>
        </c:ser>
        <c:dLbls>
          <c:showVal val="1"/>
        </c:dLbls>
        <c:axId val="97782016"/>
        <c:axId val="98041856"/>
      </c:barChart>
      <c:catAx>
        <c:axId val="97782016"/>
        <c:scaling>
          <c:orientation val="minMax"/>
        </c:scaling>
        <c:axPos val="b"/>
        <c:numFmt formatCode="General" sourceLinked="1"/>
        <c:tickLblPos val="nextTo"/>
        <c:crossAx val="98041856"/>
        <c:crosses val="autoZero"/>
        <c:auto val="1"/>
        <c:lblAlgn val="ctr"/>
        <c:lblOffset val="100"/>
      </c:catAx>
      <c:valAx>
        <c:axId val="98041856"/>
        <c:scaling>
          <c:orientation val="minMax"/>
          <c:max val="500"/>
        </c:scaling>
        <c:axPos val="l"/>
        <c:title>
          <c:tx>
            <c:rich>
              <a:bodyPr rot="0" vert="horz"/>
              <a:lstStyle/>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*-темп роста (спада)</a:t>
                </a:r>
              </a:p>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(в текущих ценах)</a:t>
                </a:r>
              </a:p>
            </c:rich>
          </c:tx>
          <c:layout>
            <c:manualLayout>
              <c:xMode val="edge"/>
              <c:yMode val="edge"/>
              <c:x val="5.3447282504321104E-2"/>
              <c:y val="0.32934097911676896"/>
            </c:manualLayout>
          </c:layout>
        </c:title>
        <c:numFmt formatCode="General" sourceLinked="1"/>
        <c:tickLblPos val="nextTo"/>
        <c:txPr>
          <a:bodyPr/>
          <a:lstStyle/>
          <a:p>
            <a:pPr>
              <a:defRPr sz="900" b="1">
                <a:latin typeface="Times New Roman" pitchFamily="18" charset="0"/>
                <a:cs typeface="Times New Roman" pitchFamily="18" charset="0"/>
              </a:defRPr>
            </a:pPr>
            <a:endParaRPr lang="ru-RU"/>
          </a:p>
        </c:txPr>
        <c:crossAx val="97782016"/>
        <c:crosses val="autoZero"/>
        <c:crossBetween val="between"/>
        <c:majorUnit val="100"/>
      </c:valAx>
      <c:dTable>
        <c:showHorzBorder val="1"/>
        <c:showVertBorder val="1"/>
        <c:showOutline val="1"/>
        <c:txPr>
          <a:bodyPr/>
          <a:lstStyle/>
          <a:p>
            <a:pPr rtl="0">
              <a:defRPr sz="85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200"/>
            </a:pPr>
            <a:r>
              <a:rPr lang="ru-RU" sz="1200"/>
              <a:t>Динамика основных составляющих инфляции,%</a:t>
            </a:r>
          </a:p>
        </c:rich>
      </c:tx>
      <c:layout>
        <c:manualLayout>
          <c:xMode val="edge"/>
          <c:yMode val="edge"/>
          <c:x val="0.2526935737654103"/>
          <c:y val="0"/>
        </c:manualLayout>
      </c:layout>
    </c:title>
    <c:plotArea>
      <c:layout>
        <c:manualLayout>
          <c:layoutTarget val="inner"/>
          <c:xMode val="edge"/>
          <c:yMode val="edge"/>
          <c:x val="0.22862265812279084"/>
          <c:y val="0.11809207393379641"/>
          <c:w val="0.75647424688090004"/>
          <c:h val="0.47009446603984723"/>
        </c:manualLayout>
      </c:layout>
      <c:barChart>
        <c:barDir val="col"/>
        <c:grouping val="clustered"/>
        <c:ser>
          <c:idx val="0"/>
          <c:order val="0"/>
          <c:tx>
            <c:strRef>
              <c:f>Лист1!$B$1</c:f>
              <c:strCache>
                <c:ptCount val="1"/>
                <c:pt idx="0">
                  <c:v>январь-июнь 2015 года</c:v>
                </c:pt>
              </c:strCache>
            </c:strRef>
          </c:tx>
          <c:spPr>
            <a:solidFill>
              <a:schemeClr val="accent6">
                <a:lumMod val="75000"/>
              </a:schemeClr>
            </a:solidFill>
          </c:spPr>
          <c:dLbls>
            <c:dLbl>
              <c:idx val="0"/>
              <c:layout>
                <c:manualLayout>
                  <c:x val="4.7312835895518103E-3"/>
                  <c:y val="1.9058326389356575E-2"/>
                </c:manualLayout>
              </c:layout>
              <c:tx>
                <c:rich>
                  <a:bodyPr/>
                  <a:lstStyle/>
                  <a:p>
                    <a:r>
                      <a:rPr lang="ru-RU" b="1"/>
                      <a:t>+0,22*</a:t>
                    </a:r>
                    <a:endParaRPr lang="en-US" b="1"/>
                  </a:p>
                </c:rich>
              </c:tx>
              <c:dLblPos val="outEnd"/>
              <c:showVal val="1"/>
            </c:dLbl>
            <c:dLbl>
              <c:idx val="1"/>
              <c:layout>
                <c:manualLayout>
                  <c:x val="-4.2940138100714875E-3"/>
                  <c:y val="2.3376180541534869E-2"/>
                </c:manualLayout>
              </c:layout>
              <c:tx>
                <c:rich>
                  <a:bodyPr/>
                  <a:lstStyle/>
                  <a:p>
                    <a:r>
                      <a:rPr lang="ru-RU" b="1"/>
                      <a:t>-1,41*</a:t>
                    </a:r>
                    <a:endParaRPr lang="en-US" b="1"/>
                  </a:p>
                </c:rich>
              </c:tx>
              <c:dLblPos val="outEnd"/>
              <c:showVal val="1"/>
            </c:dLbl>
            <c:dLbl>
              <c:idx val="2"/>
              <c:layout>
                <c:manualLayout>
                  <c:x val="-1.0685462070050239E-3"/>
                  <c:y val="1.9061051276637774E-2"/>
                </c:manualLayout>
              </c:layout>
              <c:tx>
                <c:rich>
                  <a:bodyPr/>
                  <a:lstStyle/>
                  <a:p>
                    <a:r>
                      <a:rPr lang="ru-RU" b="1"/>
                      <a:t>-1,62*</a:t>
                    </a:r>
                    <a:endParaRPr lang="en-US" b="1"/>
                  </a:p>
                </c:rich>
              </c:tx>
              <c:dLblPos val="outEnd"/>
              <c:showVal val="1"/>
            </c:dLbl>
            <c:dLbl>
              <c:idx val="3"/>
              <c:layout>
                <c:manualLayout>
                  <c:x val="5.4944442806072503E-3"/>
                  <c:y val="2.1222131716294092E-2"/>
                </c:manualLayout>
              </c:layout>
              <c:tx>
                <c:rich>
                  <a:bodyPr/>
                  <a:lstStyle/>
                  <a:p>
                    <a:r>
                      <a:rPr lang="ru-RU" b="1"/>
                      <a:t>+6,54*</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непродовольственные товары</c:v>
                </c:pt>
                <c:pt idx="3">
                  <c:v>Индекс  тарифов на услуги</c:v>
                </c:pt>
              </c:strCache>
            </c:strRef>
          </c:cat>
          <c:val>
            <c:numRef>
              <c:f>Лист1!$B$2:$B$5</c:f>
              <c:numCache>
                <c:formatCode>General</c:formatCode>
                <c:ptCount val="4"/>
                <c:pt idx="0" formatCode="0.00">
                  <c:v>100.22</c:v>
                </c:pt>
                <c:pt idx="1">
                  <c:v>98.59</c:v>
                </c:pt>
                <c:pt idx="2" formatCode="0.00">
                  <c:v>98.38</c:v>
                </c:pt>
                <c:pt idx="3" formatCode="0.00">
                  <c:v>106.54</c:v>
                </c:pt>
              </c:numCache>
            </c:numRef>
          </c:val>
        </c:ser>
        <c:ser>
          <c:idx val="1"/>
          <c:order val="1"/>
          <c:tx>
            <c:strRef>
              <c:f>Лист1!$C$1</c:f>
              <c:strCache>
                <c:ptCount val="1"/>
                <c:pt idx="0">
                  <c:v>январь-июнь 2016 года</c:v>
                </c:pt>
              </c:strCache>
            </c:strRef>
          </c:tx>
          <c:spPr>
            <a:solidFill>
              <a:schemeClr val="accent5">
                <a:lumMod val="60000"/>
                <a:lumOff val="40000"/>
              </a:schemeClr>
            </a:solidFill>
          </c:spPr>
          <c:dLbls>
            <c:dLbl>
              <c:idx val="0"/>
              <c:layout>
                <c:manualLayout>
                  <c:x val="9.8082777106045273E-3"/>
                  <c:y val="2.7515813396888609E-2"/>
                </c:manualLayout>
              </c:layout>
              <c:tx>
                <c:rich>
                  <a:bodyPr/>
                  <a:lstStyle/>
                  <a:p>
                    <a:r>
                      <a:rPr lang="ru-RU" b="1"/>
                      <a:t>+3,75*</a:t>
                    </a:r>
                    <a:endParaRPr lang="en-US" b="1"/>
                  </a:p>
                </c:rich>
              </c:tx>
              <c:dLblPos val="outEnd"/>
              <c:showVal val="1"/>
            </c:dLbl>
            <c:dLbl>
              <c:idx val="1"/>
              <c:layout>
                <c:manualLayout>
                  <c:x val="9.5998767944270747E-3"/>
                  <c:y val="2.5444736074657442E-2"/>
                </c:manualLayout>
              </c:layout>
              <c:tx>
                <c:rich>
                  <a:bodyPr/>
                  <a:lstStyle/>
                  <a:p>
                    <a:r>
                      <a:rPr lang="ru-RU" b="1"/>
                      <a:t>+4,64*</a:t>
                    </a:r>
                    <a:endParaRPr lang="en-US" b="1"/>
                  </a:p>
                </c:rich>
              </c:tx>
              <c:dLblPos val="outEnd"/>
              <c:showVal val="1"/>
            </c:dLbl>
            <c:dLbl>
              <c:idx val="2"/>
              <c:layout>
                <c:manualLayout>
                  <c:x val="1.1736641534040455E-2"/>
                  <c:y val="2.8067470587155842E-2"/>
                </c:manualLayout>
              </c:layout>
              <c:tx>
                <c:rich>
                  <a:bodyPr/>
                  <a:lstStyle/>
                  <a:p>
                    <a:r>
                      <a:rPr lang="ru-RU" b="1"/>
                      <a:t>+3,48*</a:t>
                    </a:r>
                    <a:endParaRPr lang="en-US" b="1"/>
                  </a:p>
                </c:rich>
              </c:tx>
              <c:dLblPos val="outEnd"/>
              <c:showVal val="1"/>
            </c:dLbl>
            <c:dLbl>
              <c:idx val="3"/>
              <c:layout>
                <c:manualLayout>
                  <c:x val="1.2097902556187956E-2"/>
                  <c:y val="2.7602296839331887E-2"/>
                </c:manualLayout>
              </c:layout>
              <c:tx>
                <c:rich>
                  <a:bodyPr/>
                  <a:lstStyle/>
                  <a:p>
                    <a:r>
                      <a:rPr lang="ru-RU" b="1"/>
                      <a:t>+2,53*</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непродовольственные товары</c:v>
                </c:pt>
                <c:pt idx="3">
                  <c:v>Индекс  тарифов на услуги</c:v>
                </c:pt>
              </c:strCache>
            </c:strRef>
          </c:cat>
          <c:val>
            <c:numRef>
              <c:f>Лист1!$C$2:$C$5</c:f>
              <c:numCache>
                <c:formatCode>General</c:formatCode>
                <c:ptCount val="4"/>
                <c:pt idx="0" formatCode="0.00">
                  <c:v>103.75</c:v>
                </c:pt>
                <c:pt idx="1">
                  <c:v>104.64</c:v>
                </c:pt>
                <c:pt idx="2" formatCode="0.00">
                  <c:v>103.48</c:v>
                </c:pt>
                <c:pt idx="3" formatCode="0.00">
                  <c:v>102.53</c:v>
                </c:pt>
              </c:numCache>
            </c:numRef>
          </c:val>
        </c:ser>
        <c:axId val="98099200"/>
        <c:axId val="98100736"/>
      </c:barChart>
      <c:catAx>
        <c:axId val="98099200"/>
        <c:scaling>
          <c:orientation val="minMax"/>
        </c:scaling>
        <c:axPos val="b"/>
        <c:tickLblPos val="nextTo"/>
        <c:crossAx val="98100736"/>
        <c:crosses val="autoZero"/>
        <c:auto val="1"/>
        <c:lblAlgn val="ctr"/>
        <c:lblOffset val="100"/>
      </c:catAx>
      <c:valAx>
        <c:axId val="98100736"/>
        <c:scaling>
          <c:orientation val="minMax"/>
          <c:max val="110"/>
        </c:scaling>
        <c:axPos val="l"/>
        <c:title>
          <c:tx>
            <c:rich>
              <a:bodyPr rot="0" vert="horz"/>
              <a:lstStyle/>
              <a:p>
                <a:pPr>
                  <a:defRPr sz="900"/>
                </a:pPr>
                <a:r>
                  <a:rPr lang="ru-RU" sz="900"/>
                  <a:t>* -прирост (снижение)  индекса цен,%</a:t>
                </a:r>
              </a:p>
            </c:rich>
          </c:tx>
          <c:layout>
            <c:manualLayout>
              <c:xMode val="edge"/>
              <c:yMode val="edge"/>
              <c:x val="0"/>
              <c:y val="0.60215447428045865"/>
            </c:manualLayout>
          </c:layout>
        </c:title>
        <c:numFmt formatCode="0.00" sourceLinked="1"/>
        <c:tickLblPos val="nextTo"/>
        <c:txPr>
          <a:bodyPr/>
          <a:lstStyle/>
          <a:p>
            <a:pPr>
              <a:defRPr b="1"/>
            </a:pPr>
            <a:endParaRPr lang="ru-RU"/>
          </a:p>
        </c:txPr>
        <c:crossAx val="98099200"/>
        <c:crosses val="autoZero"/>
        <c:crossBetween val="between"/>
        <c:minorUnit val="4"/>
      </c:valAx>
      <c:dTable>
        <c:showHorzBorder val="1"/>
        <c:showVertBorder val="1"/>
        <c:showOutline val="1"/>
        <c:showKeys val="1"/>
        <c:txPr>
          <a:bodyPr/>
          <a:lstStyle/>
          <a:p>
            <a:pPr rtl="0">
              <a:defRPr b="1"/>
            </a:pPr>
            <a:endParaRPr lang="ru-RU"/>
          </a:p>
        </c:txPr>
      </c:dTable>
      <c:spPr>
        <a:noFill/>
        <a:ln w="25400">
          <a:noFill/>
        </a:ln>
      </c:spPr>
    </c:plotArea>
    <c:plotVisOnly val="1"/>
    <c:dispBlanksAs val="gap"/>
  </c:chart>
  <c:spPr>
    <a:noFill/>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b="1">
                <a:solidFill>
                  <a:sysClr val="windowText" lastClr="000000"/>
                </a:solidFill>
                <a:latin typeface="Times New Roman" pitchFamily="18" charset="0"/>
                <a:cs typeface="Times New Roman" pitchFamily="18" charset="0"/>
              </a:defRPr>
            </a:pPr>
            <a:r>
              <a:rPr lang="ru-RU" sz="1200" b="1">
                <a:solidFill>
                  <a:sysClr val="windowText" lastClr="000000"/>
                </a:solidFill>
                <a:latin typeface="Times New Roman" pitchFamily="18" charset="0"/>
                <a:cs typeface="Times New Roman" pitchFamily="18" charset="0"/>
              </a:rPr>
              <a:t>Динамика оплаты труда, руб. ПМР </a:t>
            </a:r>
          </a:p>
        </c:rich>
      </c:tx>
      <c:layout>
        <c:manualLayout>
          <c:xMode val="edge"/>
          <c:yMode val="edge"/>
          <c:x val="0.29997419814049642"/>
          <c:y val="0"/>
        </c:manualLayout>
      </c:layout>
    </c:title>
    <c:plotArea>
      <c:layout>
        <c:manualLayout>
          <c:layoutTarget val="inner"/>
          <c:xMode val="edge"/>
          <c:yMode val="edge"/>
          <c:x val="0.26264137797254988"/>
          <c:y val="0.14640373493136408"/>
          <c:w val="0.68943548455156967"/>
          <c:h val="0.40493809955171534"/>
        </c:manualLayout>
      </c:layout>
      <c:barChart>
        <c:barDir val="col"/>
        <c:grouping val="clustered"/>
        <c:ser>
          <c:idx val="0"/>
          <c:order val="0"/>
          <c:tx>
            <c:strRef>
              <c:f>Лист1!$B$1</c:f>
              <c:strCache>
                <c:ptCount val="1"/>
                <c:pt idx="0">
                  <c:v>январь-июнь 2015 года</c:v>
                </c:pt>
              </c:strCache>
            </c:strRef>
          </c:tx>
          <c:dLbls>
            <c:dLbl>
              <c:idx val="0"/>
              <c:layout>
                <c:manualLayout>
                  <c:x val="3.6869022720060551E-17"/>
                  <c:y val="2.0125786163521998E-2"/>
                </c:manualLayout>
              </c:layout>
              <c:tx>
                <c:rich>
                  <a:bodyPr/>
                  <a:lstStyle/>
                  <a:p>
                    <a:r>
                      <a:rPr lang="ru-RU" sz="800" b="1">
                        <a:latin typeface="Times New Roman" pitchFamily="18" charset="0"/>
                        <a:cs typeface="Times New Roman" pitchFamily="18" charset="0"/>
                      </a:rPr>
                      <a:t>-4,1*</a:t>
                    </a:r>
                    <a:endParaRPr lang="en-US" sz="800" b="1">
                      <a:latin typeface="Times New Roman" pitchFamily="18" charset="0"/>
                      <a:cs typeface="Times New Roman" pitchFamily="18" charset="0"/>
                    </a:endParaRPr>
                  </a:p>
                </c:rich>
              </c:tx>
              <c:dLblPos val="outEnd"/>
              <c:showVal val="1"/>
            </c:dLbl>
            <c:dLbl>
              <c:idx val="1"/>
              <c:layout>
                <c:manualLayout>
                  <c:x val="-2.0544427324087587E-3"/>
                  <c:y val="1.7543859649123531E-2"/>
                </c:manualLayout>
              </c:layout>
              <c:tx>
                <c:rich>
                  <a:bodyPr/>
                  <a:lstStyle/>
                  <a:p>
                    <a:r>
                      <a:rPr lang="ru-RU" sz="800" b="1">
                        <a:latin typeface="Times New Roman" pitchFamily="18" charset="0"/>
                        <a:cs typeface="Times New Roman" pitchFamily="18" charset="0"/>
                      </a:rPr>
                      <a:t>-4,6*</a:t>
                    </a:r>
                    <a:endParaRPr lang="en-US" sz="800" b="1">
                      <a:latin typeface="Times New Roman" pitchFamily="18" charset="0"/>
                      <a:cs typeface="Times New Roman" pitchFamily="18" charset="0"/>
                    </a:endParaRPr>
                  </a:p>
                </c:rich>
              </c:tx>
              <c:dLblPos val="outEnd"/>
              <c:showVal val="1"/>
            </c:dLbl>
            <c:dLbl>
              <c:idx val="2"/>
              <c:layout>
                <c:manualLayout>
                  <c:x val="0"/>
                  <c:y val="1.509433962264151E-2"/>
                </c:manualLayout>
              </c:layout>
              <c:tx>
                <c:rich>
                  <a:bodyPr/>
                  <a:lstStyle/>
                  <a:p>
                    <a:r>
                      <a:rPr lang="ru-RU" sz="800" b="1">
                        <a:latin typeface="Times New Roman" pitchFamily="18" charset="0"/>
                        <a:cs typeface="Times New Roman" pitchFamily="18" charset="0"/>
                      </a:rPr>
                      <a:t>-1,1*</a:t>
                    </a:r>
                    <a:endParaRPr lang="en-US" sz="800" b="1">
                      <a:latin typeface="Times New Roman" pitchFamily="18" charset="0"/>
                      <a:cs typeface="Times New Roman" pitchFamily="18" charset="0"/>
                    </a:endParaRPr>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в целом по республике</c:v>
                </c:pt>
                <c:pt idx="1">
                  <c:v>во внебюджетном секторе экономики</c:v>
                </c:pt>
                <c:pt idx="2">
                  <c:v>в бюджетном секторе экономики</c:v>
                </c:pt>
              </c:strCache>
            </c:strRef>
          </c:cat>
          <c:val>
            <c:numRef>
              <c:f>Лист1!$B$2:$B$4</c:f>
              <c:numCache>
                <c:formatCode>#,##0</c:formatCode>
                <c:ptCount val="3"/>
                <c:pt idx="0">
                  <c:v>3842</c:v>
                </c:pt>
                <c:pt idx="1">
                  <c:v>4836</c:v>
                </c:pt>
                <c:pt idx="2">
                  <c:v>2682</c:v>
                </c:pt>
              </c:numCache>
            </c:numRef>
          </c:val>
        </c:ser>
        <c:ser>
          <c:idx val="1"/>
          <c:order val="1"/>
          <c:tx>
            <c:strRef>
              <c:f>Лист1!$C$1</c:f>
              <c:strCache>
                <c:ptCount val="1"/>
                <c:pt idx="0">
                  <c:v>январь-июнь 2016 года</c:v>
                </c:pt>
              </c:strCache>
            </c:strRef>
          </c:tx>
          <c:dLbls>
            <c:dLbl>
              <c:idx val="0"/>
              <c:layout>
                <c:manualLayout>
                  <c:x val="-4.0221216691804845E-3"/>
                  <c:y val="2.5157232704402552E-2"/>
                </c:manualLayout>
              </c:layout>
              <c:tx>
                <c:rich>
                  <a:bodyPr/>
                  <a:lstStyle/>
                  <a:p>
                    <a:r>
                      <a:rPr lang="ru-RU" sz="800" b="1">
                        <a:latin typeface="Times New Roman" pitchFamily="18" charset="0"/>
                        <a:cs typeface="Times New Roman" pitchFamily="18" charset="0"/>
                      </a:rPr>
                      <a:t>-1,5*</a:t>
                    </a:r>
                    <a:endParaRPr lang="en-US" sz="800" b="1">
                      <a:latin typeface="Times New Roman" pitchFamily="18" charset="0"/>
                      <a:cs typeface="Times New Roman" pitchFamily="18" charset="0"/>
                    </a:endParaRPr>
                  </a:p>
                </c:rich>
              </c:tx>
              <c:dLblPos val="outEnd"/>
              <c:showVal val="1"/>
            </c:dLbl>
            <c:dLbl>
              <c:idx val="1"/>
              <c:layout>
                <c:manualLayout>
                  <c:x val="2.6368044518318152E-4"/>
                  <c:y val="1.7543859649123542E-2"/>
                </c:manualLayout>
              </c:layout>
              <c:tx>
                <c:rich>
                  <a:bodyPr/>
                  <a:lstStyle/>
                  <a:p>
                    <a:r>
                      <a:rPr lang="ru-RU" sz="800" b="1">
                        <a:latin typeface="Times New Roman" pitchFamily="18" charset="0"/>
                        <a:cs typeface="Times New Roman" pitchFamily="18" charset="0"/>
                      </a:rPr>
                      <a:t>-1,4*</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+0,2*</a:t>
                    </a:r>
                    <a:endParaRPr lang="en-US" sz="800" b="1">
                      <a:latin typeface="Times New Roman" pitchFamily="18" charset="0"/>
                      <a:cs typeface="Times New Roman" pitchFamily="18" charset="0"/>
                    </a:endParaRPr>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в целом по республике</c:v>
                </c:pt>
                <c:pt idx="1">
                  <c:v>во внебюджетном секторе экономики</c:v>
                </c:pt>
                <c:pt idx="2">
                  <c:v>в бюджетном секторе экономики</c:v>
                </c:pt>
              </c:strCache>
            </c:strRef>
          </c:cat>
          <c:val>
            <c:numRef>
              <c:f>Лист1!$C$2:$C$4</c:f>
              <c:numCache>
                <c:formatCode>#,##0</c:formatCode>
                <c:ptCount val="3"/>
                <c:pt idx="0">
                  <c:v>3791</c:v>
                </c:pt>
                <c:pt idx="1">
                  <c:v>4777</c:v>
                </c:pt>
                <c:pt idx="2">
                  <c:v>2694</c:v>
                </c:pt>
              </c:numCache>
            </c:numRef>
          </c:val>
        </c:ser>
        <c:dLbls>
          <c:showVal val="1"/>
        </c:dLbls>
        <c:axId val="98308480"/>
        <c:axId val="98310016"/>
      </c:barChart>
      <c:catAx>
        <c:axId val="98308480"/>
        <c:scaling>
          <c:orientation val="minMax"/>
        </c:scaling>
        <c:axPos val="b"/>
        <c:tickLblPos val="nextTo"/>
        <c:crossAx val="98310016"/>
        <c:crosses val="autoZero"/>
        <c:auto val="1"/>
        <c:lblAlgn val="ctr"/>
        <c:lblOffset val="100"/>
      </c:catAx>
      <c:valAx>
        <c:axId val="98310016"/>
        <c:scaling>
          <c:orientation val="minMax"/>
        </c:scaling>
        <c:axPos val="l"/>
        <c:title>
          <c:tx>
            <c:rich>
              <a:bodyPr rot="0" vert="horz"/>
              <a:lstStyle/>
              <a:p>
                <a:pPr>
                  <a:defRPr sz="900" b="1">
                    <a:latin typeface="Times New Roman" pitchFamily="18" charset="0"/>
                    <a:cs typeface="Times New Roman" pitchFamily="18" charset="0"/>
                  </a:defRPr>
                </a:pPr>
                <a:r>
                  <a:rPr lang="ru-RU" sz="900" b="1">
                    <a:latin typeface="Times New Roman" pitchFamily="18" charset="0"/>
                    <a:cs typeface="Times New Roman" pitchFamily="18" charset="0"/>
                  </a:rPr>
                  <a:t>*-темп реального прироста заработной платы, %</a:t>
                </a:r>
              </a:p>
            </c:rich>
          </c:tx>
          <c:layout>
            <c:manualLayout>
              <c:xMode val="edge"/>
              <c:yMode val="edge"/>
              <c:x val="1.448280503398617E-3"/>
              <c:y val="0.34581933895431238"/>
            </c:manualLayout>
          </c:layout>
        </c:title>
        <c:numFmt formatCode="#,##0" sourceLinked="1"/>
        <c:tickLblPos val="nextTo"/>
        <c:txPr>
          <a:bodyPr/>
          <a:lstStyle/>
          <a:p>
            <a:pPr>
              <a:defRPr sz="900" b="1">
                <a:latin typeface="Times New Roman" pitchFamily="18" charset="0"/>
                <a:cs typeface="Times New Roman" pitchFamily="18" charset="0"/>
              </a:defRPr>
            </a:pPr>
            <a:endParaRPr lang="ru-RU"/>
          </a:p>
        </c:txPr>
        <c:crossAx val="98308480"/>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Динамика оплаты труда в разрезе отраслей экономики, руб. ПМР</a:t>
            </a:r>
          </a:p>
        </c:rich>
      </c:tx>
      <c:layout>
        <c:manualLayout>
          <c:xMode val="edge"/>
          <c:yMode val="edge"/>
          <c:x val="0.1984797502477279"/>
          <c:y val="5.4523571293919849E-4"/>
        </c:manualLayout>
      </c:layout>
    </c:title>
    <c:plotArea>
      <c:layout>
        <c:manualLayout>
          <c:layoutTarget val="inner"/>
          <c:xMode val="edge"/>
          <c:yMode val="edge"/>
          <c:x val="7.4762132868279124E-2"/>
          <c:y val="0.10032134104783863"/>
          <c:w val="0.91585760517799353"/>
          <c:h val="0.3765368831658486"/>
        </c:manualLayout>
      </c:layout>
      <c:barChart>
        <c:barDir val="col"/>
        <c:grouping val="clustered"/>
        <c:ser>
          <c:idx val="1"/>
          <c:order val="1"/>
          <c:tx>
            <c:strRef>
              <c:f>Sheet1!$A$3</c:f>
              <c:strCache>
                <c:ptCount val="1"/>
                <c:pt idx="0">
                  <c:v>I полугодие 2016 года</c:v>
                </c:pt>
              </c:strCache>
            </c:strRef>
          </c:tx>
          <c:dLbls>
            <c:dLbl>
              <c:idx val="0"/>
              <c:layout>
                <c:manualLayout>
                  <c:x val="-1.2427222785864377E-2"/>
                  <c:y val="-8.9286491326634708E-3"/>
                </c:manualLayout>
              </c:layout>
              <c:showVal val="1"/>
            </c:dLbl>
            <c:dLbl>
              <c:idx val="1"/>
              <c:layout>
                <c:manualLayout>
                  <c:x val="-1.6674389578444932E-2"/>
                  <c:y val="2.7283944290103584E-2"/>
                </c:manualLayout>
              </c:layout>
              <c:showVal val="1"/>
            </c:dLbl>
            <c:dLbl>
              <c:idx val="2"/>
              <c:layout>
                <c:manualLayout>
                  <c:x val="6.1712220940904868E-3"/>
                  <c:y val="8.0044138657228304E-3"/>
                </c:manualLayout>
              </c:layout>
              <c:showVal val="1"/>
            </c:dLbl>
            <c:dLbl>
              <c:idx val="3"/>
              <c:layout>
                <c:manualLayout>
                  <c:x val="-1.3799959487314583E-2"/>
                  <c:y val="8.0702088589297734E-3"/>
                </c:manualLayout>
              </c:layout>
              <c:showVal val="1"/>
            </c:dLbl>
            <c:dLbl>
              <c:idx val="4"/>
              <c:layout>
                <c:manualLayout>
                  <c:x val="-6.5672280194774314E-3"/>
                  <c:y val="2.1111683780676401E-2"/>
                </c:manualLayout>
              </c:layout>
              <c:showVal val="1"/>
            </c:dLbl>
            <c:dLbl>
              <c:idx val="5"/>
              <c:layout>
                <c:manualLayout>
                  <c:x val="-1.4322016731912961E-2"/>
                  <c:y val="6.7362540770473994E-3"/>
                </c:manualLayout>
              </c:layout>
              <c:showVal val="1"/>
            </c:dLbl>
            <c:dLbl>
              <c:idx val="6"/>
              <c:layout>
                <c:manualLayout>
                  <c:x val="-1.1809389843603326E-2"/>
                  <c:y val="1.250165596053932E-2"/>
                </c:manualLayout>
              </c:layout>
              <c:showVal val="1"/>
            </c:dLbl>
            <c:dLbl>
              <c:idx val="7"/>
              <c:layout>
                <c:manualLayout>
                  <c:x val="-1.2523867854459195E-2"/>
                  <c:y val="1.2962423958775541E-2"/>
                </c:manualLayout>
              </c:layout>
              <c:showVal val="1"/>
            </c:dLbl>
            <c:dLbl>
              <c:idx val="8"/>
              <c:layout>
                <c:manualLayout>
                  <c:x val="-5.2239050345560464E-3"/>
                  <c:y val="-1.7472196785164141E-2"/>
                </c:manualLayout>
              </c:layout>
              <c:showVal val="1"/>
            </c:dLbl>
            <c:dLbl>
              <c:idx val="9"/>
              <c:layout>
                <c:manualLayout>
                  <c:x val="-1.2881179307465259E-2"/>
                  <c:y val="1.626757614759301E-2"/>
                </c:manualLayout>
              </c:layout>
              <c:showVal val="1"/>
            </c:dLbl>
            <c:dLbl>
              <c:idx val="10"/>
              <c:layout>
                <c:manualLayout>
                  <c:x val="-1.6461973280753803E-2"/>
                  <c:y val="1.044608917722214E-2"/>
                </c:manualLayout>
              </c:layout>
              <c:showVal val="1"/>
            </c:dLbl>
            <c:dLbl>
              <c:idx val="11"/>
              <c:layout>
                <c:manualLayout>
                  <c:x val="-1.7235713410133562E-2"/>
                  <c:y val="1.1422259784188725E-2"/>
                </c:manualLayout>
              </c:layout>
              <c:showVal val="1"/>
            </c:dLbl>
            <c:dLbl>
              <c:idx val="12"/>
              <c:layout>
                <c:manualLayout>
                  <c:x val="-1.6417925153538161E-2"/>
                  <c:y val="1.3984284571862885E-2"/>
                </c:manualLayout>
              </c:layout>
              <c:showVal val="1"/>
            </c:dLbl>
            <c:dLbl>
              <c:idx val="13"/>
              <c:layout>
                <c:manualLayout>
                  <c:x val="-1.0683928931960429E-2"/>
                  <c:y val="4.8623890567138228E-2"/>
                </c:manualLayout>
              </c:layout>
              <c:showVal val="1"/>
            </c:dLbl>
            <c:dLbl>
              <c:idx val="14"/>
              <c:layout>
                <c:manualLayout>
                  <c:x val="-3.9769373279188915E-3"/>
                  <c:y val="3.6697052535287816E-4"/>
                </c:manualLayout>
              </c:layout>
              <c:showVal val="1"/>
            </c:dLbl>
            <c:dLbl>
              <c:idx val="15"/>
              <c:layout>
                <c:manualLayout>
                  <c:x val="-1.1398322287975647E-2"/>
                  <c:y val="2.2682791451472412E-2"/>
                </c:manualLayout>
              </c:layout>
              <c:showVal val="1"/>
            </c:dLbl>
            <c:dLbl>
              <c:idx val="16"/>
              <c:layout>
                <c:manualLayout>
                  <c:x val="-1.8747694355841057E-2"/>
                  <c:y val="2.4566718529255651E-2"/>
                </c:manualLayout>
              </c:layout>
              <c:showVal val="1"/>
            </c:dLbl>
            <c:dLbl>
              <c:idx val="17"/>
              <c:layout>
                <c:manualLayout>
                  <c:x val="-1.4597897107631755E-2"/>
                  <c:y val="9.53132207054537E-3"/>
                </c:manualLayout>
              </c:layout>
              <c:showVal val="1"/>
            </c:dLbl>
            <c:dLbl>
              <c:idx val="18"/>
              <c:layout>
                <c:manualLayout>
                  <c:x val="5.7439935392691434E-3"/>
                  <c:y val="4.8113482670014723E-4"/>
                </c:manualLayout>
              </c:layout>
              <c:showVal val="1"/>
            </c:dLbl>
            <c:txPr>
              <a:bodyPr/>
              <a:lstStyle/>
              <a:p>
                <a:pPr>
                  <a:defRPr sz="800" b="1"/>
                </a:pPr>
                <a:endParaRPr lang="ru-RU"/>
              </a:p>
            </c:txPr>
            <c:showVal val="1"/>
          </c:dLbls>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Sheet1!$B$3:$S$3</c:f>
              <c:numCache>
                <c:formatCode>0</c:formatCode>
                <c:ptCount val="18"/>
                <c:pt idx="0" formatCode="General">
                  <c:v>4968</c:v>
                </c:pt>
                <c:pt idx="1">
                  <c:v>2937</c:v>
                </c:pt>
                <c:pt idx="2" formatCode="General">
                  <c:v>2825</c:v>
                </c:pt>
                <c:pt idx="3" formatCode="General">
                  <c:v>3866</c:v>
                </c:pt>
                <c:pt idx="4" formatCode="General">
                  <c:v>6926</c:v>
                </c:pt>
                <c:pt idx="5" formatCode="General">
                  <c:v>4188</c:v>
                </c:pt>
                <c:pt idx="6" formatCode="General">
                  <c:v>2016</c:v>
                </c:pt>
                <c:pt idx="7">
                  <c:v>3848</c:v>
                </c:pt>
                <c:pt idx="8">
                  <c:v>4127</c:v>
                </c:pt>
                <c:pt idx="9">
                  <c:v>3329</c:v>
                </c:pt>
                <c:pt idx="10">
                  <c:v>4417</c:v>
                </c:pt>
                <c:pt idx="11">
                  <c:v>4128</c:v>
                </c:pt>
                <c:pt idx="12">
                  <c:v>2690</c:v>
                </c:pt>
                <c:pt idx="13">
                  <c:v>2661</c:v>
                </c:pt>
                <c:pt idx="14">
                  <c:v>2421</c:v>
                </c:pt>
                <c:pt idx="15">
                  <c:v>3229</c:v>
                </c:pt>
                <c:pt idx="16">
                  <c:v>6972</c:v>
                </c:pt>
                <c:pt idx="17">
                  <c:v>6535</c:v>
                </c:pt>
              </c:numCache>
            </c:numRef>
          </c:val>
        </c:ser>
        <c:ser>
          <c:idx val="0"/>
          <c:order val="0"/>
          <c:tx>
            <c:strRef>
              <c:f>Sheet1!$A$2</c:f>
              <c:strCache>
                <c:ptCount val="1"/>
                <c:pt idx="0">
                  <c:v>I полугодие 2015 года</c:v>
                </c:pt>
              </c:strCache>
            </c:strRef>
          </c:tx>
          <c:dLbls>
            <c:dLbl>
              <c:idx val="0"/>
              <c:layout>
                <c:manualLayout>
                  <c:x val="1.570069413473105E-2"/>
                  <c:y val="6.7991080537219252E-3"/>
                </c:manualLayout>
              </c:layout>
              <c:showVal val="1"/>
            </c:dLbl>
            <c:dLbl>
              <c:idx val="1"/>
              <c:layout>
                <c:manualLayout>
                  <c:x val="2.9032642270380195E-3"/>
                  <c:y val="-4.7742430205494901E-3"/>
                </c:manualLayout>
              </c:layout>
              <c:showVal val="1"/>
            </c:dLbl>
            <c:dLbl>
              <c:idx val="2"/>
              <c:layout>
                <c:manualLayout>
                  <c:x val="1.5123286940802505E-2"/>
                  <c:y val="3.8679370261174201E-6"/>
                </c:manualLayout>
              </c:layout>
              <c:showVal val="1"/>
            </c:dLbl>
            <c:dLbl>
              <c:idx val="3"/>
              <c:layout>
                <c:manualLayout>
                  <c:x val="1.1143886395243423E-2"/>
                  <c:y val="-1.6093035489289181E-2"/>
                </c:manualLayout>
              </c:layout>
              <c:showVal val="1"/>
            </c:dLbl>
            <c:dLbl>
              <c:idx val="4"/>
              <c:layout>
                <c:manualLayout>
                  <c:x val="2.4609282968936552E-2"/>
                  <c:y val="1.351433022318964E-2"/>
                </c:manualLayout>
              </c:layout>
              <c:showVal val="1"/>
            </c:dLbl>
            <c:dLbl>
              <c:idx val="5"/>
              <c:layout>
                <c:manualLayout>
                  <c:x val="1.8190154115351003E-2"/>
                  <c:y val="7.1107149342181314E-3"/>
                </c:manualLayout>
              </c:layout>
              <c:showVal val="1"/>
            </c:dLbl>
            <c:dLbl>
              <c:idx val="6"/>
              <c:layout>
                <c:manualLayout>
                  <c:x val="1.568707399013148E-2"/>
                  <c:y val="1.285073727714639E-2"/>
                </c:manualLayout>
              </c:layout>
              <c:showVal val="1"/>
            </c:dLbl>
            <c:dLbl>
              <c:idx val="7"/>
              <c:layout>
                <c:manualLayout>
                  <c:x val="5.8414481865068325E-3"/>
                  <c:y val="8.2536941216060748E-3"/>
                </c:manualLayout>
              </c:layout>
              <c:showVal val="1"/>
            </c:dLbl>
            <c:dLbl>
              <c:idx val="8"/>
              <c:layout>
                <c:manualLayout>
                  <c:x val="1.1276755252666928E-2"/>
                  <c:y val="-1.6723509224546605E-2"/>
                </c:manualLayout>
              </c:layout>
              <c:showVal val="1"/>
            </c:dLbl>
            <c:dLbl>
              <c:idx val="9"/>
              <c:layout>
                <c:manualLayout>
                  <c:x val="4.2735042735042739E-3"/>
                  <c:y val="8.3857442348018174E-3"/>
                </c:manualLayout>
              </c:layout>
              <c:showVal val="1"/>
            </c:dLbl>
            <c:dLbl>
              <c:idx val="10"/>
              <c:layout>
                <c:manualLayout>
                  <c:x val="4.3965536977098804E-3"/>
                  <c:y val="5.3338851590157259E-3"/>
                </c:manualLayout>
              </c:layout>
              <c:showVal val="1"/>
            </c:dLbl>
            <c:dLbl>
              <c:idx val="11"/>
              <c:layout>
                <c:manualLayout>
                  <c:x val="9.2008423624749362E-3"/>
                  <c:y val="6.3194838624832383E-3"/>
                </c:manualLayout>
              </c:layout>
              <c:showVal val="1"/>
            </c:dLbl>
            <c:dLbl>
              <c:idx val="12"/>
              <c:layout>
                <c:manualLayout>
                  <c:x val="7.4138504119804919E-3"/>
                  <c:y val="2.3782252551146209E-2"/>
                </c:manualLayout>
              </c:layout>
              <c:showVal val="1"/>
            </c:dLbl>
            <c:dLbl>
              <c:idx val="13"/>
              <c:layout>
                <c:manualLayout>
                  <c:x val="2.1366239602685893E-3"/>
                  <c:y val="-3.2393972593732845E-4"/>
                </c:manualLayout>
              </c:layout>
              <c:showVal val="1"/>
            </c:dLbl>
            <c:dLbl>
              <c:idx val="14"/>
              <c:layout>
                <c:manualLayout>
                  <c:x val="1.7808483959092042E-2"/>
                  <c:y val="1.3438421959052121E-2"/>
                </c:manualLayout>
              </c:layout>
              <c:showVal val="1"/>
            </c:dLbl>
            <c:dLbl>
              <c:idx val="15"/>
              <c:layout>
                <c:manualLayout>
                  <c:x val="1.3347187166027678E-2"/>
                  <c:y val="1.52503087097239E-2"/>
                </c:manualLayout>
              </c:layout>
              <c:showVal val="1"/>
            </c:dLbl>
            <c:dLbl>
              <c:idx val="16"/>
              <c:layout>
                <c:manualLayout>
                  <c:x val="4.5384060547629104E-3"/>
                  <c:y val="5.4731308919560523E-4"/>
                </c:manualLayout>
              </c:layout>
              <c:showVal val="1"/>
            </c:dLbl>
            <c:dLbl>
              <c:idx val="17"/>
              <c:layout>
                <c:manualLayout>
                  <c:x val="1.3822273341233444E-2"/>
                  <c:y val="1.2875878867816409E-2"/>
                </c:manualLayout>
              </c:layout>
              <c:showVal val="1"/>
            </c:dLbl>
            <c:dLbl>
              <c:idx val="18"/>
              <c:layout>
                <c:manualLayout>
                  <c:x val="-1.7094017094017103E-2"/>
                  <c:y val="4.7144169871847781E-2"/>
                </c:manualLayout>
              </c:layout>
              <c:showVal val="1"/>
            </c:dLbl>
            <c:txPr>
              <a:bodyPr/>
              <a:lstStyle/>
              <a:p>
                <a:pPr>
                  <a:defRPr sz="800" b="1"/>
                </a:pPr>
                <a:endParaRPr lang="ru-RU"/>
              </a:p>
            </c:txPr>
            <c:showVal val="1"/>
          </c:dLbls>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Sheet1!$B$2:$S$2</c:f>
              <c:numCache>
                <c:formatCode>0</c:formatCode>
                <c:ptCount val="18"/>
                <c:pt idx="0" formatCode="General">
                  <c:v>4921</c:v>
                </c:pt>
                <c:pt idx="1">
                  <c:v>2956</c:v>
                </c:pt>
                <c:pt idx="2" formatCode="General">
                  <c:v>1910</c:v>
                </c:pt>
                <c:pt idx="3" formatCode="General">
                  <c:v>3968</c:v>
                </c:pt>
                <c:pt idx="4" formatCode="General">
                  <c:v>6701</c:v>
                </c:pt>
                <c:pt idx="5" formatCode="General">
                  <c:v>4671</c:v>
                </c:pt>
                <c:pt idx="6" formatCode="General">
                  <c:v>1988</c:v>
                </c:pt>
                <c:pt idx="7">
                  <c:v>4088</c:v>
                </c:pt>
                <c:pt idx="8">
                  <c:v>4460</c:v>
                </c:pt>
                <c:pt idx="9">
                  <c:v>4807</c:v>
                </c:pt>
                <c:pt idx="10">
                  <c:v>4816</c:v>
                </c:pt>
                <c:pt idx="11">
                  <c:v>4141</c:v>
                </c:pt>
                <c:pt idx="12">
                  <c:v>2662</c:v>
                </c:pt>
                <c:pt idx="13">
                  <c:v>2692</c:v>
                </c:pt>
                <c:pt idx="14">
                  <c:v>2391</c:v>
                </c:pt>
                <c:pt idx="15">
                  <c:v>3234</c:v>
                </c:pt>
                <c:pt idx="16">
                  <c:v>7703</c:v>
                </c:pt>
                <c:pt idx="17">
                  <c:v>6097</c:v>
                </c:pt>
              </c:numCache>
            </c:numRef>
          </c:val>
        </c:ser>
        <c:ser>
          <c:idx val="2"/>
          <c:order val="2"/>
          <c:tx>
            <c:strRef>
              <c:f>Sheet1!$A$4</c:f>
              <c:strCache>
                <c:ptCount val="1"/>
                <c:pt idx="0">
                  <c:v>средняя заработная плата в целом по республике за  I полугодие 2016 года</c:v>
                </c:pt>
              </c:strCache>
            </c:strRef>
          </c:tx>
          <c:spPr>
            <a:solidFill>
              <a:schemeClr val="bg1"/>
            </a:solidFill>
          </c:spPr>
          <c:trendline>
            <c:trendlineType val="linear"/>
          </c:trendline>
          <c:trendline>
            <c:trendlineType val="linear"/>
          </c:trendline>
          <c:trendline>
            <c:spPr>
              <a:ln w="34925">
                <a:solidFill>
                  <a:srgbClr val="C00000">
                    <a:alpha val="93000"/>
                  </a:srgbClr>
                </a:solidFill>
              </a:ln>
              <a:effectLst>
                <a:outerShdw blurRad="50800" dist="50800" dir="5400000" sx="104000" sy="104000" algn="ctr" rotWithShape="0">
                  <a:srgbClr val="000000">
                    <a:alpha val="43137"/>
                  </a:srgbClr>
                </a:outerShdw>
              </a:effectLst>
            </c:spPr>
            <c:trendlineType val="linear"/>
          </c:trendline>
          <c:trendline>
            <c:trendlineType val="linear"/>
            <c:dispEq val="1"/>
            <c:trendlineLbl>
              <c:layout>
                <c:manualLayout>
                  <c:x val="-0.79616663616382166"/>
                  <c:y val="-3.1294994986186632E-2"/>
                </c:manualLayout>
              </c:layout>
              <c:tx>
                <c:rich>
                  <a:bodyPr/>
                  <a:lstStyle/>
                  <a:p>
                    <a:pPr>
                      <a:defRPr sz="1200" b="1" i="1"/>
                    </a:pPr>
                    <a:r>
                      <a:rPr lang="en-US"/>
                      <a:t>3791</a:t>
                    </a:r>
                  </a:p>
                </c:rich>
              </c:tx>
              <c:numFmt formatCode="General" sourceLinked="0"/>
            </c:trendlineLbl>
          </c:trendline>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Sheet1!$B$4:$S$4</c:f>
              <c:numCache>
                <c:formatCode>General</c:formatCode>
                <c:ptCount val="18"/>
                <c:pt idx="0">
                  <c:v>3791</c:v>
                </c:pt>
                <c:pt idx="1">
                  <c:v>3791</c:v>
                </c:pt>
                <c:pt idx="2">
                  <c:v>3791</c:v>
                </c:pt>
                <c:pt idx="3">
                  <c:v>3791</c:v>
                </c:pt>
                <c:pt idx="4">
                  <c:v>3791</c:v>
                </c:pt>
                <c:pt idx="5">
                  <c:v>3791</c:v>
                </c:pt>
                <c:pt idx="6">
                  <c:v>3791</c:v>
                </c:pt>
                <c:pt idx="7">
                  <c:v>3791</c:v>
                </c:pt>
                <c:pt idx="8">
                  <c:v>3791</c:v>
                </c:pt>
                <c:pt idx="9">
                  <c:v>3791</c:v>
                </c:pt>
                <c:pt idx="10">
                  <c:v>3791</c:v>
                </c:pt>
                <c:pt idx="11">
                  <c:v>3791</c:v>
                </c:pt>
                <c:pt idx="12">
                  <c:v>3791</c:v>
                </c:pt>
                <c:pt idx="13">
                  <c:v>3791</c:v>
                </c:pt>
                <c:pt idx="14">
                  <c:v>3791</c:v>
                </c:pt>
                <c:pt idx="15">
                  <c:v>3791</c:v>
                </c:pt>
                <c:pt idx="16">
                  <c:v>3791</c:v>
                </c:pt>
                <c:pt idx="17">
                  <c:v>3791</c:v>
                </c:pt>
              </c:numCache>
            </c:numRef>
          </c:val>
        </c:ser>
        <c:axId val="98534144"/>
        <c:axId val="98535680"/>
      </c:barChart>
      <c:catAx>
        <c:axId val="98534144"/>
        <c:scaling>
          <c:orientation val="minMax"/>
        </c:scaling>
        <c:axPos val="b"/>
        <c:numFmt formatCode="General" sourceLinked="1"/>
        <c:tickLblPos val="nextTo"/>
        <c:txPr>
          <a:bodyPr rot="-5400000" vert="horz"/>
          <a:lstStyle/>
          <a:p>
            <a:pPr>
              <a:defRPr/>
            </a:pPr>
            <a:endParaRPr lang="ru-RU"/>
          </a:p>
        </c:txPr>
        <c:crossAx val="98535680"/>
        <c:crosses val="autoZero"/>
        <c:auto val="1"/>
        <c:lblAlgn val="ctr"/>
        <c:lblOffset val="200"/>
        <c:tickLblSkip val="1"/>
        <c:tickMarkSkip val="1"/>
      </c:catAx>
      <c:valAx>
        <c:axId val="98535680"/>
        <c:scaling>
          <c:orientation val="minMax"/>
          <c:max val="8000"/>
          <c:min val="1000"/>
        </c:scaling>
        <c:axPos val="l"/>
        <c:numFmt formatCode="General" sourceLinked="0"/>
        <c:tickLblPos val="nextTo"/>
        <c:txPr>
          <a:bodyPr rot="0" vert="horz"/>
          <a:lstStyle/>
          <a:p>
            <a:pPr>
              <a:defRPr/>
            </a:pPr>
            <a:endParaRPr lang="ru-RU"/>
          </a:p>
        </c:txPr>
        <c:crossAx val="98534144"/>
        <c:crosses val="autoZero"/>
        <c:crossBetween val="between"/>
        <c:majorUnit val="500"/>
      </c:valAx>
    </c:plotArea>
    <c:legend>
      <c:legendPos val="r"/>
      <c:legendEntry>
        <c:idx val="3"/>
        <c:delete val="1"/>
      </c:legendEntry>
      <c:legendEntry>
        <c:idx val="4"/>
        <c:delete val="1"/>
      </c:legendEntry>
      <c:legendEntry>
        <c:idx val="6"/>
        <c:delete val="1"/>
      </c:legendEntry>
      <c:legendEntry>
        <c:idx val="2"/>
        <c:delete val="1"/>
      </c:legendEntry>
      <c:layout>
        <c:manualLayout>
          <c:xMode val="edge"/>
          <c:yMode val="edge"/>
          <c:x val="5.0629410065170945E-2"/>
          <c:y val="0.90392968659234163"/>
          <c:w val="0.91143377788624791"/>
          <c:h val="9.5581725646939716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089347079038035"/>
          <c:y val="4.0780141843972113E-2"/>
          <c:w val="0.58093949794737199"/>
          <c:h val="0.49271517784416607"/>
        </c:manualLayout>
      </c:layout>
      <c:lineChart>
        <c:grouping val="standard"/>
        <c:ser>
          <c:idx val="0"/>
          <c:order val="0"/>
          <c:tx>
            <c:strRef>
              <c:f>Лист1!$B$1</c:f>
              <c:strCache>
                <c:ptCount val="1"/>
                <c:pt idx="0">
                  <c:v>Валовой внутренний продукт (в текущих ценах), млн. долл. США</c:v>
                </c:pt>
              </c:strCache>
            </c:strRef>
          </c:tx>
          <c:spPr>
            <a:ln>
              <a:solidFill>
                <a:schemeClr val="accent3">
                  <a:lumMod val="75000"/>
                </a:schemeClr>
              </a:solidFill>
            </a:ln>
          </c:spPr>
          <c:marker>
            <c:spPr>
              <a:ln cap="sq">
                <a:solidFill>
                  <a:schemeClr val="accent3">
                    <a:lumMod val="75000"/>
                  </a:schemeClr>
                </a:solidFill>
                <a:bevel/>
              </a:ln>
            </c:spPr>
          </c:marker>
          <c:dLbls>
            <c:dLbl>
              <c:idx val="0"/>
              <c:layout>
                <c:manualLayout>
                  <c:x val="3.4603607241402612E-3"/>
                  <c:y val="0.20796104794994624"/>
                </c:manualLayout>
              </c:layout>
              <c:tx>
                <c:rich>
                  <a:bodyPr/>
                  <a:lstStyle/>
                  <a:p>
                    <a:r>
                      <a:rPr lang="ru-RU" sz="800" b="1">
                        <a:latin typeface="Times New Roman" pitchFamily="18" charset="0"/>
                        <a:cs typeface="Times New Roman" pitchFamily="18" charset="0"/>
                      </a:rPr>
                      <a:t>-19,2%*</a:t>
                    </a:r>
                    <a:endParaRPr lang="en-US" sz="800" b="1">
                      <a:latin typeface="Times New Roman" pitchFamily="18" charset="0"/>
                      <a:cs typeface="Times New Roman" pitchFamily="18" charset="0"/>
                    </a:endParaRPr>
                  </a:p>
                </c:rich>
              </c:tx>
              <c:dLblPos val="t"/>
              <c:showVal val="1"/>
            </c:dLbl>
            <c:dLbl>
              <c:idx val="1"/>
              <c:layout>
                <c:manualLayout>
                  <c:x val="4.4936010470631643E-2"/>
                  <c:y val="0.11259114756480579"/>
                </c:manualLayout>
              </c:layout>
              <c:tx>
                <c:rich>
                  <a:bodyPr/>
                  <a:lstStyle/>
                  <a:p>
                    <a:r>
                      <a:rPr lang="ru-RU" sz="800" b="1">
                        <a:latin typeface="Times New Roman" pitchFamily="18" charset="0"/>
                        <a:cs typeface="Times New Roman" pitchFamily="18" charset="0"/>
                      </a:rPr>
                      <a:t>+17,6%*</a:t>
                    </a:r>
                  </a:p>
                  <a:p>
                    <a:endParaRPr lang="en-US" sz="800" b="1">
                      <a:latin typeface="Times New Roman" pitchFamily="18" charset="0"/>
                      <a:cs typeface="Times New Roman" pitchFamily="18" charset="0"/>
                    </a:endParaRPr>
                  </a:p>
                </c:rich>
              </c:tx>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Лист1!$A$2:$A$3</c:f>
              <c:strCache>
                <c:ptCount val="2"/>
                <c:pt idx="0">
                  <c:v>январь-июнь 2015 года</c:v>
                </c:pt>
                <c:pt idx="1">
                  <c:v>январь - июнь 2016 года</c:v>
                </c:pt>
              </c:strCache>
            </c:strRef>
          </c:cat>
          <c:val>
            <c:numRef>
              <c:f>Лист1!$B$2:$B$3</c:f>
              <c:numCache>
                <c:formatCode>#,##0.0</c:formatCode>
                <c:ptCount val="2"/>
                <c:pt idx="0">
                  <c:v>320.10000000000002</c:v>
                </c:pt>
                <c:pt idx="1">
                  <c:v>352.1</c:v>
                </c:pt>
              </c:numCache>
            </c:numRef>
          </c:val>
        </c:ser>
        <c:dLbls>
          <c:showVal val="1"/>
        </c:dLbls>
        <c:marker val="1"/>
        <c:axId val="98561408"/>
        <c:axId val="98649216"/>
      </c:lineChart>
      <c:catAx>
        <c:axId val="98561408"/>
        <c:scaling>
          <c:orientation val="minMax"/>
        </c:scaling>
        <c:axPos val="b"/>
        <c:tickLblPos val="nextTo"/>
        <c:crossAx val="98649216"/>
        <c:crosses val="autoZero"/>
        <c:auto val="1"/>
        <c:lblAlgn val="ctr"/>
        <c:lblOffset val="100"/>
      </c:catAx>
      <c:valAx>
        <c:axId val="98649216"/>
        <c:scaling>
          <c:orientation val="minMax"/>
          <c:min val="200"/>
        </c:scaling>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реальный прирост ВВП</a:t>
                </a:r>
              </a:p>
            </c:rich>
          </c:tx>
          <c:layout>
            <c:manualLayout>
              <c:xMode val="edge"/>
              <c:yMode val="edge"/>
              <c:x val="2.486405545460663E-2"/>
              <c:y val="0.20750693397367881"/>
            </c:manualLayout>
          </c:layout>
        </c:title>
        <c:numFmt formatCode="#,##0.0" sourceLinked="1"/>
        <c:tickLblPos val="nextTo"/>
        <c:txPr>
          <a:bodyPr/>
          <a:lstStyle/>
          <a:p>
            <a:pPr>
              <a:defRPr lang="ru-RU" b="1">
                <a:latin typeface="Times New Roman" pitchFamily="18" charset="0"/>
                <a:cs typeface="Times New Roman" pitchFamily="18" charset="0"/>
              </a:defRPr>
            </a:pPr>
            <a:endParaRPr lang="ru-RU"/>
          </a:p>
        </c:txPr>
        <c:crossAx val="98561408"/>
        <c:crosses val="autoZero"/>
        <c:crossBetween val="between"/>
        <c:majorUnit val="2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5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Структура производста ВВП, млн. руб.</a:t>
            </a:r>
          </a:p>
        </c:rich>
      </c:tx>
    </c:title>
    <c:plotArea>
      <c:layout/>
      <c:barChart>
        <c:barDir val="col"/>
        <c:grouping val="clustered"/>
        <c:ser>
          <c:idx val="0"/>
          <c:order val="0"/>
          <c:tx>
            <c:strRef>
              <c:f>Лист1!$B$1</c:f>
              <c:strCache>
                <c:ptCount val="1"/>
                <c:pt idx="0">
                  <c:v>январь-июнь 2015 года</c:v>
                </c:pt>
              </c:strCache>
            </c:strRef>
          </c:tx>
          <c:dLbls>
            <c:dLbl>
              <c:idx val="0"/>
              <c:tx>
                <c:rich>
                  <a:bodyPr/>
                  <a:lstStyle/>
                  <a:p>
                    <a:r>
                      <a:rPr lang="ru-RU" sz="800" b="1">
                        <a:latin typeface="Times New Roman" pitchFamily="18" charset="0"/>
                        <a:cs typeface="Times New Roman" pitchFamily="18" charset="0"/>
                      </a:rPr>
                      <a:t>14,13*</a:t>
                    </a:r>
                    <a:endParaRPr lang="en-US" sz="800" b="1">
                      <a:latin typeface="Times New Roman" pitchFamily="18" charset="0"/>
                      <a:cs typeface="Times New Roman" pitchFamily="18" charset="0"/>
                    </a:endParaRPr>
                  </a:p>
                </c:rich>
              </c:tx>
              <c:dLblPos val="outEnd"/>
              <c:showVal val="1"/>
            </c:dLbl>
            <c:dLbl>
              <c:idx val="1"/>
              <c:layout>
                <c:manualLayout>
                  <c:x val="-4.6296296296297031E-3"/>
                  <c:y val="0"/>
                </c:manualLayout>
              </c:layout>
              <c:tx>
                <c:rich>
                  <a:bodyPr/>
                  <a:lstStyle/>
                  <a:p>
                    <a:r>
                      <a:rPr lang="ru-RU" sz="800" b="1">
                        <a:latin typeface="Times New Roman" pitchFamily="18" charset="0"/>
                        <a:cs typeface="Times New Roman" pitchFamily="18" charset="0"/>
                      </a:rPr>
                      <a:t>83,17*</a:t>
                    </a:r>
                    <a:endParaRPr lang="en-US" sz="800" b="1">
                      <a:latin typeface="Times New Roman" pitchFamily="18" charset="0"/>
                      <a:cs typeface="Times New Roman" pitchFamily="18" charset="0"/>
                    </a:endParaRPr>
                  </a:p>
                </c:rich>
              </c:tx>
              <c:dLblPos val="outEnd"/>
              <c:showVal val="1"/>
            </c:dLbl>
            <c:dLbl>
              <c:idx val="2"/>
              <c:layout>
                <c:manualLayout>
                  <c:x val="0"/>
                  <c:y val="1.0539580898129971E-2"/>
                </c:manualLayout>
              </c:layout>
              <c:tx>
                <c:rich>
                  <a:bodyPr/>
                  <a:lstStyle/>
                  <a:p>
                    <a:r>
                      <a:rPr lang="ru-RU" sz="800" b="1">
                        <a:latin typeface="Times New Roman" pitchFamily="18" charset="0"/>
                        <a:cs typeface="Times New Roman" pitchFamily="18" charset="0"/>
                      </a:rPr>
                      <a:t>2,70*</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formatCode="0.0">
                  <c:v>502</c:v>
                </c:pt>
                <c:pt idx="1">
                  <c:v>2955.5</c:v>
                </c:pt>
                <c:pt idx="2" formatCode="0.0">
                  <c:v>95.9</c:v>
                </c:pt>
              </c:numCache>
            </c:numRef>
          </c:val>
        </c:ser>
        <c:ser>
          <c:idx val="1"/>
          <c:order val="1"/>
          <c:tx>
            <c:strRef>
              <c:f>Лист1!$C$1</c:f>
              <c:strCache>
                <c:ptCount val="1"/>
                <c:pt idx="0">
                  <c:v>январь-июнь 2016 года</c:v>
                </c:pt>
              </c:strCache>
            </c:strRef>
          </c:tx>
          <c:dLbls>
            <c:dLbl>
              <c:idx val="0"/>
              <c:tx>
                <c:rich>
                  <a:bodyPr/>
                  <a:lstStyle/>
                  <a:p>
                    <a:r>
                      <a:rPr lang="ru-RU" sz="800" b="1">
                        <a:latin typeface="Times New Roman" pitchFamily="18" charset="0"/>
                        <a:cs typeface="Times New Roman" pitchFamily="18" charset="0"/>
                      </a:rPr>
                      <a:t>17,99*</a:t>
                    </a:r>
                    <a:endParaRPr lang="en-US" sz="800" b="1">
                      <a:latin typeface="Times New Roman" pitchFamily="18" charset="0"/>
                      <a:cs typeface="Times New Roman" pitchFamily="18" charset="0"/>
                    </a:endParaRPr>
                  </a:p>
                </c:rich>
              </c:tx>
              <c:dLblPos val="outEnd"/>
              <c:showVal val="1"/>
            </c:dLbl>
            <c:dLbl>
              <c:idx val="1"/>
              <c:tx>
                <c:rich>
                  <a:bodyPr/>
                  <a:lstStyle/>
                  <a:p>
                    <a:r>
                      <a:rPr lang="ru-RU" sz="800" b="1">
                        <a:latin typeface="Times New Roman" pitchFamily="18" charset="0"/>
                        <a:cs typeface="Times New Roman" pitchFamily="18" charset="0"/>
                      </a:rPr>
                      <a:t>83,91*</a:t>
                    </a:r>
                    <a:endParaRPr lang="en-US" sz="800" b="1">
                      <a:latin typeface="Times New Roman" pitchFamily="18" charset="0"/>
                      <a:cs typeface="Times New Roman" pitchFamily="18" charset="0"/>
                    </a:endParaRPr>
                  </a:p>
                </c:rich>
              </c:tx>
              <c:dLblPos val="outEnd"/>
              <c:showVal val="1"/>
            </c:dLbl>
            <c:dLbl>
              <c:idx val="2"/>
              <c:layout>
                <c:manualLayout>
                  <c:x val="4.27578834847675E-3"/>
                  <c:y val="9.4856228083170568E-2"/>
                </c:manualLayout>
              </c:layout>
              <c:tx>
                <c:rich>
                  <a:bodyPr/>
                  <a:lstStyle/>
                  <a:p>
                    <a:pPr>
                      <a:defRPr>
                        <a:solidFill>
                          <a:sysClr val="windowText" lastClr="000000"/>
                        </a:solidFill>
                      </a:defRPr>
                    </a:pPr>
                    <a:r>
                      <a:rPr lang="ru-RU" sz="800" b="1">
                        <a:solidFill>
                          <a:sysClr val="windowText" lastClr="000000"/>
                        </a:solidFill>
                        <a:latin typeface="Times New Roman" pitchFamily="18" charset="0"/>
                        <a:cs typeface="Times New Roman" pitchFamily="18" charset="0"/>
                      </a:rPr>
                      <a:t>-1,90*</a:t>
                    </a:r>
                    <a:endParaRPr lang="en-US" sz="800" b="1">
                      <a:solidFill>
                        <a:sysClr val="windowText" lastClr="000000"/>
                      </a:solidFill>
                      <a:latin typeface="Times New Roman" pitchFamily="18" charset="0"/>
                      <a:cs typeface="Times New Roman" pitchFamily="18" charset="0"/>
                    </a:endParaRPr>
                  </a:p>
                </c:rich>
              </c:tx>
              <c:spPr/>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formatCode="0.0">
                  <c:v>710.8</c:v>
                </c:pt>
                <c:pt idx="1">
                  <c:v>3314.2</c:v>
                </c:pt>
                <c:pt idx="2" formatCode="0.0">
                  <c:v>-75</c:v>
                </c:pt>
              </c:numCache>
            </c:numRef>
          </c:val>
        </c:ser>
        <c:dLbls>
          <c:showVal val="1"/>
        </c:dLbls>
        <c:axId val="98758656"/>
        <c:axId val="98760192"/>
      </c:barChart>
      <c:catAx>
        <c:axId val="98758656"/>
        <c:scaling>
          <c:orientation val="minMax"/>
        </c:scaling>
        <c:axPos val="b"/>
        <c:tickLblPos val="nextTo"/>
        <c:crossAx val="98760192"/>
        <c:crosses val="autoZero"/>
        <c:auto val="1"/>
        <c:lblAlgn val="ctr"/>
        <c:lblOffset val="100"/>
      </c:catAx>
      <c:valAx>
        <c:axId val="98760192"/>
        <c:scaling>
          <c:orientation val="minMax"/>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*_ удельный вес в структуре ВВП,%</a:t>
                </a:r>
              </a:p>
            </c:rich>
          </c:tx>
          <c:layout>
            <c:manualLayout>
              <c:xMode val="edge"/>
              <c:yMode val="edge"/>
              <c:x val="0.8295778500696499"/>
              <c:y val="0.14025028600024228"/>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98758656"/>
        <c:crosses val="autoZero"/>
        <c:crossBetween val="between"/>
        <c:majorUnit val="1000"/>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1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Структура валовой добавлененой стоимости отраслей товарного производства, млн. руб.</a:t>
            </a:r>
          </a:p>
        </c:rich>
      </c:tx>
      <c:layout>
        <c:manualLayout>
          <c:xMode val="edge"/>
          <c:yMode val="edge"/>
          <c:x val="0.15270332861810398"/>
          <c:y val="0"/>
        </c:manualLayout>
      </c:layout>
    </c:title>
    <c:plotArea>
      <c:layout>
        <c:manualLayout>
          <c:layoutTarget val="inner"/>
          <c:xMode val="edge"/>
          <c:yMode val="edge"/>
          <c:x val="0.25664883235749381"/>
          <c:y val="0.19820113431657743"/>
          <c:w val="0.73694091123224981"/>
          <c:h val="0.46512873907290586"/>
        </c:manualLayout>
      </c:layout>
      <c:barChart>
        <c:barDir val="col"/>
        <c:grouping val="clustered"/>
        <c:ser>
          <c:idx val="0"/>
          <c:order val="0"/>
          <c:tx>
            <c:strRef>
              <c:f>Лист1!$B$1</c:f>
              <c:strCache>
                <c:ptCount val="1"/>
                <c:pt idx="0">
                  <c:v>январь-июнь 2015 года</c:v>
                </c:pt>
              </c:strCache>
            </c:strRef>
          </c:tx>
          <c:dLbls>
            <c:dLbl>
              <c:idx val="0"/>
              <c:layout>
                <c:manualLayout>
                  <c:x val="0"/>
                  <c:y val="1.2615052077766319E-2"/>
                </c:manualLayout>
              </c:layout>
              <c:tx>
                <c:rich>
                  <a:bodyPr/>
                  <a:lstStyle/>
                  <a:p>
                    <a:r>
                      <a:rPr lang="ru-RU"/>
                      <a:t>35,19*</a:t>
                    </a:r>
                    <a:endParaRPr lang="en-US"/>
                  </a:p>
                </c:rich>
              </c:tx>
              <c:dLblPos val="outEnd"/>
              <c:showVal val="1"/>
            </c:dLbl>
            <c:dLbl>
              <c:idx val="1"/>
              <c:tx>
                <c:rich>
                  <a:bodyPr/>
                  <a:lstStyle/>
                  <a:p>
                    <a:r>
                      <a:rPr lang="ru-RU"/>
                      <a:t>-24,25*</a:t>
                    </a:r>
                    <a:endParaRPr lang="en-US"/>
                  </a:p>
                </c:rich>
              </c:tx>
              <c:dLblPos val="outEnd"/>
              <c:showVal val="1"/>
            </c:dLbl>
            <c:dLbl>
              <c:idx val="2"/>
              <c:layout>
                <c:manualLayout>
                  <c:x val="2.5396825396825401E-3"/>
                  <c:y val="1.8099547511312229E-2"/>
                </c:manualLayout>
              </c:layout>
              <c:tx>
                <c:rich>
                  <a:bodyPr/>
                  <a:lstStyle/>
                  <a:p>
                    <a:r>
                      <a:rPr lang="ru-RU"/>
                      <a:t>3,19*</a:t>
                    </a:r>
                    <a:endParaRPr lang="en-US"/>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Промышленность</c:v>
                </c:pt>
                <c:pt idx="1">
                  <c:v>Селькое хозяйство</c:v>
                </c:pt>
                <c:pt idx="2">
                  <c:v>Строительство</c:v>
                </c:pt>
              </c:strCache>
            </c:strRef>
          </c:cat>
          <c:val>
            <c:numRef>
              <c:f>Лист1!$B$2:$B$4</c:f>
              <c:numCache>
                <c:formatCode>#,##0.0</c:formatCode>
                <c:ptCount val="3"/>
                <c:pt idx="0">
                  <c:v>1250.5999999999999</c:v>
                </c:pt>
                <c:pt idx="1">
                  <c:v>-862</c:v>
                </c:pt>
                <c:pt idx="2">
                  <c:v>113.4</c:v>
                </c:pt>
              </c:numCache>
            </c:numRef>
          </c:val>
        </c:ser>
        <c:ser>
          <c:idx val="1"/>
          <c:order val="1"/>
          <c:tx>
            <c:strRef>
              <c:f>Лист1!$C$1</c:f>
              <c:strCache>
                <c:ptCount val="1"/>
                <c:pt idx="0">
                  <c:v>январь-июнь 2016 года</c:v>
                </c:pt>
              </c:strCache>
            </c:strRef>
          </c:tx>
          <c:dLbls>
            <c:dLbl>
              <c:idx val="0"/>
              <c:layout>
                <c:manualLayout>
                  <c:x val="-2.5396825396825401E-3"/>
                  <c:y val="1.0420778850607852E-2"/>
                </c:manualLayout>
              </c:layout>
              <c:tx>
                <c:rich>
                  <a:bodyPr/>
                  <a:lstStyle/>
                  <a:p>
                    <a:r>
                      <a:rPr lang="ru-RU"/>
                      <a:t>39,16*</a:t>
                    </a:r>
                    <a:endParaRPr lang="en-US"/>
                  </a:p>
                </c:rich>
              </c:tx>
              <c:dLblPos val="outEnd"/>
              <c:showVal val="1"/>
            </c:dLbl>
            <c:dLbl>
              <c:idx val="1"/>
              <c:tx>
                <c:rich>
                  <a:bodyPr/>
                  <a:lstStyle/>
                  <a:p>
                    <a:r>
                      <a:rPr lang="ru-RU"/>
                      <a:t>-24,53*</a:t>
                    </a:r>
                    <a:endParaRPr lang="en-US"/>
                  </a:p>
                </c:rich>
              </c:tx>
              <c:dLblPos val="outEnd"/>
              <c:showVal val="1"/>
            </c:dLbl>
            <c:dLbl>
              <c:idx val="2"/>
              <c:layout>
                <c:manualLayout>
                  <c:x val="-1.0158730158730254E-2"/>
                  <c:y val="1.2066365007541479E-2"/>
                </c:manualLayout>
              </c:layout>
              <c:tx>
                <c:rich>
                  <a:bodyPr/>
                  <a:lstStyle/>
                  <a:p>
                    <a:r>
                      <a:rPr lang="ru-RU"/>
                      <a:t>3,36*</a:t>
                    </a:r>
                    <a:endParaRPr lang="en-US"/>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Промышленность</c:v>
                </c:pt>
                <c:pt idx="1">
                  <c:v>Селькое хозяйство</c:v>
                </c:pt>
                <c:pt idx="2">
                  <c:v>Строительство</c:v>
                </c:pt>
              </c:strCache>
            </c:strRef>
          </c:cat>
          <c:val>
            <c:numRef>
              <c:f>Лист1!$C$2:$C$4</c:f>
              <c:numCache>
                <c:formatCode>#,##0.0</c:formatCode>
                <c:ptCount val="3"/>
                <c:pt idx="0">
                  <c:v>1546.9</c:v>
                </c:pt>
                <c:pt idx="1">
                  <c:v>-968.8</c:v>
                </c:pt>
                <c:pt idx="2">
                  <c:v>132.69999999999999</c:v>
                </c:pt>
              </c:numCache>
            </c:numRef>
          </c:val>
        </c:ser>
        <c:dLbls>
          <c:showVal val="1"/>
        </c:dLbls>
        <c:axId val="98869632"/>
        <c:axId val="98871168"/>
      </c:barChart>
      <c:catAx>
        <c:axId val="98869632"/>
        <c:scaling>
          <c:orientation val="minMax"/>
        </c:scaling>
        <c:axPos val="b"/>
        <c:tickLblPos val="nextTo"/>
        <c:txPr>
          <a:bodyPr/>
          <a:lstStyle/>
          <a:p>
            <a:pPr>
              <a:defRPr b="1">
                <a:latin typeface="Times New Roman" pitchFamily="18" charset="0"/>
                <a:cs typeface="Times New Roman" pitchFamily="18" charset="0"/>
              </a:defRPr>
            </a:pPr>
            <a:endParaRPr lang="ru-RU"/>
          </a:p>
        </c:txPr>
        <c:crossAx val="98871168"/>
        <c:crosses val="autoZero"/>
        <c:auto val="1"/>
        <c:lblAlgn val="ctr"/>
        <c:lblOffset val="100"/>
      </c:catAx>
      <c:valAx>
        <c:axId val="98871168"/>
        <c:scaling>
          <c:orientation val="minMax"/>
          <c:min val="-1500"/>
        </c:scaling>
        <c:axPos val="l"/>
        <c:title>
          <c:tx>
            <c:rich>
              <a:bodyPr rot="0" vert="horz"/>
              <a:lstStyle/>
              <a:p>
                <a:pPr>
                  <a:defRPr sz="900"/>
                </a:pPr>
                <a:r>
                  <a:rPr lang="ru-RU" sz="900">
                    <a:latin typeface="Times New Roman" pitchFamily="18" charset="0"/>
                    <a:cs typeface="Times New Roman" pitchFamily="18" charset="0"/>
                  </a:rPr>
                  <a:t>*- долевое представление в структуре ВВП,%</a:t>
                </a:r>
              </a:p>
            </c:rich>
          </c:tx>
          <c:layout>
            <c:manualLayout>
              <c:xMode val="edge"/>
              <c:yMode val="edge"/>
              <c:x val="0.75505663143460489"/>
              <c:y val="0.17501390393115371"/>
            </c:manualLayout>
          </c:layout>
        </c:title>
        <c:numFmt formatCode="#,##0.0" sourceLinked="1"/>
        <c:tickLblPos val="nextTo"/>
        <c:txPr>
          <a:bodyPr/>
          <a:lstStyle/>
          <a:p>
            <a:pPr>
              <a:defRPr sz="800" b="1">
                <a:latin typeface="Times New Roman" pitchFamily="18" charset="0"/>
                <a:cs typeface="Times New Roman" pitchFamily="18" charset="0"/>
              </a:defRPr>
            </a:pPr>
            <a:endParaRPr lang="ru-RU"/>
          </a:p>
        </c:txPr>
        <c:crossAx val="98869632"/>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ВДС  отраслей рыночных услуг, %</a:t>
            </a:r>
          </a:p>
        </c:rich>
      </c:tx>
      <c:layout>
        <c:manualLayout>
          <c:xMode val="edge"/>
          <c:yMode val="edge"/>
          <c:x val="0.288140611392249"/>
          <c:y val="0"/>
        </c:manualLayout>
      </c:layout>
    </c:title>
    <c:plotArea>
      <c:layout>
        <c:manualLayout>
          <c:layoutTarget val="inner"/>
          <c:xMode val="edge"/>
          <c:yMode val="edge"/>
          <c:x val="8.0106894708711948E-2"/>
          <c:y val="9.7771516289144988E-2"/>
          <c:w val="0.90976944058463283"/>
          <c:h val="0.35733985360603376"/>
        </c:manualLayout>
      </c:layout>
      <c:barChart>
        <c:barDir val="col"/>
        <c:grouping val="clustered"/>
        <c:ser>
          <c:idx val="0"/>
          <c:order val="0"/>
          <c:tx>
            <c:strRef>
              <c:f>Лист1!$B$1</c:f>
              <c:strCache>
                <c:ptCount val="1"/>
                <c:pt idx="0">
                  <c:v>январь-июнь 2015 года</c:v>
                </c:pt>
              </c:strCache>
            </c:strRef>
          </c:tx>
          <c:dLbls>
            <c:dLbl>
              <c:idx val="0"/>
              <c:layout>
                <c:manualLayout>
                  <c:x val="-6.2689154596416189E-3"/>
                  <c:y val="-1.3885959907185802E-2"/>
                </c:manualLayout>
              </c:layout>
              <c:showVal val="1"/>
            </c:dLbl>
            <c:dLbl>
              <c:idx val="1"/>
              <c:layout>
                <c:manualLayout>
                  <c:x val="-6.1730015229577804E-3"/>
                  <c:y val="7.7294685990340166E-3"/>
                </c:manualLayout>
              </c:layout>
              <c:showVal val="1"/>
            </c:dLbl>
            <c:dLbl>
              <c:idx val="2"/>
              <c:layout>
                <c:manualLayout>
                  <c:x val="-6.5145130181149613E-3"/>
                  <c:y val="1.1204541292803977E-2"/>
                </c:manualLayout>
              </c:layout>
              <c:showVal val="1"/>
            </c:dLbl>
            <c:dLbl>
              <c:idx val="3"/>
              <c:layout>
                <c:manualLayout>
                  <c:x val="-1.0893496677426279E-2"/>
                  <c:y val="1.8300942344990835E-2"/>
                </c:manualLayout>
              </c:layout>
              <c:showVal val="1"/>
            </c:dLbl>
            <c:dLbl>
              <c:idx val="4"/>
              <c:layout>
                <c:manualLayout>
                  <c:x val="0"/>
                  <c:y val="9.3023255813953227E-3"/>
                </c:manualLayout>
              </c:layout>
              <c:showVal val="1"/>
            </c:dLbl>
            <c:dLbl>
              <c:idx val="5"/>
              <c:layout>
                <c:manualLayout>
                  <c:x val="-2.4122853162862929E-3"/>
                  <c:y val="1.7237190527960255E-2"/>
                </c:manualLayout>
              </c:layout>
              <c:showVal val="1"/>
            </c:dLbl>
            <c:dLbl>
              <c:idx val="6"/>
              <c:layout>
                <c:manualLayout>
                  <c:x val="-8.5515766969535226E-3"/>
                  <c:y val="8.6185952639801205E-3"/>
                </c:manualLayout>
              </c:layout>
              <c:showVal val="1"/>
            </c:dLbl>
            <c:dLbl>
              <c:idx val="7"/>
              <c:layout>
                <c:manualLayout>
                  <c:x val="-8.7254232337161067E-3"/>
                  <c:y val="6.8356222913998517E-3"/>
                </c:manualLayout>
              </c:layout>
              <c:showVal val="1"/>
            </c:dLbl>
            <c:dLbl>
              <c:idx val="8"/>
              <c:layout>
                <c:manualLayout>
                  <c:x val="-8.5515766969535226E-3"/>
                  <c:y val="1.2402972940325389E-2"/>
                </c:manualLayout>
              </c:layout>
              <c:showVal val="1"/>
            </c:dLbl>
            <c:dLbl>
              <c:idx val="9"/>
              <c:layout>
                <c:manualLayout>
                  <c:x val="-4.3643342016774665E-3"/>
                  <c:y val="1.6747559308829485E-2"/>
                </c:manualLayout>
              </c:layout>
              <c:showVal val="1"/>
            </c:dLbl>
            <c:dLbl>
              <c:idx val="10"/>
              <c:layout>
                <c:manualLayout>
                  <c:x val="1.0653332817849487E-5"/>
                  <c:y val="9.3023255813953504E-3"/>
                </c:manualLayout>
              </c:layout>
              <c:showVal val="1"/>
            </c:dLbl>
            <c:txPr>
              <a:bodyPr/>
              <a:lstStyle/>
              <a:p>
                <a:pPr>
                  <a:defRPr sz="800" b="1">
                    <a:latin typeface="Times New Roman" pitchFamily="18" charset="0"/>
                    <a:cs typeface="Times New Roman" pitchFamily="18" charset="0"/>
                  </a:defRPr>
                </a:pPr>
                <a:endParaRPr lang="ru-RU"/>
              </a:p>
            </c:txPr>
            <c:showVal val="1"/>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Лист1!$B$2:$B$12</c:f>
              <c:numCache>
                <c:formatCode>0.00</c:formatCode>
                <c:ptCount val="11"/>
                <c:pt idx="0">
                  <c:v>4.8099999999999996</c:v>
                </c:pt>
                <c:pt idx="1">
                  <c:v>5.67</c:v>
                </c:pt>
                <c:pt idx="2">
                  <c:v>17.41</c:v>
                </c:pt>
                <c:pt idx="3">
                  <c:v>2.4499999999999997</c:v>
                </c:pt>
                <c:pt idx="4">
                  <c:v>0.52</c:v>
                </c:pt>
                <c:pt idx="5">
                  <c:v>5.22</c:v>
                </c:pt>
                <c:pt idx="6">
                  <c:v>0.71000000000000063</c:v>
                </c:pt>
                <c:pt idx="7">
                  <c:v>7.1499999999999995</c:v>
                </c:pt>
                <c:pt idx="8">
                  <c:v>0.62000000000000244</c:v>
                </c:pt>
                <c:pt idx="9">
                  <c:v>0.45</c:v>
                </c:pt>
                <c:pt idx="10">
                  <c:v>1.9800000000000053</c:v>
                </c:pt>
              </c:numCache>
            </c:numRef>
          </c:val>
        </c:ser>
        <c:ser>
          <c:idx val="1"/>
          <c:order val="1"/>
          <c:tx>
            <c:strRef>
              <c:f>Лист1!$C$1</c:f>
              <c:strCache>
                <c:ptCount val="1"/>
                <c:pt idx="0">
                  <c:v>январь-июнь 2016 года</c:v>
                </c:pt>
              </c:strCache>
            </c:strRef>
          </c:tx>
          <c:dLbls>
            <c:dLbl>
              <c:idx val="0"/>
              <c:layout>
                <c:manualLayout>
                  <c:x val="8.5852443217447182E-3"/>
                  <c:y val="9.4838479381199241E-4"/>
                </c:manualLayout>
              </c:layout>
              <c:showVal val="1"/>
            </c:dLbl>
            <c:dLbl>
              <c:idx val="1"/>
              <c:layout>
                <c:manualLayout>
                  <c:x val="1.3071838242441921E-2"/>
                  <c:y val="-4.3239377686484755E-3"/>
                </c:manualLayout>
              </c:layout>
              <c:showVal val="1"/>
            </c:dLbl>
            <c:dLbl>
              <c:idx val="2"/>
              <c:layout>
                <c:manualLayout>
                  <c:x val="1.087189796856408E-2"/>
                  <c:y val="7.4696941952026794E-3"/>
                </c:manualLayout>
              </c:layout>
              <c:showVal val="1"/>
            </c:dLbl>
            <c:dLbl>
              <c:idx val="3"/>
              <c:layout>
                <c:manualLayout>
                  <c:x val="1.9363261046137406E-2"/>
                  <c:y val="1.919367951583863E-2"/>
                </c:manualLayout>
              </c:layout>
              <c:showVal val="1"/>
            </c:dLbl>
            <c:dLbl>
              <c:idx val="4"/>
              <c:layout>
                <c:manualLayout>
                  <c:x val="1.1135230223426775E-2"/>
                  <c:y val="1.8386110353308161E-2"/>
                </c:manualLayout>
              </c:layout>
              <c:showVal val="1"/>
            </c:dLbl>
            <c:dLbl>
              <c:idx val="5"/>
              <c:layout>
                <c:manualLayout>
                  <c:x val="1.3071811195449997E-2"/>
                  <c:y val="9.8668131599832683E-3"/>
                </c:manualLayout>
              </c:layout>
              <c:showVal val="1"/>
            </c:dLbl>
            <c:dLbl>
              <c:idx val="6"/>
              <c:layout>
                <c:manualLayout>
                  <c:x val="1.5774292243400097E-2"/>
                  <c:y val="1.2038888187638361E-2"/>
                </c:manualLayout>
              </c:layout>
              <c:showVal val="1"/>
            </c:dLbl>
            <c:dLbl>
              <c:idx val="7"/>
              <c:layout>
                <c:manualLayout>
                  <c:x val="8.7039447401317006E-3"/>
                  <c:y val="5.5674784837943603E-3"/>
                </c:manualLayout>
              </c:layout>
              <c:showVal val="1"/>
            </c:dLbl>
            <c:dLbl>
              <c:idx val="8"/>
              <c:layout>
                <c:manualLayout>
                  <c:x val="9.1941233160927009E-3"/>
                  <c:y val="1.211523401182716E-2"/>
                </c:manualLayout>
              </c:layout>
              <c:showVal val="1"/>
            </c:dLbl>
            <c:dLbl>
              <c:idx val="9"/>
              <c:layout>
                <c:manualLayout>
                  <c:x val="1.3068425238935017E-2"/>
                  <c:y val="1.4126352678347239E-2"/>
                </c:manualLayout>
              </c:layout>
              <c:showVal val="1"/>
            </c:dLbl>
            <c:dLbl>
              <c:idx val="10"/>
              <c:layout>
                <c:manualLayout>
                  <c:x val="9.7311219315116219E-3"/>
                  <c:y val="8.5687159921767585E-3"/>
                </c:manualLayout>
              </c:layout>
              <c:showVal val="1"/>
            </c:dLbl>
            <c:txPr>
              <a:bodyPr/>
              <a:lstStyle/>
              <a:p>
                <a:pPr>
                  <a:defRPr sz="800" b="1">
                    <a:latin typeface="Times New Roman" pitchFamily="18" charset="0"/>
                    <a:cs typeface="Times New Roman" pitchFamily="18" charset="0"/>
                  </a:defRPr>
                </a:pPr>
                <a:endParaRPr lang="ru-RU"/>
              </a:p>
            </c:txPr>
            <c:showVal val="1"/>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Лист1!$C$2:$C$12</c:f>
              <c:numCache>
                <c:formatCode>0.00</c:formatCode>
                <c:ptCount val="11"/>
                <c:pt idx="0">
                  <c:v>3.57</c:v>
                </c:pt>
                <c:pt idx="1">
                  <c:v>5.01</c:v>
                </c:pt>
                <c:pt idx="2">
                  <c:v>14.06</c:v>
                </c:pt>
                <c:pt idx="3">
                  <c:v>2.16</c:v>
                </c:pt>
                <c:pt idx="4">
                  <c:v>0.41000000000000031</c:v>
                </c:pt>
                <c:pt idx="5">
                  <c:v>4.5199999999999996</c:v>
                </c:pt>
                <c:pt idx="6">
                  <c:v>0.71000000000000063</c:v>
                </c:pt>
                <c:pt idx="7">
                  <c:v>5.4</c:v>
                </c:pt>
                <c:pt idx="8">
                  <c:v>0.58000000000000007</c:v>
                </c:pt>
                <c:pt idx="9">
                  <c:v>0.4</c:v>
                </c:pt>
                <c:pt idx="10">
                  <c:v>1.37</c:v>
                </c:pt>
              </c:numCache>
            </c:numRef>
          </c:val>
        </c:ser>
        <c:dLbls>
          <c:showVal val="1"/>
        </c:dLbls>
        <c:axId val="99255040"/>
        <c:axId val="99256576"/>
      </c:barChart>
      <c:catAx>
        <c:axId val="99255040"/>
        <c:scaling>
          <c:orientation val="minMax"/>
        </c:scaling>
        <c:axPos val="b"/>
        <c:tickLblPos val="nextTo"/>
        <c:txPr>
          <a:bodyPr rot="5400000" vert="horz"/>
          <a:lstStyle/>
          <a:p>
            <a:pPr>
              <a:defRPr b="1">
                <a:latin typeface="Times New Roman" pitchFamily="18" charset="0"/>
                <a:cs typeface="Times New Roman" pitchFamily="18" charset="0"/>
              </a:defRPr>
            </a:pPr>
            <a:endParaRPr lang="ru-RU"/>
          </a:p>
        </c:txPr>
        <c:crossAx val="99256576"/>
        <c:crosses val="autoZero"/>
        <c:auto val="1"/>
        <c:lblAlgn val="ctr"/>
        <c:lblOffset val="100"/>
      </c:catAx>
      <c:valAx>
        <c:axId val="99256576"/>
        <c:scaling>
          <c:orientation val="minMax"/>
        </c:scaling>
        <c:axPos val="l"/>
        <c:numFmt formatCode="0.00" sourceLinked="1"/>
        <c:tickLblPos val="nextTo"/>
        <c:txPr>
          <a:bodyPr/>
          <a:lstStyle/>
          <a:p>
            <a:pPr>
              <a:defRPr b="1">
                <a:latin typeface="Times New Roman" pitchFamily="18" charset="0"/>
                <a:cs typeface="Times New Roman" pitchFamily="18" charset="0"/>
              </a:defRPr>
            </a:pPr>
            <a:endParaRPr lang="ru-RU"/>
          </a:p>
        </c:txPr>
        <c:crossAx val="99255040"/>
        <c:crosses val="autoZero"/>
        <c:crossBetween val="between"/>
      </c:valAx>
    </c:plotArea>
    <c:legend>
      <c:legendPos val="b"/>
      <c:layout>
        <c:manualLayout>
          <c:xMode val="edge"/>
          <c:yMode val="edge"/>
          <c:x val="0.19781965415767341"/>
          <c:y val="0.9445010331748489"/>
          <c:w val="0.61058588624751464"/>
          <c:h val="5.4826551534602114E-2"/>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defRPr>
            </a:pPr>
            <a:r>
              <a:rPr lang="ru-RU" sz="1200">
                <a:solidFill>
                  <a:sysClr val="windowText" lastClr="000000"/>
                </a:solidFill>
              </a:rPr>
              <a:t>Структура нерыночных услуг в общем объеме ВВП, %</a:t>
            </a:r>
          </a:p>
        </c:rich>
      </c:tx>
      <c:layout>
        <c:manualLayout>
          <c:xMode val="edge"/>
          <c:yMode val="edge"/>
          <c:x val="0.17456966462837256"/>
          <c:y val="0"/>
        </c:manualLayout>
      </c:layout>
    </c:title>
    <c:plotArea>
      <c:layout>
        <c:manualLayout>
          <c:layoutTarget val="inner"/>
          <c:xMode val="edge"/>
          <c:yMode val="edge"/>
          <c:x val="9.2002153576956694E-2"/>
          <c:y val="0.13503580093278139"/>
          <c:w val="0.88253481335666351"/>
          <c:h val="0.30293504978544672"/>
        </c:manualLayout>
      </c:layout>
      <c:barChart>
        <c:barDir val="col"/>
        <c:grouping val="clustered"/>
        <c:ser>
          <c:idx val="0"/>
          <c:order val="0"/>
          <c:tx>
            <c:strRef>
              <c:f>Лист1!$B$1</c:f>
              <c:strCache>
                <c:ptCount val="1"/>
                <c:pt idx="0">
                  <c:v>январь-июнь 2015 года</c:v>
                </c:pt>
              </c:strCache>
            </c:strRef>
          </c:tx>
          <c:dLbls>
            <c:dLbl>
              <c:idx val="0"/>
              <c:layout>
                <c:manualLayout>
                  <c:x val="0"/>
                  <c:y val="1.2236662840434558E-2"/>
                </c:manualLayout>
              </c:layout>
              <c:dLblPos val="outEnd"/>
              <c:showVal val="1"/>
            </c:dLbl>
            <c:dLbl>
              <c:idx val="1"/>
              <c:layout>
                <c:manualLayout>
                  <c:x val="-1.7103153393907101E-2"/>
                  <c:y val="1.1904952806740155E-2"/>
                </c:manualLayout>
              </c:layout>
              <c:dLblPos val="outEnd"/>
              <c:showVal val="1"/>
            </c:dLbl>
            <c:dLbl>
              <c:idx val="2"/>
              <c:layout>
                <c:manualLayout>
                  <c:x val="-6.944452627547692E-3"/>
                  <c:y val="1.8340506666068145E-2"/>
                </c:manualLayout>
              </c:layout>
              <c:dLblPos val="outEnd"/>
              <c:showVal val="1"/>
            </c:dLbl>
            <c:dLbl>
              <c:idx val="3"/>
              <c:layout>
                <c:manualLayout>
                  <c:x val="0"/>
                  <c:y val="1.1904761904761921E-2"/>
                </c:manualLayout>
              </c:layout>
              <c:dLblPos val="outEnd"/>
              <c:showVal val="1"/>
            </c:dLbl>
            <c:dLbl>
              <c:idx val="4"/>
              <c:layout>
                <c:manualLayout>
                  <c:x val="-6.9446209656716931E-3"/>
                  <c:y val="1.5274067279660561E-2"/>
                </c:manualLayout>
              </c:layout>
              <c:dLblPos val="outEnd"/>
              <c:showVal val="1"/>
            </c:dLbl>
            <c:dLbl>
              <c:idx val="5"/>
              <c:layout>
                <c:manualLayout>
                  <c:x val="-7.1910237200845204E-4"/>
                  <c:y val="7.6047166072390942E-3"/>
                </c:manualLayout>
              </c:layout>
              <c:dLblPos val="outEnd"/>
              <c:showVal val="1"/>
            </c:dLbl>
            <c:dLbl>
              <c:idx val="6"/>
              <c:layout>
                <c:manualLayout>
                  <c:x val="-1.4382047440168761E-3"/>
                  <c:y val="7.9364875446188594E-3"/>
                </c:manualLayout>
              </c:layout>
              <c:dLblPos val="outEnd"/>
              <c:showVal val="1"/>
            </c:dLbl>
            <c:dLblPos val="outEnd"/>
            <c:showVal val="1"/>
          </c:dLbls>
          <c:cat>
            <c:strRef>
              <c:f>Лист1!$A$2:$A$8</c:f>
              <c:strCache>
                <c:ptCount val="7"/>
                <c:pt idx="0">
                  <c:v>здравоохранение и социальное обеспечение</c:v>
                </c:pt>
                <c:pt idx="1">
                  <c:v>образование</c:v>
                </c:pt>
                <c:pt idx="2">
                  <c:v>культура, искусство, кинематография 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Лист1!$B$2:$B$8</c:f>
              <c:numCache>
                <c:formatCode>0.00</c:formatCode>
                <c:ptCount val="7"/>
                <c:pt idx="0">
                  <c:v>9.8000000000000007</c:v>
                </c:pt>
                <c:pt idx="1">
                  <c:v>10.09</c:v>
                </c:pt>
                <c:pt idx="2">
                  <c:v>0.83000000000000063</c:v>
                </c:pt>
                <c:pt idx="3">
                  <c:v>0.21000000000000021</c:v>
                </c:pt>
                <c:pt idx="4">
                  <c:v>5.96</c:v>
                </c:pt>
                <c:pt idx="5">
                  <c:v>1.48</c:v>
                </c:pt>
                <c:pt idx="6">
                  <c:v>7.81</c:v>
                </c:pt>
              </c:numCache>
            </c:numRef>
          </c:val>
        </c:ser>
        <c:ser>
          <c:idx val="1"/>
          <c:order val="1"/>
          <c:tx>
            <c:strRef>
              <c:f>Лист1!$C$1</c:f>
              <c:strCache>
                <c:ptCount val="1"/>
                <c:pt idx="0">
                  <c:v>январь-июнь 2016 года</c:v>
                </c:pt>
              </c:strCache>
            </c:strRef>
          </c:tx>
          <c:dLbls>
            <c:dLbl>
              <c:idx val="0"/>
              <c:layout>
                <c:manualLayout>
                  <c:x val="6.9442842894237534E-3"/>
                  <c:y val="1.7897919519696732E-2"/>
                </c:manualLayout>
              </c:layout>
              <c:dLblPos val="outEnd"/>
              <c:showVal val="1"/>
            </c:dLbl>
            <c:dLbl>
              <c:idx val="1"/>
              <c:layout>
                <c:manualLayout>
                  <c:x val="0"/>
                  <c:y val="1.8759024087620889E-2"/>
                </c:manualLayout>
              </c:layout>
              <c:dLblPos val="outEnd"/>
              <c:showVal val="1"/>
            </c:dLbl>
            <c:dLbl>
              <c:idx val="2"/>
              <c:layout>
                <c:manualLayout>
                  <c:x val="6.944452627547692E-3"/>
                  <c:y val="2.03654230395473E-2"/>
                </c:manualLayout>
              </c:layout>
              <c:dLblPos val="outEnd"/>
              <c:showVal val="1"/>
            </c:dLbl>
            <c:dLbl>
              <c:idx val="3"/>
              <c:layout>
                <c:manualLayout>
                  <c:x val="0"/>
                  <c:y val="7.9365079365079413E-3"/>
                </c:manualLayout>
              </c:layout>
              <c:dLblPos val="outEnd"/>
              <c:showVal val="1"/>
            </c:dLbl>
            <c:dLbl>
              <c:idx val="4"/>
              <c:layout>
                <c:manualLayout>
                  <c:x val="6.3508924024796602E-3"/>
                  <c:y val="1.2585270186624246E-2"/>
                </c:manualLayout>
              </c:layout>
              <c:dLblPos val="outEnd"/>
              <c:showVal val="1"/>
            </c:dLbl>
            <c:dLbl>
              <c:idx val="5"/>
              <c:layout>
                <c:manualLayout>
                  <c:x val="4.27578834847675E-3"/>
                  <c:y val="6.8071827403841845E-4"/>
                </c:manualLayout>
              </c:layout>
              <c:dLblPos val="outEnd"/>
              <c:showVal val="1"/>
            </c:dLbl>
            <c:dLbl>
              <c:idx val="6"/>
              <c:layout>
                <c:manualLayout>
                  <c:x val="1.0375596596804317E-2"/>
                  <c:y val="1.19048919030548E-2"/>
                </c:manualLayout>
              </c:layout>
              <c:dLblPos val="outEnd"/>
              <c:showVal val="1"/>
            </c:dLbl>
            <c:dLblPos val="outEnd"/>
            <c:showVal val="1"/>
          </c:dLbls>
          <c:cat>
            <c:strRef>
              <c:f>Лист1!$A$2:$A$8</c:f>
              <c:strCache>
                <c:ptCount val="7"/>
                <c:pt idx="0">
                  <c:v>здравоохранение и социальное обеспечение</c:v>
                </c:pt>
                <c:pt idx="1">
                  <c:v>образование</c:v>
                </c:pt>
                <c:pt idx="2">
                  <c:v>культура, искусство, кинематография 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Лист1!$C$2:$C$8</c:f>
              <c:numCache>
                <c:formatCode>#,##0.00</c:formatCode>
                <c:ptCount val="7"/>
                <c:pt idx="0">
                  <c:v>10.74</c:v>
                </c:pt>
                <c:pt idx="1">
                  <c:v>13.26</c:v>
                </c:pt>
                <c:pt idx="2">
                  <c:v>1.1299999999999979</c:v>
                </c:pt>
                <c:pt idx="3">
                  <c:v>0.25</c:v>
                </c:pt>
                <c:pt idx="4">
                  <c:v>7.88</c:v>
                </c:pt>
                <c:pt idx="5">
                  <c:v>1.6300000000000001</c:v>
                </c:pt>
                <c:pt idx="6">
                  <c:v>10.83</c:v>
                </c:pt>
              </c:numCache>
            </c:numRef>
          </c:val>
        </c:ser>
        <c:dLbls>
          <c:showVal val="1"/>
        </c:dLbls>
        <c:axId val="99200000"/>
        <c:axId val="99201792"/>
      </c:barChart>
      <c:catAx>
        <c:axId val="99200000"/>
        <c:scaling>
          <c:orientation val="minMax"/>
        </c:scaling>
        <c:axPos val="b"/>
        <c:tickLblPos val="nextTo"/>
        <c:txPr>
          <a:bodyPr rot="5400000" vert="horz"/>
          <a:lstStyle/>
          <a:p>
            <a:pPr>
              <a:defRPr sz="900"/>
            </a:pPr>
            <a:endParaRPr lang="ru-RU"/>
          </a:p>
        </c:txPr>
        <c:crossAx val="99201792"/>
        <c:crosses val="autoZero"/>
        <c:auto val="1"/>
        <c:lblAlgn val="ctr"/>
        <c:lblOffset val="100"/>
      </c:catAx>
      <c:valAx>
        <c:axId val="99201792"/>
        <c:scaling>
          <c:orientation val="minMax"/>
        </c:scaling>
        <c:axPos val="l"/>
        <c:numFmt formatCode="0.00" sourceLinked="1"/>
        <c:tickLblPos val="nextTo"/>
        <c:crossAx val="99200000"/>
        <c:crosses val="autoZero"/>
        <c:crossBetween val="between"/>
      </c:valAx>
    </c:plotArea>
    <c:legend>
      <c:legendPos val="b"/>
      <c:layout>
        <c:manualLayout>
          <c:xMode val="edge"/>
          <c:yMode val="edge"/>
          <c:x val="0.28721867543147306"/>
          <c:y val="0.9328562425634167"/>
          <c:w val="0.49855879994168806"/>
          <c:h val="6.6256947107972516E-2"/>
        </c:manualLayout>
      </c:layout>
      <c:txPr>
        <a:bodyPr/>
        <a:lstStyle/>
        <a:p>
          <a:pPr>
            <a:defRPr sz="1000" b="1"/>
          </a:pPr>
          <a:endParaRPr lang="ru-RU"/>
        </a:p>
      </c:txPr>
    </c:legend>
    <c:plotVisOnly val="1"/>
    <c:dispBlanksAs val="gap"/>
  </c:chart>
  <c:spPr>
    <a:ln>
      <a:noFill/>
    </a:ln>
  </c:spPr>
  <c:txPr>
    <a:bodyPr/>
    <a:lstStyle/>
    <a:p>
      <a:pPr>
        <a:defRPr sz="800" b="1">
          <a:latin typeface="Times New Roman" pitchFamily="18" charset="0"/>
          <a:cs typeface="Times New Roman"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050"/>
              <a:t>Динамика доходов консолидированного бюджета, млн. руб. </a:t>
            </a:r>
          </a:p>
        </c:rich>
      </c:tx>
      <c:layout>
        <c:manualLayout>
          <c:xMode val="edge"/>
          <c:yMode val="edge"/>
          <c:x val="0.26714890929090507"/>
          <c:y val="0"/>
        </c:manualLayout>
      </c:layout>
      <c:spPr>
        <a:noFill/>
      </c:spPr>
    </c:title>
    <c:plotArea>
      <c:layout>
        <c:manualLayout>
          <c:layoutTarget val="inner"/>
          <c:xMode val="edge"/>
          <c:yMode val="edge"/>
          <c:x val="0.23784800655574578"/>
          <c:y val="0.25072687342653599"/>
          <c:w val="0.76215199344426265"/>
          <c:h val="0.45194868498581614"/>
        </c:manualLayout>
      </c:layout>
      <c:barChart>
        <c:barDir val="col"/>
        <c:grouping val="stacked"/>
        <c:ser>
          <c:idx val="0"/>
          <c:order val="0"/>
          <c:tx>
            <c:strRef>
              <c:f>Лист1!$B$1</c:f>
              <c:strCache>
                <c:ptCount val="1"/>
                <c:pt idx="0">
                  <c:v>Республиканский бюджет</c:v>
                </c:pt>
              </c:strCache>
            </c:strRef>
          </c:tx>
          <c:spPr>
            <a:solidFill>
              <a:schemeClr val="accent3">
                <a:lumMod val="75000"/>
              </a:schemeClr>
            </a:solidFill>
          </c:spPr>
          <c:dLbls>
            <c:dLbl>
              <c:idx val="0"/>
              <c:tx>
                <c:rich>
                  <a:bodyPr/>
                  <a:lstStyle/>
                  <a:p>
                    <a:r>
                      <a:rPr lang="ru-RU" b="1"/>
                      <a:t>63,7%</a:t>
                    </a:r>
                    <a:endParaRPr lang="en-US" b="1"/>
                  </a:p>
                </c:rich>
              </c:tx>
              <c:showVal val="1"/>
            </c:dLbl>
            <c:dLbl>
              <c:idx val="1"/>
              <c:tx>
                <c:rich>
                  <a:bodyPr/>
                  <a:lstStyle/>
                  <a:p>
                    <a:r>
                      <a:rPr lang="ru-RU" b="1"/>
                      <a:t>67,1%</a:t>
                    </a:r>
                    <a:endParaRPr lang="en-US" b="1"/>
                  </a:p>
                </c:rich>
              </c:tx>
              <c:showVal val="1"/>
            </c:dLbl>
            <c:txPr>
              <a:bodyPr/>
              <a:lstStyle/>
              <a:p>
                <a:pPr>
                  <a:defRPr sz="900" b="1"/>
                </a:pPr>
                <a:endParaRPr lang="ru-RU"/>
              </a:p>
            </c:txPr>
            <c:showVal val="1"/>
          </c:dLbls>
          <c:cat>
            <c:strRef>
              <c:f>Лист1!$A$2:$A$3</c:f>
              <c:strCache>
                <c:ptCount val="2"/>
                <c:pt idx="0">
                  <c:v>I полугодие 2015 года</c:v>
                </c:pt>
                <c:pt idx="1">
                  <c:v>I полугодие 2016 года</c:v>
                </c:pt>
              </c:strCache>
            </c:strRef>
          </c:cat>
          <c:val>
            <c:numRef>
              <c:f>Лист1!$B$2:$B$3</c:f>
              <c:numCache>
                <c:formatCode>#,##0.00</c:formatCode>
                <c:ptCount val="2"/>
                <c:pt idx="0">
                  <c:v>63.7</c:v>
                </c:pt>
                <c:pt idx="1">
                  <c:v>67.099999999999994</c:v>
                </c:pt>
              </c:numCache>
            </c:numRef>
          </c:val>
        </c:ser>
        <c:ser>
          <c:idx val="1"/>
          <c:order val="1"/>
          <c:tx>
            <c:strRef>
              <c:f>Лист1!$C$1</c:f>
              <c:strCache>
                <c:ptCount val="1"/>
                <c:pt idx="0">
                  <c:v>Местный бюджет</c:v>
                </c:pt>
              </c:strCache>
            </c:strRef>
          </c:tx>
          <c:spPr>
            <a:solidFill>
              <a:schemeClr val="accent3">
                <a:lumMod val="40000"/>
                <a:lumOff val="60000"/>
              </a:schemeClr>
            </a:solidFill>
          </c:spPr>
          <c:dLbls>
            <c:dLbl>
              <c:idx val="0"/>
              <c:tx>
                <c:rich>
                  <a:bodyPr/>
                  <a:lstStyle/>
                  <a:p>
                    <a:r>
                      <a:rPr lang="ru-RU" b="1"/>
                      <a:t>36,3%</a:t>
                    </a:r>
                    <a:endParaRPr lang="en-US" b="1"/>
                  </a:p>
                </c:rich>
              </c:tx>
              <c:showVal val="1"/>
            </c:dLbl>
            <c:dLbl>
              <c:idx val="1"/>
              <c:tx>
                <c:rich>
                  <a:bodyPr/>
                  <a:lstStyle/>
                  <a:p>
                    <a:r>
                      <a:rPr lang="ru-RU" b="1"/>
                      <a:t>32,9%</a:t>
                    </a:r>
                    <a:endParaRPr lang="en-US" b="1"/>
                  </a:p>
                </c:rich>
              </c:tx>
              <c:showVal val="1"/>
            </c:dLbl>
            <c:txPr>
              <a:bodyPr/>
              <a:lstStyle/>
              <a:p>
                <a:pPr>
                  <a:defRPr sz="900" b="1"/>
                </a:pPr>
                <a:endParaRPr lang="ru-RU"/>
              </a:p>
            </c:txPr>
            <c:showVal val="1"/>
          </c:dLbls>
          <c:cat>
            <c:strRef>
              <c:f>Лист1!$A$2:$A$3</c:f>
              <c:strCache>
                <c:ptCount val="2"/>
                <c:pt idx="0">
                  <c:v>I полугодие 2015 года</c:v>
                </c:pt>
                <c:pt idx="1">
                  <c:v>I полугодие 2016 года</c:v>
                </c:pt>
              </c:strCache>
            </c:strRef>
          </c:cat>
          <c:val>
            <c:numRef>
              <c:f>Лист1!$C$2:$C$3</c:f>
              <c:numCache>
                <c:formatCode>#,##0.00</c:formatCode>
                <c:ptCount val="2"/>
                <c:pt idx="0">
                  <c:v>36.300000000000004</c:v>
                </c:pt>
                <c:pt idx="1">
                  <c:v>32.9</c:v>
                </c:pt>
              </c:numCache>
            </c:numRef>
          </c:val>
        </c:ser>
        <c:overlap val="100"/>
        <c:axId val="99231616"/>
        <c:axId val="99233152"/>
      </c:barChart>
      <c:catAx>
        <c:axId val="99231616"/>
        <c:scaling>
          <c:orientation val="minMax"/>
        </c:scaling>
        <c:axPos val="b"/>
        <c:tickLblPos val="nextTo"/>
        <c:txPr>
          <a:bodyPr/>
          <a:lstStyle/>
          <a:p>
            <a:pPr>
              <a:defRPr sz="1000" b="1"/>
            </a:pPr>
            <a:endParaRPr lang="ru-RU"/>
          </a:p>
        </c:txPr>
        <c:crossAx val="99233152"/>
        <c:crosses val="autoZero"/>
        <c:auto val="1"/>
        <c:lblAlgn val="ctr"/>
        <c:lblOffset val="100"/>
      </c:catAx>
      <c:valAx>
        <c:axId val="99233152"/>
        <c:scaling>
          <c:orientation val="minMax"/>
          <c:max val="100"/>
          <c:min val="0"/>
        </c:scaling>
        <c:axPos val="l"/>
        <c:numFmt formatCode="#,##0.00" sourceLinked="1"/>
        <c:tickLblPos val="nextTo"/>
        <c:txPr>
          <a:bodyPr/>
          <a:lstStyle/>
          <a:p>
            <a:pPr>
              <a:defRPr sz="1000" b="1"/>
            </a:pPr>
            <a:endParaRPr lang="ru-RU"/>
          </a:p>
        </c:txPr>
        <c:crossAx val="99231616"/>
        <c:crosses val="autoZero"/>
        <c:crossBetween val="between"/>
        <c:majorUnit val="20"/>
      </c:valAx>
    </c:plotArea>
    <c:legend>
      <c:legendPos val="b"/>
      <c:layout>
        <c:manualLayout>
          <c:xMode val="edge"/>
          <c:yMode val="edge"/>
          <c:x val="2.9390051343183527E-2"/>
          <c:y val="0.87423101928772662"/>
          <c:w val="0.93303050266127163"/>
          <c:h val="0.12412430319321872"/>
        </c:manualLayout>
      </c:layout>
      <c:txPr>
        <a:bodyPr/>
        <a:lstStyle/>
        <a:p>
          <a:pPr>
            <a:defRPr sz="11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5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Структура производста ВВП, млн. руб.</a:t>
            </a:r>
          </a:p>
        </c:rich>
      </c:tx>
      <c:layout/>
    </c:title>
    <c:plotArea>
      <c:layout/>
      <c:barChart>
        <c:barDir val="col"/>
        <c:grouping val="clustered"/>
        <c:ser>
          <c:idx val="0"/>
          <c:order val="0"/>
          <c:tx>
            <c:strRef>
              <c:f>Лист1!$B$1</c:f>
              <c:strCache>
                <c:ptCount val="1"/>
                <c:pt idx="0">
                  <c:v>январь-июнь 2015 года</c:v>
                </c:pt>
              </c:strCache>
            </c:strRef>
          </c:tx>
          <c:dLbls>
            <c:dLbl>
              <c:idx val="0"/>
              <c:layout/>
              <c:tx>
                <c:rich>
                  <a:bodyPr/>
                  <a:lstStyle/>
                  <a:p>
                    <a:r>
                      <a:rPr lang="ru-RU" sz="800" b="1">
                        <a:latin typeface="Times New Roman" pitchFamily="18" charset="0"/>
                        <a:cs typeface="Times New Roman" pitchFamily="18" charset="0"/>
                      </a:rPr>
                      <a:t>14,13*</a:t>
                    </a:r>
                    <a:endParaRPr lang="en-US" sz="800" b="1">
                      <a:latin typeface="Times New Roman" pitchFamily="18" charset="0"/>
                      <a:cs typeface="Times New Roman" pitchFamily="18" charset="0"/>
                    </a:endParaRPr>
                  </a:p>
                </c:rich>
              </c:tx>
              <c:dLblPos val="outEnd"/>
              <c:showVal val="1"/>
            </c:dLbl>
            <c:dLbl>
              <c:idx val="1"/>
              <c:layout>
                <c:manualLayout>
                  <c:x val="-4.6296296296297031E-3"/>
                  <c:y val="0"/>
                </c:manualLayout>
              </c:layout>
              <c:tx>
                <c:rich>
                  <a:bodyPr/>
                  <a:lstStyle/>
                  <a:p>
                    <a:r>
                      <a:rPr lang="ru-RU" sz="800" b="1">
                        <a:latin typeface="Times New Roman" pitchFamily="18" charset="0"/>
                        <a:cs typeface="Times New Roman" pitchFamily="18" charset="0"/>
                      </a:rPr>
                      <a:t>83,17*</a:t>
                    </a:r>
                    <a:endParaRPr lang="en-US" sz="800" b="1">
                      <a:latin typeface="Times New Roman" pitchFamily="18" charset="0"/>
                      <a:cs typeface="Times New Roman" pitchFamily="18" charset="0"/>
                    </a:endParaRPr>
                  </a:p>
                </c:rich>
              </c:tx>
              <c:dLblPos val="outEnd"/>
              <c:showVal val="1"/>
            </c:dLbl>
            <c:dLbl>
              <c:idx val="2"/>
              <c:layout>
                <c:manualLayout>
                  <c:x val="0"/>
                  <c:y val="1.0539580898129971E-2"/>
                </c:manualLayout>
              </c:layout>
              <c:tx>
                <c:rich>
                  <a:bodyPr/>
                  <a:lstStyle/>
                  <a:p>
                    <a:r>
                      <a:rPr lang="ru-RU" sz="800" b="1">
                        <a:latin typeface="Times New Roman" pitchFamily="18" charset="0"/>
                        <a:cs typeface="Times New Roman" pitchFamily="18" charset="0"/>
                      </a:rPr>
                      <a:t>2,70*</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formatCode="0.0">
                  <c:v>502</c:v>
                </c:pt>
                <c:pt idx="1">
                  <c:v>2955.5</c:v>
                </c:pt>
                <c:pt idx="2" formatCode="0.0">
                  <c:v>95.9</c:v>
                </c:pt>
              </c:numCache>
            </c:numRef>
          </c:val>
        </c:ser>
        <c:ser>
          <c:idx val="1"/>
          <c:order val="1"/>
          <c:tx>
            <c:strRef>
              <c:f>Лист1!$C$1</c:f>
              <c:strCache>
                <c:ptCount val="1"/>
                <c:pt idx="0">
                  <c:v>январь-июнь 2016 года</c:v>
                </c:pt>
              </c:strCache>
            </c:strRef>
          </c:tx>
          <c:dLbls>
            <c:dLbl>
              <c:idx val="0"/>
              <c:layout/>
              <c:tx>
                <c:rich>
                  <a:bodyPr/>
                  <a:lstStyle/>
                  <a:p>
                    <a:r>
                      <a:rPr lang="ru-RU" sz="800" b="1">
                        <a:latin typeface="Times New Roman" pitchFamily="18" charset="0"/>
                        <a:cs typeface="Times New Roman" pitchFamily="18" charset="0"/>
                      </a:rPr>
                      <a:t>17,99*</a:t>
                    </a:r>
                    <a:endParaRPr lang="en-US" sz="800" b="1">
                      <a:latin typeface="Times New Roman" pitchFamily="18" charset="0"/>
                      <a:cs typeface="Times New Roman" pitchFamily="18" charset="0"/>
                    </a:endParaRPr>
                  </a:p>
                </c:rich>
              </c:tx>
              <c:dLblPos val="outEnd"/>
              <c:showVal val="1"/>
            </c:dLbl>
            <c:dLbl>
              <c:idx val="1"/>
              <c:layout/>
              <c:tx>
                <c:rich>
                  <a:bodyPr/>
                  <a:lstStyle/>
                  <a:p>
                    <a:r>
                      <a:rPr lang="ru-RU" sz="800" b="1">
                        <a:latin typeface="Times New Roman" pitchFamily="18" charset="0"/>
                        <a:cs typeface="Times New Roman" pitchFamily="18" charset="0"/>
                      </a:rPr>
                      <a:t>83,91*</a:t>
                    </a:r>
                    <a:endParaRPr lang="en-US" sz="800" b="1">
                      <a:latin typeface="Times New Roman" pitchFamily="18" charset="0"/>
                      <a:cs typeface="Times New Roman" pitchFamily="18" charset="0"/>
                    </a:endParaRPr>
                  </a:p>
                </c:rich>
              </c:tx>
              <c:dLblPos val="outEnd"/>
              <c:showVal val="1"/>
            </c:dLbl>
            <c:dLbl>
              <c:idx val="2"/>
              <c:layout>
                <c:manualLayout>
                  <c:x val="4.27578834847675E-3"/>
                  <c:y val="9.4856228083170444E-2"/>
                </c:manualLayout>
              </c:layout>
              <c:tx>
                <c:rich>
                  <a:bodyPr/>
                  <a:lstStyle/>
                  <a:p>
                    <a:pPr>
                      <a:defRPr>
                        <a:solidFill>
                          <a:sysClr val="windowText" lastClr="000000"/>
                        </a:solidFill>
                      </a:defRPr>
                    </a:pPr>
                    <a:r>
                      <a:rPr lang="ru-RU" sz="800" b="1">
                        <a:solidFill>
                          <a:sysClr val="windowText" lastClr="000000"/>
                        </a:solidFill>
                        <a:latin typeface="Times New Roman" pitchFamily="18" charset="0"/>
                        <a:cs typeface="Times New Roman" pitchFamily="18" charset="0"/>
                      </a:rPr>
                      <a:t>-1,90*</a:t>
                    </a:r>
                    <a:endParaRPr lang="en-US" sz="800" b="1">
                      <a:solidFill>
                        <a:sysClr val="windowText" lastClr="000000"/>
                      </a:solidFill>
                      <a:latin typeface="Times New Roman" pitchFamily="18" charset="0"/>
                      <a:cs typeface="Times New Roman" pitchFamily="18" charset="0"/>
                    </a:endParaRPr>
                  </a:p>
                </c:rich>
              </c:tx>
              <c:spPr/>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formatCode="0.0">
                  <c:v>710.8</c:v>
                </c:pt>
                <c:pt idx="1">
                  <c:v>3314.2</c:v>
                </c:pt>
                <c:pt idx="2" formatCode="0.0">
                  <c:v>-75</c:v>
                </c:pt>
              </c:numCache>
            </c:numRef>
          </c:val>
        </c:ser>
        <c:dLbls>
          <c:showVal val="1"/>
        </c:dLbls>
        <c:axId val="95949184"/>
        <c:axId val="95950720"/>
      </c:barChart>
      <c:catAx>
        <c:axId val="95949184"/>
        <c:scaling>
          <c:orientation val="minMax"/>
        </c:scaling>
        <c:axPos val="b"/>
        <c:tickLblPos val="nextTo"/>
        <c:crossAx val="95950720"/>
        <c:crosses val="autoZero"/>
        <c:auto val="1"/>
        <c:lblAlgn val="ctr"/>
        <c:lblOffset val="100"/>
      </c:catAx>
      <c:valAx>
        <c:axId val="95950720"/>
        <c:scaling>
          <c:orientation val="minMax"/>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*_ удельный вес в структуре ВВП,%</a:t>
                </a:r>
              </a:p>
            </c:rich>
          </c:tx>
          <c:layout>
            <c:manualLayout>
              <c:xMode val="edge"/>
              <c:yMode val="edge"/>
              <c:x val="0.8295778500696499"/>
              <c:y val="0.14025028600024214"/>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95949184"/>
        <c:crosses val="autoZero"/>
        <c:crossBetween val="between"/>
        <c:majorUnit val="10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Динамика поступлений в доходную часть Консолидированного бюджета (%) </a:t>
            </a:r>
            <a:endParaRPr lang="ru-RU" sz="1100">
              <a:solidFill>
                <a:srgbClr val="FF0000"/>
              </a:solidFill>
              <a:latin typeface="Times New Roman" pitchFamily="18" charset="0"/>
              <a:cs typeface="Times New Roman" pitchFamily="18" charset="0"/>
            </a:endParaRPr>
          </a:p>
        </c:rich>
      </c:tx>
      <c:layout>
        <c:manualLayout>
          <c:xMode val="edge"/>
          <c:yMode val="edge"/>
          <c:x val="0.13278094381848679"/>
          <c:y val="0"/>
        </c:manualLayout>
      </c:layout>
      <c:spPr>
        <a:solidFill>
          <a:schemeClr val="bg1"/>
        </a:solidFill>
      </c:spPr>
    </c:title>
    <c:plotArea>
      <c:layout>
        <c:manualLayout>
          <c:layoutTarget val="inner"/>
          <c:xMode val="edge"/>
          <c:yMode val="edge"/>
          <c:x val="7.4905913003968413E-2"/>
          <c:y val="9.1364530004091712E-2"/>
          <c:w val="0.5729328178450781"/>
          <c:h val="0.77444028621898287"/>
        </c:manualLayout>
      </c:layout>
      <c:barChart>
        <c:barDir val="col"/>
        <c:grouping val="stacked"/>
        <c:ser>
          <c:idx val="0"/>
          <c:order val="0"/>
          <c:tx>
            <c:strRef>
              <c:f>Лист1!$B$1</c:f>
              <c:strCache>
                <c:ptCount val="1"/>
                <c:pt idx="0">
                  <c:v>Налоговые доходы</c:v>
                </c:pt>
              </c:strCache>
            </c:strRef>
          </c:tx>
          <c:spPr>
            <a:solidFill>
              <a:schemeClr val="accent5">
                <a:lumMod val="75000"/>
              </a:schemeClr>
            </a:solidFill>
          </c:spPr>
          <c:dLbls>
            <c:dLbl>
              <c:idx val="0"/>
              <c:layout>
                <c:manualLayout>
                  <c:x val="-9.6118299445471372E-2"/>
                  <c:y val="-5.4200542005420054E-3"/>
                </c:manualLayout>
              </c:layout>
              <c:showVal val="1"/>
            </c:dLbl>
            <c:dLbl>
              <c:idx val="1"/>
              <c:layout>
                <c:manualLayout>
                  <c:x val="-0.10351201478743063"/>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2015 года</c:v>
                </c:pt>
                <c:pt idx="1">
                  <c:v>I полугодие 2016 года</c:v>
                </c:pt>
              </c:strCache>
            </c:strRef>
          </c:cat>
          <c:val>
            <c:numRef>
              <c:f>Лист1!$B$2:$B$3</c:f>
              <c:numCache>
                <c:formatCode>General</c:formatCode>
                <c:ptCount val="2"/>
                <c:pt idx="0">
                  <c:v>77.400000000000006</c:v>
                </c:pt>
                <c:pt idx="1">
                  <c:v>65.400000000000006</c:v>
                </c:pt>
              </c:numCache>
            </c:numRef>
          </c:val>
        </c:ser>
        <c:ser>
          <c:idx val="1"/>
          <c:order val="1"/>
          <c:tx>
            <c:strRef>
              <c:f>Лист1!$C$1</c:f>
              <c:strCache>
                <c:ptCount val="1"/>
                <c:pt idx="0">
                  <c:v>Неналоговые доходы</c:v>
                </c:pt>
              </c:strCache>
            </c:strRef>
          </c:tx>
          <c:spPr>
            <a:solidFill>
              <a:srgbClr val="FFFF00"/>
            </a:solidFill>
          </c:spPr>
          <c:dLbls>
            <c:dLbl>
              <c:idx val="0"/>
              <c:layout>
                <c:manualLayout>
                  <c:x val="8.8724584103513568E-2"/>
                  <c:y val="5.4200542005420054E-3"/>
                </c:manualLayout>
              </c:layout>
              <c:showVal val="1"/>
            </c:dLbl>
            <c:dLbl>
              <c:idx val="1"/>
              <c:layout>
                <c:manualLayout>
                  <c:x val="9.118915588416511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2015 года</c:v>
                </c:pt>
                <c:pt idx="1">
                  <c:v>I полугодие 2016 года</c:v>
                </c:pt>
              </c:strCache>
            </c:strRef>
          </c:cat>
          <c:val>
            <c:numRef>
              <c:f>Лист1!$C$2:$C$3</c:f>
              <c:numCache>
                <c:formatCode>0.0</c:formatCode>
                <c:ptCount val="2"/>
                <c:pt idx="0">
                  <c:v>2.4</c:v>
                </c:pt>
                <c:pt idx="1">
                  <c:v>2.4</c:v>
                </c:pt>
              </c:numCache>
            </c:numRef>
          </c:val>
        </c:ser>
        <c:ser>
          <c:idx val="2"/>
          <c:order val="2"/>
          <c:tx>
            <c:strRef>
              <c:f>Лист1!$D$1</c:f>
              <c:strCache>
                <c:ptCount val="1"/>
                <c:pt idx="0">
                  <c:v>Доходы целевых бюджетных фондов</c:v>
                </c:pt>
              </c:strCache>
            </c:strRef>
          </c:tx>
          <c:spPr>
            <a:solidFill>
              <a:schemeClr val="accent6">
                <a:lumMod val="50000"/>
              </a:schemeClr>
            </a:solidFill>
          </c:spPr>
          <c:dLbls>
            <c:dLbl>
              <c:idx val="0"/>
              <c:layout>
                <c:manualLayout>
                  <c:x val="-9.118915588416511E-2"/>
                  <c:y val="0"/>
                </c:manualLayout>
              </c:layout>
              <c:showVal val="1"/>
            </c:dLbl>
            <c:dLbl>
              <c:idx val="1"/>
              <c:layout>
                <c:manualLayout>
                  <c:x val="-9.6118299445471331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2015 года</c:v>
                </c:pt>
                <c:pt idx="1">
                  <c:v>I полугодие 2016 года</c:v>
                </c:pt>
              </c:strCache>
            </c:strRef>
          </c:cat>
          <c:val>
            <c:numRef>
              <c:f>Лист1!$D$2:$D$3</c:f>
              <c:numCache>
                <c:formatCode>General</c:formatCode>
                <c:ptCount val="2"/>
                <c:pt idx="0">
                  <c:v>9.5</c:v>
                </c:pt>
                <c:pt idx="1">
                  <c:v>7.8</c:v>
                </c:pt>
              </c:numCache>
            </c:numRef>
          </c:val>
        </c:ser>
        <c:ser>
          <c:idx val="3"/>
          <c:order val="3"/>
          <c:tx>
            <c:strRef>
              <c:f>Лист1!$E$1</c:f>
              <c:strCache>
                <c:ptCount val="1"/>
                <c:pt idx="0">
                  <c:v>Доходы от предприн. и иной принос. доход деятельности</c:v>
                </c:pt>
              </c:strCache>
            </c:strRef>
          </c:tx>
          <c:spPr>
            <a:solidFill>
              <a:schemeClr val="accent2">
                <a:lumMod val="40000"/>
                <a:lumOff val="60000"/>
              </a:schemeClr>
            </a:solidFill>
          </c:spPr>
          <c:dLbls>
            <c:dLbl>
              <c:idx val="0"/>
              <c:layout>
                <c:manualLayout>
                  <c:x val="9.1747594050743661E-2"/>
                  <c:y val="5.420186113099499E-3"/>
                </c:manualLayout>
              </c:layout>
              <c:showVal val="1"/>
            </c:dLbl>
            <c:dLbl>
              <c:idx val="1"/>
              <c:layout>
                <c:manualLayout>
                  <c:x val="8.8724584103513568E-2"/>
                  <c:y val="-1.6260162601626063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2015 года</c:v>
                </c:pt>
                <c:pt idx="1">
                  <c:v>I полугодие 2016 года</c:v>
                </c:pt>
              </c:strCache>
            </c:strRef>
          </c:cat>
          <c:val>
            <c:numRef>
              <c:f>Лист1!$E$2:$E$3</c:f>
              <c:numCache>
                <c:formatCode>General</c:formatCode>
                <c:ptCount val="2"/>
                <c:pt idx="0">
                  <c:v>10.5</c:v>
                </c:pt>
                <c:pt idx="1">
                  <c:v>9.8000000000000007</c:v>
                </c:pt>
              </c:numCache>
            </c:numRef>
          </c:val>
        </c:ser>
        <c:ser>
          <c:idx val="4"/>
          <c:order val="4"/>
          <c:tx>
            <c:strRef>
              <c:f>Лист1!$F$1</c:f>
              <c:strCache>
                <c:ptCount val="1"/>
                <c:pt idx="0">
                  <c:v>Безвозмездные перечисления</c:v>
                </c:pt>
              </c:strCache>
            </c:strRef>
          </c:tx>
          <c:dLbls>
            <c:dLbl>
              <c:idx val="0"/>
              <c:layout>
                <c:manualLayout>
                  <c:x val="-9.119821348298314E-2"/>
                  <c:y val="-1.4015548436673553E-3"/>
                </c:manualLayout>
              </c:layout>
              <c:showVal val="1"/>
            </c:dLbl>
            <c:dLbl>
              <c:idx val="1"/>
              <c:layout>
                <c:manualLayout>
                  <c:x val="-8.3795440542211067E-2"/>
                  <c:y val="-3.2520325203252036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2015 года</c:v>
                </c:pt>
                <c:pt idx="1">
                  <c:v>I полугодие 2016 года</c:v>
                </c:pt>
              </c:strCache>
            </c:strRef>
          </c:cat>
          <c:val>
            <c:numRef>
              <c:f>Лист1!$F$2:$F$3</c:f>
              <c:numCache>
                <c:formatCode>General</c:formatCode>
                <c:ptCount val="2"/>
                <c:pt idx="0">
                  <c:v>0.2</c:v>
                </c:pt>
                <c:pt idx="1">
                  <c:v>0.1</c:v>
                </c:pt>
              </c:numCache>
            </c:numRef>
          </c:val>
        </c:ser>
        <c:ser>
          <c:idx val="5"/>
          <c:order val="5"/>
          <c:tx>
            <c:strRef>
              <c:f>Лист1!$G$1</c:f>
              <c:strCache>
                <c:ptCount val="1"/>
                <c:pt idx="0">
                  <c:v>ССФ</c:v>
                </c:pt>
              </c:strCache>
            </c:strRef>
          </c:tx>
          <c:dLbls>
            <c:dLbl>
              <c:idx val="1"/>
              <c:layout>
                <c:manualLayout>
                  <c:x val="9.3750000000001041E-2"/>
                  <c:y val="-2.4242424242424229E-2"/>
                </c:manualLayout>
              </c:layout>
              <c:spPr/>
              <c:txPr>
                <a:bodyPr/>
                <a:lstStyle/>
                <a:p>
                  <a:pPr>
                    <a:defRPr>
                      <a:latin typeface="Times New Roman" pitchFamily="18" charset="0"/>
                      <a:cs typeface="Times New Roman" pitchFamily="18" charset="0"/>
                    </a:defRPr>
                  </a:pPr>
                  <a:endParaRPr lang="ru-RU"/>
                </a:p>
              </c:txPr>
              <c:showVal val="1"/>
            </c:dLbl>
            <c:delete val="1"/>
          </c:dLbls>
          <c:cat>
            <c:strRef>
              <c:f>Лист1!$A$2:$A$3</c:f>
              <c:strCache>
                <c:ptCount val="2"/>
                <c:pt idx="0">
                  <c:v>I полугодие 2015 года</c:v>
                </c:pt>
                <c:pt idx="1">
                  <c:v>I полугодие 2016 года</c:v>
                </c:pt>
              </c:strCache>
            </c:strRef>
          </c:cat>
          <c:val>
            <c:numRef>
              <c:f>Лист1!$G$2:$G$3</c:f>
              <c:numCache>
                <c:formatCode>General</c:formatCode>
                <c:ptCount val="2"/>
                <c:pt idx="0" formatCode="0.0">
                  <c:v>0</c:v>
                </c:pt>
                <c:pt idx="1">
                  <c:v>14.5</c:v>
                </c:pt>
              </c:numCache>
            </c:numRef>
          </c:val>
        </c:ser>
        <c:overlap val="100"/>
        <c:axId val="99543296"/>
        <c:axId val="99635200"/>
      </c:barChart>
      <c:catAx>
        <c:axId val="99543296"/>
        <c:scaling>
          <c:orientation val="minMax"/>
        </c:scaling>
        <c:axPos val="b"/>
        <c:tickLblPos val="nextTo"/>
        <c:txPr>
          <a:bodyPr/>
          <a:lstStyle/>
          <a:p>
            <a:pPr>
              <a:defRPr b="1">
                <a:latin typeface="Times New Roman" pitchFamily="18" charset="0"/>
                <a:cs typeface="Times New Roman" pitchFamily="18" charset="0"/>
              </a:defRPr>
            </a:pPr>
            <a:endParaRPr lang="ru-RU"/>
          </a:p>
        </c:txPr>
        <c:crossAx val="99635200"/>
        <c:crosses val="autoZero"/>
        <c:auto val="1"/>
        <c:lblAlgn val="ctr"/>
        <c:lblOffset val="100"/>
      </c:catAx>
      <c:valAx>
        <c:axId val="99635200"/>
        <c:scaling>
          <c:orientation val="minMax"/>
          <c:max val="110"/>
          <c:min val="0"/>
        </c:scaling>
        <c:axPos val="l"/>
        <c:majorGridlines>
          <c:spPr>
            <a:ln>
              <a:noFill/>
            </a:ln>
          </c:spPr>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99543296"/>
        <c:crosses val="autoZero"/>
        <c:crossBetween val="between"/>
      </c:valAx>
    </c:plotArea>
    <c:legend>
      <c:legendPos val="b"/>
      <c:layout>
        <c:manualLayout>
          <c:xMode val="edge"/>
          <c:yMode val="edge"/>
          <c:x val="0.63597298956414983"/>
          <c:y val="0.15612945720188021"/>
          <c:w val="0.36063050129783808"/>
          <c:h val="0.81381475604522824"/>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6808510638297874E-2"/>
          <c:y val="5.5749128919860627E-2"/>
          <c:w val="0.55726443768996969"/>
          <c:h val="0.8026945412311266"/>
        </c:manualLayout>
      </c:layout>
      <c:lineChart>
        <c:grouping val="standard"/>
        <c:ser>
          <c:idx val="0"/>
          <c:order val="0"/>
          <c:tx>
            <c:strRef>
              <c:f>Лист1!$B$1</c:f>
              <c:strCache>
                <c:ptCount val="1"/>
                <c:pt idx="0">
                  <c:v>Налог на доходы организаций по отрасли( подотрасли, виду деятельности)</c:v>
                </c:pt>
              </c:strCache>
            </c:strRef>
          </c:tx>
          <c:dLbls>
            <c:dLbl>
              <c:idx val="0"/>
              <c:layout>
                <c:manualLayout>
                  <c:x val="-0.11550151975683892"/>
                  <c:y val="0.48266721561765841"/>
                </c:manualLayout>
              </c:layout>
              <c:tx>
                <c:rich>
                  <a:bodyPr/>
                  <a:lstStyle/>
                  <a:p>
                    <a:r>
                      <a:rPr lang="ru-RU"/>
                      <a:t>40,2%*</a:t>
                    </a:r>
                    <a:endParaRPr lang="en-US"/>
                  </a:p>
                </c:rich>
              </c:tx>
              <c:showVal val="1"/>
            </c:dLbl>
            <c:dLbl>
              <c:idx val="1"/>
              <c:layout>
                <c:manualLayout>
                  <c:x val="-1.4184397163120564E-2"/>
                  <c:y val="-2.5228309875899659E-2"/>
                </c:manualLayout>
              </c:layout>
              <c:tx>
                <c:rich>
                  <a:bodyPr/>
                  <a:lstStyle/>
                  <a:p>
                    <a:r>
                      <a:rPr lang="ru-RU"/>
                      <a:t>87,0%*</a:t>
                    </a:r>
                    <a:endParaRPr lang="en-US"/>
                  </a:p>
                </c:rich>
              </c:tx>
              <c:showVal val="1"/>
            </c:dLbl>
            <c:showVal val="1"/>
          </c:dLbls>
          <c:cat>
            <c:strRef>
              <c:f>Лист1!$A$2:$A$3</c:f>
              <c:strCache>
                <c:ptCount val="2"/>
                <c:pt idx="0">
                  <c:v>I полугодие 2015 года</c:v>
                </c:pt>
                <c:pt idx="1">
                  <c:v>I полугодие 2016 года</c:v>
                </c:pt>
              </c:strCache>
            </c:strRef>
          </c:cat>
          <c:val>
            <c:numRef>
              <c:f>Лист1!$B$2:$B$3</c:f>
              <c:numCache>
                <c:formatCode>0.0</c:formatCode>
                <c:ptCount val="2"/>
                <c:pt idx="0">
                  <c:v>368.5</c:v>
                </c:pt>
                <c:pt idx="1">
                  <c:v>320.7</c:v>
                </c:pt>
              </c:numCache>
            </c:numRef>
          </c:val>
        </c:ser>
        <c:ser>
          <c:idx val="1"/>
          <c:order val="1"/>
          <c:tx>
            <c:strRef>
              <c:f>Лист1!$C$1</c:f>
              <c:strCache>
                <c:ptCount val="1"/>
                <c:pt idx="0">
                  <c:v>Подоходный налог с физических лиц</c:v>
                </c:pt>
              </c:strCache>
            </c:strRef>
          </c:tx>
          <c:dLbls>
            <c:dLbl>
              <c:idx val="0"/>
              <c:layout>
                <c:manualLayout>
                  <c:x val="-0.11144883485308998"/>
                  <c:y val="-1.7315286569570959E-2"/>
                </c:manualLayout>
              </c:layout>
              <c:tx>
                <c:rich>
                  <a:bodyPr/>
                  <a:lstStyle/>
                  <a:p>
                    <a:r>
                      <a:rPr lang="ru-RU"/>
                      <a:t>74,7%*</a:t>
                    </a:r>
                    <a:endParaRPr lang="en-US"/>
                  </a:p>
                </c:rich>
              </c:tx>
              <c:showVal val="1"/>
            </c:dLbl>
            <c:dLbl>
              <c:idx val="1"/>
              <c:layout>
                <c:manualLayout>
                  <c:x val="-2.0263424518743682E-3"/>
                  <c:y val="-2.7874564459930411E-2"/>
                </c:manualLayout>
              </c:layout>
              <c:tx>
                <c:rich>
                  <a:bodyPr/>
                  <a:lstStyle/>
                  <a:p>
                    <a:r>
                      <a:rPr lang="ru-RU"/>
                      <a:t>102,2%*</a:t>
                    </a:r>
                    <a:endParaRPr lang="en-US"/>
                  </a:p>
                </c:rich>
              </c:tx>
              <c:showVal val="1"/>
            </c:dLbl>
            <c:showVal val="1"/>
          </c:dLbls>
          <c:cat>
            <c:strRef>
              <c:f>Лист1!$A$2:$A$3</c:f>
              <c:strCache>
                <c:ptCount val="2"/>
                <c:pt idx="0">
                  <c:v>I полугодие 2015 года</c:v>
                </c:pt>
                <c:pt idx="1">
                  <c:v>I полугодие 2016 года</c:v>
                </c:pt>
              </c:strCache>
            </c:strRef>
          </c:cat>
          <c:val>
            <c:numRef>
              <c:f>Лист1!$C$2:$C$3</c:f>
              <c:numCache>
                <c:formatCode>General</c:formatCode>
                <c:ptCount val="2"/>
                <c:pt idx="0">
                  <c:v>167.8</c:v>
                </c:pt>
                <c:pt idx="1">
                  <c:v>171.5</c:v>
                </c:pt>
              </c:numCache>
            </c:numRef>
          </c:val>
        </c:ser>
        <c:ser>
          <c:idx val="2"/>
          <c:order val="2"/>
          <c:tx>
            <c:strRef>
              <c:f>Лист1!$D$1</c:f>
              <c:strCache>
                <c:ptCount val="1"/>
                <c:pt idx="0">
                  <c:v>Налоги на товары и услуги, лицензионные и регистрационные сборы</c:v>
                </c:pt>
              </c:strCache>
            </c:strRef>
          </c:tx>
          <c:dLbls>
            <c:dLbl>
              <c:idx val="0"/>
              <c:layout>
                <c:manualLayout>
                  <c:x val="-8.3080040526850224E-2"/>
                  <c:y val="-5.06125949942536E-2"/>
                </c:manualLayout>
              </c:layout>
              <c:tx>
                <c:rich>
                  <a:bodyPr/>
                  <a:lstStyle/>
                  <a:p>
                    <a:r>
                      <a:rPr lang="ru-RU"/>
                      <a:t>20,7%*</a:t>
                    </a:r>
                    <a:endParaRPr lang="en-US"/>
                  </a:p>
                </c:rich>
              </c:tx>
              <c:showVal val="1"/>
            </c:dLbl>
            <c:dLbl>
              <c:idx val="1"/>
              <c:layout>
                <c:manualLayout>
                  <c:x val="-2.2289766970618092E-2"/>
                  <c:y val="-5.5985109704424205E-2"/>
                </c:manualLayout>
              </c:layout>
              <c:tx>
                <c:rich>
                  <a:bodyPr/>
                  <a:lstStyle/>
                  <a:p>
                    <a:r>
                      <a:rPr lang="ru-RU"/>
                      <a:t>72,6%*</a:t>
                    </a:r>
                    <a:endParaRPr lang="en-US"/>
                  </a:p>
                </c:rich>
              </c:tx>
              <c:showVal val="1"/>
            </c:dLbl>
            <c:showVal val="1"/>
          </c:dLbls>
          <c:cat>
            <c:strRef>
              <c:f>Лист1!$A$2:$A$3</c:f>
              <c:strCache>
                <c:ptCount val="2"/>
                <c:pt idx="0">
                  <c:v>I полугодие 2015 года</c:v>
                </c:pt>
                <c:pt idx="1">
                  <c:v>I полугодие 2016 года</c:v>
                </c:pt>
              </c:strCache>
            </c:strRef>
          </c:cat>
          <c:val>
            <c:numRef>
              <c:f>Лист1!$D$2:$D$3</c:f>
              <c:numCache>
                <c:formatCode>0.0</c:formatCode>
                <c:ptCount val="2"/>
                <c:pt idx="0">
                  <c:v>63.7</c:v>
                </c:pt>
                <c:pt idx="1">
                  <c:v>46.2</c:v>
                </c:pt>
              </c:numCache>
            </c:numRef>
          </c:val>
        </c:ser>
        <c:ser>
          <c:idx val="3"/>
          <c:order val="3"/>
          <c:tx>
            <c:strRef>
              <c:f>Лист1!$E$1</c:f>
              <c:strCache>
                <c:ptCount val="1"/>
                <c:pt idx="0">
                  <c:v>Налог на игорную деятельность</c:v>
                </c:pt>
              </c:strCache>
            </c:strRef>
          </c:tx>
          <c:dLbls>
            <c:dLbl>
              <c:idx val="0"/>
              <c:layout>
                <c:manualLayout>
                  <c:x val="-0.11752786220871327"/>
                  <c:y val="3.6414663853292846E-2"/>
                </c:manualLayout>
              </c:layout>
              <c:tx>
                <c:rich>
                  <a:bodyPr/>
                  <a:lstStyle/>
                  <a:p>
                    <a:r>
                      <a:rPr lang="ru-RU"/>
                      <a:t>75,5%*</a:t>
                    </a:r>
                    <a:endParaRPr lang="en-US"/>
                  </a:p>
                </c:rich>
              </c:tx>
              <c:showVal val="1"/>
            </c:dLbl>
            <c:dLbl>
              <c:idx val="1"/>
              <c:layout>
                <c:manualLayout>
                  <c:x val="-1.2158054711246199E-2"/>
                  <c:y val="2.6532859863105392E-2"/>
                </c:manualLayout>
              </c:layout>
              <c:tx>
                <c:rich>
                  <a:bodyPr/>
                  <a:lstStyle/>
                  <a:p>
                    <a:r>
                      <a:rPr lang="ru-RU"/>
                      <a:t>94,6%*</a:t>
                    </a:r>
                    <a:endParaRPr lang="en-US"/>
                  </a:p>
                </c:rich>
              </c:tx>
              <c:showVal val="1"/>
            </c:dLbl>
            <c:showVal val="1"/>
          </c:dLbls>
          <c:cat>
            <c:strRef>
              <c:f>Лист1!$A$2:$A$3</c:f>
              <c:strCache>
                <c:ptCount val="2"/>
                <c:pt idx="0">
                  <c:v>I полугодие 2015 года</c:v>
                </c:pt>
                <c:pt idx="1">
                  <c:v>I полугодие 2016 года</c:v>
                </c:pt>
              </c:strCache>
            </c:strRef>
          </c:cat>
          <c:val>
            <c:numRef>
              <c:f>Лист1!$E$2:$E$3</c:f>
              <c:numCache>
                <c:formatCode>General</c:formatCode>
                <c:ptCount val="2"/>
                <c:pt idx="0">
                  <c:v>5.0999999999999996</c:v>
                </c:pt>
                <c:pt idx="1">
                  <c:v>4.8</c:v>
                </c:pt>
              </c:numCache>
            </c:numRef>
          </c:val>
        </c:ser>
        <c:ser>
          <c:idx val="4"/>
          <c:order val="4"/>
          <c:tx>
            <c:strRef>
              <c:f>Лист1!$F$1</c:f>
              <c:strCache>
                <c:ptCount val="1"/>
                <c:pt idx="0">
                  <c:v>Платежи за пользование природными ресурсами</c:v>
                </c:pt>
              </c:strCache>
            </c:strRef>
          </c:tx>
          <c:dLbls>
            <c:dLbl>
              <c:idx val="0"/>
              <c:layout>
                <c:manualLayout>
                  <c:x val="-0.12158054711246201"/>
                  <c:y val="-5.8086562709073107E-2"/>
                </c:manualLayout>
              </c:layout>
              <c:tx>
                <c:rich>
                  <a:bodyPr/>
                  <a:lstStyle/>
                  <a:p>
                    <a:r>
                      <a:rPr lang="ru-RU"/>
                      <a:t>100,2%*</a:t>
                    </a:r>
                    <a:endParaRPr lang="en-US"/>
                  </a:p>
                </c:rich>
              </c:tx>
              <c:showVal val="1"/>
            </c:dLbl>
            <c:dLbl>
              <c:idx val="1"/>
              <c:layout>
                <c:manualLayout>
                  <c:x val="-4.0526849037487338E-3"/>
                  <c:y val="-2.3936664779647638E-2"/>
                </c:manualLayout>
              </c:layout>
              <c:tx>
                <c:rich>
                  <a:bodyPr/>
                  <a:lstStyle/>
                  <a:p>
                    <a:r>
                      <a:rPr lang="ru-RU"/>
                      <a:t>88,3%*</a:t>
                    </a:r>
                    <a:endParaRPr lang="en-US"/>
                  </a:p>
                </c:rich>
              </c:tx>
              <c:showVal val="1"/>
            </c:dLbl>
            <c:showVal val="1"/>
          </c:dLbls>
          <c:cat>
            <c:strRef>
              <c:f>Лист1!$A$2:$A$3</c:f>
              <c:strCache>
                <c:ptCount val="2"/>
                <c:pt idx="0">
                  <c:v>I полугодие 2015 года</c:v>
                </c:pt>
                <c:pt idx="1">
                  <c:v>I полугодие 2016 года</c:v>
                </c:pt>
              </c:strCache>
            </c:strRef>
          </c:cat>
          <c:val>
            <c:numRef>
              <c:f>Лист1!$F$2:$F$3</c:f>
              <c:numCache>
                <c:formatCode>General</c:formatCode>
                <c:ptCount val="2"/>
                <c:pt idx="0">
                  <c:v>30.9</c:v>
                </c:pt>
                <c:pt idx="1">
                  <c:v>32.4</c:v>
                </c:pt>
              </c:numCache>
            </c:numRef>
          </c:val>
        </c:ser>
        <c:ser>
          <c:idx val="5"/>
          <c:order val="5"/>
          <c:tx>
            <c:strRef>
              <c:f>Лист1!$G$1</c:f>
              <c:strCache>
                <c:ptCount val="1"/>
                <c:pt idx="0">
                  <c:v>Налоги на внешнюю торговлю и внешнеэкономические операции</c:v>
                </c:pt>
              </c:strCache>
            </c:strRef>
          </c:tx>
          <c:dLbls>
            <c:dLbl>
              <c:idx val="0"/>
              <c:layout>
                <c:manualLayout>
                  <c:x val="-0.11955420466058769"/>
                  <c:y val="-0.48315235105415782"/>
                </c:manualLayout>
              </c:layout>
              <c:tx>
                <c:rich>
                  <a:bodyPr/>
                  <a:lstStyle/>
                  <a:p>
                    <a:r>
                      <a:rPr lang="ru-RU"/>
                      <a:t>100,1%*</a:t>
                    </a:r>
                    <a:endParaRPr lang="en-US"/>
                  </a:p>
                </c:rich>
              </c:tx>
              <c:showVal val="1"/>
            </c:dLbl>
            <c:dLbl>
              <c:idx val="1"/>
              <c:layout>
                <c:manualLayout>
                  <c:x val="-4.0526849037487338E-3"/>
                  <c:y val="-3.0531967817747818E-3"/>
                </c:manualLayout>
              </c:layout>
              <c:tx>
                <c:rich>
                  <a:bodyPr/>
                  <a:lstStyle/>
                  <a:p>
                    <a:r>
                      <a:rPr lang="ru-RU"/>
                      <a:t>88,2%*</a:t>
                    </a:r>
                    <a:endParaRPr lang="en-US"/>
                  </a:p>
                </c:rich>
              </c:tx>
              <c:showVal val="1"/>
            </c:dLbl>
            <c:showVal val="1"/>
          </c:dLbls>
          <c:cat>
            <c:strRef>
              <c:f>Лист1!$A$2:$A$3</c:f>
              <c:strCache>
                <c:ptCount val="2"/>
                <c:pt idx="0">
                  <c:v>I полугодие 2015 года</c:v>
                </c:pt>
                <c:pt idx="1">
                  <c:v>I полугодие 2016 года</c:v>
                </c:pt>
              </c:strCache>
            </c:strRef>
          </c:cat>
          <c:val>
            <c:numRef>
              <c:f>Лист1!$G$2:$G$3</c:f>
              <c:numCache>
                <c:formatCode>General</c:formatCode>
                <c:ptCount val="2"/>
                <c:pt idx="0">
                  <c:v>136.6</c:v>
                </c:pt>
                <c:pt idx="1">
                  <c:v>120.5</c:v>
                </c:pt>
              </c:numCache>
            </c:numRef>
          </c:val>
        </c:ser>
        <c:ser>
          <c:idx val="6"/>
          <c:order val="6"/>
          <c:tx>
            <c:strRef>
              <c:f>Лист1!$H$1</c:f>
              <c:strCache>
                <c:ptCount val="1"/>
                <c:pt idx="0">
                  <c:v>Прочие налоги, пошлины и сборы</c:v>
                </c:pt>
              </c:strCache>
            </c:strRef>
          </c:tx>
          <c:dLbls>
            <c:dLbl>
              <c:idx val="0"/>
              <c:layout>
                <c:manualLayout>
                  <c:x val="-0.12158054711246201"/>
                  <c:y val="4.1864031701919713E-2"/>
                </c:manualLayout>
              </c:layout>
              <c:tx>
                <c:rich>
                  <a:bodyPr/>
                  <a:lstStyle/>
                  <a:p>
                    <a:r>
                      <a:rPr lang="ru-RU"/>
                      <a:t>89,4%*</a:t>
                    </a:r>
                    <a:endParaRPr lang="en-US"/>
                  </a:p>
                </c:rich>
              </c:tx>
              <c:showVal val="1"/>
            </c:dLbl>
            <c:dLbl>
              <c:idx val="1"/>
              <c:layout>
                <c:manualLayout>
                  <c:x val="-6.0790273556231992E-3"/>
                  <c:y val="3.9156330948827478E-2"/>
                </c:manualLayout>
              </c:layout>
              <c:tx>
                <c:rich>
                  <a:bodyPr/>
                  <a:lstStyle/>
                  <a:p>
                    <a:r>
                      <a:rPr lang="ru-RU"/>
                      <a:t>105,0%*</a:t>
                    </a:r>
                    <a:endParaRPr lang="en-US"/>
                  </a:p>
                </c:rich>
              </c:tx>
              <c:showVal val="1"/>
            </c:dLbl>
            <c:showVal val="1"/>
          </c:dLbls>
          <c:cat>
            <c:strRef>
              <c:f>Лист1!$A$2:$A$3</c:f>
              <c:strCache>
                <c:ptCount val="2"/>
                <c:pt idx="0">
                  <c:v>I полугодие 2015 года</c:v>
                </c:pt>
                <c:pt idx="1">
                  <c:v>I полугодие 2016 года</c:v>
                </c:pt>
              </c:strCache>
            </c:strRef>
          </c:cat>
          <c:val>
            <c:numRef>
              <c:f>Лист1!$H$2:$H$3</c:f>
              <c:numCache>
                <c:formatCode>General</c:formatCode>
                <c:ptCount val="2"/>
                <c:pt idx="0">
                  <c:v>48.2</c:v>
                </c:pt>
                <c:pt idx="1">
                  <c:v>42.5</c:v>
                </c:pt>
              </c:numCache>
            </c:numRef>
          </c:val>
        </c:ser>
        <c:marker val="1"/>
        <c:axId val="99798016"/>
        <c:axId val="99820288"/>
      </c:lineChart>
      <c:catAx>
        <c:axId val="99798016"/>
        <c:scaling>
          <c:orientation val="minMax"/>
        </c:scaling>
        <c:axPos val="b"/>
        <c:tickLblPos val="nextTo"/>
        <c:txPr>
          <a:bodyPr/>
          <a:lstStyle/>
          <a:p>
            <a:pPr>
              <a:defRPr b="1"/>
            </a:pPr>
            <a:endParaRPr lang="ru-RU"/>
          </a:p>
        </c:txPr>
        <c:crossAx val="99820288"/>
        <c:crosses val="autoZero"/>
        <c:auto val="1"/>
        <c:lblAlgn val="ctr"/>
        <c:lblOffset val="100"/>
      </c:catAx>
      <c:valAx>
        <c:axId val="99820288"/>
        <c:scaling>
          <c:orientation val="minMax"/>
          <c:max val="400"/>
        </c:scaling>
        <c:axPos val="l"/>
        <c:majorGridlines/>
        <c:numFmt formatCode="0.0" sourceLinked="1"/>
        <c:tickLblPos val="nextTo"/>
        <c:txPr>
          <a:bodyPr/>
          <a:lstStyle/>
          <a:p>
            <a:pPr>
              <a:defRPr b="1"/>
            </a:pPr>
            <a:endParaRPr lang="ru-RU"/>
          </a:p>
        </c:txPr>
        <c:crossAx val="99798016"/>
        <c:crosses val="autoZero"/>
        <c:crossBetween val="between"/>
        <c:majorUnit val="50"/>
      </c:valAx>
    </c:plotArea>
    <c:legend>
      <c:legendPos val="r"/>
      <c:layout>
        <c:manualLayout>
          <c:xMode val="edge"/>
          <c:yMode val="edge"/>
          <c:x val="0.64893617021276551"/>
          <c:y val="0"/>
          <c:w val="0.33890577507600222"/>
          <c:h val="1"/>
        </c:manualLayout>
      </c:layout>
      <c:spPr>
        <a:solidFill>
          <a:schemeClr val="bg1"/>
        </a:solidFill>
      </c:sp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en-US"/>
              <a:t>I</a:t>
            </a:r>
            <a:r>
              <a:rPr lang="ru-RU"/>
              <a:t> полугодие 2015 года </a:t>
            </a:r>
          </a:p>
        </c:rich>
      </c:tx>
      <c:layout>
        <c:manualLayout>
          <c:xMode val="edge"/>
          <c:yMode val="edge"/>
          <c:x val="0.42232768361582845"/>
          <c:y val="0"/>
        </c:manualLayout>
      </c:layout>
      <c:spPr>
        <a:solidFill>
          <a:schemeClr val="bg1"/>
        </a:solidFill>
      </c:spPr>
    </c:title>
    <c:view3D>
      <c:rotX val="30"/>
      <c:perspective val="30"/>
    </c:view3D>
    <c:plotArea>
      <c:layout>
        <c:manualLayout>
          <c:layoutTarget val="inner"/>
          <c:xMode val="edge"/>
          <c:yMode val="edge"/>
          <c:x val="0.24286169313581571"/>
          <c:y val="4.8696040654492813E-4"/>
          <c:w val="0.47158361137062366"/>
          <c:h val="0.64760298579698816"/>
        </c:manualLayout>
      </c:layout>
      <c:pie3DChart>
        <c:varyColors val="1"/>
        <c:ser>
          <c:idx val="0"/>
          <c:order val="0"/>
          <c:tx>
            <c:strRef>
              <c:f>Лист1!$B$1</c:f>
              <c:strCache>
                <c:ptCount val="1"/>
                <c:pt idx="0">
                  <c:v>2014 год</c:v>
                </c:pt>
              </c:strCache>
            </c:strRef>
          </c:tx>
          <c:explosion val="25"/>
          <c:dPt>
            <c:idx val="0"/>
            <c:explosion val="13"/>
            <c:spPr>
              <a:blipFill>
                <a:blip xmlns:r="http://schemas.openxmlformats.org/officeDocument/2006/relationships" r:embed="rId1"/>
                <a:tile tx="0" ty="0" sx="100000" sy="100000" flip="none" algn="tl"/>
              </a:blipFill>
            </c:spPr>
          </c:dPt>
          <c:dPt>
            <c:idx val="1"/>
            <c:explosion val="20"/>
            <c:spPr>
              <a:solidFill>
                <a:srgbClr val="C00000"/>
              </a:solidFill>
            </c:spPr>
          </c:dPt>
          <c:dPt>
            <c:idx val="2"/>
            <c:explosion val="17"/>
            <c:spPr>
              <a:blipFill>
                <a:blip xmlns:r="http://schemas.openxmlformats.org/officeDocument/2006/relationships" r:embed="rId2"/>
                <a:tile tx="0" ty="0" sx="100000" sy="100000" flip="none" algn="tl"/>
              </a:blipFill>
            </c:spPr>
          </c:dPt>
          <c:dPt>
            <c:idx val="3"/>
            <c:explosion val="18"/>
            <c:spPr>
              <a:blipFill>
                <a:blip xmlns:r="http://schemas.openxmlformats.org/officeDocument/2006/relationships" r:embed="rId3"/>
                <a:tile tx="0" ty="0" sx="100000" sy="100000" flip="none" algn="tl"/>
              </a:blipFill>
            </c:spPr>
          </c:dPt>
          <c:dLbls>
            <c:dLbl>
              <c:idx val="0"/>
              <c:layout>
                <c:manualLayout>
                  <c:x val="-2.8699115313288552E-3"/>
                  <c:y val="-0.11635313027732"/>
                </c:manualLayout>
              </c:layout>
              <c:showVal val="1"/>
            </c:dLbl>
            <c:dLbl>
              <c:idx val="1"/>
              <c:layout>
                <c:manualLayout>
                  <c:x val="4.0995093004678823E-2"/>
                  <c:y val="3.8118781663919916E-2"/>
                </c:manualLayout>
              </c:layout>
              <c:showVal val="1"/>
            </c:dLbl>
            <c:dLbl>
              <c:idx val="2"/>
              <c:layout>
                <c:manualLayout>
                  <c:x val="-7.4547800169046732E-2"/>
                  <c:y val="2.038904711379165E-2"/>
                </c:manualLayout>
              </c:layout>
              <c:showVal val="1"/>
            </c:dLbl>
            <c:dLbl>
              <c:idx val="3"/>
              <c:layout>
                <c:manualLayout>
                  <c:x val="3.0623994581323481E-2"/>
                  <c:y val="-7.6132169525320967E-2"/>
                </c:manualLayout>
              </c:layout>
              <c:showVal val="1"/>
            </c:dLbl>
            <c:dLbl>
              <c:idx val="4"/>
              <c:layout>
                <c:manualLayout>
                  <c:x val="7.6163463438037982E-2"/>
                  <c:y val="-3.369102118049197E-2"/>
                </c:manualLayout>
              </c:layout>
              <c:tx>
                <c:rich>
                  <a:bodyPr/>
                  <a:lstStyle/>
                  <a:p>
                    <a:r>
                      <a:rPr lang="en-US"/>
                      <a:t>0,0</a:t>
                    </a:r>
                    <a:r>
                      <a:rPr lang="ru-RU"/>
                      <a:t>06</a:t>
                    </a:r>
                    <a:endParaRPr lang="en-US"/>
                  </a:p>
                </c:rich>
              </c:tx>
              <c:showVal val="1"/>
            </c:dLbl>
            <c:showVal val="1"/>
            <c:showLeaderLines val="1"/>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41.45</c:v>
                </c:pt>
                <c:pt idx="1">
                  <c:v>4.25</c:v>
                </c:pt>
                <c:pt idx="2" formatCode="0.00">
                  <c:v>15</c:v>
                </c:pt>
                <c:pt idx="3">
                  <c:v>39.230000000000011</c:v>
                </c:pt>
              </c:numCache>
            </c:numRef>
          </c:val>
        </c:ser>
      </c:pie3DChart>
    </c:plotArea>
    <c:legend>
      <c:legendPos val="b"/>
      <c:layout>
        <c:manualLayout>
          <c:xMode val="edge"/>
          <c:yMode val="edge"/>
          <c:x val="0"/>
          <c:y val="0.56811023622049028"/>
          <c:w val="0.8836473819150984"/>
          <c:h val="0.43188976377954308"/>
        </c:manualLayout>
      </c:layout>
      <c:txPr>
        <a:bodyPr/>
        <a:lstStyle/>
        <a:p>
          <a:pPr>
            <a:defRPr sz="900"/>
          </a:pPr>
          <a:endParaRPr lang="ru-RU"/>
        </a:p>
      </c:txPr>
    </c:legend>
    <c:plotVisOnly val="1"/>
    <c:dispBlanksAs val="zero"/>
  </c:chart>
  <c:spPr>
    <a:ln>
      <a:noFill/>
    </a:ln>
  </c:spPr>
  <c:txPr>
    <a:bodyPr/>
    <a:lstStyle/>
    <a:p>
      <a:pPr>
        <a:defRPr sz="1100">
          <a:latin typeface="Times New Roman" pitchFamily="18" charset="0"/>
          <a:cs typeface="Times New Roman" pitchFamily="18" charset="0"/>
        </a:defRPr>
      </a:pPr>
      <a:endParaRPr lang="ru-RU"/>
    </a:p>
  </c:txPr>
  <c:externalData r:id="rId4"/>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b="1" i="0" u="none" strike="noStrike" baseline="0"/>
              <a:t>1 полугодие </a:t>
            </a:r>
            <a:r>
              <a:rPr lang="ru-RU"/>
              <a:t>2016 года</a:t>
            </a:r>
          </a:p>
        </c:rich>
      </c:tx>
      <c:layout>
        <c:manualLayout>
          <c:xMode val="edge"/>
          <c:yMode val="edge"/>
          <c:x val="0.44587570621469347"/>
          <c:y val="0"/>
        </c:manualLayout>
      </c:layout>
      <c:spPr>
        <a:solidFill>
          <a:schemeClr val="bg1"/>
        </a:solidFill>
      </c:spPr>
    </c:title>
    <c:view3D>
      <c:rotX val="30"/>
      <c:perspective val="30"/>
    </c:view3D>
    <c:plotArea>
      <c:layout>
        <c:manualLayout>
          <c:layoutTarget val="inner"/>
          <c:xMode val="edge"/>
          <c:yMode val="edge"/>
          <c:x val="0.24286169313581571"/>
          <c:y val="4.8696040654492813E-4"/>
          <c:w val="0.47158361137062188"/>
          <c:h val="0.64760298579698816"/>
        </c:manualLayout>
      </c:layout>
      <c:pie3DChart>
        <c:varyColors val="1"/>
        <c:ser>
          <c:idx val="0"/>
          <c:order val="0"/>
          <c:tx>
            <c:strRef>
              <c:f>Лист1!$B$1</c:f>
              <c:strCache>
                <c:ptCount val="1"/>
                <c:pt idx="0">
                  <c:v>2016 год</c:v>
                </c:pt>
              </c:strCache>
            </c:strRef>
          </c:tx>
          <c:explosion val="25"/>
          <c:dPt>
            <c:idx val="0"/>
            <c:explosion val="13"/>
            <c:spPr>
              <a:blipFill>
                <a:blip xmlns:r="http://schemas.openxmlformats.org/officeDocument/2006/relationships" r:embed="rId1"/>
                <a:tile tx="0" ty="0" sx="100000" sy="100000" flip="none" algn="tl"/>
              </a:blipFill>
            </c:spPr>
          </c:dPt>
          <c:dPt>
            <c:idx val="1"/>
            <c:explosion val="20"/>
            <c:spPr>
              <a:solidFill>
                <a:srgbClr val="C00000"/>
              </a:solidFill>
            </c:spPr>
          </c:dPt>
          <c:dPt>
            <c:idx val="2"/>
            <c:explosion val="17"/>
            <c:spPr>
              <a:blipFill>
                <a:blip xmlns:r="http://schemas.openxmlformats.org/officeDocument/2006/relationships" r:embed="rId2"/>
                <a:tile tx="0" ty="0" sx="100000" sy="100000" flip="none" algn="tl"/>
              </a:blipFill>
            </c:spPr>
          </c:dPt>
          <c:dPt>
            <c:idx val="3"/>
            <c:explosion val="18"/>
            <c:spPr>
              <a:blipFill>
                <a:blip xmlns:r="http://schemas.openxmlformats.org/officeDocument/2006/relationships" r:embed="rId3"/>
                <a:tile tx="0" ty="0" sx="100000" sy="100000" flip="none" algn="tl"/>
              </a:blipFill>
            </c:spPr>
          </c:dPt>
          <c:dLbls>
            <c:dLbl>
              <c:idx val="0"/>
              <c:layout>
                <c:manualLayout>
                  <c:x val="-2.8699115313288552E-3"/>
                  <c:y val="-0.11635313027732"/>
                </c:manualLayout>
              </c:layout>
              <c:showVal val="1"/>
            </c:dLbl>
            <c:dLbl>
              <c:idx val="1"/>
              <c:layout>
                <c:manualLayout>
                  <c:x val="4.0995093004678823E-2"/>
                  <c:y val="3.8118781663919916E-2"/>
                </c:manualLayout>
              </c:layout>
              <c:showVal val="1"/>
            </c:dLbl>
            <c:dLbl>
              <c:idx val="2"/>
              <c:layout>
                <c:manualLayout>
                  <c:x val="-7.4547800169046732E-2"/>
                  <c:y val="2.038904711379165E-2"/>
                </c:manualLayout>
              </c:layout>
              <c:showVal val="1"/>
            </c:dLbl>
            <c:dLbl>
              <c:idx val="3"/>
              <c:layout>
                <c:manualLayout>
                  <c:x val="3.0623994581323279E-2"/>
                  <c:y val="-7.6132169525320967E-2"/>
                </c:manualLayout>
              </c:layout>
              <c:showVal val="1"/>
            </c:dLbl>
            <c:dLbl>
              <c:idx val="4"/>
              <c:layout>
                <c:manualLayout>
                  <c:x val="7.6163463438037982E-2"/>
                  <c:y val="-3.369102118049197E-2"/>
                </c:manualLayout>
              </c:layout>
              <c:tx>
                <c:rich>
                  <a:bodyPr/>
                  <a:lstStyle/>
                  <a:p>
                    <a:r>
                      <a:rPr lang="en-US"/>
                      <a:t>0,0</a:t>
                    </a:r>
                    <a:r>
                      <a:rPr lang="ru-RU"/>
                      <a:t>06</a:t>
                    </a:r>
                    <a:endParaRPr lang="en-US"/>
                  </a:p>
                </c:rich>
              </c:tx>
              <c:showVal val="1"/>
            </c:dLbl>
            <c:showVal val="1"/>
            <c:showLeaderLines val="1"/>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48.68</c:v>
                </c:pt>
                <c:pt idx="1">
                  <c:v>5.07</c:v>
                </c:pt>
                <c:pt idx="2">
                  <c:v>14.370000000000006</c:v>
                </c:pt>
                <c:pt idx="3" formatCode="0.00">
                  <c:v>31.7</c:v>
                </c:pt>
              </c:numCache>
            </c:numRef>
          </c:val>
        </c:ser>
      </c:pie3DChart>
    </c:plotArea>
    <c:legend>
      <c:legendPos val="b"/>
      <c:layout>
        <c:manualLayout>
          <c:xMode val="edge"/>
          <c:yMode val="edge"/>
          <c:x val="0"/>
          <c:y val="0.56811023622048729"/>
          <c:w val="0.8836473819150984"/>
          <c:h val="0.43188976377953986"/>
        </c:manualLayout>
      </c:layout>
      <c:txPr>
        <a:bodyPr/>
        <a:lstStyle/>
        <a:p>
          <a:pPr>
            <a:defRPr sz="900"/>
          </a:pPr>
          <a:endParaRPr lang="ru-RU"/>
        </a:p>
      </c:txPr>
    </c:legend>
    <c:plotVisOnly val="1"/>
    <c:dispBlanksAs val="zero"/>
  </c:chart>
  <c:spPr>
    <a:ln>
      <a:noFill/>
    </a:ln>
  </c:spPr>
  <c:txPr>
    <a:bodyPr/>
    <a:lstStyle/>
    <a:p>
      <a:pPr>
        <a:defRPr sz="1100">
          <a:latin typeface="Times New Roman" pitchFamily="18" charset="0"/>
          <a:cs typeface="Times New Roman" pitchFamily="18" charset="0"/>
        </a:defRPr>
      </a:pPr>
      <a:endParaRPr lang="ru-RU"/>
    </a:p>
  </c:txPr>
  <c:externalData r:id="rId4"/>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pPr>
            <a:r>
              <a:rPr lang="ru-RU" sz="1100"/>
              <a:t>Динамика расходов консолидированного бюджета за </a:t>
            </a:r>
            <a:r>
              <a:rPr lang="en-US" sz="1100"/>
              <a:t>I</a:t>
            </a:r>
            <a:r>
              <a:rPr lang="ru-RU" sz="1100"/>
              <a:t> полугодие 2015 - 2016 года, млн. руб.</a:t>
            </a:r>
            <a:endParaRPr lang="ru-RU" sz="1100">
              <a:solidFill>
                <a:srgbClr val="FF0000"/>
              </a:solidFill>
            </a:endParaRPr>
          </a:p>
        </c:rich>
      </c:tx>
      <c:layout>
        <c:manualLayout>
          <c:xMode val="edge"/>
          <c:yMode val="edge"/>
          <c:x val="0.15053050186908454"/>
          <c:y val="2.4377259446342791E-2"/>
        </c:manualLayout>
      </c:layout>
      <c:spPr>
        <a:solidFill>
          <a:schemeClr val="bg1"/>
        </a:solidFill>
      </c:spPr>
    </c:title>
    <c:plotArea>
      <c:layout>
        <c:manualLayout>
          <c:layoutTarget val="inner"/>
          <c:xMode val="edge"/>
          <c:yMode val="edge"/>
          <c:x val="0.17724193566713559"/>
          <c:y val="0.2633056009508275"/>
          <c:w val="0.76215199344426265"/>
          <c:h val="0.48968454414896584"/>
        </c:manualLayout>
      </c:layout>
      <c:barChart>
        <c:barDir val="col"/>
        <c:grouping val="stacked"/>
        <c:ser>
          <c:idx val="0"/>
          <c:order val="0"/>
          <c:tx>
            <c:strRef>
              <c:f>Лист1!$B$1</c:f>
              <c:strCache>
                <c:ptCount val="1"/>
                <c:pt idx="0">
                  <c:v>Республиканский бюджет</c:v>
                </c:pt>
              </c:strCache>
            </c:strRef>
          </c:tx>
          <c:spPr>
            <a:solidFill>
              <a:schemeClr val="accent6">
                <a:lumMod val="75000"/>
              </a:schemeClr>
            </a:solidFill>
          </c:spPr>
          <c:dLbls>
            <c:dLbl>
              <c:idx val="0"/>
              <c:tx>
                <c:rich>
                  <a:bodyPr/>
                  <a:lstStyle/>
                  <a:p>
                    <a:r>
                      <a:rPr lang="ru-RU" b="1"/>
                      <a:t>68,5%</a:t>
                    </a:r>
                    <a:endParaRPr lang="en-US" b="1"/>
                  </a:p>
                </c:rich>
              </c:tx>
              <c:showVal val="1"/>
            </c:dLbl>
            <c:dLbl>
              <c:idx val="1"/>
              <c:tx>
                <c:rich>
                  <a:bodyPr/>
                  <a:lstStyle/>
                  <a:p>
                    <a:r>
                      <a:rPr lang="ru-RU" b="1"/>
                      <a:t>70,8%</a:t>
                    </a:r>
                    <a:endParaRPr lang="en-US" b="1"/>
                  </a:p>
                </c:rich>
              </c:tx>
              <c:showVal val="1"/>
            </c:dLbl>
            <c:txPr>
              <a:bodyPr/>
              <a:lstStyle/>
              <a:p>
                <a:pPr>
                  <a:defRPr sz="900" b="1"/>
                </a:pPr>
                <a:endParaRPr lang="ru-RU"/>
              </a:p>
            </c:txPr>
            <c:showVal val="1"/>
          </c:dLbls>
          <c:cat>
            <c:strRef>
              <c:f>Лист1!$A$2:$A$3</c:f>
              <c:strCache>
                <c:ptCount val="2"/>
                <c:pt idx="0">
                  <c:v>I полугодие 2015 года</c:v>
                </c:pt>
                <c:pt idx="1">
                  <c:v>I полугодие 2016 года</c:v>
                </c:pt>
              </c:strCache>
            </c:strRef>
          </c:cat>
          <c:val>
            <c:numRef>
              <c:f>Лист1!$B$2:$B$3</c:f>
              <c:numCache>
                <c:formatCode>#,##0.0</c:formatCode>
                <c:ptCount val="2"/>
                <c:pt idx="0">
                  <c:v>68.5</c:v>
                </c:pt>
                <c:pt idx="1">
                  <c:v>70.8</c:v>
                </c:pt>
              </c:numCache>
            </c:numRef>
          </c:val>
        </c:ser>
        <c:ser>
          <c:idx val="1"/>
          <c:order val="1"/>
          <c:tx>
            <c:strRef>
              <c:f>Лист1!$C$1</c:f>
              <c:strCache>
                <c:ptCount val="1"/>
                <c:pt idx="0">
                  <c:v>Местный бюджет</c:v>
                </c:pt>
              </c:strCache>
            </c:strRef>
          </c:tx>
          <c:spPr>
            <a:solidFill>
              <a:schemeClr val="accent6">
                <a:lumMod val="40000"/>
                <a:lumOff val="60000"/>
              </a:schemeClr>
            </a:solidFill>
          </c:spPr>
          <c:dLbls>
            <c:dLbl>
              <c:idx val="0"/>
              <c:tx>
                <c:rich>
                  <a:bodyPr/>
                  <a:lstStyle/>
                  <a:p>
                    <a:r>
                      <a:rPr lang="ru-RU" b="1"/>
                      <a:t>31,5%</a:t>
                    </a:r>
                    <a:endParaRPr lang="en-US" b="1"/>
                  </a:p>
                </c:rich>
              </c:tx>
              <c:showVal val="1"/>
            </c:dLbl>
            <c:dLbl>
              <c:idx val="1"/>
              <c:layout>
                <c:manualLayout>
                  <c:x val="0"/>
                  <c:y val="-5.1480051480051478E-3"/>
                </c:manualLayout>
              </c:layout>
              <c:tx>
                <c:rich>
                  <a:bodyPr/>
                  <a:lstStyle/>
                  <a:p>
                    <a:r>
                      <a:rPr lang="ru-RU" b="1"/>
                      <a:t>29,2%</a:t>
                    </a:r>
                    <a:endParaRPr lang="en-US" b="1"/>
                  </a:p>
                </c:rich>
              </c:tx>
              <c:showVal val="1"/>
            </c:dLbl>
            <c:txPr>
              <a:bodyPr/>
              <a:lstStyle/>
              <a:p>
                <a:pPr>
                  <a:defRPr sz="900" b="1"/>
                </a:pPr>
                <a:endParaRPr lang="ru-RU"/>
              </a:p>
            </c:txPr>
            <c:showVal val="1"/>
          </c:dLbls>
          <c:cat>
            <c:strRef>
              <c:f>Лист1!$A$2:$A$3</c:f>
              <c:strCache>
                <c:ptCount val="2"/>
                <c:pt idx="0">
                  <c:v>I полугодие 2015 года</c:v>
                </c:pt>
                <c:pt idx="1">
                  <c:v>I полугодие 2016 года</c:v>
                </c:pt>
              </c:strCache>
            </c:strRef>
          </c:cat>
          <c:val>
            <c:numRef>
              <c:f>Лист1!$C$2:$C$3</c:f>
              <c:numCache>
                <c:formatCode>#,##0.0</c:formatCode>
                <c:ptCount val="2"/>
                <c:pt idx="0">
                  <c:v>31.5</c:v>
                </c:pt>
                <c:pt idx="1">
                  <c:v>29.2</c:v>
                </c:pt>
              </c:numCache>
            </c:numRef>
          </c:val>
        </c:ser>
        <c:overlap val="100"/>
        <c:axId val="100042624"/>
        <c:axId val="100044160"/>
      </c:barChart>
      <c:catAx>
        <c:axId val="100042624"/>
        <c:scaling>
          <c:orientation val="minMax"/>
        </c:scaling>
        <c:axPos val="b"/>
        <c:tickLblPos val="nextTo"/>
        <c:txPr>
          <a:bodyPr/>
          <a:lstStyle/>
          <a:p>
            <a:pPr>
              <a:defRPr sz="1000" b="1"/>
            </a:pPr>
            <a:endParaRPr lang="ru-RU"/>
          </a:p>
        </c:txPr>
        <c:crossAx val="100044160"/>
        <c:crosses val="autoZero"/>
        <c:auto val="1"/>
        <c:lblAlgn val="ctr"/>
        <c:lblOffset val="100"/>
      </c:catAx>
      <c:valAx>
        <c:axId val="100044160"/>
        <c:scaling>
          <c:orientation val="minMax"/>
          <c:max val="100"/>
          <c:min val="0"/>
        </c:scaling>
        <c:axPos val="l"/>
        <c:numFmt formatCode="#,##0.0" sourceLinked="1"/>
        <c:tickLblPos val="nextTo"/>
        <c:txPr>
          <a:bodyPr/>
          <a:lstStyle/>
          <a:p>
            <a:pPr>
              <a:defRPr sz="1000" b="1"/>
            </a:pPr>
            <a:endParaRPr lang="ru-RU"/>
          </a:p>
        </c:txPr>
        <c:crossAx val="100042624"/>
        <c:crosses val="autoZero"/>
        <c:crossBetween val="between"/>
        <c:majorUnit val="20"/>
      </c:valAx>
    </c:plotArea>
    <c:legend>
      <c:legendPos val="b"/>
      <c:layout>
        <c:manualLayout>
          <c:xMode val="edge"/>
          <c:yMode val="edge"/>
          <c:x val="6.4021997250344534E-2"/>
          <c:y val="0.87423116921705546"/>
          <c:w val="0.93303050266127163"/>
          <c:h val="0.12412430319321872"/>
        </c:manualLayout>
      </c:layout>
      <c:txPr>
        <a:bodyPr/>
        <a:lstStyle/>
        <a:p>
          <a:pPr>
            <a:defRPr sz="11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sz="1100"/>
            </a:pPr>
            <a:r>
              <a:rPr lang="en-US" sz="1100"/>
              <a:t>I</a:t>
            </a:r>
            <a:r>
              <a:rPr lang="ru-RU" sz="1100"/>
              <a:t> полугодие 2015 года</a:t>
            </a:r>
          </a:p>
        </c:rich>
      </c:tx>
      <c:layout>
        <c:manualLayout>
          <c:xMode val="edge"/>
          <c:yMode val="edge"/>
          <c:x val="0.22782254159977575"/>
          <c:y val="5.6901892002836135E-3"/>
        </c:manualLayout>
      </c:layout>
      <c:spPr>
        <a:noFill/>
      </c:spPr>
    </c:title>
    <c:view3D>
      <c:rotX val="30"/>
      <c:perspective val="30"/>
    </c:view3D>
    <c:plotArea>
      <c:layout>
        <c:manualLayout>
          <c:layoutTarget val="inner"/>
          <c:xMode val="edge"/>
          <c:yMode val="edge"/>
          <c:x val="0.17598454039398922"/>
          <c:y val="7.864385372881022E-2"/>
          <c:w val="0.68741022756770787"/>
          <c:h val="0.88808833106388063"/>
        </c:manualLayout>
      </c:layout>
      <c:pie3DChart>
        <c:varyColors val="1"/>
        <c:ser>
          <c:idx val="0"/>
          <c:order val="0"/>
          <c:tx>
            <c:strRef>
              <c:f>Лист1!$B$1</c:f>
              <c:strCache>
                <c:ptCount val="1"/>
                <c:pt idx="0">
                  <c:v>2014</c:v>
                </c:pt>
              </c:strCache>
            </c:strRef>
          </c:tx>
          <c:explosion val="28"/>
          <c:dPt>
            <c:idx val="0"/>
            <c:explosion val="6"/>
            <c:spPr>
              <a:blipFill>
                <a:blip xmlns:r="http://schemas.openxmlformats.org/officeDocument/2006/relationships" r:embed="rId1"/>
                <a:tile tx="0" ty="0" sx="100000" sy="100000" flip="none" algn="tl"/>
              </a:blipFill>
            </c:spPr>
          </c:dPt>
          <c:dPt>
            <c:idx val="1"/>
            <c:spPr>
              <a:blipFill>
                <a:blip xmlns:r="http://schemas.openxmlformats.org/officeDocument/2006/relationships" r:embed="rId2"/>
                <a:tile tx="0" ty="0" sx="100000" sy="100000" flip="none" algn="tl"/>
              </a:blipFill>
            </c:spPr>
          </c:dPt>
          <c:dPt>
            <c:idx val="2"/>
            <c:spPr>
              <a:blipFill>
                <a:blip xmlns:r="http://schemas.openxmlformats.org/officeDocument/2006/relationships" r:embed="rId3"/>
                <a:tile tx="0" ty="0" sx="100000" sy="100000" flip="none" algn="tl"/>
              </a:blipFill>
            </c:spPr>
          </c:dPt>
          <c:dPt>
            <c:idx val="3"/>
            <c:spPr>
              <a:blipFill>
                <a:blip xmlns:r="http://schemas.openxmlformats.org/officeDocument/2006/relationships" r:embed="rId4"/>
                <a:tile tx="0" ty="0" sx="100000" sy="100000" flip="none" algn="tl"/>
              </a:blipFill>
            </c:spPr>
          </c:dPt>
          <c:dPt>
            <c:idx val="4"/>
            <c:spPr>
              <a:blipFill>
                <a:blip xmlns:r="http://schemas.openxmlformats.org/officeDocument/2006/relationships" r:embed="rId5"/>
                <a:tile tx="0" ty="0" sx="100000" sy="100000" flip="none" algn="tl"/>
              </a:blipFill>
            </c:spPr>
          </c:dPt>
          <c:dPt>
            <c:idx val="5"/>
            <c:spPr>
              <a:solidFill>
                <a:schemeClr val="tx2">
                  <a:lumMod val="50000"/>
                </a:schemeClr>
              </a:solidFill>
            </c:spPr>
          </c:dPt>
          <c:dLbls>
            <c:dLbl>
              <c:idx val="0"/>
              <c:layout>
                <c:manualLayout>
                  <c:x val="-5.8007572062341813E-2"/>
                  <c:y val="-0.16191296529922741"/>
                </c:manualLayout>
              </c:layout>
              <c:showVal val="1"/>
            </c:dLbl>
            <c:dLbl>
              <c:idx val="1"/>
              <c:layout>
                <c:manualLayout>
                  <c:x val="-5.2764112450545533E-2"/>
                  <c:y val="3.1687475529647902E-2"/>
                </c:manualLayout>
              </c:layout>
              <c:showVal val="1"/>
            </c:dLbl>
            <c:dLbl>
              <c:idx val="2"/>
              <c:layout>
                <c:manualLayout>
                  <c:x val="-2.2685836836767212E-2"/>
                  <c:y val="5.4410463885384924E-2"/>
                </c:manualLayout>
              </c:layout>
              <c:showVal val="1"/>
            </c:dLbl>
            <c:dLbl>
              <c:idx val="3"/>
              <c:layout>
                <c:manualLayout>
                  <c:x val="0"/>
                  <c:y val="-7.7346299454504594E-2"/>
                </c:manualLayout>
              </c:layout>
              <c:showVal val="1"/>
            </c:dLbl>
            <c:dLbl>
              <c:idx val="4"/>
              <c:layout>
                <c:manualLayout>
                  <c:x val="1.4745855883058961E-2"/>
                  <c:y val="-7.3986746131871714E-2"/>
                </c:manualLayout>
              </c:layout>
              <c:showVal val="1"/>
            </c:dLbl>
            <c:dLbl>
              <c:idx val="5"/>
              <c:layout>
                <c:manualLayout>
                  <c:x val="1.5451652614219685E-2"/>
                  <c:y val="-4.6648395469901759E-2"/>
                </c:manualLayout>
              </c:layout>
              <c:showVal val="1"/>
            </c:dLbl>
            <c:showVal val="1"/>
            <c:showLeaderLines val="1"/>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47</c:v>
                </c:pt>
                <c:pt idx="1">
                  <c:v>23.3</c:v>
                </c:pt>
                <c:pt idx="2" formatCode="0.0">
                  <c:v>4.7</c:v>
                </c:pt>
                <c:pt idx="3" formatCode="0.0">
                  <c:v>12.9</c:v>
                </c:pt>
                <c:pt idx="4">
                  <c:v>5.3</c:v>
                </c:pt>
                <c:pt idx="5" formatCode="0.0">
                  <c:v>6.8</c:v>
                </c:pt>
              </c:numCache>
            </c:numRef>
          </c:val>
        </c:ser>
      </c:pie3D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6"/>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en-US" sz="1100"/>
              <a:t>I</a:t>
            </a:r>
            <a:r>
              <a:rPr lang="ru-RU" sz="1100"/>
              <a:t> полугодие 2016</a:t>
            </a:r>
            <a:r>
              <a:rPr lang="ru-RU" sz="1100" baseline="0"/>
              <a:t> </a:t>
            </a:r>
            <a:r>
              <a:rPr lang="ru-RU" sz="1100"/>
              <a:t>года</a:t>
            </a:r>
          </a:p>
        </c:rich>
      </c:tx>
      <c:layout>
        <c:manualLayout>
          <c:xMode val="edge"/>
          <c:yMode val="edge"/>
          <c:x val="0.1232402767835854"/>
          <c:y val="0"/>
        </c:manualLayout>
      </c:layout>
      <c:spPr>
        <a:noFill/>
      </c:spPr>
    </c:title>
    <c:view3D>
      <c:rotX val="30"/>
      <c:perspective val="30"/>
    </c:view3D>
    <c:plotArea>
      <c:layout>
        <c:manualLayout>
          <c:layoutTarget val="inner"/>
          <c:xMode val="edge"/>
          <c:yMode val="edge"/>
          <c:x val="8.755965333393155E-2"/>
          <c:y val="0.15573263868332429"/>
          <c:w val="0.54087075479201452"/>
          <c:h val="0.69303976813324852"/>
        </c:manualLayout>
      </c:layout>
      <c:pie3DChart>
        <c:varyColors val="1"/>
        <c:ser>
          <c:idx val="0"/>
          <c:order val="0"/>
          <c:tx>
            <c:strRef>
              <c:f>Лист1!$B$1</c:f>
              <c:strCache>
                <c:ptCount val="1"/>
                <c:pt idx="0">
                  <c:v>I полугодие 2016</c:v>
                </c:pt>
              </c:strCache>
            </c:strRef>
          </c:tx>
          <c:explosion val="25"/>
          <c:dPt>
            <c:idx val="0"/>
            <c:explosion val="1"/>
            <c:spPr>
              <a:blipFill>
                <a:blip xmlns:r="http://schemas.openxmlformats.org/officeDocument/2006/relationships" r:embed="rId1"/>
                <a:tile tx="0" ty="0" sx="100000" sy="100000" flip="none" algn="tl"/>
              </a:blipFill>
            </c:spPr>
          </c:dPt>
          <c:dPt>
            <c:idx val="1"/>
            <c:explosion val="17"/>
            <c:spPr>
              <a:blipFill>
                <a:blip xmlns:r="http://schemas.openxmlformats.org/officeDocument/2006/relationships" r:embed="rId2"/>
                <a:tile tx="0" ty="0" sx="100000" sy="100000" flip="none" algn="tl"/>
              </a:blipFill>
            </c:spPr>
          </c:dPt>
          <c:dPt>
            <c:idx val="2"/>
            <c:spPr>
              <a:blipFill>
                <a:blip xmlns:r="http://schemas.openxmlformats.org/officeDocument/2006/relationships" r:embed="rId3"/>
                <a:tile tx="0" ty="0" sx="100000" sy="100000" flip="none" algn="tl"/>
              </a:blipFill>
            </c:spPr>
          </c:dPt>
          <c:dPt>
            <c:idx val="3"/>
            <c:spPr>
              <a:blipFill>
                <a:blip xmlns:r="http://schemas.openxmlformats.org/officeDocument/2006/relationships" r:embed="rId4"/>
                <a:tile tx="0" ty="0" sx="100000" sy="100000" flip="none" algn="tl"/>
              </a:blipFill>
            </c:spPr>
          </c:dPt>
          <c:dPt>
            <c:idx val="4"/>
            <c:spPr>
              <a:blipFill>
                <a:blip xmlns:r="http://schemas.openxmlformats.org/officeDocument/2006/relationships" r:embed="rId5"/>
                <a:tile tx="0" ty="0" sx="100000" sy="100000" flip="none" algn="tl"/>
              </a:blipFill>
            </c:spPr>
          </c:dPt>
          <c:dPt>
            <c:idx val="5"/>
            <c:spPr>
              <a:solidFill>
                <a:schemeClr val="tx2">
                  <a:lumMod val="50000"/>
                </a:schemeClr>
              </a:solidFill>
            </c:spPr>
          </c:dPt>
          <c:dLbls>
            <c:dLbl>
              <c:idx val="0"/>
              <c:layout>
                <c:manualLayout>
                  <c:x val="-5.0296369203849521E-2"/>
                  <c:y val="-0.13394231971004075"/>
                </c:manualLayout>
              </c:layout>
              <c:showVal val="1"/>
            </c:dLbl>
            <c:dLbl>
              <c:idx val="1"/>
              <c:layout>
                <c:manualLayout>
                  <c:x val="-1.339585156022164E-2"/>
                  <c:y val="3.3523622047244094E-2"/>
                </c:manualLayout>
              </c:layout>
              <c:showVal val="1"/>
            </c:dLbl>
            <c:dLbl>
              <c:idx val="2"/>
              <c:layout>
                <c:manualLayout>
                  <c:x val="-3.321968249114491E-2"/>
                  <c:y val="-5.1576978292078085E-3"/>
                </c:manualLayout>
              </c:layout>
              <c:showVal val="1"/>
            </c:dLbl>
            <c:dLbl>
              <c:idx val="3"/>
              <c:layout>
                <c:manualLayout>
                  <c:x val="3.3108254630564342E-3"/>
                  <c:y val="-0.15312257020503967"/>
                </c:manualLayout>
              </c:layout>
              <c:showVal val="1"/>
            </c:dLbl>
            <c:dLbl>
              <c:idx val="4"/>
              <c:layout>
                <c:manualLayout>
                  <c:x val="1.8419914491820597E-2"/>
                  <c:y val="-7.5004172865488591E-2"/>
                </c:manualLayout>
              </c:layout>
              <c:showVal val="1"/>
            </c:dLbl>
            <c:dLbl>
              <c:idx val="5"/>
              <c:layout>
                <c:manualLayout>
                  <c:x val="2.3961340769904412E-2"/>
                  <c:y val="-3.0889263842020769E-2"/>
                </c:manualLayout>
              </c:layout>
              <c:showVal val="1"/>
            </c:dLbl>
            <c:showVal val="1"/>
            <c:showLeaderLines val="1"/>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42.5</c:v>
                </c:pt>
                <c:pt idx="1">
                  <c:v>20.2</c:v>
                </c:pt>
                <c:pt idx="2" formatCode="0.0">
                  <c:v>4.8</c:v>
                </c:pt>
                <c:pt idx="3" formatCode="0.0">
                  <c:v>12.1</c:v>
                </c:pt>
                <c:pt idx="4">
                  <c:v>13.2</c:v>
                </c:pt>
                <c:pt idx="5">
                  <c:v>7.2</c:v>
                </c:pt>
              </c:numCache>
            </c:numRef>
          </c:val>
        </c:ser>
      </c:pie3DChart>
    </c:plotArea>
    <c:legend>
      <c:legendPos val="r"/>
      <c:layout>
        <c:manualLayout>
          <c:xMode val="edge"/>
          <c:yMode val="edge"/>
          <c:x val="0.6290403870456367"/>
          <c:y val="0"/>
          <c:w val="0.36527177692532031"/>
          <c:h val="0.99973028233349837"/>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6"/>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32637418004357255"/>
          <c:y val="5.3763440860215533E-2"/>
          <c:w val="0.63252442842235079"/>
          <c:h val="0.6143585277646747"/>
        </c:manualLayout>
      </c:layout>
      <c:barChart>
        <c:barDir val="col"/>
        <c:grouping val="clustered"/>
        <c:ser>
          <c:idx val="0"/>
          <c:order val="0"/>
          <c:tx>
            <c:strRef>
              <c:f>Sheet1!$B$1</c:f>
              <c:strCache>
                <c:ptCount val="1"/>
                <c:pt idx="0">
                  <c:v>январь - июнь 2015 года</c:v>
                </c:pt>
              </c:strCache>
            </c:strRef>
          </c:tx>
          <c:spPr>
            <a:scene3d>
              <a:camera prst="orthographicFront"/>
              <a:lightRig rig="threePt" dir="t">
                <a:rot lat="0" lon="0" rev="1200000"/>
              </a:lightRig>
            </a:scene3d>
            <a:sp3d prstMaterial="metal">
              <a:bevelT w="63500" h="25400"/>
            </a:sp3d>
          </c:spPr>
          <c:dLbls>
            <c:dLbl>
              <c:idx val="0"/>
              <c:layout>
                <c:manualLayout>
                  <c:x val="-6.8846591026516229E-3"/>
                  <c:y val="3.4445965993381402E-3"/>
                </c:manualLayout>
              </c:layout>
              <c:tx>
                <c:rich>
                  <a:bodyPr/>
                  <a:lstStyle/>
                  <a:p>
                    <a:r>
                      <a:rPr lang="ru-RU" sz="880"/>
                      <a:t>-23,8*</a:t>
                    </a:r>
                    <a:endParaRPr lang="en-US" sz="900"/>
                  </a:p>
                </c:rich>
              </c:tx>
              <c:dLblPos val="outEnd"/>
            </c:dLbl>
            <c:dLbl>
              <c:idx val="1"/>
              <c:tx>
                <c:rich>
                  <a:bodyPr/>
                  <a:lstStyle/>
                  <a:p>
                    <a:r>
                      <a:rPr lang="ru-RU" sz="880"/>
                      <a:t>-20,5*</a:t>
                    </a:r>
                    <a:endParaRPr lang="en-US" sz="900"/>
                  </a:p>
                </c:rich>
              </c:tx>
            </c:dLbl>
            <c:dLbl>
              <c:idx val="2"/>
              <c:tx>
                <c:rich>
                  <a:bodyPr/>
                  <a:lstStyle/>
                  <a:p>
                    <a:r>
                      <a:rPr lang="ru-RU" sz="880"/>
                      <a:t>-25,2*</a:t>
                    </a:r>
                    <a:endParaRPr lang="en-US" sz="900"/>
                  </a:p>
                </c:rich>
              </c:tx>
            </c:dLbl>
            <c:dLbl>
              <c:idx val="3"/>
              <c:delete val="1"/>
            </c:dLbl>
            <c:spPr>
              <a:noFill/>
              <a:ln w="24830">
                <a:noFill/>
              </a:ln>
            </c:spPr>
            <c:txPr>
              <a:bodyPr/>
              <a:lstStyle/>
              <a:p>
                <a:pPr>
                  <a:defRPr sz="880"/>
                </a:pPr>
                <a:endParaRPr lang="ru-RU"/>
              </a:p>
            </c:txPr>
            <c:showVal val="1"/>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905.44599999999946</c:v>
                </c:pt>
                <c:pt idx="1">
                  <c:v>288.56799999999993</c:v>
                </c:pt>
                <c:pt idx="2">
                  <c:v>616.87699999999938</c:v>
                </c:pt>
                <c:pt idx="3">
                  <c:v>-328.30899999999963</c:v>
                </c:pt>
              </c:numCache>
            </c:numRef>
          </c:val>
        </c:ser>
        <c:ser>
          <c:idx val="1"/>
          <c:order val="1"/>
          <c:tx>
            <c:strRef>
              <c:f>Sheet1!$C$1</c:f>
              <c:strCache>
                <c:ptCount val="1"/>
                <c:pt idx="0">
                  <c:v>январь - июнь 2016 года</c:v>
                </c:pt>
              </c:strCache>
            </c:strRef>
          </c:tx>
          <c:spPr>
            <a:scene3d>
              <a:camera prst="orthographicFront"/>
              <a:lightRig rig="threePt" dir="t">
                <a:rot lat="0" lon="0" rev="1200000"/>
              </a:lightRig>
            </a:scene3d>
            <a:sp3d prstMaterial="metal">
              <a:bevelT w="63500" h="25400"/>
            </a:sp3d>
          </c:spPr>
          <c:dLbls>
            <c:dLbl>
              <c:idx val="0"/>
              <c:layout>
                <c:manualLayout>
                  <c:x val="4.8192771084338906E-2"/>
                  <c:y val="5.9790732436474248E-3"/>
                </c:manualLayout>
              </c:layout>
              <c:tx>
                <c:rich>
                  <a:bodyPr/>
                  <a:lstStyle/>
                  <a:p>
                    <a:r>
                      <a:rPr lang="ru-RU" sz="880">
                        <a:solidFill>
                          <a:sysClr val="windowText" lastClr="000000"/>
                        </a:solidFill>
                      </a:rPr>
                      <a:t>-25,3</a:t>
                    </a:r>
                    <a:endParaRPr lang="en-US" sz="900">
                      <a:solidFill>
                        <a:sysClr val="windowText" lastClr="000000"/>
                      </a:solidFill>
                    </a:endParaRPr>
                  </a:p>
                </c:rich>
              </c:tx>
              <c:dLblPos val="outEnd"/>
            </c:dLbl>
            <c:dLbl>
              <c:idx val="1"/>
              <c:layout>
                <c:manualLayout>
                  <c:x val="3.4423407917384012E-2"/>
                  <c:y val="-5.9790732436474248E-3"/>
                </c:manualLayout>
              </c:layout>
              <c:tx>
                <c:rich>
                  <a:bodyPr/>
                  <a:lstStyle/>
                  <a:p>
                    <a:r>
                      <a:rPr lang="ru-RU" sz="880">
                        <a:solidFill>
                          <a:sysClr val="windowText" lastClr="000000"/>
                        </a:solidFill>
                      </a:rPr>
                      <a:t>-12,1</a:t>
                    </a:r>
                    <a:endParaRPr lang="en-US" sz="900">
                      <a:solidFill>
                        <a:sysClr val="windowText" lastClr="000000"/>
                      </a:solidFill>
                    </a:endParaRPr>
                  </a:p>
                </c:rich>
              </c:tx>
              <c:dLblPos val="outEnd"/>
            </c:dLbl>
            <c:dLbl>
              <c:idx val="2"/>
              <c:layout>
                <c:manualLayout>
                  <c:x val="4.8192771084338906E-2"/>
                  <c:y val="1.195814648729447E-2"/>
                </c:manualLayout>
              </c:layout>
              <c:tx>
                <c:rich>
                  <a:bodyPr/>
                  <a:lstStyle/>
                  <a:p>
                    <a:r>
                      <a:rPr lang="ru-RU" sz="880">
                        <a:solidFill>
                          <a:sysClr val="windowText" lastClr="000000"/>
                        </a:solidFill>
                      </a:rPr>
                      <a:t>-31,4*</a:t>
                    </a:r>
                    <a:endParaRPr lang="en-US" sz="900">
                      <a:solidFill>
                        <a:sysClr val="windowText" lastClr="000000"/>
                      </a:solidFill>
                    </a:endParaRPr>
                  </a:p>
                </c:rich>
              </c:tx>
              <c:dLblPos val="outEnd"/>
            </c:dLbl>
            <c:dLbl>
              <c:idx val="3"/>
              <c:delete val="1"/>
            </c:dLbl>
            <c:spPr>
              <a:noFill/>
              <a:ln w="24830">
                <a:noFill/>
              </a:ln>
            </c:spPr>
            <c:txPr>
              <a:bodyPr/>
              <a:lstStyle/>
              <a:p>
                <a:pPr>
                  <a:defRPr sz="880">
                    <a:solidFill>
                      <a:sysClr val="windowText" lastClr="000000"/>
                    </a:solidFill>
                  </a:defRPr>
                </a:pPr>
                <a:endParaRPr lang="ru-RU"/>
              </a:p>
            </c:txPr>
            <c:showVal val="1"/>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676.78599999999994</c:v>
                </c:pt>
                <c:pt idx="1">
                  <c:v>253.53900000000002</c:v>
                </c:pt>
                <c:pt idx="2">
                  <c:v>423.24599999999964</c:v>
                </c:pt>
                <c:pt idx="3">
                  <c:v>-169.70699999999999</c:v>
                </c:pt>
              </c:numCache>
            </c:numRef>
          </c:val>
        </c:ser>
        <c:gapWidth val="50"/>
        <c:overlap val="51"/>
        <c:axId val="100386304"/>
        <c:axId val="100387840"/>
      </c:barChart>
      <c:catAx>
        <c:axId val="100386304"/>
        <c:scaling>
          <c:orientation val="minMax"/>
        </c:scaling>
        <c:axPos val="b"/>
        <c:numFmt formatCode="General" sourceLinked="1"/>
        <c:majorTickMark val="cross"/>
        <c:tickLblPos val="nextTo"/>
        <c:txPr>
          <a:bodyPr rot="0" vert="horz"/>
          <a:lstStyle/>
          <a:p>
            <a:pPr>
              <a:defRPr/>
            </a:pPr>
            <a:endParaRPr lang="ru-RU"/>
          </a:p>
        </c:txPr>
        <c:crossAx val="100387840"/>
        <c:crosses val="autoZero"/>
        <c:lblAlgn val="ctr"/>
        <c:lblOffset val="20"/>
        <c:tickMarkSkip val="1"/>
      </c:catAx>
      <c:valAx>
        <c:axId val="100387840"/>
        <c:scaling>
          <c:orientation val="minMax"/>
        </c:scaling>
        <c:axPos val="l"/>
        <c:title>
          <c:tx>
            <c:rich>
              <a:bodyPr rot="0" vert="horz"/>
              <a:lstStyle/>
              <a:p>
                <a:pPr algn="ctr">
                  <a:defRPr sz="873" b="1" i="0" u="none" strike="noStrike" baseline="0">
                    <a:solidFill>
                      <a:srgbClr val="000000"/>
                    </a:solidFill>
                    <a:latin typeface="Arial Cyr"/>
                    <a:ea typeface="Arial Cyr"/>
                    <a:cs typeface="Arial Cyr"/>
                  </a:defRPr>
                </a:pPr>
                <a:endParaRPr lang="ru-RU" sz="1000" b="1" i="0" strike="noStrike">
                  <a:solidFill>
                    <a:srgbClr val="000000"/>
                  </a:solidFill>
                  <a:latin typeface="Times New Roman"/>
                  <a:cs typeface="Times New Roman"/>
                </a:endParaRPr>
              </a:p>
              <a:p>
                <a:pPr algn="ctr">
                  <a:defRPr sz="873" b="1" i="0" u="none" strike="noStrike" baseline="0">
                    <a:solidFill>
                      <a:srgbClr val="000000"/>
                    </a:solidFill>
                    <a:latin typeface="Arial Cyr"/>
                    <a:ea typeface="Arial Cyr"/>
                    <a:cs typeface="Arial Cyr"/>
                  </a:defRPr>
                </a:pPr>
                <a:endParaRPr lang="ru-RU" sz="1000" b="1" i="0" strike="noStrike">
                  <a:solidFill>
                    <a:srgbClr val="000000"/>
                  </a:solidFill>
                  <a:latin typeface="Times New Roman"/>
                  <a:cs typeface="Times New Roman"/>
                </a:endParaRPr>
              </a:p>
              <a:p>
                <a:pPr algn="ctr">
                  <a:defRPr sz="873" b="1" i="0" u="none" strike="noStrike" baseline="0">
                    <a:solidFill>
                      <a:srgbClr val="000000"/>
                    </a:solidFill>
                    <a:latin typeface="Arial Cyr"/>
                    <a:ea typeface="Arial Cyr"/>
                    <a:cs typeface="Arial Cyr"/>
                  </a:defRPr>
                </a:pPr>
                <a:endParaRPr lang="ru-RU" sz="1000" b="1" i="0" strike="noStrike">
                  <a:solidFill>
                    <a:srgbClr val="000000"/>
                  </a:solidFill>
                  <a:latin typeface="Times New Roman"/>
                  <a:cs typeface="Times New Roman"/>
                </a:endParaRP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 - темп прироста (спада) в % к </a:t>
                </a: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предыдущему </a:t>
                </a: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году</a:t>
                </a:r>
              </a:p>
            </c:rich>
          </c:tx>
          <c:layout>
            <c:manualLayout>
              <c:xMode val="edge"/>
              <c:yMode val="edge"/>
              <c:x val="1.6593810187036765E-3"/>
              <c:y val="2.5053910514707795E-3"/>
            </c:manualLayout>
          </c:layout>
          <c:spPr>
            <a:noFill/>
            <a:ln w="24830">
              <a:noFill/>
            </a:ln>
          </c:spPr>
        </c:title>
        <c:numFmt formatCode="#,##0.0" sourceLinked="1"/>
        <c:majorTickMark val="cross"/>
        <c:tickLblPos val="nextTo"/>
        <c:txPr>
          <a:bodyPr rot="0" vert="horz"/>
          <a:lstStyle/>
          <a:p>
            <a:pPr>
              <a:defRPr/>
            </a:pPr>
            <a:endParaRPr lang="ru-RU"/>
          </a:p>
        </c:txPr>
        <c:crossAx val="100386304"/>
        <c:crosses val="autoZero"/>
        <c:crossBetween val="between"/>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8.0192616372391654E-2"/>
          <c:y val="3.1550068587105642E-2"/>
          <c:w val="0.92836811128945951"/>
          <c:h val="0.40492226933172315"/>
        </c:manualLayout>
      </c:layout>
      <c:barChart>
        <c:barDir val="col"/>
        <c:grouping val="clustered"/>
        <c:ser>
          <c:idx val="0"/>
          <c:order val="0"/>
          <c:tx>
            <c:strRef>
              <c:f>Sheet1!$A$2</c:f>
              <c:strCache>
                <c:ptCount val="1"/>
                <c:pt idx="0">
                  <c:v>январь - июнь 2015 год</c:v>
                </c:pt>
              </c:strCache>
            </c:strRef>
          </c:tx>
          <c:dLbls>
            <c:dLbl>
              <c:idx val="0"/>
              <c:layout>
                <c:manualLayout>
                  <c:x val="-6.4205457463884395E-3"/>
                  <c:y val="1.5936254980079678E-2"/>
                </c:manualLayout>
              </c:layout>
              <c:tx>
                <c:rich>
                  <a:bodyPr/>
                  <a:lstStyle/>
                  <a:p>
                    <a:r>
                      <a:rPr lang="ru-RU"/>
                      <a:t>22,2*</a:t>
                    </a:r>
                    <a:endParaRPr lang="en-US"/>
                  </a:p>
                </c:rich>
              </c:tx>
              <c:dLblPos val="outEnd"/>
            </c:dLbl>
            <c:dLbl>
              <c:idx val="1"/>
              <c:layout>
                <c:manualLayout>
                  <c:x val="-4.2804057687022808E-3"/>
                  <c:y val="1.5538791916744669E-3"/>
                </c:manualLayout>
              </c:layout>
              <c:tx>
                <c:rich>
                  <a:bodyPr/>
                  <a:lstStyle/>
                  <a:p>
                    <a:r>
                      <a:rPr lang="ru-RU"/>
                      <a:t>37,2*</a:t>
                    </a:r>
                    <a:endParaRPr lang="en-US"/>
                  </a:p>
                </c:rich>
              </c:tx>
              <c:dLblPos val="outEnd"/>
            </c:dLbl>
            <c:dLbl>
              <c:idx val="2"/>
              <c:layout>
                <c:manualLayout>
                  <c:x val="-8.5608146876613566E-3"/>
                  <c:y val="1.5245580341754304E-2"/>
                </c:manualLayout>
              </c:layout>
              <c:tx>
                <c:rich>
                  <a:bodyPr/>
                  <a:lstStyle/>
                  <a:p>
                    <a:r>
                      <a:rPr lang="ru-RU"/>
                      <a:t>17,7*</a:t>
                    </a:r>
                    <a:endParaRPr lang="en-US"/>
                  </a:p>
                </c:rich>
              </c:tx>
              <c:dLblPos val="outEnd"/>
            </c:dLbl>
            <c:dLbl>
              <c:idx val="3"/>
              <c:tx>
                <c:rich>
                  <a:bodyPr/>
                  <a:lstStyle/>
                  <a:p>
                    <a:r>
                      <a:rPr lang="ru-RU"/>
                      <a:t>11,9*</a:t>
                    </a:r>
                    <a:endParaRPr lang="en-US"/>
                  </a:p>
                </c:rich>
              </c:tx>
              <c:dLblPos val="outEnd"/>
            </c:dLbl>
            <c:dLbl>
              <c:idx val="4"/>
              <c:layout>
                <c:manualLayout>
                  <c:x val="2.1401819154629456E-3"/>
                  <c:y val="5.0505050505050475E-3"/>
                </c:manualLayout>
              </c:layout>
              <c:tx>
                <c:rich>
                  <a:bodyPr/>
                  <a:lstStyle/>
                  <a:p>
                    <a:r>
                      <a:rPr lang="ru-RU"/>
                      <a:t>4,5*</a:t>
                    </a:r>
                    <a:endParaRPr lang="en-US"/>
                  </a:p>
                </c:rich>
              </c:tx>
              <c:dLblPos val="outEnd"/>
            </c:dLbl>
            <c:dLbl>
              <c:idx val="5"/>
              <c:tx>
                <c:rich>
                  <a:bodyPr/>
                  <a:lstStyle/>
                  <a:p>
                    <a:r>
                      <a:rPr lang="ru-RU"/>
                      <a:t>3,9*</a:t>
                    </a:r>
                    <a:endParaRPr lang="en-US"/>
                  </a:p>
                </c:rich>
              </c:tx>
              <c:dLblPos val="outEnd"/>
            </c:dLbl>
            <c:dLbl>
              <c:idx val="6"/>
              <c:layout>
                <c:manualLayout>
                  <c:x val="-4.2803638309256934E-3"/>
                  <c:y val="0"/>
                </c:manualLayout>
              </c:layout>
              <c:tx>
                <c:rich>
                  <a:bodyPr/>
                  <a:lstStyle/>
                  <a:p>
                    <a:r>
                      <a:rPr lang="ru-RU"/>
                      <a:t>2,6*</a:t>
                    </a:r>
                    <a:endParaRPr lang="en-US"/>
                  </a:p>
                </c:rich>
              </c:tx>
              <c:dLblPos val="outEnd"/>
            </c:dLbl>
            <c:spPr>
              <a:noFill/>
              <a:ln w="24878">
                <a:noFill/>
              </a:ln>
            </c:spPr>
            <c:txPr>
              <a:bodyPr rot="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64.117000000000004</c:v>
                </c:pt>
                <c:pt idx="1">
                  <c:v>107.39400000000002</c:v>
                </c:pt>
                <c:pt idx="2">
                  <c:v>51.008000000000003</c:v>
                </c:pt>
                <c:pt idx="3">
                  <c:v>34.239000000000011</c:v>
                </c:pt>
                <c:pt idx="4">
                  <c:v>12.982000000000006</c:v>
                </c:pt>
                <c:pt idx="5">
                  <c:v>11.199</c:v>
                </c:pt>
                <c:pt idx="6">
                  <c:v>7.6289999999999045</c:v>
                </c:pt>
              </c:numCache>
            </c:numRef>
          </c:val>
        </c:ser>
        <c:ser>
          <c:idx val="1"/>
          <c:order val="1"/>
          <c:tx>
            <c:strRef>
              <c:f>Sheet1!$A$3</c:f>
              <c:strCache>
                <c:ptCount val="1"/>
                <c:pt idx="0">
                  <c:v>январь - июнь 2016 год</c:v>
                </c:pt>
              </c:strCache>
            </c:strRef>
          </c:tx>
          <c:spPr>
            <a:scene3d>
              <a:camera prst="orthographicFront"/>
              <a:lightRig rig="threePt" dir="t">
                <a:rot lat="0" lon="0" rev="1800000"/>
              </a:lightRig>
            </a:scene3d>
            <a:sp3d>
              <a:bevelT w="63500" h="25400"/>
            </a:sp3d>
          </c:spPr>
          <c:dLbls>
            <c:dLbl>
              <c:idx val="0"/>
              <c:layout>
                <c:manualLayout>
                  <c:x val="8.5607276618512567E-3"/>
                  <c:y val="4.0041409166483672E-3"/>
                </c:manualLayout>
              </c:layout>
              <c:tx>
                <c:rich>
                  <a:bodyPr/>
                  <a:lstStyle/>
                  <a:p>
                    <a:r>
                      <a:rPr lang="ru-RU"/>
                      <a:t>21,3*</a:t>
                    </a:r>
                    <a:endParaRPr lang="en-US"/>
                  </a:p>
                </c:rich>
              </c:tx>
              <c:dLblPos val="outEnd"/>
            </c:dLbl>
            <c:dLbl>
              <c:idx val="1"/>
              <c:layout>
                <c:manualLayout>
                  <c:x val="6.4205457463884395E-3"/>
                  <c:y val="5.0505050505050475E-3"/>
                </c:manualLayout>
              </c:layout>
              <c:tx>
                <c:rich>
                  <a:bodyPr/>
                  <a:lstStyle/>
                  <a:p>
                    <a:r>
                      <a:rPr lang="ru-RU"/>
                      <a:t>36,1*</a:t>
                    </a:r>
                    <a:endParaRPr lang="en-US"/>
                  </a:p>
                </c:rich>
              </c:tx>
              <c:dLblPos val="outEnd"/>
            </c:dLbl>
            <c:dLbl>
              <c:idx val="2"/>
              <c:layout>
                <c:manualLayout>
                  <c:x val="8.5607276618512567E-3"/>
                  <c:y val="6.0606060606060629E-2"/>
                </c:manualLayout>
              </c:layout>
              <c:tx>
                <c:rich>
                  <a:bodyPr/>
                  <a:lstStyle/>
                  <a:p>
                    <a:r>
                      <a:rPr lang="ru-RU"/>
                      <a:t>20,2*</a:t>
                    </a:r>
                  </a:p>
                  <a:p>
                    <a:endParaRPr lang="en-US"/>
                  </a:p>
                </c:rich>
              </c:tx>
              <c:dLblPos val="outEnd"/>
            </c:dLbl>
            <c:dLbl>
              <c:idx val="3"/>
              <c:layout>
                <c:manualLayout>
                  <c:x val="1.7176581410167785E-2"/>
                  <c:y val="1.0100950411188261E-2"/>
                </c:manualLayout>
              </c:layout>
              <c:tx>
                <c:rich>
                  <a:bodyPr/>
                  <a:lstStyle/>
                  <a:p>
                    <a:r>
                      <a:rPr lang="ru-RU"/>
                      <a:t>11,2*</a:t>
                    </a:r>
                    <a:endParaRPr lang="en-US"/>
                  </a:p>
                </c:rich>
              </c:tx>
              <c:dLblPos val="outEnd"/>
            </c:dLbl>
            <c:dLbl>
              <c:idx val="4"/>
              <c:layout>
                <c:manualLayout>
                  <c:x val="4.2803638309255824E-3"/>
                  <c:y val="0"/>
                </c:manualLayout>
              </c:layout>
              <c:tx>
                <c:rich>
                  <a:bodyPr/>
                  <a:lstStyle/>
                  <a:p>
                    <a:r>
                      <a:rPr lang="ru-RU"/>
                      <a:t>4,1*</a:t>
                    </a:r>
                    <a:endParaRPr lang="en-US"/>
                  </a:p>
                </c:rich>
              </c:tx>
              <c:dLblPos val="outEnd"/>
            </c:dLbl>
            <c:dLbl>
              <c:idx val="5"/>
              <c:layout>
                <c:manualLayout>
                  <c:x val="1.0700909577314071E-2"/>
                  <c:y val="0"/>
                </c:manualLayout>
              </c:layout>
              <c:tx>
                <c:rich>
                  <a:bodyPr/>
                  <a:lstStyle/>
                  <a:p>
                    <a:r>
                      <a:rPr lang="ru-RU"/>
                      <a:t>4,5*</a:t>
                    </a:r>
                    <a:endParaRPr lang="en-US"/>
                  </a:p>
                </c:rich>
              </c:tx>
              <c:dLblPos val="outEnd"/>
            </c:dLbl>
            <c:dLbl>
              <c:idx val="6"/>
              <c:layout>
                <c:manualLayout>
                  <c:x val="4.2803638309256934E-3"/>
                  <c:y val="1.5936254980079678E-2"/>
                </c:manualLayout>
              </c:layout>
              <c:tx>
                <c:rich>
                  <a:bodyPr/>
                  <a:lstStyle/>
                  <a:p>
                    <a:r>
                      <a:rPr lang="ru-RU"/>
                      <a:t>2,6*</a:t>
                    </a:r>
                    <a:endParaRPr lang="en-US"/>
                  </a:p>
                </c:rich>
              </c:tx>
              <c:dLblPos val="outEnd"/>
            </c:dLbl>
            <c:spPr>
              <a:noFill/>
              <a:ln w="24878">
                <a:noFill/>
              </a:ln>
            </c:spPr>
            <c:txPr>
              <a:bodyPr rot="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54.047000000000004</c:v>
                </c:pt>
                <c:pt idx="1">
                  <c:v>91.641000000000005</c:v>
                </c:pt>
                <c:pt idx="2">
                  <c:v>51.152000000000001</c:v>
                </c:pt>
                <c:pt idx="3">
                  <c:v>28.279</c:v>
                </c:pt>
                <c:pt idx="4">
                  <c:v>10.449</c:v>
                </c:pt>
                <c:pt idx="5">
                  <c:v>11.346</c:v>
                </c:pt>
                <c:pt idx="6">
                  <c:v>6.6249999999999645</c:v>
                </c:pt>
              </c:numCache>
            </c:numRef>
          </c:val>
        </c:ser>
        <c:dLbls>
          <c:showVal val="1"/>
        </c:dLbls>
        <c:gapWidth val="160"/>
        <c:axId val="100882304"/>
        <c:axId val="100883840"/>
      </c:barChart>
      <c:catAx>
        <c:axId val="100882304"/>
        <c:scaling>
          <c:orientation val="minMax"/>
        </c:scaling>
        <c:axPos val="b"/>
        <c:numFmt formatCode="General" sourceLinked="1"/>
        <c:tickLblPos val="low"/>
        <c:txPr>
          <a:bodyPr rot="-5400000" vert="horz"/>
          <a:lstStyle/>
          <a:p>
            <a:pPr>
              <a:defRPr sz="900" b="1">
                <a:latin typeface="Times New Roman" pitchFamily="18" charset="0"/>
                <a:cs typeface="Times New Roman" pitchFamily="18" charset="0"/>
              </a:defRPr>
            </a:pPr>
            <a:endParaRPr lang="ru-RU"/>
          </a:p>
        </c:txPr>
        <c:crossAx val="100883840"/>
        <c:crosses val="autoZero"/>
        <c:lblAlgn val="ctr"/>
        <c:lblOffset val="160"/>
        <c:tickLblSkip val="1"/>
        <c:tickMarkSkip val="1"/>
      </c:catAx>
      <c:valAx>
        <c:axId val="100883840"/>
        <c:scaling>
          <c:orientation val="minMax"/>
        </c:scaling>
        <c:axPos val="l"/>
        <c:title>
          <c:tx>
            <c:rich>
              <a:bodyPr rot="0" vert="horz"/>
              <a:lstStyle/>
              <a:p>
                <a:pPr algn="ctr">
                  <a:defRPr sz="784" b="1" i="0" u="none" strike="noStrike" baseline="0">
                    <a:solidFill>
                      <a:srgbClr val="000000"/>
                    </a:solidFill>
                    <a:latin typeface="Times New Roman"/>
                    <a:ea typeface="Times New Roman"/>
                    <a:cs typeface="Times New Roman"/>
                  </a:defRPr>
                </a:pPr>
                <a:r>
                  <a:rPr lang="ru-RU" sz="900"/>
                  <a:t>*- удельный вес в общем объеме экспорта,%</a:t>
                </a:r>
              </a:p>
            </c:rich>
          </c:tx>
          <c:layout>
            <c:manualLayout>
              <c:xMode val="edge"/>
              <c:yMode val="edge"/>
              <c:x val="0.78116633330801499"/>
              <c:y val="4.7138206436642023E-2"/>
            </c:manualLayout>
          </c:layout>
          <c:spPr>
            <a:noFill/>
            <a:ln w="24878">
              <a:noFill/>
            </a:ln>
          </c:spPr>
        </c:title>
        <c:numFmt formatCode="0.0" sourceLinked="1"/>
        <c:tickLblPos val="nextTo"/>
        <c:txPr>
          <a:bodyPr rot="0" vert="horz"/>
          <a:lstStyle/>
          <a:p>
            <a:pPr>
              <a:defRPr b="1">
                <a:latin typeface="Times New Roman" pitchFamily="18" charset="0"/>
                <a:cs typeface="Times New Roman" pitchFamily="18" charset="0"/>
              </a:defRPr>
            </a:pPr>
            <a:endParaRPr lang="ru-RU"/>
          </a:p>
        </c:txPr>
        <c:crossAx val="100882304"/>
        <c:crosses val="autoZero"/>
        <c:crossBetween val="between"/>
      </c:valAx>
    </c:plotArea>
    <c:legend>
      <c:legendPos val="r"/>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0.13636804833358088"/>
          <c:y val="0.92626739839338268"/>
          <c:w val="0.73472668810289465"/>
          <c:h val="7.3732718894009494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a:pPr>
            <a:r>
              <a:rPr lang="ru-RU" sz="1152">
                <a:latin typeface="Times New Roman" pitchFamily="18" charset="0"/>
                <a:cs typeface="Times New Roman" pitchFamily="18" charset="0"/>
              </a:rPr>
              <a:t>Экспорт товаров в разрезе основных стран, тыс. долл. США</a:t>
            </a:r>
          </a:p>
        </c:rich>
      </c:tx>
      <c:layout>
        <c:manualLayout>
          <c:xMode val="edge"/>
          <c:yMode val="edge"/>
          <c:x val="0.20264541782576762"/>
          <c:y val="3.1840651820363337E-3"/>
        </c:manualLayout>
      </c:layout>
      <c:spPr>
        <a:noFill/>
        <a:ln w="24880">
          <a:noFill/>
        </a:ln>
      </c:spPr>
    </c:title>
    <c:plotArea>
      <c:layout>
        <c:manualLayout>
          <c:layoutTarget val="inner"/>
          <c:xMode val="edge"/>
          <c:yMode val="edge"/>
          <c:x val="0.21614046738133838"/>
          <c:y val="0.12091746493471738"/>
          <c:w val="0.78385953261866981"/>
          <c:h val="0.55495763029621292"/>
        </c:manualLayout>
      </c:layout>
      <c:barChart>
        <c:barDir val="col"/>
        <c:grouping val="clustered"/>
        <c:ser>
          <c:idx val="0"/>
          <c:order val="0"/>
          <c:tx>
            <c:strRef>
              <c:f>Лист1!$B$1</c:f>
              <c:strCache>
                <c:ptCount val="1"/>
                <c:pt idx="0">
                  <c:v>январь - июнь 2015 г.</c:v>
                </c:pt>
              </c:strCache>
            </c:strRef>
          </c:tx>
          <c:dLbls>
            <c:dLbl>
              <c:idx val="0"/>
              <c:layout>
                <c:manualLayout>
                  <c:x val="-8.3339660302960208E-3"/>
                  <c:y val="1.8116033041882043E-2"/>
                </c:manualLayout>
              </c:layout>
              <c:tx>
                <c:rich>
                  <a:bodyPr/>
                  <a:lstStyle/>
                  <a:p>
                    <a:r>
                      <a:rPr lang="ru-RU" sz="882" b="1">
                        <a:latin typeface="Times New Roman" pitchFamily="18" charset="0"/>
                        <a:cs typeface="Times New Roman" pitchFamily="18" charset="0"/>
                      </a:rPr>
                      <a:t>49,7*</a:t>
                    </a:r>
                    <a:endParaRPr lang="en-US" sz="900" b="1">
                      <a:latin typeface="Times New Roman" pitchFamily="18" charset="0"/>
                      <a:cs typeface="Times New Roman" pitchFamily="18" charset="0"/>
                    </a:endParaRPr>
                  </a:p>
                </c:rich>
              </c:tx>
              <c:dLblPos val="outEnd"/>
            </c:dLbl>
            <c:dLbl>
              <c:idx val="1"/>
              <c:layout>
                <c:manualLayout>
                  <c:x val="-4.2906021033851157E-3"/>
                  <c:y val="1.3442448764611961E-2"/>
                </c:manualLayout>
              </c:layout>
              <c:tx>
                <c:rich>
                  <a:bodyPr/>
                  <a:lstStyle/>
                  <a:p>
                    <a:r>
                      <a:rPr lang="ru-RU" sz="882" b="1">
                        <a:latin typeface="Times New Roman" pitchFamily="18" charset="0"/>
                        <a:cs typeface="Times New Roman" pitchFamily="18" charset="0"/>
                      </a:rPr>
                      <a:t>8,2*</a:t>
                    </a:r>
                    <a:endParaRPr lang="en-US" sz="900" b="1">
                      <a:latin typeface="Times New Roman" pitchFamily="18" charset="0"/>
                      <a:cs typeface="Times New Roman" pitchFamily="18" charset="0"/>
                    </a:endParaRPr>
                  </a:p>
                </c:rich>
              </c:tx>
              <c:dLblPos val="outEnd"/>
            </c:dLbl>
            <c:dLbl>
              <c:idx val="2"/>
              <c:layout>
                <c:manualLayout>
                  <c:x val="-6.3840218170926914E-3"/>
                  <c:y val="1.1839780896953101E-2"/>
                </c:manualLayout>
              </c:layout>
              <c:tx>
                <c:rich>
                  <a:bodyPr/>
                  <a:lstStyle/>
                  <a:p>
                    <a:r>
                      <a:rPr lang="ru-RU" sz="882" b="1">
                        <a:latin typeface="Times New Roman" pitchFamily="18" charset="0"/>
                        <a:cs typeface="Times New Roman" pitchFamily="18" charset="0"/>
                      </a:rPr>
                      <a:t>6,2*</a:t>
                    </a:r>
                    <a:endParaRPr lang="en-US" sz="900" b="1">
                      <a:latin typeface="Times New Roman" pitchFamily="18" charset="0"/>
                      <a:cs typeface="Times New Roman" pitchFamily="18" charset="0"/>
                    </a:endParaRPr>
                  </a:p>
                </c:rich>
              </c:tx>
              <c:dLblPos val="outEnd"/>
            </c:dLbl>
            <c:dLbl>
              <c:idx val="3"/>
              <c:layout>
                <c:manualLayout>
                  <c:x val="-7.5040863794464665E-3"/>
                  <c:y val="1.0085620365416069E-2"/>
                </c:manualLayout>
              </c:layout>
              <c:tx>
                <c:rich>
                  <a:bodyPr/>
                  <a:lstStyle/>
                  <a:p>
                    <a:r>
                      <a:rPr lang="ru-RU" sz="882" b="1">
                        <a:latin typeface="Times New Roman" pitchFamily="18" charset="0"/>
                        <a:cs typeface="Times New Roman" pitchFamily="18" charset="0"/>
                      </a:rPr>
                      <a:t>7,5*</a:t>
                    </a:r>
                    <a:endParaRPr lang="en-US" sz="900" b="1">
                      <a:latin typeface="Times New Roman" pitchFamily="18" charset="0"/>
                      <a:cs typeface="Times New Roman" pitchFamily="18" charset="0"/>
                    </a:endParaRPr>
                  </a:p>
                </c:rich>
              </c:tx>
              <c:dLblPos val="outEnd"/>
            </c:dLbl>
            <c:dLbl>
              <c:idx val="4"/>
              <c:layout>
                <c:manualLayout>
                  <c:x val="-1.0091052406087941E-3"/>
                  <c:y val="9.9600593404085766E-3"/>
                </c:manualLayout>
              </c:layout>
              <c:tx>
                <c:rich>
                  <a:bodyPr/>
                  <a:lstStyle/>
                  <a:p>
                    <a:r>
                      <a:rPr lang="ru-RU" sz="882" b="1">
                        <a:latin typeface="Times New Roman" pitchFamily="18" charset="0"/>
                        <a:cs typeface="Times New Roman" pitchFamily="18" charset="0"/>
                      </a:rPr>
                      <a:t>5,2*</a:t>
                    </a:r>
                    <a:endParaRPr lang="en-US" sz="900" b="1">
                      <a:latin typeface="Times New Roman" pitchFamily="18" charset="0"/>
                      <a:cs typeface="Times New Roman" pitchFamily="18" charset="0"/>
                    </a:endParaRPr>
                  </a:p>
                </c:rich>
              </c:tx>
              <c:dLblPos val="outEnd"/>
            </c:dLbl>
            <c:dLbl>
              <c:idx val="5"/>
              <c:layout>
                <c:manualLayout>
                  <c:x val="-6.4136825227152014E-3"/>
                  <c:y val="1.6076563472817804E-2"/>
                </c:manualLayout>
              </c:layout>
              <c:tx>
                <c:rich>
                  <a:bodyPr/>
                  <a:lstStyle/>
                  <a:p>
                    <a:r>
                      <a:rPr lang="ru-RU" sz="882" b="1">
                        <a:latin typeface="Times New Roman" pitchFamily="18" charset="0"/>
                        <a:cs typeface="Times New Roman" pitchFamily="18" charset="0"/>
                      </a:rPr>
                      <a:t>15,3*</a:t>
                    </a:r>
                    <a:endParaRPr lang="en-US" sz="900" b="1">
                      <a:latin typeface="Times New Roman" pitchFamily="18" charset="0"/>
                      <a:cs typeface="Times New Roman" pitchFamily="18" charset="0"/>
                    </a:endParaRPr>
                  </a:p>
                </c:rich>
              </c:tx>
              <c:dLblPos val="outEnd"/>
            </c:dLbl>
            <c:dLbl>
              <c:idx val="6"/>
              <c:layout>
                <c:manualLayout>
                  <c:x val="-3.3236415970983252E-3"/>
                  <c:y val="1.5872988702499143E-2"/>
                </c:manualLayout>
              </c:layout>
              <c:tx>
                <c:rich>
                  <a:bodyPr/>
                  <a:lstStyle/>
                  <a:p>
                    <a:r>
                      <a:rPr lang="ru-RU" sz="882" b="1">
                        <a:latin typeface="Times New Roman" pitchFamily="18" charset="0"/>
                        <a:cs typeface="Times New Roman" pitchFamily="18" charset="0"/>
                      </a:rPr>
                      <a:t>2,1*</a:t>
                    </a:r>
                    <a:endParaRPr lang="en-US" sz="900" b="1">
                      <a:latin typeface="Times New Roman" pitchFamily="18" charset="0"/>
                      <a:cs typeface="Times New Roman" pitchFamily="18" charset="0"/>
                    </a:endParaRPr>
                  </a:p>
                </c:rich>
              </c:tx>
              <c:dLblPos val="outEnd"/>
            </c:dLbl>
            <c:dLbl>
              <c:idx val="7"/>
              <c:layout>
                <c:manualLayout>
                  <c:x val="1.6173653968929561E-4"/>
                  <c:y val="3.1051770702576619E-3"/>
                </c:manualLayout>
              </c:layout>
              <c:tx>
                <c:rich>
                  <a:bodyPr/>
                  <a:lstStyle/>
                  <a:p>
                    <a:r>
                      <a:rPr lang="ru-RU" sz="882" b="1">
                        <a:latin typeface="Times New Roman" pitchFamily="18" charset="0"/>
                        <a:cs typeface="Times New Roman" pitchFamily="18" charset="0"/>
                      </a:rPr>
                      <a:t>5,9*</a:t>
                    </a:r>
                    <a:endParaRPr lang="en-US" sz="900" b="1">
                      <a:latin typeface="Times New Roman" pitchFamily="18" charset="0"/>
                      <a:cs typeface="Times New Roman" pitchFamily="18" charset="0"/>
                    </a:endParaRPr>
                  </a:p>
                </c:rich>
              </c:tx>
              <c:dLblPos val="outEnd"/>
            </c:dLbl>
            <c:spPr>
              <a:noFill/>
              <a:ln w="24880">
                <a:noFill/>
              </a:ln>
            </c:spPr>
            <c:txPr>
              <a:bodyPr/>
              <a:lstStyle/>
              <a:p>
                <a:pPr>
                  <a:defRPr sz="882" b="1">
                    <a:latin typeface="Times New Roman" pitchFamily="18" charset="0"/>
                    <a:cs typeface="Times New Roman" pitchFamily="18" charset="0"/>
                  </a:defRPr>
                </a:pPr>
                <a:endParaRPr lang="ru-RU"/>
              </a:p>
            </c:txPr>
            <c:dLblPos val="outEnd"/>
            <c:showVal val="1"/>
          </c:dLbls>
          <c:cat>
            <c:strRef>
              <c:f>Лист1!$A$2:$A$9</c:f>
              <c:strCache>
                <c:ptCount val="8"/>
                <c:pt idx="0">
                  <c:v>Молдова</c:v>
                </c:pt>
                <c:pt idx="1">
                  <c:v>Россия</c:v>
                </c:pt>
                <c:pt idx="2">
                  <c:v>Украина</c:v>
                </c:pt>
                <c:pt idx="3">
                  <c:v>Италия</c:v>
                </c:pt>
                <c:pt idx="4">
                  <c:v>Германия</c:v>
                </c:pt>
                <c:pt idx="5">
                  <c:v>Румыния</c:v>
                </c:pt>
                <c:pt idx="6">
                  <c:v>Польша</c:v>
                </c:pt>
                <c:pt idx="7">
                  <c:v>Прочие страны</c:v>
                </c:pt>
              </c:strCache>
            </c:strRef>
          </c:cat>
          <c:val>
            <c:numRef>
              <c:f>Лист1!$B$2:$B$9</c:f>
              <c:numCache>
                <c:formatCode>#,##0.0</c:formatCode>
                <c:ptCount val="8"/>
                <c:pt idx="0">
                  <c:v>143366.9</c:v>
                </c:pt>
                <c:pt idx="1">
                  <c:v>23668.400000000001</c:v>
                </c:pt>
                <c:pt idx="2">
                  <c:v>17848.2</c:v>
                </c:pt>
                <c:pt idx="3">
                  <c:v>21684.3</c:v>
                </c:pt>
                <c:pt idx="4">
                  <c:v>15071.9</c:v>
                </c:pt>
                <c:pt idx="5">
                  <c:v>44023.5</c:v>
                </c:pt>
                <c:pt idx="6">
                  <c:v>5925.7</c:v>
                </c:pt>
                <c:pt idx="7">
                  <c:v>16979.600000000006</c:v>
                </c:pt>
              </c:numCache>
            </c:numRef>
          </c:val>
        </c:ser>
        <c:ser>
          <c:idx val="1"/>
          <c:order val="1"/>
          <c:tx>
            <c:strRef>
              <c:f>Лист1!$C$1</c:f>
              <c:strCache>
                <c:ptCount val="1"/>
                <c:pt idx="0">
                  <c:v>январь - июнь 2016 г.</c:v>
                </c:pt>
              </c:strCache>
            </c:strRef>
          </c:tx>
          <c:dLbls>
            <c:dLbl>
              <c:idx val="0"/>
              <c:layout>
                <c:manualLayout>
                  <c:x val="1.0286665386338907E-2"/>
                  <c:y val="1.6604999617767176E-2"/>
                </c:manualLayout>
              </c:layout>
              <c:tx>
                <c:rich>
                  <a:bodyPr/>
                  <a:lstStyle/>
                  <a:p>
                    <a:r>
                      <a:rPr lang="ru-RU" sz="882" b="1">
                        <a:latin typeface="Times New Roman" pitchFamily="18" charset="0"/>
                        <a:cs typeface="Times New Roman" pitchFamily="18" charset="0"/>
                      </a:rPr>
                      <a:t>44,9*</a:t>
                    </a:r>
                    <a:endParaRPr lang="en-US" sz="900" b="1">
                      <a:latin typeface="Times New Roman" pitchFamily="18" charset="0"/>
                      <a:cs typeface="Times New Roman" pitchFamily="18" charset="0"/>
                    </a:endParaRPr>
                  </a:p>
                </c:rich>
              </c:tx>
              <c:dLblPos val="outEnd"/>
            </c:dLbl>
            <c:dLbl>
              <c:idx val="1"/>
              <c:layout>
                <c:manualLayout>
                  <c:x val="1.3888888888889683E-2"/>
                  <c:y val="1.1904761904761921E-2"/>
                </c:manualLayout>
              </c:layout>
              <c:tx>
                <c:rich>
                  <a:bodyPr/>
                  <a:lstStyle/>
                  <a:p>
                    <a:r>
                      <a:rPr lang="ru-RU" sz="882" b="1">
                        <a:latin typeface="Times New Roman" pitchFamily="18" charset="0"/>
                        <a:cs typeface="Times New Roman" pitchFamily="18" charset="0"/>
                      </a:rPr>
                      <a:t>7,8*</a:t>
                    </a:r>
                    <a:endParaRPr lang="en-US" sz="900" b="1">
                      <a:latin typeface="Times New Roman" pitchFamily="18" charset="0"/>
                      <a:cs typeface="Times New Roman" pitchFamily="18" charset="0"/>
                    </a:endParaRPr>
                  </a:p>
                </c:rich>
              </c:tx>
              <c:dLblPos val="outEnd"/>
            </c:dLbl>
            <c:dLbl>
              <c:idx val="2"/>
              <c:layout>
                <c:manualLayout>
                  <c:x val="4.9796100447359534E-3"/>
                  <c:y val="4.3839803689648175E-2"/>
                </c:manualLayout>
              </c:layout>
              <c:tx>
                <c:rich>
                  <a:bodyPr/>
                  <a:lstStyle/>
                  <a:p>
                    <a:r>
                      <a:rPr lang="ru-RU" sz="882" b="1">
                        <a:latin typeface="Times New Roman" pitchFamily="18" charset="0"/>
                        <a:cs typeface="Times New Roman" pitchFamily="18" charset="0"/>
                      </a:rPr>
                      <a:t>8,2*</a:t>
                    </a:r>
                  </a:p>
                  <a:p>
                    <a:endParaRPr lang="en-US" sz="900" b="1">
                      <a:latin typeface="Times New Roman" pitchFamily="18" charset="0"/>
                      <a:cs typeface="Times New Roman" pitchFamily="18" charset="0"/>
                    </a:endParaRPr>
                  </a:p>
                </c:rich>
              </c:tx>
              <c:dLblPos val="outEnd"/>
            </c:dLbl>
            <c:dLbl>
              <c:idx val="3"/>
              <c:layout>
                <c:manualLayout>
                  <c:x val="7.6435608563360374E-3"/>
                  <c:y val="1.0963299889331866E-2"/>
                </c:manualLayout>
              </c:layout>
              <c:tx>
                <c:rich>
                  <a:bodyPr/>
                  <a:lstStyle/>
                  <a:p>
                    <a:r>
                      <a:rPr lang="ru-RU" sz="882" b="1">
                        <a:latin typeface="Times New Roman" pitchFamily="18" charset="0"/>
                        <a:cs typeface="Times New Roman" pitchFamily="18" charset="0"/>
                      </a:rPr>
                      <a:t>7,6*</a:t>
                    </a:r>
                    <a:endParaRPr lang="en-US" sz="900" b="1">
                      <a:latin typeface="Times New Roman" pitchFamily="18" charset="0"/>
                      <a:cs typeface="Times New Roman" pitchFamily="18" charset="0"/>
                    </a:endParaRPr>
                  </a:p>
                </c:rich>
              </c:tx>
              <c:dLblPos val="outEnd"/>
            </c:dLbl>
            <c:dLbl>
              <c:idx val="4"/>
              <c:layout>
                <c:manualLayout>
                  <c:x val="1.3888888888889683E-2"/>
                  <c:y val="7.9365079365078823E-3"/>
                </c:manualLayout>
              </c:layout>
              <c:tx>
                <c:rich>
                  <a:bodyPr/>
                  <a:lstStyle/>
                  <a:p>
                    <a:r>
                      <a:rPr lang="ru-RU" sz="882" b="1">
                        <a:latin typeface="Times New Roman" pitchFamily="18" charset="0"/>
                        <a:cs typeface="Times New Roman" pitchFamily="18" charset="0"/>
                      </a:rPr>
                      <a:t>6,5*</a:t>
                    </a:r>
                    <a:endParaRPr lang="en-US" sz="900" b="1">
                      <a:latin typeface="Times New Roman" pitchFamily="18" charset="0"/>
                      <a:cs typeface="Times New Roman" pitchFamily="18" charset="0"/>
                    </a:endParaRPr>
                  </a:p>
                </c:rich>
              </c:tx>
              <c:dLblPos val="outEnd"/>
            </c:dLbl>
            <c:dLbl>
              <c:idx val="5"/>
              <c:layout>
                <c:manualLayout>
                  <c:x val="1.1984310202113163E-2"/>
                  <c:y val="3.9444254250827352E-3"/>
                </c:manualLayout>
              </c:layout>
              <c:tx>
                <c:rich>
                  <a:bodyPr/>
                  <a:lstStyle/>
                  <a:p>
                    <a:r>
                      <a:rPr lang="ru-RU" sz="882" b="1">
                        <a:latin typeface="Times New Roman" pitchFamily="18" charset="0"/>
                        <a:cs typeface="Times New Roman" pitchFamily="18" charset="0"/>
                      </a:rPr>
                      <a:t>16,5*</a:t>
                    </a:r>
                    <a:endParaRPr lang="en-US" sz="900" b="1">
                      <a:latin typeface="Times New Roman" pitchFamily="18" charset="0"/>
                      <a:cs typeface="Times New Roman" pitchFamily="18" charset="0"/>
                    </a:endParaRPr>
                  </a:p>
                </c:rich>
              </c:tx>
              <c:dLblPos val="outEnd"/>
            </c:dLbl>
            <c:dLbl>
              <c:idx val="6"/>
              <c:layout>
                <c:manualLayout>
                  <c:x val="6.4095591654649746E-3"/>
                  <c:y val="1.4009509680855462E-2"/>
                </c:manualLayout>
              </c:layout>
              <c:tx>
                <c:rich>
                  <a:bodyPr/>
                  <a:lstStyle/>
                  <a:p>
                    <a:r>
                      <a:rPr lang="ru-RU" sz="882" b="1">
                        <a:latin typeface="Times New Roman" pitchFamily="18" charset="0"/>
                        <a:cs typeface="Times New Roman" pitchFamily="18" charset="0"/>
                      </a:rPr>
                      <a:t>0,9*</a:t>
                    </a:r>
                    <a:endParaRPr lang="en-US" sz="900" b="1">
                      <a:latin typeface="Times New Roman" pitchFamily="18" charset="0"/>
                      <a:cs typeface="Times New Roman" pitchFamily="18" charset="0"/>
                    </a:endParaRPr>
                  </a:p>
                </c:rich>
              </c:tx>
              <c:dLblPos val="outEnd"/>
            </c:dLbl>
            <c:dLbl>
              <c:idx val="7"/>
              <c:layout>
                <c:manualLayout>
                  <c:x val="1.415226249871919E-2"/>
                  <c:y val="7.8058503556620914E-3"/>
                </c:manualLayout>
              </c:layout>
              <c:tx>
                <c:rich>
                  <a:bodyPr/>
                  <a:lstStyle/>
                  <a:p>
                    <a:r>
                      <a:rPr lang="ru-RU" sz="882" b="1">
                        <a:latin typeface="Times New Roman" pitchFamily="18" charset="0"/>
                        <a:cs typeface="Times New Roman" pitchFamily="18" charset="0"/>
                      </a:rPr>
                      <a:t>7,8*</a:t>
                    </a:r>
                    <a:endParaRPr lang="en-US" sz="900" b="1">
                      <a:latin typeface="Times New Roman" pitchFamily="18" charset="0"/>
                      <a:cs typeface="Times New Roman" pitchFamily="18" charset="0"/>
                    </a:endParaRPr>
                  </a:p>
                </c:rich>
              </c:tx>
              <c:dLblPos val="outEnd"/>
            </c:dLbl>
            <c:spPr>
              <a:noFill/>
              <a:ln w="24880">
                <a:noFill/>
              </a:ln>
            </c:spPr>
            <c:txPr>
              <a:bodyPr/>
              <a:lstStyle/>
              <a:p>
                <a:pPr>
                  <a:defRPr sz="882" b="1">
                    <a:latin typeface="Times New Roman" pitchFamily="18" charset="0"/>
                    <a:cs typeface="Times New Roman" pitchFamily="18" charset="0"/>
                  </a:defRPr>
                </a:pPr>
                <a:endParaRPr lang="ru-RU"/>
              </a:p>
            </c:txPr>
            <c:dLblPos val="outEnd"/>
            <c:showVal val="1"/>
          </c:dLbls>
          <c:cat>
            <c:strRef>
              <c:f>Лист1!$A$2:$A$9</c:f>
              <c:strCache>
                <c:ptCount val="8"/>
                <c:pt idx="0">
                  <c:v>Молдова</c:v>
                </c:pt>
                <c:pt idx="1">
                  <c:v>Россия</c:v>
                </c:pt>
                <c:pt idx="2">
                  <c:v>Украина</c:v>
                </c:pt>
                <c:pt idx="3">
                  <c:v>Италия</c:v>
                </c:pt>
                <c:pt idx="4">
                  <c:v>Германия</c:v>
                </c:pt>
                <c:pt idx="5">
                  <c:v>Румыния</c:v>
                </c:pt>
                <c:pt idx="6">
                  <c:v>Польша</c:v>
                </c:pt>
                <c:pt idx="7">
                  <c:v>Прочие страны</c:v>
                </c:pt>
              </c:strCache>
            </c:strRef>
          </c:cat>
          <c:val>
            <c:numRef>
              <c:f>Лист1!$C$2:$C$9</c:f>
              <c:numCache>
                <c:formatCode>#,##0.0</c:formatCode>
                <c:ptCount val="8"/>
                <c:pt idx="0">
                  <c:v>113899.7</c:v>
                </c:pt>
                <c:pt idx="1">
                  <c:v>19667.900000000001</c:v>
                </c:pt>
                <c:pt idx="2">
                  <c:v>20721.099999999897</c:v>
                </c:pt>
                <c:pt idx="3">
                  <c:v>19173</c:v>
                </c:pt>
                <c:pt idx="4">
                  <c:v>16360.8</c:v>
                </c:pt>
                <c:pt idx="5">
                  <c:v>41792.5</c:v>
                </c:pt>
                <c:pt idx="6">
                  <c:v>2263.3000000000002</c:v>
                </c:pt>
                <c:pt idx="7">
                  <c:v>19661.300000000032</c:v>
                </c:pt>
              </c:numCache>
            </c:numRef>
          </c:val>
        </c:ser>
        <c:dLbls>
          <c:showVal val="1"/>
        </c:dLbls>
        <c:axId val="102171776"/>
        <c:axId val="102173312"/>
      </c:barChart>
      <c:catAx>
        <c:axId val="102171776"/>
        <c:scaling>
          <c:orientation val="minMax"/>
        </c:scaling>
        <c:axPos val="b"/>
        <c:numFmt formatCode="General" sourceLinked="1"/>
        <c:tickLblPos val="nextTo"/>
        <c:crossAx val="102173312"/>
        <c:crosses val="autoZero"/>
        <c:auto val="1"/>
        <c:lblAlgn val="ctr"/>
        <c:lblOffset val="100"/>
      </c:catAx>
      <c:valAx>
        <c:axId val="102173312"/>
        <c:scaling>
          <c:orientation val="minMax"/>
        </c:scaling>
        <c:axPos val="l"/>
        <c:title>
          <c:tx>
            <c:rich>
              <a:bodyPr rot="0" vert="horz"/>
              <a:lstStyle/>
              <a:p>
                <a:pPr algn="ctr">
                  <a:defRPr sz="1077"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удельный вес в общем объеме экспорта, %</a:t>
                </a:r>
              </a:p>
            </c:rich>
          </c:tx>
          <c:layout>
            <c:manualLayout>
              <c:xMode val="edge"/>
              <c:yMode val="edge"/>
              <c:x val="0.80935311995953119"/>
              <c:y val="0.11114144787629122"/>
            </c:manualLayout>
          </c:layout>
          <c:spPr>
            <a:noFill/>
            <a:ln w="24880">
              <a:noFill/>
            </a:ln>
          </c:spPr>
        </c:title>
        <c:numFmt formatCode="#,##0.0" sourceLinked="1"/>
        <c:tickLblPos val="nextTo"/>
        <c:txPr>
          <a:bodyPr/>
          <a:lstStyle/>
          <a:p>
            <a:pPr>
              <a:defRPr b="1">
                <a:latin typeface="Times New Roman" pitchFamily="18" charset="0"/>
                <a:cs typeface="Times New Roman" pitchFamily="18" charset="0"/>
              </a:defRPr>
            </a:pPr>
            <a:endParaRPr lang="ru-RU"/>
          </a:p>
        </c:txPr>
        <c:crossAx val="102171776"/>
        <c:crosses val="autoZero"/>
        <c:crossBetween val="between"/>
      </c:valAx>
      <c:dTable>
        <c:showHorzBorder val="1"/>
        <c:showVertBorder val="1"/>
        <c:showOutline val="1"/>
        <c:showKeys val="1"/>
        <c:txPr>
          <a:bodyPr/>
          <a:lstStyle/>
          <a:p>
            <a:pPr rtl="0">
              <a:defRPr sz="864" b="1">
                <a:latin typeface="Times New Roman" pitchFamily="18" charset="0"/>
                <a:cs typeface="Times New Roman" pitchFamily="18" charset="0"/>
              </a:defRPr>
            </a:pPr>
            <a:endParaRPr lang="ru-RU"/>
          </a:p>
        </c:txPr>
      </c:dTable>
    </c:plotArea>
    <c:legend>
      <c:legendPos val="r"/>
      <c:layout>
        <c:manualLayout>
          <c:xMode val="edge"/>
          <c:yMode val="edge"/>
          <c:x val="0.18730695897055422"/>
          <c:y val="0.90745172776969751"/>
          <c:w val="0.71406003159559273"/>
          <c:h val="5.2117263843650188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a:pPr>
            <a:endParaRPr lang="ru-RU"/>
          </a:p>
        </c:rich>
      </c:tx>
      <c:layout/>
    </c:title>
    <c:view3D>
      <c:rotX val="0"/>
      <c:rotY val="0"/>
      <c:depthPercent val="100"/>
      <c:perspective val="30"/>
    </c:view3D>
    <c:plotArea>
      <c:layout>
        <c:manualLayout>
          <c:layoutTarget val="inner"/>
          <c:xMode val="edge"/>
          <c:yMode val="edge"/>
          <c:x val="9.0752022109193642E-2"/>
          <c:y val="2.440609817389848E-2"/>
          <c:w val="0.89082184788160201"/>
          <c:h val="0.4924108942904093"/>
        </c:manualLayout>
      </c:layout>
      <c:bar3DChart>
        <c:barDir val="col"/>
        <c:grouping val="clustered"/>
        <c:ser>
          <c:idx val="0"/>
          <c:order val="0"/>
          <c:tx>
            <c:strRef>
              <c:f>Лист1!$B$1</c:f>
              <c:strCache>
                <c:ptCount val="1"/>
                <c:pt idx="0">
                  <c:v>январь-июнь 2015 года</c:v>
                </c:pt>
              </c:strCache>
            </c:strRef>
          </c:tx>
          <c:spPr>
            <a:solidFill>
              <a:srgbClr val="FFFF00"/>
            </a:solidFill>
          </c:spPr>
          <c:dLbls>
            <c:dLbl>
              <c:idx val="1"/>
              <c:layout>
                <c:manualLayout>
                  <c:x val="-2.0549034791281771E-3"/>
                  <c:y val="4.6560846560846546E-2"/>
                </c:manualLayout>
              </c:layout>
              <c:tx>
                <c:rich>
                  <a:bodyPr/>
                  <a:lstStyle/>
                  <a:p>
                    <a:r>
                      <a:rPr lang="ru-RU"/>
                      <a:t>69,5</a:t>
                    </a:r>
                  </a:p>
                  <a:p>
                    <a:endParaRPr lang="en-US"/>
                  </a:p>
                </c:rich>
              </c:tx>
              <c:showVal val="1"/>
            </c:dLbl>
            <c:dLbl>
              <c:idx val="2"/>
              <c:layout>
                <c:manualLayout>
                  <c:x val="-3.8668950453881741E-3"/>
                  <c:y val="1.7083531225263883E-2"/>
                </c:manualLayout>
              </c:layout>
              <c:spPr/>
              <c:txPr>
                <a:bodyPr/>
                <a:lstStyle/>
                <a:p>
                  <a:pPr>
                    <a:defRPr sz="800"/>
                  </a:pPr>
                  <a:endParaRPr lang="ru-RU"/>
                </a:p>
              </c:txPr>
              <c:showVal val="1"/>
            </c:dLbl>
            <c:dLbl>
              <c:idx val="3"/>
              <c:layout>
                <c:manualLayout>
                  <c:x val="-1.0441172138357416E-2"/>
                  <c:y val="1.8689997083697871E-2"/>
                </c:manualLayout>
              </c:layout>
              <c:tx>
                <c:rich>
                  <a:bodyPr/>
                  <a:lstStyle/>
                  <a:p>
                    <a:pPr>
                      <a:defRPr sz="800"/>
                    </a:pPr>
                    <a:r>
                      <a:rPr lang="en-US" sz="800"/>
                      <a:t>1</a:t>
                    </a:r>
                    <a:r>
                      <a:rPr lang="en-US" sz="800" b="1"/>
                      <a:t>0</a:t>
                    </a:r>
                    <a:r>
                      <a:rPr lang="en-US" sz="800"/>
                      <a:t>1,6</a:t>
                    </a:r>
                  </a:p>
                </c:rich>
              </c:tx>
              <c:spPr/>
            </c:dLbl>
            <c:dLbl>
              <c:idx val="4"/>
              <c:layout>
                <c:manualLayout>
                  <c:x val="-1.0268244771290238E-2"/>
                  <c:y val="1.8041835679631604E-2"/>
                </c:manualLayout>
              </c:layout>
              <c:spPr/>
              <c:txPr>
                <a:bodyPr/>
                <a:lstStyle/>
                <a:p>
                  <a:pPr>
                    <a:defRPr sz="800"/>
                  </a:pPr>
                  <a:endParaRPr lang="ru-RU"/>
                </a:p>
              </c:txPr>
              <c:showVal val="1"/>
            </c:dLbl>
            <c:dLbl>
              <c:idx val="5"/>
              <c:layout>
                <c:manualLayout>
                  <c:x val="3.068803999713825E-4"/>
                  <c:y val="1.9784526934133618E-2"/>
                </c:manualLayout>
              </c:layout>
              <c:tx>
                <c:rich>
                  <a:bodyPr/>
                  <a:lstStyle/>
                  <a:p>
                    <a:pPr>
                      <a:defRPr sz="800"/>
                    </a:pPr>
                    <a:r>
                      <a:rPr lang="ru-RU" sz="800"/>
                      <a:t>84,0</a:t>
                    </a:r>
                  </a:p>
                </c:rich>
              </c:tx>
              <c:spPr/>
            </c:dLbl>
            <c:dLbl>
              <c:idx val="6"/>
              <c:layout>
                <c:manualLayout>
                  <c:x val="-8.2446962969824848E-3"/>
                  <c:y val="1.0603048376408221E-2"/>
                </c:manualLayout>
              </c:layout>
              <c:spPr/>
              <c:txPr>
                <a:bodyPr/>
                <a:lstStyle/>
                <a:p>
                  <a:pPr>
                    <a:defRPr sz="800"/>
                  </a:pPr>
                  <a:endParaRPr lang="ru-RU"/>
                </a:p>
              </c:txPr>
              <c:showVal val="1"/>
            </c:dLbl>
            <c:dLbl>
              <c:idx val="7"/>
              <c:layout>
                <c:manualLayout>
                  <c:x val="-1.2456957031314482E-2"/>
                  <c:y val="1.1904875526923363E-2"/>
                </c:manualLayout>
              </c:layout>
              <c:spPr/>
              <c:txPr>
                <a:bodyPr/>
                <a:lstStyle/>
                <a:p>
                  <a:pPr>
                    <a:defRPr sz="800"/>
                  </a:pPr>
                  <a:endParaRPr lang="ru-RU"/>
                </a:p>
              </c:txPr>
              <c:showVal val="1"/>
            </c:dLbl>
            <c:dLbl>
              <c:idx val="8"/>
              <c:layout>
                <c:manualLayout>
                  <c:x val="-1.2111423004246329E-2"/>
                  <c:y val="1.4539849185518519E-2"/>
                </c:manualLayout>
              </c:layout>
              <c:spPr/>
              <c:txPr>
                <a:bodyPr/>
                <a:lstStyle/>
                <a:p>
                  <a:pPr>
                    <a:defRPr sz="800"/>
                  </a:pPr>
                  <a:endParaRPr lang="ru-RU"/>
                </a:p>
              </c:txPr>
              <c:showVal val="1"/>
            </c:dLbl>
            <c:dLbl>
              <c:idx val="9"/>
              <c:layout>
                <c:manualLayout>
                  <c:x val="-9.9735288300082364E-3"/>
                  <c:y val="2.1026219806593412E-2"/>
                </c:manualLayout>
              </c:layout>
              <c:spPr/>
              <c:txPr>
                <a:bodyPr/>
                <a:lstStyle/>
                <a:p>
                  <a:pPr>
                    <a:defRPr sz="800"/>
                  </a:pPr>
                  <a:endParaRPr lang="ru-RU"/>
                </a:p>
              </c:txPr>
              <c:showVal val="1"/>
            </c:dLbl>
            <c:dLbl>
              <c:idx val="10"/>
              <c:layout>
                <c:manualLayout>
                  <c:x val="-9.8713475887675858E-3"/>
                  <c:y val="7.9522862823062524E-3"/>
                </c:manualLayout>
              </c:layout>
              <c:tx>
                <c:rich>
                  <a:bodyPr/>
                  <a:lstStyle/>
                  <a:p>
                    <a:pPr>
                      <a:defRPr sz="800"/>
                    </a:pPr>
                    <a:r>
                      <a:rPr lang="ru-RU"/>
                      <a:t>в 2,8 р.</a:t>
                    </a:r>
                    <a:endParaRPr lang="en-US"/>
                  </a:p>
                </c:rich>
              </c:tx>
              <c:spPr/>
              <c:showVal val="1"/>
            </c:dLbl>
            <c:spPr>
              <a:noFill/>
              <a:ln w="25286">
                <a:noFill/>
              </a:ln>
            </c:spPr>
            <c:txPr>
              <a:bodyPr/>
              <a:lstStyle/>
              <a:p>
                <a:pPr>
                  <a:defRPr sz="800"/>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Лист1!$B$2:$B$12</c:f>
              <c:numCache>
                <c:formatCode>#,##0.0</c:formatCode>
                <c:ptCount val="11"/>
                <c:pt idx="0">
                  <c:v>116.1</c:v>
                </c:pt>
                <c:pt idx="1">
                  <c:v>69.5</c:v>
                </c:pt>
                <c:pt idx="2">
                  <c:v>72.099999999999994</c:v>
                </c:pt>
                <c:pt idx="3">
                  <c:v>100.9</c:v>
                </c:pt>
                <c:pt idx="4">
                  <c:v>87.8</c:v>
                </c:pt>
                <c:pt idx="5">
                  <c:v>84</c:v>
                </c:pt>
                <c:pt idx="6">
                  <c:v>64.599999999999994</c:v>
                </c:pt>
                <c:pt idx="7">
                  <c:v>82.6</c:v>
                </c:pt>
                <c:pt idx="8">
                  <c:v>73.5</c:v>
                </c:pt>
                <c:pt idx="9">
                  <c:v>81.900000000000006</c:v>
                </c:pt>
                <c:pt idx="10">
                  <c:v>280</c:v>
                </c:pt>
              </c:numCache>
            </c:numRef>
          </c:val>
        </c:ser>
        <c:ser>
          <c:idx val="1"/>
          <c:order val="1"/>
          <c:tx>
            <c:strRef>
              <c:f>Лист1!$C$1</c:f>
              <c:strCache>
                <c:ptCount val="1"/>
                <c:pt idx="0">
                  <c:v>январь-июнь 2016 года</c:v>
                </c:pt>
              </c:strCache>
            </c:strRef>
          </c:tx>
          <c:spPr>
            <a:solidFill>
              <a:srgbClr val="00B0F0"/>
            </a:solidFill>
          </c:spPr>
          <c:dLbls>
            <c:dLbl>
              <c:idx val="0"/>
              <c:layout>
                <c:manualLayout>
                  <c:x val="1.6262809479120094E-2"/>
                  <c:y val="2.0263467066616872E-2"/>
                </c:manualLayout>
              </c:layout>
              <c:spPr/>
              <c:txPr>
                <a:bodyPr/>
                <a:lstStyle/>
                <a:p>
                  <a:pPr>
                    <a:defRPr sz="800"/>
                  </a:pPr>
                  <a:endParaRPr lang="ru-RU"/>
                </a:p>
              </c:txPr>
              <c:showVal val="1"/>
            </c:dLbl>
            <c:dLbl>
              <c:idx val="1"/>
              <c:layout>
                <c:manualLayout>
                  <c:x val="7.6499577050464481E-3"/>
                  <c:y val="1.2698079406740842E-2"/>
                </c:manualLayout>
              </c:layout>
              <c:tx>
                <c:rich>
                  <a:bodyPr/>
                  <a:lstStyle/>
                  <a:p>
                    <a:pPr>
                      <a:defRPr sz="800"/>
                    </a:pPr>
                    <a:r>
                      <a:rPr lang="ru-RU" sz="800"/>
                      <a:t>108,3 </a:t>
                    </a:r>
                  </a:p>
                </c:rich>
              </c:tx>
              <c:spPr/>
            </c:dLbl>
            <c:dLbl>
              <c:idx val="2"/>
              <c:layout>
                <c:manualLayout>
                  <c:x val="8.5515766969535226E-3"/>
                  <c:y val="1.0958904109589039E-2"/>
                </c:manualLayout>
              </c:layout>
              <c:spPr/>
              <c:txPr>
                <a:bodyPr/>
                <a:lstStyle/>
                <a:p>
                  <a:pPr>
                    <a:defRPr sz="800"/>
                  </a:pPr>
                  <a:endParaRPr lang="ru-RU"/>
                </a:p>
              </c:txPr>
              <c:showVal val="1"/>
            </c:dLbl>
            <c:dLbl>
              <c:idx val="3"/>
              <c:layout>
                <c:manualLayout>
                  <c:x val="1.0178059650614225E-2"/>
                  <c:y val="1.4582177227846623E-2"/>
                </c:manualLayout>
              </c:layout>
              <c:spPr/>
              <c:txPr>
                <a:bodyPr/>
                <a:lstStyle/>
                <a:p>
                  <a:pPr>
                    <a:defRPr sz="800"/>
                  </a:pPr>
                  <a:endParaRPr lang="ru-RU"/>
                </a:p>
              </c:txPr>
              <c:showVal val="1"/>
            </c:dLbl>
            <c:dLbl>
              <c:idx val="4"/>
              <c:layout>
                <c:manualLayout>
                  <c:x val="3.8888063520362889E-3"/>
                  <c:y val="7.4155377042518546E-3"/>
                </c:manualLayout>
              </c:layout>
              <c:spPr/>
              <c:txPr>
                <a:bodyPr/>
                <a:lstStyle/>
                <a:p>
                  <a:pPr>
                    <a:defRPr sz="800"/>
                  </a:pPr>
                  <a:endParaRPr lang="ru-RU"/>
                </a:p>
              </c:txPr>
              <c:showVal val="1"/>
            </c:dLbl>
            <c:dLbl>
              <c:idx val="5"/>
              <c:layout>
                <c:manualLayout>
                  <c:x val="6.4136825227152083E-3"/>
                  <c:y val="1.9352247635712343E-2"/>
                </c:manualLayout>
              </c:layout>
              <c:spPr/>
              <c:txPr>
                <a:bodyPr/>
                <a:lstStyle/>
                <a:p>
                  <a:pPr>
                    <a:defRPr sz="800"/>
                  </a:pPr>
                  <a:endParaRPr lang="ru-RU"/>
                </a:p>
              </c:txPr>
              <c:showVal val="1"/>
            </c:dLbl>
            <c:dLbl>
              <c:idx val="6"/>
              <c:layout>
                <c:manualLayout>
                  <c:x val="6.1067099436999134E-3"/>
                  <c:y val="1.1904761904762771E-2"/>
                </c:manualLayout>
              </c:layout>
              <c:spPr/>
              <c:txPr>
                <a:bodyPr/>
                <a:lstStyle/>
                <a:p>
                  <a:pPr>
                    <a:defRPr sz="800"/>
                  </a:pPr>
                  <a:endParaRPr lang="ru-RU"/>
                </a:p>
              </c:txPr>
              <c:showVal val="1"/>
            </c:dLbl>
            <c:dLbl>
              <c:idx val="7"/>
              <c:layout>
                <c:manualLayout>
                  <c:x val="1.0667392990970458E-2"/>
                  <c:y val="1.5108212483540598E-2"/>
                </c:manualLayout>
              </c:layout>
              <c:spPr/>
              <c:txPr>
                <a:bodyPr/>
                <a:lstStyle/>
                <a:p>
                  <a:pPr>
                    <a:defRPr sz="800"/>
                  </a:pPr>
                  <a:endParaRPr lang="ru-RU"/>
                </a:p>
              </c:txPr>
              <c:showVal val="1"/>
            </c:dLbl>
            <c:dLbl>
              <c:idx val="8"/>
              <c:layout>
                <c:manualLayout>
                  <c:x val="4.3171726175737475E-3"/>
                  <c:y val="9.7906448562620745E-3"/>
                </c:manualLayout>
              </c:layout>
              <c:spPr/>
              <c:txPr>
                <a:bodyPr/>
                <a:lstStyle/>
                <a:p>
                  <a:pPr>
                    <a:defRPr sz="800"/>
                  </a:pPr>
                  <a:endParaRPr lang="ru-RU"/>
                </a:p>
              </c:txPr>
              <c:showVal val="1"/>
            </c:dLbl>
            <c:dLbl>
              <c:idx val="9"/>
              <c:layout>
                <c:manualLayout>
                  <c:x val="6.4136825227152534E-3"/>
                  <c:y val="7.9522862823062524E-3"/>
                </c:manualLayout>
              </c:layout>
              <c:spPr/>
              <c:txPr>
                <a:bodyPr/>
                <a:lstStyle/>
                <a:p>
                  <a:pPr>
                    <a:defRPr sz="800"/>
                  </a:pPr>
                  <a:endParaRPr lang="ru-RU"/>
                </a:p>
              </c:txPr>
              <c:showVal val="1"/>
            </c:dLbl>
            <c:dLbl>
              <c:idx val="10"/>
              <c:layout>
                <c:manualLayout>
                  <c:x val="8.7588009275430707E-3"/>
                  <c:y val="9.3131116876806527E-3"/>
                </c:manualLayout>
              </c:layout>
              <c:tx>
                <c:rich>
                  <a:bodyPr/>
                  <a:lstStyle/>
                  <a:p>
                    <a:pPr>
                      <a:defRPr sz="800"/>
                    </a:pPr>
                    <a:r>
                      <a:rPr lang="ru-RU" sz="800"/>
                      <a:t>43,7</a:t>
                    </a:r>
                    <a:endParaRPr lang="en-US" sz="800"/>
                  </a:p>
                </c:rich>
              </c:tx>
              <c:spPr/>
              <c:showVal val="1"/>
            </c:dLbl>
            <c:spPr>
              <a:noFill/>
              <a:ln w="25286">
                <a:noFill/>
              </a:ln>
            </c:spPr>
            <c:txPr>
              <a:bodyPr/>
              <a:lstStyle/>
              <a:p>
                <a:pPr>
                  <a:defRPr sz="800"/>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Лист1!$C$2:$C$12</c:f>
              <c:numCache>
                <c:formatCode>#,##0.0</c:formatCode>
                <c:ptCount val="11"/>
                <c:pt idx="0">
                  <c:v>96.3</c:v>
                </c:pt>
                <c:pt idx="1">
                  <c:v>108.3</c:v>
                </c:pt>
                <c:pt idx="2">
                  <c:v>129.19999999999999</c:v>
                </c:pt>
                <c:pt idx="3">
                  <c:v>88.9</c:v>
                </c:pt>
                <c:pt idx="4">
                  <c:v>92.6</c:v>
                </c:pt>
                <c:pt idx="5">
                  <c:v>31.7</c:v>
                </c:pt>
                <c:pt idx="6">
                  <c:v>124.5</c:v>
                </c:pt>
                <c:pt idx="7">
                  <c:v>110.6</c:v>
                </c:pt>
                <c:pt idx="8">
                  <c:v>103.2</c:v>
                </c:pt>
                <c:pt idx="9">
                  <c:v>84.3</c:v>
                </c:pt>
                <c:pt idx="10">
                  <c:v>43.7</c:v>
                </c:pt>
              </c:numCache>
            </c:numRef>
          </c:val>
        </c:ser>
        <c:shape val="cylinder"/>
        <c:axId val="96572544"/>
        <c:axId val="96574080"/>
        <c:axId val="0"/>
      </c:bar3DChart>
      <c:catAx>
        <c:axId val="96572544"/>
        <c:scaling>
          <c:orientation val="minMax"/>
        </c:scaling>
        <c:axPos val="b"/>
        <c:numFmt formatCode="General" sourceLinked="1"/>
        <c:tickLblPos val="nextTo"/>
        <c:txPr>
          <a:bodyPr rot="5400000" vert="horz"/>
          <a:lstStyle/>
          <a:p>
            <a:pPr>
              <a:defRPr/>
            </a:pPr>
            <a:endParaRPr lang="ru-RU"/>
          </a:p>
        </c:txPr>
        <c:crossAx val="96574080"/>
        <c:crosses val="autoZero"/>
        <c:auto val="1"/>
        <c:lblAlgn val="ctr"/>
        <c:lblOffset val="100"/>
      </c:catAx>
      <c:valAx>
        <c:axId val="96574080"/>
        <c:scaling>
          <c:orientation val="minMax"/>
          <c:max val="300"/>
          <c:min val="0"/>
        </c:scaling>
        <c:axPos val="l"/>
        <c:numFmt formatCode="#,##0.0" sourceLinked="1"/>
        <c:tickLblPos val="nextTo"/>
        <c:crossAx val="96572544"/>
        <c:crosses val="autoZero"/>
        <c:crossBetween val="between"/>
        <c:majorUnit val="50"/>
      </c:valAx>
      <c:spPr>
        <a:noFill/>
        <a:ln w="25286">
          <a:noFill/>
        </a:ln>
      </c:spPr>
    </c:plotArea>
    <c:legend>
      <c:legendPos val="b"/>
      <c:layout>
        <c:manualLayout>
          <c:xMode val="edge"/>
          <c:yMode val="edge"/>
          <c:x val="0.24237556204988137"/>
          <c:y val="0.95784995625551195"/>
          <c:w val="0.55198696597282626"/>
          <c:h val="4.2150043744531823E-2"/>
        </c:manualLayout>
      </c:layout>
    </c:legend>
    <c:plotVisOnly val="1"/>
    <c:dispBlanksAs val="gap"/>
  </c:chart>
  <c:spPr>
    <a:ln>
      <a:noFill/>
    </a:ln>
  </c:spPr>
  <c:txPr>
    <a:bodyPr/>
    <a:lstStyle/>
    <a:p>
      <a:pPr>
        <a:defRPr sz="896">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pPr>
            <a:r>
              <a:rPr lang="ru-RU" sz="1200"/>
              <a:t>Товарная структура импорта ПМР, млн. долл. США</a:t>
            </a:r>
          </a:p>
        </c:rich>
      </c:tx>
      <c:layout>
        <c:manualLayout>
          <c:xMode val="edge"/>
          <c:yMode val="edge"/>
          <c:x val="0.20873792195533941"/>
          <c:y val="5.6755808749712738E-3"/>
        </c:manualLayout>
      </c:layout>
      <c:spPr>
        <a:noFill/>
        <a:ln w="28727">
          <a:noFill/>
        </a:ln>
      </c:spPr>
    </c:title>
    <c:plotArea>
      <c:layout>
        <c:manualLayout>
          <c:layoutTarget val="inner"/>
          <c:xMode val="edge"/>
          <c:yMode val="edge"/>
          <c:x val="6.4038461538462113E-2"/>
          <c:y val="7.6331980241600414E-2"/>
          <c:w val="0.96291208791208749"/>
          <c:h val="0.40332364332589943"/>
        </c:manualLayout>
      </c:layout>
      <c:barChart>
        <c:barDir val="col"/>
        <c:grouping val="clustered"/>
        <c:ser>
          <c:idx val="0"/>
          <c:order val="0"/>
          <c:tx>
            <c:strRef>
              <c:f>Sheet1!$A$2</c:f>
              <c:strCache>
                <c:ptCount val="1"/>
                <c:pt idx="0">
                  <c:v>январь - июнь 2015 г.</c:v>
                </c:pt>
              </c:strCache>
            </c:strRef>
          </c:tx>
          <c:dLbls>
            <c:dLbl>
              <c:idx val="0"/>
              <c:layout>
                <c:manualLayout>
                  <c:x val="-5.146938139947899E-3"/>
                  <c:y val="2.3060336786534442E-2"/>
                </c:manualLayout>
              </c:layout>
              <c:tx>
                <c:rich>
                  <a:bodyPr/>
                  <a:lstStyle/>
                  <a:p>
                    <a:r>
                      <a:rPr lang="ru-RU" sz="1000"/>
                      <a:t>57,0*</a:t>
                    </a:r>
                    <a:endParaRPr lang="en-US" sz="1000"/>
                  </a:p>
                </c:rich>
              </c:tx>
              <c:dLblPos val="outEnd"/>
            </c:dLbl>
            <c:dLbl>
              <c:idx val="1"/>
              <c:layout>
                <c:manualLayout>
                  <c:x val="-1.5731287177619545E-3"/>
                  <c:y val="2.0290865281184192E-2"/>
                </c:manualLayout>
              </c:layout>
              <c:tx>
                <c:rich>
                  <a:bodyPr/>
                  <a:lstStyle/>
                  <a:p>
                    <a:r>
                      <a:rPr lang="ru-RU" sz="1000"/>
                      <a:t>10,2*</a:t>
                    </a:r>
                    <a:endParaRPr lang="en-US" sz="1000"/>
                  </a:p>
                </c:rich>
              </c:tx>
              <c:dLblPos val="outEnd"/>
            </c:dLbl>
            <c:dLbl>
              <c:idx val="2"/>
              <c:layout>
                <c:manualLayout>
                  <c:x val="-1.3042927798846641E-3"/>
                  <c:y val="1.892540554155811E-2"/>
                </c:manualLayout>
              </c:layout>
              <c:tx>
                <c:rich>
                  <a:bodyPr/>
                  <a:lstStyle/>
                  <a:p>
                    <a:r>
                      <a:rPr lang="ru-RU" sz="1000"/>
                      <a:t>7,6*</a:t>
                    </a:r>
                    <a:endParaRPr lang="en-US" sz="1000"/>
                  </a:p>
                </c:rich>
              </c:tx>
              <c:dLblPos val="outEnd"/>
            </c:dLbl>
            <c:dLbl>
              <c:idx val="3"/>
              <c:layout>
                <c:manualLayout>
                  <c:x val="-4.1449626488996565E-3"/>
                  <c:y val="1.1628763795829869E-2"/>
                </c:manualLayout>
              </c:layout>
              <c:tx>
                <c:rich>
                  <a:bodyPr/>
                  <a:lstStyle/>
                  <a:p>
                    <a:r>
                      <a:rPr lang="ru-RU" sz="1000"/>
                      <a:t>9,6*</a:t>
                    </a:r>
                    <a:endParaRPr lang="en-US" sz="1000"/>
                  </a:p>
                </c:rich>
              </c:tx>
              <c:dLblPos val="outEnd"/>
            </c:dLbl>
            <c:dLbl>
              <c:idx val="4"/>
              <c:layout>
                <c:manualLayout>
                  <c:x val="1.2039404165388417E-3"/>
                  <c:y val="3.9873514104252416E-3"/>
                </c:manualLayout>
              </c:layout>
              <c:tx>
                <c:rich>
                  <a:bodyPr/>
                  <a:lstStyle/>
                  <a:p>
                    <a:r>
                      <a:rPr lang="ru-RU" sz="1000"/>
                      <a:t>3,3*</a:t>
                    </a:r>
                    <a:endParaRPr lang="en-US" sz="1000"/>
                  </a:p>
                </c:rich>
              </c:tx>
              <c:dLblPos val="outEnd"/>
            </c:dLbl>
            <c:dLbl>
              <c:idx val="5"/>
              <c:layout>
                <c:manualLayout>
                  <c:x val="-1.5628511428054401E-3"/>
                  <c:y val="1.9837695311139061E-2"/>
                </c:manualLayout>
              </c:layout>
              <c:tx>
                <c:rich>
                  <a:bodyPr/>
                  <a:lstStyle/>
                  <a:p>
                    <a:r>
                      <a:rPr lang="ru-RU" sz="1000" b="1"/>
                      <a:t>12,3*</a:t>
                    </a:r>
                    <a:endParaRPr lang="en-US" sz="1000" b="1"/>
                  </a:p>
                </c:rich>
              </c:tx>
              <c:dLblPos val="outEnd"/>
            </c:dLbl>
            <c:dLbl>
              <c:idx val="6"/>
              <c:layout>
                <c:manualLayout>
                  <c:x val="-7.5617342090612003E-4"/>
                  <c:y val="1.6455402091132061E-2"/>
                </c:manualLayout>
              </c:layout>
              <c:tx>
                <c:rich>
                  <a:bodyPr/>
                  <a:lstStyle/>
                  <a:p>
                    <a:r>
                      <a:rPr lang="ru-RU" sz="1000" b="1"/>
                      <a:t>8</a:t>
                    </a:r>
                    <a:r>
                      <a:rPr lang="en-US" sz="1000" b="1"/>
                      <a:t>,2</a:t>
                    </a:r>
                  </a:p>
                </c:rich>
              </c:tx>
              <c:dLblPos val="outEnd"/>
            </c:dLbl>
            <c:dLbl>
              <c:idx val="7"/>
              <c:layout>
                <c:manualLayout>
                  <c:xMode val="edge"/>
                  <c:yMode val="edge"/>
                  <c:x val="0.72802197802197965"/>
                  <c:y val="0.43750000000000488"/>
                </c:manualLayout>
              </c:layout>
              <c:dLblPos val="outEnd"/>
              <c:showVal val="1"/>
            </c:dLbl>
            <c:spPr>
              <a:noFill/>
              <a:ln w="28727">
                <a:noFill/>
              </a:ln>
            </c:spPr>
            <c:txPr>
              <a:bodyPr rot="0" vert="horz" anchor="ctr" anchorCtr="0"/>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Sheet1!$B$2:$G$2</c:f>
              <c:numCache>
                <c:formatCode>0.0</c:formatCode>
                <c:ptCount val="6"/>
                <c:pt idx="0">
                  <c:v>351.59799999999899</c:v>
                </c:pt>
                <c:pt idx="1">
                  <c:v>63.166000000000011</c:v>
                </c:pt>
                <c:pt idx="2">
                  <c:v>46.838000000000001</c:v>
                </c:pt>
                <c:pt idx="3">
                  <c:v>58.983999999999995</c:v>
                </c:pt>
                <c:pt idx="4">
                  <c:v>20.431000000000001</c:v>
                </c:pt>
                <c:pt idx="5">
                  <c:v>75.859999999999843</c:v>
                </c:pt>
              </c:numCache>
            </c:numRef>
          </c:val>
        </c:ser>
        <c:ser>
          <c:idx val="1"/>
          <c:order val="1"/>
          <c:tx>
            <c:strRef>
              <c:f>Sheet1!$A$3</c:f>
              <c:strCache>
                <c:ptCount val="1"/>
                <c:pt idx="0">
                  <c:v>январь - июнь 2016 г.</c:v>
                </c:pt>
              </c:strCache>
            </c:strRef>
          </c:tx>
          <c:dLbls>
            <c:dLbl>
              <c:idx val="0"/>
              <c:layout>
                <c:manualLayout>
                  <c:x val="5.2558529061472684E-3"/>
                  <c:y val="6.0188774629529422E-3"/>
                </c:manualLayout>
              </c:layout>
              <c:tx>
                <c:rich>
                  <a:bodyPr/>
                  <a:lstStyle/>
                  <a:p>
                    <a:r>
                      <a:rPr lang="ru-RU" sz="1000"/>
                      <a:t>51,2*</a:t>
                    </a:r>
                    <a:endParaRPr lang="en-US" sz="1000"/>
                  </a:p>
                </c:rich>
              </c:tx>
              <c:dLblPos val="outEnd"/>
            </c:dLbl>
            <c:dLbl>
              <c:idx val="1"/>
              <c:layout>
                <c:manualLayout>
                  <c:x val="9.1876075299205718E-4"/>
                  <c:y val="1.6703670237941701E-2"/>
                </c:manualLayout>
              </c:layout>
              <c:tx>
                <c:rich>
                  <a:bodyPr/>
                  <a:lstStyle/>
                  <a:p>
                    <a:r>
                      <a:rPr lang="ru-RU" sz="1000"/>
                      <a:t>6,9*</a:t>
                    </a:r>
                    <a:endParaRPr lang="en-US" sz="1000"/>
                  </a:p>
                </c:rich>
              </c:tx>
              <c:dLblPos val="outEnd"/>
            </c:dLbl>
            <c:dLbl>
              <c:idx val="2"/>
              <c:layout>
                <c:manualLayout>
                  <c:x val="7.8853360982597022E-3"/>
                  <c:y val="1.2483689461698441E-2"/>
                </c:manualLayout>
              </c:layout>
              <c:tx>
                <c:rich>
                  <a:bodyPr/>
                  <a:lstStyle/>
                  <a:p>
                    <a:r>
                      <a:rPr lang="ru-RU" sz="1000" b="1"/>
                      <a:t>10,2*</a:t>
                    </a:r>
                    <a:endParaRPr lang="en-US" sz="1000" b="1"/>
                  </a:p>
                </c:rich>
              </c:tx>
              <c:dLblPos val="outEnd"/>
            </c:dLbl>
            <c:dLbl>
              <c:idx val="3"/>
              <c:layout>
                <c:manualLayout>
                  <c:x val="7.6797816540875134E-3"/>
                  <c:y val="1.7186868034938303E-2"/>
                </c:manualLayout>
              </c:layout>
              <c:tx>
                <c:rich>
                  <a:bodyPr/>
                  <a:lstStyle/>
                  <a:p>
                    <a:r>
                      <a:rPr lang="ru-RU" sz="1000"/>
                      <a:t>9,1*</a:t>
                    </a:r>
                    <a:endParaRPr lang="en-US" sz="1000"/>
                  </a:p>
                </c:rich>
              </c:tx>
              <c:dLblPos val="outEnd"/>
            </c:dLbl>
            <c:dLbl>
              <c:idx val="4"/>
              <c:layout>
                <c:manualLayout>
                  <c:x val="1.0924639230358562E-2"/>
                  <c:y val="4.8544624769320784E-3"/>
                </c:manualLayout>
              </c:layout>
              <c:tx>
                <c:rich>
                  <a:bodyPr/>
                  <a:lstStyle/>
                  <a:p>
                    <a:r>
                      <a:rPr lang="ru-RU" sz="1000"/>
                      <a:t>6,6*</a:t>
                    </a:r>
                    <a:endParaRPr lang="en-US" sz="1000"/>
                  </a:p>
                </c:rich>
              </c:tx>
              <c:dLblPos val="outEnd"/>
            </c:dLbl>
            <c:dLbl>
              <c:idx val="5"/>
              <c:layout>
                <c:manualLayout>
                  <c:x val="1.6322401175000143E-2"/>
                  <c:y val="9.2570991388661768E-3"/>
                </c:manualLayout>
              </c:layout>
              <c:tx>
                <c:rich>
                  <a:bodyPr/>
                  <a:lstStyle/>
                  <a:p>
                    <a:r>
                      <a:rPr lang="ru-RU" sz="1000"/>
                      <a:t>16,0*</a:t>
                    </a:r>
                    <a:endParaRPr lang="en-US" sz="1000"/>
                  </a:p>
                </c:rich>
              </c:tx>
              <c:dLblPos val="outEnd"/>
            </c:dLbl>
            <c:dLbl>
              <c:idx val="6"/>
              <c:layout>
                <c:manualLayout>
                  <c:x val="4.0251667106205027E-3"/>
                  <c:y val="1.0088636461425918E-2"/>
                </c:manualLayout>
              </c:layout>
              <c:tx>
                <c:rich>
                  <a:bodyPr/>
                  <a:lstStyle/>
                  <a:p>
                    <a:r>
                      <a:rPr lang="en-US" sz="1000" b="1"/>
                      <a:t>9,</a:t>
                    </a:r>
                    <a:r>
                      <a:rPr lang="ru-RU" sz="1000" b="1"/>
                      <a:t>6</a:t>
                    </a:r>
                    <a:endParaRPr lang="en-US" sz="1000" b="1"/>
                  </a:p>
                </c:rich>
              </c:tx>
              <c:dLblPos val="outEnd"/>
            </c:dLbl>
            <c:dLbl>
              <c:idx val="7"/>
              <c:layout>
                <c:manualLayout>
                  <c:xMode val="edge"/>
                  <c:yMode val="edge"/>
                  <c:x val="0.75274725274725274"/>
                  <c:y val="0.48214285714289246"/>
                </c:manualLayout>
              </c:layout>
              <c:dLblPos val="outEnd"/>
              <c:showVal val="1"/>
            </c:dLbl>
            <c:spPr>
              <a:noFill/>
              <a:ln w="28727">
                <a:noFill/>
              </a:ln>
            </c:spPr>
            <c:txPr>
              <a:bodyPr rot="0" vert="horz"/>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Sheet1!$B$3:$G$3</c:f>
              <c:numCache>
                <c:formatCode>0.0</c:formatCode>
                <c:ptCount val="6"/>
                <c:pt idx="0">
                  <c:v>216.70299999999997</c:v>
                </c:pt>
                <c:pt idx="1">
                  <c:v>29.206</c:v>
                </c:pt>
                <c:pt idx="2">
                  <c:v>43.053000000000004</c:v>
                </c:pt>
                <c:pt idx="3">
                  <c:v>38.709000000000003</c:v>
                </c:pt>
                <c:pt idx="4">
                  <c:v>27.899000000000001</c:v>
                </c:pt>
                <c:pt idx="5">
                  <c:v>67.675999999999959</c:v>
                </c:pt>
              </c:numCache>
            </c:numRef>
          </c:val>
        </c:ser>
        <c:gapWidth val="160"/>
        <c:axId val="102385536"/>
        <c:axId val="102387072"/>
      </c:barChart>
      <c:catAx>
        <c:axId val="102385536"/>
        <c:scaling>
          <c:orientation val="minMax"/>
        </c:scaling>
        <c:axPos val="b"/>
        <c:numFmt formatCode="General" sourceLinked="1"/>
        <c:tickLblPos val="low"/>
        <c:txPr>
          <a:bodyPr rot="-5400000" vert="horz"/>
          <a:lstStyle/>
          <a:p>
            <a:pPr>
              <a:defRPr sz="900" b="1"/>
            </a:pPr>
            <a:endParaRPr lang="ru-RU"/>
          </a:p>
        </c:txPr>
        <c:crossAx val="102387072"/>
        <c:crosses val="autoZero"/>
        <c:lblAlgn val="ctr"/>
        <c:lblOffset val="160"/>
        <c:tickLblSkip val="1"/>
        <c:tickMarkSkip val="1"/>
      </c:catAx>
      <c:valAx>
        <c:axId val="102387072"/>
        <c:scaling>
          <c:orientation val="minMax"/>
        </c:scaling>
        <c:axPos val="l"/>
        <c:title>
          <c:tx>
            <c:rich>
              <a:bodyPr rot="0" vert="horz"/>
              <a:lstStyle/>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*-удельный</a:t>
                </a:r>
              </a:p>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 вес в общем </a:t>
                </a:r>
              </a:p>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объеме импорта,%</a:t>
                </a:r>
              </a:p>
            </c:rich>
          </c:tx>
          <c:layout>
            <c:manualLayout>
              <c:xMode val="edge"/>
              <c:yMode val="edge"/>
              <c:x val="0.83865758540200652"/>
              <c:y val="6.6576571950317034E-2"/>
            </c:manualLayout>
          </c:layout>
          <c:spPr>
            <a:noFill/>
            <a:ln w="28727">
              <a:noFill/>
            </a:ln>
          </c:spPr>
        </c:title>
        <c:numFmt formatCode="0.0" sourceLinked="1"/>
        <c:tickLblPos val="nextTo"/>
        <c:txPr>
          <a:bodyPr rot="0" vert="horz"/>
          <a:lstStyle/>
          <a:p>
            <a:pPr>
              <a:defRPr b="1"/>
            </a:pPr>
            <a:endParaRPr lang="ru-RU"/>
          </a:p>
        </c:txPr>
        <c:crossAx val="102385536"/>
        <c:crosses val="autoZero"/>
        <c:crossBetween val="between"/>
      </c:valAx>
    </c:plotArea>
    <c:legend>
      <c:legendPos val="r"/>
      <c:layout>
        <c:manualLayout>
          <c:xMode val="edge"/>
          <c:yMode val="edge"/>
          <c:x val="8.1971350574403565E-2"/>
          <c:y val="0.93962291071669124"/>
          <c:w val="0.87296413539101581"/>
          <c:h val="6.0377089283308823E-2"/>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197">
                <a:latin typeface="Times New Roman" pitchFamily="18" charset="0"/>
                <a:cs typeface="Times New Roman" pitchFamily="18" charset="0"/>
              </a:defRPr>
            </a:pPr>
            <a:r>
              <a:rPr lang="ru-RU" sz="1197">
                <a:latin typeface="Times New Roman" pitchFamily="18" charset="0"/>
                <a:cs typeface="Times New Roman" pitchFamily="18" charset="0"/>
              </a:rPr>
              <a:t>Импорт товаров в разрезе стран, тыс. долл. США</a:t>
            </a:r>
          </a:p>
        </c:rich>
      </c:tx>
      <c:layout>
        <c:manualLayout>
          <c:xMode val="edge"/>
          <c:yMode val="edge"/>
          <c:x val="0.35396053389668553"/>
          <c:y val="3.08383437885876E-3"/>
        </c:manualLayout>
      </c:layout>
      <c:spPr>
        <a:noFill/>
        <a:ln w="25398">
          <a:noFill/>
        </a:ln>
      </c:spPr>
    </c:title>
    <c:plotArea>
      <c:layout>
        <c:manualLayout>
          <c:layoutTarget val="inner"/>
          <c:xMode val="edge"/>
          <c:yMode val="edge"/>
          <c:x val="0.22868419139915203"/>
          <c:y val="9.0047281995887712E-2"/>
          <c:w val="0.77650767058373749"/>
          <c:h val="0.47991202034325653"/>
        </c:manualLayout>
      </c:layout>
      <c:barChart>
        <c:barDir val="col"/>
        <c:grouping val="clustered"/>
        <c:ser>
          <c:idx val="0"/>
          <c:order val="0"/>
          <c:tx>
            <c:strRef>
              <c:f>Лист1!$B$1</c:f>
              <c:strCache>
                <c:ptCount val="1"/>
                <c:pt idx="0">
                  <c:v>январь - июнь 2015 г.</c:v>
                </c:pt>
              </c:strCache>
            </c:strRef>
          </c:tx>
          <c:dLbls>
            <c:dLbl>
              <c:idx val="0"/>
              <c:layout>
                <c:manualLayout>
                  <c:x val="-3.0228500849158561E-3"/>
                  <c:y val="4.2418869826703134E-3"/>
                </c:manualLayout>
              </c:layout>
              <c:tx>
                <c:rich>
                  <a:bodyPr/>
                  <a:lstStyle/>
                  <a:p>
                    <a:r>
                      <a:rPr lang="ru-RU" sz="898" b="1">
                        <a:latin typeface="Times New Roman" pitchFamily="18" charset="0"/>
                        <a:cs typeface="Times New Roman" pitchFamily="18" charset="0"/>
                      </a:rPr>
                      <a:t>58,4*</a:t>
                    </a:r>
                    <a:endParaRPr lang="en-US" sz="900" b="1">
                      <a:latin typeface="Times New Roman" pitchFamily="18" charset="0"/>
                      <a:cs typeface="Times New Roman" pitchFamily="18" charset="0"/>
                    </a:endParaRPr>
                  </a:p>
                </c:rich>
              </c:tx>
              <c:dLblPos val="outEnd"/>
            </c:dLbl>
            <c:dLbl>
              <c:idx val="1"/>
              <c:layout>
                <c:manualLayout>
                  <c:x val="-5.0532194114034793E-3"/>
                  <c:y val="9.7335560327688718E-3"/>
                </c:manualLayout>
              </c:layout>
              <c:tx>
                <c:rich>
                  <a:bodyPr/>
                  <a:lstStyle/>
                  <a:p>
                    <a:r>
                      <a:rPr lang="ru-RU" sz="898" b="1">
                        <a:latin typeface="Times New Roman" pitchFamily="18" charset="0"/>
                        <a:cs typeface="Times New Roman" pitchFamily="18" charset="0"/>
                      </a:rPr>
                      <a:t>11,0*</a:t>
                    </a:r>
                    <a:endParaRPr lang="en-US" sz="900" b="1">
                      <a:latin typeface="Times New Roman" pitchFamily="18" charset="0"/>
                      <a:cs typeface="Times New Roman" pitchFamily="18" charset="0"/>
                    </a:endParaRPr>
                  </a:p>
                </c:rich>
              </c:tx>
              <c:dLblPos val="outEnd"/>
            </c:dLbl>
            <c:dLbl>
              <c:idx val="2"/>
              <c:layout>
                <c:manualLayout>
                  <c:x val="-2.1241315423808998E-3"/>
                  <c:y val="1.3422676470077001E-2"/>
                </c:manualLayout>
              </c:layout>
              <c:tx>
                <c:rich>
                  <a:bodyPr/>
                  <a:lstStyle/>
                  <a:p>
                    <a:r>
                      <a:rPr lang="ru-RU" sz="898" b="1">
                        <a:latin typeface="Times New Roman" pitchFamily="18" charset="0"/>
                        <a:cs typeface="Times New Roman" pitchFamily="18" charset="0"/>
                      </a:rPr>
                      <a:t>6,7*</a:t>
                    </a:r>
                    <a:endParaRPr lang="en-US" sz="900" b="1">
                      <a:latin typeface="Times New Roman" pitchFamily="18" charset="0"/>
                      <a:cs typeface="Times New Roman" pitchFamily="18" charset="0"/>
                    </a:endParaRPr>
                  </a:p>
                </c:rich>
              </c:tx>
              <c:dLblPos val="outEnd"/>
            </c:dLbl>
            <c:dLbl>
              <c:idx val="3"/>
              <c:layout>
                <c:manualLayout>
                  <c:x val="-1.2527404662652909E-3"/>
                  <c:y val="1.8752672472232362E-2"/>
                </c:manualLayout>
              </c:layout>
              <c:tx>
                <c:rich>
                  <a:bodyPr/>
                  <a:lstStyle/>
                  <a:p>
                    <a:r>
                      <a:rPr lang="ru-RU" sz="898" b="1">
                        <a:latin typeface="Times New Roman" pitchFamily="18" charset="0"/>
                        <a:cs typeface="Times New Roman" pitchFamily="18" charset="0"/>
                      </a:rPr>
                      <a:t>3,7*</a:t>
                    </a:r>
                    <a:endParaRPr lang="en-US" sz="900" b="1">
                      <a:latin typeface="Times New Roman" pitchFamily="18" charset="0"/>
                      <a:cs typeface="Times New Roman" pitchFamily="18" charset="0"/>
                    </a:endParaRPr>
                  </a:p>
                </c:rich>
              </c:tx>
              <c:dLblPos val="outEnd"/>
            </c:dLbl>
            <c:dLbl>
              <c:idx val="4"/>
              <c:layout>
                <c:manualLayout>
                  <c:x val="-3.520897368388883E-3"/>
                  <c:y val="1.3422708778503161E-2"/>
                </c:manualLayout>
              </c:layout>
              <c:tx>
                <c:rich>
                  <a:bodyPr/>
                  <a:lstStyle/>
                  <a:p>
                    <a:r>
                      <a:rPr lang="ru-RU" sz="898" b="1">
                        <a:latin typeface="Times New Roman" pitchFamily="18" charset="0"/>
                        <a:cs typeface="Times New Roman" pitchFamily="18" charset="0"/>
                      </a:rPr>
                      <a:t>3,9*</a:t>
                    </a:r>
                    <a:endParaRPr lang="en-US" sz="900" b="1">
                      <a:latin typeface="Times New Roman" pitchFamily="18" charset="0"/>
                      <a:cs typeface="Times New Roman" pitchFamily="18" charset="0"/>
                    </a:endParaRPr>
                  </a:p>
                </c:rich>
              </c:tx>
              <c:dLblPos val="outEnd"/>
            </c:dLbl>
            <c:dLbl>
              <c:idx val="5"/>
              <c:layout>
                <c:manualLayout>
                  <c:x val="-6.9444444444448569E-3"/>
                  <c:y val="0"/>
                </c:manualLayout>
              </c:layout>
              <c:tx>
                <c:rich>
                  <a:bodyPr/>
                  <a:lstStyle/>
                  <a:p>
                    <a:r>
                      <a:rPr lang="ru-RU" sz="898" b="1">
                        <a:latin typeface="Times New Roman" pitchFamily="18" charset="0"/>
                        <a:cs typeface="Times New Roman" pitchFamily="18" charset="0"/>
                      </a:rPr>
                      <a:t>2,2*</a:t>
                    </a:r>
                    <a:endParaRPr lang="en-US" sz="900" b="1">
                      <a:latin typeface="Times New Roman" pitchFamily="18" charset="0"/>
                      <a:cs typeface="Times New Roman" pitchFamily="18" charset="0"/>
                    </a:endParaRPr>
                  </a:p>
                </c:rich>
              </c:tx>
              <c:dLblPos val="outEnd"/>
            </c:dLbl>
            <c:dLbl>
              <c:idx val="6"/>
              <c:layout>
                <c:manualLayout>
                  <c:x val="-7.4268010433377434E-3"/>
                  <c:y val="1.4869888475836441E-2"/>
                </c:manualLayout>
              </c:layout>
              <c:tx>
                <c:rich>
                  <a:bodyPr/>
                  <a:lstStyle/>
                  <a:p>
                    <a:r>
                      <a:rPr lang="ru-RU" sz="898" b="1">
                        <a:latin typeface="Times New Roman" pitchFamily="18" charset="0"/>
                        <a:cs typeface="Times New Roman" pitchFamily="18" charset="0"/>
                      </a:rPr>
                      <a:t>1,4*</a:t>
                    </a:r>
                    <a:endParaRPr lang="en-US" sz="900" b="1">
                      <a:latin typeface="Times New Roman" pitchFamily="18" charset="0"/>
                      <a:cs typeface="Times New Roman" pitchFamily="18" charset="0"/>
                    </a:endParaRPr>
                  </a:p>
                </c:rich>
              </c:tx>
              <c:dLblPos val="outEnd"/>
            </c:dLbl>
            <c:dLbl>
              <c:idx val="7"/>
              <c:layout>
                <c:manualLayout>
                  <c:x val="-1.2636096958468426E-2"/>
                  <c:y val="8.9485668596065073E-3"/>
                </c:manualLayout>
              </c:layout>
              <c:tx>
                <c:rich>
                  <a:bodyPr/>
                  <a:lstStyle/>
                  <a:p>
                    <a:r>
                      <a:rPr lang="ru-RU" sz="898" b="1">
                        <a:latin typeface="Times New Roman" pitchFamily="18" charset="0"/>
                        <a:cs typeface="Times New Roman" pitchFamily="18" charset="0"/>
                      </a:rPr>
                      <a:t>12,7*</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Лист1!$B$2:$B$9</c:f>
              <c:numCache>
                <c:formatCode>#,##0.0</c:formatCode>
                <c:ptCount val="8"/>
                <c:pt idx="0">
                  <c:v>360551.5</c:v>
                </c:pt>
                <c:pt idx="1">
                  <c:v>68009.8</c:v>
                </c:pt>
                <c:pt idx="2">
                  <c:v>41421</c:v>
                </c:pt>
                <c:pt idx="3">
                  <c:v>22578.400000000001</c:v>
                </c:pt>
                <c:pt idx="4">
                  <c:v>24025.7</c:v>
                </c:pt>
                <c:pt idx="5">
                  <c:v>13492.6</c:v>
                </c:pt>
                <c:pt idx="6">
                  <c:v>8519</c:v>
                </c:pt>
                <c:pt idx="7">
                  <c:v>78279.600000000035</c:v>
                </c:pt>
              </c:numCache>
            </c:numRef>
          </c:val>
        </c:ser>
        <c:ser>
          <c:idx val="1"/>
          <c:order val="1"/>
          <c:tx>
            <c:strRef>
              <c:f>Лист1!$C$1</c:f>
              <c:strCache>
                <c:ptCount val="1"/>
                <c:pt idx="0">
                  <c:v>январь - июнь 2016 г.</c:v>
                </c:pt>
              </c:strCache>
            </c:strRef>
          </c:tx>
          <c:dLbls>
            <c:dLbl>
              <c:idx val="0"/>
              <c:layout>
                <c:manualLayout>
                  <c:x val="1.8424116103134169E-2"/>
                  <c:y val="0"/>
                </c:manualLayout>
              </c:layout>
              <c:tx>
                <c:rich>
                  <a:bodyPr/>
                  <a:lstStyle/>
                  <a:p>
                    <a:r>
                      <a:rPr lang="ru-RU" sz="898" b="1">
                        <a:latin typeface="Times New Roman" pitchFamily="18" charset="0"/>
                        <a:cs typeface="Times New Roman" pitchFamily="18" charset="0"/>
                      </a:rPr>
                      <a:t>53,4*</a:t>
                    </a:r>
                    <a:endParaRPr lang="en-US" sz="900" b="1">
                      <a:latin typeface="Times New Roman" pitchFamily="18" charset="0"/>
                      <a:cs typeface="Times New Roman" pitchFamily="18" charset="0"/>
                    </a:endParaRPr>
                  </a:p>
                </c:rich>
              </c:tx>
              <c:dLblPos val="outEnd"/>
            </c:dLbl>
            <c:dLbl>
              <c:idx val="1"/>
              <c:layout>
                <c:manualLayout>
                  <c:x val="1.1864597807626987E-2"/>
                  <c:y val="6.5359545288627002E-3"/>
                </c:manualLayout>
              </c:layout>
              <c:tx>
                <c:rich>
                  <a:bodyPr/>
                  <a:lstStyle/>
                  <a:p>
                    <a:r>
                      <a:rPr lang="ru-RU" sz="898" b="1">
                        <a:latin typeface="Times New Roman" pitchFamily="18" charset="0"/>
                        <a:cs typeface="Times New Roman" pitchFamily="18" charset="0"/>
                      </a:rPr>
                      <a:t>9,3*</a:t>
                    </a:r>
                    <a:endParaRPr lang="en-US" sz="900" b="1">
                      <a:latin typeface="Times New Roman" pitchFamily="18" charset="0"/>
                      <a:cs typeface="Times New Roman" pitchFamily="18" charset="0"/>
                    </a:endParaRPr>
                  </a:p>
                </c:rich>
              </c:tx>
              <c:dLblPos val="outEnd"/>
            </c:dLbl>
            <c:dLbl>
              <c:idx val="2"/>
              <c:layout>
                <c:manualLayout>
                  <c:x val="1.7099319337738322E-2"/>
                  <c:y val="1.3130901740730701E-2"/>
                </c:manualLayout>
              </c:layout>
              <c:tx>
                <c:rich>
                  <a:bodyPr/>
                  <a:lstStyle/>
                  <a:p>
                    <a:r>
                      <a:rPr lang="ru-RU" sz="898" b="1">
                        <a:latin typeface="Times New Roman" pitchFamily="18" charset="0"/>
                        <a:cs typeface="Times New Roman" pitchFamily="18" charset="0"/>
                      </a:rPr>
                      <a:t>7,5*</a:t>
                    </a:r>
                    <a:endParaRPr lang="en-US" sz="900" b="1">
                      <a:latin typeface="Times New Roman" pitchFamily="18" charset="0"/>
                      <a:cs typeface="Times New Roman" pitchFamily="18" charset="0"/>
                    </a:endParaRPr>
                  </a:p>
                </c:rich>
              </c:tx>
              <c:dLblPos val="outEnd"/>
            </c:dLbl>
            <c:dLbl>
              <c:idx val="3"/>
              <c:layout>
                <c:manualLayout>
                  <c:x val="7.8794323698916594E-3"/>
                  <c:y val="2.1432407156002052E-2"/>
                </c:manualLayout>
              </c:layout>
              <c:tx>
                <c:rich>
                  <a:bodyPr/>
                  <a:lstStyle/>
                  <a:p>
                    <a:r>
                      <a:rPr lang="ru-RU" sz="898" b="1">
                        <a:latin typeface="Times New Roman" pitchFamily="18" charset="0"/>
                        <a:cs typeface="Times New Roman" pitchFamily="18" charset="0"/>
                      </a:rPr>
                      <a:t>3,0*</a:t>
                    </a:r>
                    <a:endParaRPr lang="en-US" sz="900" b="1">
                      <a:latin typeface="Times New Roman" pitchFamily="18" charset="0"/>
                      <a:cs typeface="Times New Roman" pitchFamily="18" charset="0"/>
                    </a:endParaRPr>
                  </a:p>
                </c:rich>
              </c:tx>
              <c:dLblPos val="outEnd"/>
            </c:dLbl>
            <c:dLbl>
              <c:idx val="4"/>
              <c:layout>
                <c:manualLayout>
                  <c:x val="1.0321290721012817E-2"/>
                  <c:y val="8.8296744363908167E-3"/>
                </c:manualLayout>
              </c:layout>
              <c:tx>
                <c:rich>
                  <a:bodyPr/>
                  <a:lstStyle/>
                  <a:p>
                    <a:r>
                      <a:rPr lang="ru-RU" sz="898" b="1">
                        <a:latin typeface="Times New Roman" pitchFamily="18" charset="0"/>
                        <a:cs typeface="Times New Roman" pitchFamily="18" charset="0"/>
                      </a:rPr>
                      <a:t>4,0*</a:t>
                    </a:r>
                    <a:endParaRPr lang="en-US" sz="900" b="1">
                      <a:latin typeface="Times New Roman" pitchFamily="18" charset="0"/>
                      <a:cs typeface="Times New Roman" pitchFamily="18" charset="0"/>
                    </a:endParaRPr>
                  </a:p>
                </c:rich>
              </c:tx>
              <c:dLblPos val="outEnd"/>
            </c:dLbl>
            <c:dLbl>
              <c:idx val="5"/>
              <c:layout>
                <c:manualLayout>
                  <c:x val="9.9672687972827047E-3"/>
                  <c:y val="-1.7764335749422826E-4"/>
                </c:manualLayout>
              </c:layout>
              <c:tx>
                <c:rich>
                  <a:bodyPr/>
                  <a:lstStyle/>
                  <a:p>
                    <a:r>
                      <a:rPr lang="ru-RU" sz="898" b="1">
                        <a:latin typeface="Times New Roman" pitchFamily="18" charset="0"/>
                        <a:cs typeface="Times New Roman" pitchFamily="18" charset="0"/>
                      </a:rPr>
                      <a:t>2,2*</a:t>
                    </a:r>
                    <a:endParaRPr lang="en-US" sz="900" b="1">
                      <a:latin typeface="Times New Roman" pitchFamily="18" charset="0"/>
                      <a:cs typeface="Times New Roman" pitchFamily="18" charset="0"/>
                    </a:endParaRPr>
                  </a:p>
                </c:rich>
              </c:tx>
              <c:dLblPos val="outEnd"/>
            </c:dLbl>
            <c:dLbl>
              <c:idx val="6"/>
              <c:layout>
                <c:manualLayout>
                  <c:x val="1.1574002944753857E-2"/>
                  <c:y val="9.4562647754137547E-3"/>
                </c:manualLayout>
              </c:layout>
              <c:tx>
                <c:rich>
                  <a:bodyPr/>
                  <a:lstStyle/>
                  <a:p>
                    <a:r>
                      <a:rPr lang="ru-RU" sz="898" b="1">
                        <a:latin typeface="Times New Roman" pitchFamily="18" charset="0"/>
                        <a:cs typeface="Times New Roman" pitchFamily="18" charset="0"/>
                      </a:rPr>
                      <a:t>1,9*</a:t>
                    </a:r>
                    <a:endParaRPr lang="en-US" sz="900" b="1">
                      <a:latin typeface="Times New Roman" pitchFamily="18" charset="0"/>
                      <a:cs typeface="Times New Roman" pitchFamily="18" charset="0"/>
                    </a:endParaRPr>
                  </a:p>
                </c:rich>
              </c:tx>
              <c:dLblPos val="outEnd"/>
            </c:dLbl>
            <c:dLbl>
              <c:idx val="7"/>
              <c:layout>
                <c:manualLayout>
                  <c:x val="1.0951763651494778E-2"/>
                  <c:y val="7.5461489299654023E-3"/>
                </c:manualLayout>
              </c:layout>
              <c:tx>
                <c:rich>
                  <a:bodyPr/>
                  <a:lstStyle/>
                  <a:p>
                    <a:r>
                      <a:rPr lang="ru-RU" sz="898" b="1">
                        <a:latin typeface="Times New Roman" pitchFamily="18" charset="0"/>
                        <a:cs typeface="Times New Roman" pitchFamily="18" charset="0"/>
                      </a:rPr>
                      <a:t>18,7*</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Лист1!$C$2:$C$9</c:f>
              <c:numCache>
                <c:formatCode>#,##0.0</c:formatCode>
                <c:ptCount val="8"/>
                <c:pt idx="0">
                  <c:v>225826.2</c:v>
                </c:pt>
                <c:pt idx="1">
                  <c:v>39400.6</c:v>
                </c:pt>
                <c:pt idx="2">
                  <c:v>31841.5</c:v>
                </c:pt>
                <c:pt idx="3">
                  <c:v>12595.5</c:v>
                </c:pt>
                <c:pt idx="4">
                  <c:v>17073.3</c:v>
                </c:pt>
                <c:pt idx="5">
                  <c:v>9163.4</c:v>
                </c:pt>
                <c:pt idx="6">
                  <c:v>8123.5</c:v>
                </c:pt>
                <c:pt idx="7">
                  <c:v>79222.599999999977</c:v>
                </c:pt>
              </c:numCache>
            </c:numRef>
          </c:val>
        </c:ser>
        <c:dLbls>
          <c:showVal val="1"/>
        </c:dLbls>
        <c:axId val="102343808"/>
        <c:axId val="102345344"/>
      </c:barChart>
      <c:catAx>
        <c:axId val="102343808"/>
        <c:scaling>
          <c:orientation val="minMax"/>
        </c:scaling>
        <c:axPos val="b"/>
        <c:numFmt formatCode="General" sourceLinked="1"/>
        <c:tickLblPos val="nextTo"/>
        <c:crossAx val="102345344"/>
        <c:crosses val="autoZero"/>
        <c:auto val="1"/>
        <c:lblAlgn val="ctr"/>
        <c:lblOffset val="100"/>
      </c:catAx>
      <c:valAx>
        <c:axId val="102345344"/>
        <c:scaling>
          <c:orientation val="minMax"/>
        </c:scaling>
        <c:axPos val="l"/>
        <c:title>
          <c:tx>
            <c:rich>
              <a:bodyPr rot="0" vert="horz"/>
              <a:lstStyle/>
              <a:p>
                <a:pPr algn="ctr">
                  <a:defRPr sz="895" b="0" i="0" u="none" strike="noStrike" baseline="0">
                    <a:solidFill>
                      <a:srgbClr val="000000"/>
                    </a:solidFill>
                    <a:latin typeface="Times New Roman"/>
                    <a:ea typeface="Times New Roman"/>
                    <a:cs typeface="Times New Roman"/>
                  </a:defRPr>
                </a:pPr>
                <a:r>
                  <a:rPr lang="ru-RU" b="1"/>
                  <a:t>*- удельный вес страны в общем импорте,%</a:t>
                </a:r>
              </a:p>
            </c:rich>
          </c:tx>
          <c:layout>
            <c:manualLayout>
              <c:xMode val="edge"/>
              <c:yMode val="edge"/>
              <c:x val="0.77609662711290173"/>
              <c:y val="0.11262249258553872"/>
            </c:manualLayout>
          </c:layout>
          <c:spPr>
            <a:noFill/>
            <a:ln w="25398">
              <a:noFill/>
            </a:ln>
          </c:spPr>
        </c:title>
        <c:numFmt formatCode="#,##0.0" sourceLinked="1"/>
        <c:tickLblPos val="nextTo"/>
        <c:txPr>
          <a:bodyPr/>
          <a:lstStyle/>
          <a:p>
            <a:pPr>
              <a:defRPr sz="900" b="1">
                <a:latin typeface="Times New Roman" pitchFamily="18" charset="0"/>
                <a:cs typeface="Times New Roman" pitchFamily="18" charset="0"/>
              </a:defRPr>
            </a:pPr>
            <a:endParaRPr lang="ru-RU"/>
          </a:p>
        </c:txPr>
        <c:crossAx val="102343808"/>
        <c:crosses val="autoZero"/>
        <c:crossBetween val="between"/>
        <c:dispUnits>
          <c:builtInUnit val="thousands"/>
        </c:dispUnits>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legend>
      <c:legendPos val="r"/>
      <c:layout>
        <c:manualLayout>
          <c:xMode val="edge"/>
          <c:yMode val="edge"/>
          <c:x val="0.2371560221638962"/>
          <c:y val="0.92405940843932965"/>
          <c:w val="0.5148166034801207"/>
          <c:h val="5.2080052493438313E-2"/>
        </c:manualLayout>
      </c:layout>
      <c:txPr>
        <a:bodyPr/>
        <a:lstStyle/>
        <a:p>
          <a:pPr>
            <a:defRPr sz="898">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62709597606268E-2"/>
          <c:y val="7.2690989962132913E-2"/>
          <c:w val="0.89483976127188014"/>
          <c:h val="0.5517698262400843"/>
        </c:manualLayout>
      </c:layout>
      <c:lineChart>
        <c:grouping val="standard"/>
        <c:ser>
          <c:idx val="3"/>
          <c:order val="3"/>
          <c:tx>
            <c:strRef>
              <c:f>Лист1!$C$1</c:f>
              <c:strCache>
                <c:ptCount val="1"/>
                <c:pt idx="0">
                  <c:v>I полугодие 2015</c:v>
                </c:pt>
              </c:strCache>
            </c:strRef>
          </c:tx>
          <c:cat>
            <c:strRef>
              <c:f>Лист1!$A$2:$A$7</c:f>
              <c:strCache>
                <c:ptCount val="6"/>
                <c:pt idx="0">
                  <c:v>январь</c:v>
                </c:pt>
                <c:pt idx="1">
                  <c:v>февраль</c:v>
                </c:pt>
                <c:pt idx="2">
                  <c:v>март</c:v>
                </c:pt>
                <c:pt idx="3">
                  <c:v>апрель</c:v>
                </c:pt>
                <c:pt idx="4">
                  <c:v>май</c:v>
                </c:pt>
                <c:pt idx="5">
                  <c:v>июнь</c:v>
                </c:pt>
              </c:strCache>
            </c:strRef>
          </c:cat>
          <c:val>
            <c:numRef>
              <c:f>Лист1!$C$2:$C$7</c:f>
              <c:numCache>
                <c:formatCode>0.0</c:formatCode>
                <c:ptCount val="6"/>
                <c:pt idx="0" formatCode="General">
                  <c:v>601.9</c:v>
                </c:pt>
                <c:pt idx="1">
                  <c:v>609</c:v>
                </c:pt>
                <c:pt idx="2" formatCode="General">
                  <c:v>719.1</c:v>
                </c:pt>
                <c:pt idx="3" formatCode="General">
                  <c:v>693.7</c:v>
                </c:pt>
                <c:pt idx="4" formatCode="General">
                  <c:v>766.6</c:v>
                </c:pt>
                <c:pt idx="5" formatCode="General">
                  <c:v>860</c:v>
                </c:pt>
              </c:numCache>
            </c:numRef>
          </c:val>
        </c:ser>
        <c:ser>
          <c:idx val="4"/>
          <c:order val="4"/>
          <c:tx>
            <c:strRef>
              <c:f>Лист1!$C$1</c:f>
              <c:strCache>
                <c:ptCount val="1"/>
                <c:pt idx="0">
                  <c:v>I полугодие 2015</c:v>
                </c:pt>
              </c:strCache>
            </c:strRef>
          </c:tx>
          <c:cat>
            <c:strRef>
              <c:f>Лист1!$A$2:$A$7</c:f>
              <c:strCache>
                <c:ptCount val="6"/>
                <c:pt idx="0">
                  <c:v>январь</c:v>
                </c:pt>
                <c:pt idx="1">
                  <c:v>февраль</c:v>
                </c:pt>
                <c:pt idx="2">
                  <c:v>март</c:v>
                </c:pt>
                <c:pt idx="3">
                  <c:v>апрель</c:v>
                </c:pt>
                <c:pt idx="4">
                  <c:v>май</c:v>
                </c:pt>
                <c:pt idx="5">
                  <c:v>июнь</c:v>
                </c:pt>
              </c:strCache>
            </c:strRef>
          </c:cat>
          <c:val>
            <c:numRef>
              <c:f>Лист1!$C$2:$C$7</c:f>
              <c:numCache>
                <c:formatCode>0.0</c:formatCode>
                <c:ptCount val="6"/>
                <c:pt idx="0" formatCode="General">
                  <c:v>601.9</c:v>
                </c:pt>
                <c:pt idx="1">
                  <c:v>609</c:v>
                </c:pt>
                <c:pt idx="2" formatCode="General">
                  <c:v>719.1</c:v>
                </c:pt>
                <c:pt idx="3" formatCode="General">
                  <c:v>693.7</c:v>
                </c:pt>
                <c:pt idx="4" formatCode="General">
                  <c:v>766.6</c:v>
                </c:pt>
                <c:pt idx="5" formatCode="General">
                  <c:v>860</c:v>
                </c:pt>
              </c:numCache>
            </c:numRef>
          </c:val>
        </c:ser>
        <c:ser>
          <c:idx val="0"/>
          <c:order val="0"/>
          <c:tx>
            <c:strRef>
              <c:f>Лист1!$B$1</c:f>
              <c:strCache>
                <c:ptCount val="1"/>
                <c:pt idx="0">
                  <c:v>I полугодие 2016</c:v>
                </c:pt>
              </c:strCache>
            </c:strRef>
          </c:tx>
          <c:spPr>
            <a:ln>
              <a:solidFill>
                <a:schemeClr val="accent3">
                  <a:lumMod val="75000"/>
                </a:schemeClr>
              </a:solidFill>
            </a:ln>
          </c:spPr>
          <c:dLbls>
            <c:dLbl>
              <c:idx val="0"/>
              <c:layout>
                <c:manualLayout>
                  <c:x val="-3.9910059013324006E-2"/>
                  <c:y val="0.13337822427368515"/>
                </c:manualLayout>
              </c:layout>
              <c:tx>
                <c:rich>
                  <a:bodyPr/>
                  <a:lstStyle/>
                  <a:p>
                    <a:r>
                      <a:rPr lang="ru-RU" sz="800" b="1">
                        <a:latin typeface="Times New Roman" pitchFamily="18" charset="0"/>
                        <a:cs typeface="Times New Roman" pitchFamily="18" charset="0"/>
                      </a:rPr>
                      <a:t>82,0%*</a:t>
                    </a:r>
                    <a:endParaRPr lang="en-US" sz="800" b="1">
                      <a:latin typeface="Times New Roman" pitchFamily="18" charset="0"/>
                      <a:cs typeface="Times New Roman" pitchFamily="18" charset="0"/>
                    </a:endParaRPr>
                  </a:p>
                </c:rich>
              </c:tx>
              <c:dLblPos val="r"/>
            </c:dLbl>
            <c:dLbl>
              <c:idx val="1"/>
              <c:layout>
                <c:manualLayout>
                  <c:x val="-4.3368273233362023E-2"/>
                  <c:y val="0.22586462406484867"/>
                </c:manualLayout>
              </c:layout>
              <c:tx>
                <c:rich>
                  <a:bodyPr/>
                  <a:lstStyle/>
                  <a:p>
                    <a:r>
                      <a:rPr lang="ru-RU" sz="800" b="1">
                        <a:latin typeface="Times New Roman" pitchFamily="18" charset="0"/>
                        <a:cs typeface="Times New Roman" pitchFamily="18" charset="0"/>
                      </a:rPr>
                      <a:t>77,0%*</a:t>
                    </a:r>
                    <a:endParaRPr lang="en-US" sz="800" b="1">
                      <a:latin typeface="Times New Roman" pitchFamily="18" charset="0"/>
                      <a:cs typeface="Times New Roman" pitchFamily="18" charset="0"/>
                    </a:endParaRPr>
                  </a:p>
                </c:rich>
              </c:tx>
              <c:dLblPos val="r"/>
            </c:dLbl>
            <c:dLbl>
              <c:idx val="2"/>
              <c:layout>
                <c:manualLayout>
                  <c:x val="-4.3053479779995713E-2"/>
                  <c:y val="0.23682577608833377"/>
                </c:manualLayout>
              </c:layout>
              <c:tx>
                <c:rich>
                  <a:bodyPr/>
                  <a:lstStyle/>
                  <a:p>
                    <a:r>
                      <a:rPr lang="ru-RU" sz="800" b="1">
                        <a:latin typeface="Times New Roman" pitchFamily="18" charset="0"/>
                        <a:cs typeface="Times New Roman" pitchFamily="18" charset="0"/>
                      </a:rPr>
                      <a:t>92,0%*</a:t>
                    </a:r>
                    <a:endParaRPr lang="en-US" sz="800" b="1">
                      <a:latin typeface="Times New Roman" pitchFamily="18" charset="0"/>
                      <a:cs typeface="Times New Roman" pitchFamily="18" charset="0"/>
                    </a:endParaRPr>
                  </a:p>
                </c:rich>
              </c:tx>
              <c:dLblPos val="r"/>
            </c:dLbl>
            <c:dLbl>
              <c:idx val="3"/>
              <c:layout>
                <c:manualLayout>
                  <c:x val="-3.3237541167226894E-2"/>
                  <c:y val="-9.5409502383631065E-2"/>
                </c:manualLayout>
              </c:layout>
              <c:tx>
                <c:rich>
                  <a:bodyPr/>
                  <a:lstStyle/>
                  <a:p>
                    <a:r>
                      <a:rPr lang="ru-RU" sz="800" b="1">
                        <a:latin typeface="Times New Roman" pitchFamily="18" charset="0"/>
                        <a:cs typeface="Times New Roman" pitchFamily="18" charset="0"/>
                      </a:rPr>
                      <a:t>99,9%*</a:t>
                    </a:r>
                    <a:endParaRPr lang="en-US" sz="800" b="1">
                      <a:latin typeface="Times New Roman" pitchFamily="18" charset="0"/>
                      <a:cs typeface="Times New Roman" pitchFamily="18" charset="0"/>
                    </a:endParaRPr>
                  </a:p>
                </c:rich>
              </c:tx>
              <c:dLblPos val="r"/>
            </c:dLbl>
            <c:dLbl>
              <c:idx val="4"/>
              <c:layout>
                <c:manualLayout>
                  <c:x val="-3.9034053864286072E-2"/>
                  <c:y val="0.11195759620956275"/>
                </c:manualLayout>
              </c:layout>
              <c:tx>
                <c:rich>
                  <a:bodyPr/>
                  <a:lstStyle/>
                  <a:p>
                    <a:r>
                      <a:rPr lang="ru-RU" sz="800" b="1">
                        <a:latin typeface="Times New Roman" pitchFamily="18" charset="0"/>
                        <a:cs typeface="Times New Roman" pitchFamily="18" charset="0"/>
                      </a:rPr>
                      <a:t>94,0%*</a:t>
                    </a:r>
                    <a:endParaRPr lang="en-US" sz="800" b="1">
                      <a:latin typeface="Times New Roman" pitchFamily="18" charset="0"/>
                      <a:cs typeface="Times New Roman" pitchFamily="18" charset="0"/>
                    </a:endParaRPr>
                  </a:p>
                </c:rich>
              </c:tx>
              <c:dLblPos val="r"/>
            </c:dLbl>
            <c:dLbl>
              <c:idx val="5"/>
              <c:layout>
                <c:manualLayout>
                  <c:x val="-3.7440397230099252E-2"/>
                  <c:y val="8.6535433070868764E-2"/>
                </c:manualLayout>
              </c:layout>
              <c:tx>
                <c:rich>
                  <a:bodyPr/>
                  <a:lstStyle/>
                  <a:p>
                    <a:r>
                      <a:rPr lang="ru-RU" sz="800" b="1">
                        <a:latin typeface="Times New Roman" pitchFamily="18" charset="0"/>
                        <a:cs typeface="Times New Roman" pitchFamily="18" charset="0"/>
                      </a:rPr>
                      <a:t>81,6%*</a:t>
                    </a:r>
                    <a:endParaRPr lang="en-US" sz="800" b="1">
                      <a:latin typeface="Times New Roman" pitchFamily="18" charset="0"/>
                      <a:cs typeface="Times New Roman" pitchFamily="18" charset="0"/>
                    </a:endParaRPr>
                  </a:p>
                </c:rich>
              </c:tx>
              <c:dLblPos val="r"/>
            </c:dLbl>
            <c:dLbl>
              <c:idx val="6"/>
              <c:layout>
                <c:manualLayout>
                  <c:x val="-3.6785486821875352E-2"/>
                  <c:y val="0.12217258556966112"/>
                </c:manualLayout>
              </c:layout>
              <c:tx>
                <c:rich>
                  <a:bodyPr/>
                  <a:lstStyle/>
                  <a:p>
                    <a:r>
                      <a:rPr lang="ru-RU" sz="800" b="1">
                        <a:latin typeface="Times New Roman" pitchFamily="18" charset="0"/>
                        <a:cs typeface="Times New Roman" pitchFamily="18" charset="0"/>
                      </a:rPr>
                      <a:t>178,0%*</a:t>
                    </a:r>
                    <a:endParaRPr lang="en-US" sz="800" b="1">
                      <a:latin typeface="Times New Roman" pitchFamily="18" charset="0"/>
                      <a:cs typeface="Times New Roman" pitchFamily="18" charset="0"/>
                    </a:endParaRPr>
                  </a:p>
                </c:rich>
              </c:tx>
              <c:dLblPos val="r"/>
            </c:dLbl>
            <c:dLbl>
              <c:idx val="7"/>
              <c:layout>
                <c:manualLayout>
                  <c:x val="-1.6649588044153871E-2"/>
                  <c:y val="-0.14777706358134607"/>
                </c:manualLayout>
              </c:layout>
              <c:tx>
                <c:rich>
                  <a:bodyPr/>
                  <a:lstStyle/>
                  <a:p>
                    <a:r>
                      <a:rPr lang="ru-RU" sz="800" b="1">
                        <a:latin typeface="Times New Roman" pitchFamily="18" charset="0"/>
                        <a:cs typeface="Times New Roman" pitchFamily="18" charset="0"/>
                      </a:rPr>
                      <a:t>101,6%*</a:t>
                    </a:r>
                    <a:endParaRPr lang="en-US" sz="800" b="1">
                      <a:latin typeface="Times New Roman" pitchFamily="18" charset="0"/>
                      <a:cs typeface="Times New Roman" pitchFamily="18" charset="0"/>
                    </a:endParaRPr>
                  </a:p>
                </c:rich>
              </c:tx>
              <c:dLblPos val="r"/>
            </c:dLbl>
            <c:dLbl>
              <c:idx val="8"/>
              <c:layout>
                <c:manualLayout>
                  <c:x val="-2.6881945318156599E-2"/>
                  <c:y val="7.8326021660919384E-2"/>
                </c:manualLayout>
              </c:layout>
              <c:tx>
                <c:rich>
                  <a:bodyPr/>
                  <a:lstStyle/>
                  <a:p>
                    <a:r>
                      <a:rPr lang="ru-RU" sz="800" b="1">
                        <a:latin typeface="Times New Roman" pitchFamily="18" charset="0"/>
                        <a:cs typeface="Times New Roman" pitchFamily="18" charset="0"/>
                      </a:rPr>
                      <a:t>92,2%*</a:t>
                    </a:r>
                    <a:endParaRPr lang="en-US" sz="800" b="1">
                      <a:latin typeface="Times New Roman" pitchFamily="18" charset="0"/>
                      <a:cs typeface="Times New Roman" pitchFamily="18" charset="0"/>
                    </a:endParaRPr>
                  </a:p>
                </c:rich>
              </c:tx>
              <c:dLblPos val="r"/>
            </c:dLbl>
            <c:dLbl>
              <c:idx val="9"/>
              <c:layout>
                <c:manualLayout>
                  <c:x val="-2.8823407345922401E-2"/>
                  <c:y val="8.8067264516075744E-2"/>
                </c:manualLayout>
              </c:layout>
              <c:tx>
                <c:rich>
                  <a:bodyPr/>
                  <a:lstStyle/>
                  <a:p>
                    <a:r>
                      <a:rPr lang="ru-RU" sz="800" b="1">
                        <a:latin typeface="Times New Roman" pitchFamily="18" charset="0"/>
                        <a:cs typeface="Times New Roman" pitchFamily="18" charset="0"/>
                      </a:rPr>
                      <a:t>92,1%*</a:t>
                    </a:r>
                    <a:endParaRPr lang="en-US" sz="800" b="1">
                      <a:latin typeface="Times New Roman" pitchFamily="18" charset="0"/>
                      <a:cs typeface="Times New Roman" pitchFamily="18" charset="0"/>
                    </a:endParaRPr>
                  </a:p>
                </c:rich>
              </c:tx>
              <c:dLblPos val="r"/>
            </c:dLbl>
            <c:dLbl>
              <c:idx val="10"/>
              <c:layout>
                <c:manualLayout>
                  <c:x val="-2.892340522178451E-2"/>
                  <c:y val="9.4177784857447502E-2"/>
                </c:manualLayout>
              </c:layout>
              <c:tx>
                <c:rich>
                  <a:bodyPr/>
                  <a:lstStyle/>
                  <a:p>
                    <a:r>
                      <a:rPr lang="ru-RU" sz="800"/>
                      <a:t>78,0%*</a:t>
                    </a:r>
                    <a:endParaRPr lang="en-US" sz="800"/>
                  </a:p>
                </c:rich>
              </c:tx>
              <c:dLblPos val="r"/>
            </c:dLbl>
            <c:dLbl>
              <c:idx val="11"/>
              <c:layout>
                <c:manualLayout>
                  <c:x val="0"/>
                  <c:y val="5.8477115206795716E-2"/>
                </c:manualLayout>
              </c:layout>
              <c:tx>
                <c:rich>
                  <a:bodyPr/>
                  <a:lstStyle/>
                  <a:p>
                    <a:r>
                      <a:rPr lang="ru-RU" sz="800"/>
                      <a:t>85,9%*</a:t>
                    </a:r>
                    <a:endParaRPr lang="en-US" sz="800"/>
                  </a:p>
                </c:rich>
              </c:tx>
              <c:dLblPos val="r"/>
            </c:dLbl>
            <c:spPr>
              <a:noFill/>
              <a:ln w="24917">
                <a:noFill/>
              </a:ln>
            </c:spPr>
            <c:txPr>
              <a:bodyPr/>
              <a:lstStyle/>
              <a:p>
                <a:pPr>
                  <a:defRPr sz="800" b="1">
                    <a:latin typeface="Times New Roman" pitchFamily="18" charset="0"/>
                    <a:cs typeface="Times New Roman" pitchFamily="18" charset="0"/>
                  </a:defRPr>
                </a:pPr>
                <a:endParaRPr lang="ru-RU"/>
              </a:p>
            </c:txPr>
            <c:showVal val="1"/>
          </c:dLbls>
          <c:cat>
            <c:strRef>
              <c:f>Лист1!$A$2:$A$7</c:f>
              <c:strCache>
                <c:ptCount val="6"/>
                <c:pt idx="0">
                  <c:v>январь</c:v>
                </c:pt>
                <c:pt idx="1">
                  <c:v>февраль</c:v>
                </c:pt>
                <c:pt idx="2">
                  <c:v>март</c:v>
                </c:pt>
                <c:pt idx="3">
                  <c:v>апрель</c:v>
                </c:pt>
                <c:pt idx="4">
                  <c:v>май</c:v>
                </c:pt>
                <c:pt idx="5">
                  <c:v>июнь</c:v>
                </c:pt>
              </c:strCache>
            </c:strRef>
          </c:cat>
          <c:val>
            <c:numRef>
              <c:f>Лист1!$B$2:$B$7</c:f>
              <c:numCache>
                <c:formatCode>General</c:formatCode>
                <c:ptCount val="6"/>
                <c:pt idx="0">
                  <c:v>613.29999999999995</c:v>
                </c:pt>
                <c:pt idx="1">
                  <c:v>733.9</c:v>
                </c:pt>
                <c:pt idx="2">
                  <c:v>894.2</c:v>
                </c:pt>
                <c:pt idx="3">
                  <c:v>693.4</c:v>
                </c:pt>
                <c:pt idx="4" formatCode="0.0">
                  <c:v>721</c:v>
                </c:pt>
                <c:pt idx="5">
                  <c:v>701.8</c:v>
                </c:pt>
              </c:numCache>
            </c:numRef>
          </c:val>
        </c:ser>
        <c:ser>
          <c:idx val="1"/>
          <c:order val="1"/>
          <c:tx>
            <c:strRef>
              <c:f>Лист1!$C$1</c:f>
              <c:strCache>
                <c:ptCount val="1"/>
                <c:pt idx="0">
                  <c:v>I полугодие 2015</c:v>
                </c:pt>
              </c:strCache>
            </c:strRef>
          </c:tx>
          <c:dLbls>
            <c:dLbl>
              <c:idx val="0"/>
              <c:layout>
                <c:manualLayout>
                  <c:x val="-4.4524633465402814E-2"/>
                  <c:y val="-0.13819313965064711"/>
                </c:manualLayout>
              </c:layout>
              <c:tx>
                <c:rich>
                  <a:bodyPr/>
                  <a:lstStyle/>
                  <a:p>
                    <a:r>
                      <a:rPr lang="ru-RU" sz="800" b="1">
                        <a:latin typeface="Times New Roman" pitchFamily="18" charset="0"/>
                        <a:cs typeface="Times New Roman" pitchFamily="18" charset="0"/>
                      </a:rPr>
                      <a:t>101,9%*</a:t>
                    </a:r>
                    <a:endParaRPr lang="en-US" sz="800" b="1">
                      <a:latin typeface="Times New Roman" pitchFamily="18" charset="0"/>
                      <a:cs typeface="Times New Roman" pitchFamily="18" charset="0"/>
                    </a:endParaRPr>
                  </a:p>
                </c:rich>
              </c:tx>
              <c:dLblPos val="r"/>
            </c:dLbl>
            <c:dLbl>
              <c:idx val="1"/>
              <c:layout>
                <c:manualLayout>
                  <c:x val="-4.7770031930724162E-2"/>
                  <c:y val="-0.16468655703751317"/>
                </c:manualLayout>
              </c:layout>
              <c:tx>
                <c:rich>
                  <a:bodyPr/>
                  <a:lstStyle/>
                  <a:p>
                    <a:r>
                      <a:rPr lang="ru-RU" sz="800" b="1">
                        <a:latin typeface="Times New Roman" pitchFamily="18" charset="0"/>
                        <a:cs typeface="Times New Roman" pitchFamily="18" charset="0"/>
                      </a:rPr>
                      <a:t>120,5%*</a:t>
                    </a:r>
                    <a:endParaRPr lang="en-US" sz="800" b="1">
                      <a:latin typeface="Times New Roman" pitchFamily="18" charset="0"/>
                      <a:cs typeface="Times New Roman" pitchFamily="18" charset="0"/>
                    </a:endParaRPr>
                  </a:p>
                </c:rich>
              </c:tx>
              <c:dLblPos val="r"/>
            </c:dLbl>
            <c:dLbl>
              <c:idx val="2"/>
              <c:layout>
                <c:manualLayout>
                  <c:x val="-4.7740107327348923E-2"/>
                  <c:y val="-0.21455986967146698"/>
                </c:manualLayout>
              </c:layout>
              <c:tx>
                <c:rich>
                  <a:bodyPr/>
                  <a:lstStyle/>
                  <a:p>
                    <a:r>
                      <a:rPr lang="ru-RU" sz="800" b="1">
                        <a:latin typeface="Times New Roman" pitchFamily="18" charset="0"/>
                        <a:cs typeface="Times New Roman" pitchFamily="18" charset="0"/>
                      </a:rPr>
                      <a:t>124,4%*</a:t>
                    </a:r>
                    <a:endParaRPr lang="en-US" sz="800" b="1">
                      <a:latin typeface="Times New Roman" pitchFamily="18" charset="0"/>
                      <a:cs typeface="Times New Roman" pitchFamily="18" charset="0"/>
                    </a:endParaRPr>
                  </a:p>
                </c:rich>
              </c:tx>
              <c:dLblPos val="r"/>
            </c:dLbl>
            <c:dLbl>
              <c:idx val="3"/>
              <c:layout>
                <c:manualLayout>
                  <c:x val="-3.4712372736847401E-2"/>
                  <c:y val="0.10131733533308335"/>
                </c:manualLayout>
              </c:layout>
              <c:tx>
                <c:rich>
                  <a:bodyPr/>
                  <a:lstStyle/>
                  <a:p>
                    <a:r>
                      <a:rPr lang="ru-RU" sz="800" b="1">
                        <a:latin typeface="Times New Roman" pitchFamily="18" charset="0"/>
                        <a:cs typeface="Times New Roman" pitchFamily="18" charset="0"/>
                      </a:rPr>
                      <a:t>81,2%*</a:t>
                    </a:r>
                    <a:endParaRPr lang="en-US" sz="800" b="1">
                      <a:latin typeface="Times New Roman" pitchFamily="18" charset="0"/>
                      <a:cs typeface="Times New Roman" pitchFamily="18" charset="0"/>
                    </a:endParaRPr>
                  </a:p>
                </c:rich>
              </c:tx>
              <c:dLblPos val="r"/>
            </c:dLbl>
            <c:dLbl>
              <c:idx val="4"/>
              <c:layout>
                <c:manualLayout>
                  <c:x val="-4.3533276493304567E-2"/>
                  <c:y val="-0.14436990830691621"/>
                </c:manualLayout>
              </c:layout>
              <c:tx>
                <c:rich>
                  <a:bodyPr/>
                  <a:lstStyle/>
                  <a:p>
                    <a:pPr>
                      <a:defRPr sz="800" b="1">
                        <a:solidFill>
                          <a:srgbClr val="FF0000"/>
                        </a:solidFill>
                        <a:latin typeface="Times New Roman" pitchFamily="18" charset="0"/>
                        <a:cs typeface="Times New Roman" pitchFamily="18" charset="0"/>
                      </a:defRPr>
                    </a:pPr>
                    <a:r>
                      <a:rPr lang="ru-RU" sz="800" b="1">
                        <a:solidFill>
                          <a:sysClr val="windowText" lastClr="000000"/>
                        </a:solidFill>
                        <a:latin typeface="Times New Roman" pitchFamily="18" charset="0"/>
                        <a:cs typeface="Times New Roman" pitchFamily="18" charset="0"/>
                      </a:rPr>
                      <a:t>97,4%*</a:t>
                    </a:r>
                    <a:endParaRPr lang="en-US" sz="800" b="1">
                      <a:solidFill>
                        <a:sysClr val="windowText" lastClr="000000"/>
                      </a:solidFill>
                      <a:latin typeface="Times New Roman" pitchFamily="18" charset="0"/>
                      <a:cs typeface="Times New Roman" pitchFamily="18" charset="0"/>
                    </a:endParaRPr>
                  </a:p>
                </c:rich>
              </c:tx>
              <c:spPr>
                <a:noFill/>
                <a:ln w="24917">
                  <a:noFill/>
                </a:ln>
              </c:spPr>
              <c:dLblPos val="r"/>
            </c:dLbl>
            <c:dLbl>
              <c:idx val="5"/>
              <c:layout>
                <c:manualLayout>
                  <c:x val="-4.5493755955664884E-2"/>
                  <c:y val="-9.4529092954293348E-2"/>
                </c:manualLayout>
              </c:layout>
              <c:tx>
                <c:rich>
                  <a:bodyPr/>
                  <a:lstStyle/>
                  <a:p>
                    <a:r>
                      <a:rPr lang="ru-RU" sz="800" b="1">
                        <a:latin typeface="Times New Roman" pitchFamily="18" charset="0"/>
                        <a:cs typeface="Times New Roman" pitchFamily="18" charset="0"/>
                      </a:rPr>
                      <a:t>94,3%*</a:t>
                    </a:r>
                    <a:endParaRPr lang="en-US" sz="800" b="1">
                      <a:latin typeface="Times New Roman" pitchFamily="18" charset="0"/>
                      <a:cs typeface="Times New Roman" pitchFamily="18" charset="0"/>
                    </a:endParaRPr>
                  </a:p>
                </c:rich>
              </c:tx>
              <c:dLblPos val="r"/>
            </c:dLbl>
            <c:dLbl>
              <c:idx val="6"/>
              <c:layout>
                <c:manualLayout>
                  <c:x val="-1.4066456530646178E-2"/>
                  <c:y val="-7.0448336815041826E-2"/>
                </c:manualLayout>
              </c:layout>
              <c:tx>
                <c:rich>
                  <a:bodyPr/>
                  <a:lstStyle/>
                  <a:p>
                    <a:r>
                      <a:rPr lang="ru-RU" sz="800" b="1">
                        <a:latin typeface="Times New Roman" pitchFamily="18" charset="0"/>
                        <a:cs typeface="Times New Roman" pitchFamily="18" charset="0"/>
                      </a:rPr>
                      <a:t>103,8%*</a:t>
                    </a:r>
                    <a:endParaRPr lang="en-US" sz="800" b="1">
                      <a:latin typeface="Times New Roman" pitchFamily="18" charset="0"/>
                      <a:cs typeface="Times New Roman" pitchFamily="18" charset="0"/>
                    </a:endParaRPr>
                  </a:p>
                </c:rich>
              </c:tx>
              <c:dLblPos val="r"/>
            </c:dLbl>
            <c:dLbl>
              <c:idx val="7"/>
              <c:layout>
                <c:manualLayout>
                  <c:x val="-3.1027110791985692E-2"/>
                  <c:y val="0.16280572071348218"/>
                </c:manualLayout>
              </c:layout>
              <c:tx>
                <c:rich>
                  <a:bodyPr/>
                  <a:lstStyle/>
                  <a:p>
                    <a:r>
                      <a:rPr lang="ru-RU" sz="800" b="1">
                        <a:latin typeface="Times New Roman" pitchFamily="18" charset="0"/>
                        <a:cs typeface="Times New Roman" pitchFamily="18" charset="0"/>
                      </a:rPr>
                      <a:t>89,6%*</a:t>
                    </a:r>
                    <a:endParaRPr lang="en-US" sz="800" b="1">
                      <a:latin typeface="Times New Roman" pitchFamily="18" charset="0"/>
                      <a:cs typeface="Times New Roman" pitchFamily="18" charset="0"/>
                    </a:endParaRPr>
                  </a:p>
                </c:rich>
              </c:tx>
              <c:dLblPos val="r"/>
            </c:dLbl>
            <c:dLbl>
              <c:idx val="8"/>
              <c:layout>
                <c:manualLayout>
                  <c:x val="-2.4911909195276402E-2"/>
                  <c:y val="-5.4053778991912424E-2"/>
                </c:manualLayout>
              </c:layout>
              <c:tx>
                <c:rich>
                  <a:bodyPr/>
                  <a:lstStyle/>
                  <a:p>
                    <a:r>
                      <a:rPr lang="ru-RU" sz="800" b="1">
                        <a:latin typeface="Times New Roman" pitchFamily="18" charset="0"/>
                        <a:cs typeface="Times New Roman" pitchFamily="18" charset="0"/>
                      </a:rPr>
                      <a:t>90,4%*</a:t>
                    </a:r>
                    <a:endParaRPr lang="en-US" sz="800" b="1">
                      <a:latin typeface="Times New Roman" pitchFamily="18" charset="0"/>
                      <a:cs typeface="Times New Roman" pitchFamily="18" charset="0"/>
                    </a:endParaRPr>
                  </a:p>
                </c:rich>
              </c:tx>
              <c:dLblPos val="r"/>
            </c:dLbl>
            <c:dLbl>
              <c:idx val="9"/>
              <c:layout>
                <c:manualLayout>
                  <c:x val="-2.0741804492367406E-2"/>
                  <c:y val="-7.2194547110182833E-2"/>
                </c:manualLayout>
              </c:layout>
              <c:tx>
                <c:rich>
                  <a:bodyPr/>
                  <a:lstStyle/>
                  <a:p>
                    <a:r>
                      <a:rPr lang="ru-RU" sz="800" b="1">
                        <a:latin typeface="Times New Roman" pitchFamily="18" charset="0"/>
                        <a:cs typeface="Times New Roman" pitchFamily="18" charset="0"/>
                      </a:rPr>
                      <a:t>83,2%*</a:t>
                    </a:r>
                    <a:endParaRPr lang="en-US" sz="800" b="1">
                      <a:latin typeface="Times New Roman" pitchFamily="18" charset="0"/>
                      <a:cs typeface="Times New Roman" pitchFamily="18" charset="0"/>
                    </a:endParaRPr>
                  </a:p>
                </c:rich>
              </c:tx>
              <c:dLblPos val="r"/>
            </c:dLbl>
            <c:dLbl>
              <c:idx val="10"/>
              <c:layout>
                <c:manualLayout>
                  <c:x val="-3.7352147748495802E-2"/>
                  <c:y val="-8.8904387625311346E-2"/>
                </c:manualLayout>
              </c:layout>
              <c:tx>
                <c:rich>
                  <a:bodyPr/>
                  <a:lstStyle/>
                  <a:p>
                    <a:r>
                      <a:rPr lang="ru-RU" sz="800"/>
                      <a:t>104,3%*</a:t>
                    </a:r>
                    <a:endParaRPr lang="en-US" sz="800"/>
                  </a:p>
                </c:rich>
              </c:tx>
              <c:dLblPos val="r"/>
            </c:dLbl>
            <c:dLbl>
              <c:idx val="11"/>
              <c:layout>
                <c:manualLayout>
                  <c:x val="0"/>
                  <c:y val="-9.7201951884077126E-2"/>
                </c:manualLayout>
              </c:layout>
              <c:tx>
                <c:rich>
                  <a:bodyPr/>
                  <a:lstStyle/>
                  <a:p>
                    <a:r>
                      <a:rPr lang="ru-RU" sz="800"/>
                      <a:t>100,4%*</a:t>
                    </a:r>
                    <a:endParaRPr lang="en-US" sz="800"/>
                  </a:p>
                </c:rich>
              </c:tx>
              <c:dLblPos val="r"/>
            </c:dLbl>
            <c:spPr>
              <a:noFill/>
              <a:ln w="24917">
                <a:noFill/>
              </a:ln>
            </c:spPr>
            <c:txPr>
              <a:bodyPr/>
              <a:lstStyle/>
              <a:p>
                <a:pPr>
                  <a:defRPr sz="800" b="1">
                    <a:latin typeface="Times New Roman" pitchFamily="18" charset="0"/>
                    <a:cs typeface="Times New Roman" pitchFamily="18" charset="0"/>
                  </a:defRPr>
                </a:pPr>
                <a:endParaRPr lang="ru-RU"/>
              </a:p>
            </c:txPr>
            <c:showVal val="1"/>
          </c:dLbls>
          <c:cat>
            <c:strRef>
              <c:f>Лист1!$A$2:$A$7</c:f>
              <c:strCache>
                <c:ptCount val="6"/>
                <c:pt idx="0">
                  <c:v>январь</c:v>
                </c:pt>
                <c:pt idx="1">
                  <c:v>февраль</c:v>
                </c:pt>
                <c:pt idx="2">
                  <c:v>март</c:v>
                </c:pt>
                <c:pt idx="3">
                  <c:v>апрель</c:v>
                </c:pt>
                <c:pt idx="4">
                  <c:v>май</c:v>
                </c:pt>
                <c:pt idx="5">
                  <c:v>июнь</c:v>
                </c:pt>
              </c:strCache>
            </c:strRef>
          </c:cat>
          <c:val>
            <c:numRef>
              <c:f>Лист1!$C$2:$C$7</c:f>
              <c:numCache>
                <c:formatCode>0.0</c:formatCode>
                <c:ptCount val="6"/>
                <c:pt idx="0" formatCode="General">
                  <c:v>601.9</c:v>
                </c:pt>
                <c:pt idx="1">
                  <c:v>609</c:v>
                </c:pt>
                <c:pt idx="2" formatCode="General">
                  <c:v>719.1</c:v>
                </c:pt>
                <c:pt idx="3" formatCode="General">
                  <c:v>693.7</c:v>
                </c:pt>
                <c:pt idx="4" formatCode="General">
                  <c:v>766.6</c:v>
                </c:pt>
                <c:pt idx="5" formatCode="General">
                  <c:v>860</c:v>
                </c:pt>
              </c:numCache>
            </c:numRef>
          </c:val>
        </c:ser>
        <c:ser>
          <c:idx val="2"/>
          <c:order val="2"/>
          <c:tx>
            <c:strRef>
              <c:f>Лист1!$B$1</c:f>
              <c:strCache>
                <c:ptCount val="1"/>
                <c:pt idx="0">
                  <c:v>I полугодие 2016</c:v>
                </c:pt>
              </c:strCache>
            </c:strRef>
          </c:tx>
          <c:spPr>
            <a:ln>
              <a:solidFill>
                <a:schemeClr val="accent3">
                  <a:lumMod val="75000"/>
                </a:schemeClr>
              </a:solidFill>
            </a:ln>
          </c:spPr>
          <c:cat>
            <c:strRef>
              <c:f>Лист1!$A$2:$A$7</c:f>
              <c:strCache>
                <c:ptCount val="6"/>
                <c:pt idx="0">
                  <c:v>январь</c:v>
                </c:pt>
                <c:pt idx="1">
                  <c:v>февраль</c:v>
                </c:pt>
                <c:pt idx="2">
                  <c:v>март</c:v>
                </c:pt>
                <c:pt idx="3">
                  <c:v>апрель</c:v>
                </c:pt>
                <c:pt idx="4">
                  <c:v>май</c:v>
                </c:pt>
                <c:pt idx="5">
                  <c:v>июнь</c:v>
                </c:pt>
              </c:strCache>
            </c:strRef>
          </c:cat>
          <c:val>
            <c:numRef>
              <c:f>Лист1!$B$2:$B$7</c:f>
              <c:numCache>
                <c:formatCode>General</c:formatCode>
                <c:ptCount val="6"/>
                <c:pt idx="0">
                  <c:v>613.29999999999995</c:v>
                </c:pt>
                <c:pt idx="1">
                  <c:v>733.9</c:v>
                </c:pt>
                <c:pt idx="2">
                  <c:v>894.2</c:v>
                </c:pt>
                <c:pt idx="3">
                  <c:v>693.4</c:v>
                </c:pt>
                <c:pt idx="4" formatCode="0.0">
                  <c:v>721</c:v>
                </c:pt>
                <c:pt idx="5">
                  <c:v>701.8</c:v>
                </c:pt>
              </c:numCache>
            </c:numRef>
          </c:val>
        </c:ser>
        <c:marker val="1"/>
        <c:axId val="102790272"/>
        <c:axId val="102792192"/>
      </c:lineChart>
      <c:catAx>
        <c:axId val="102790272"/>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ru-RU" sz="800"/>
                  <a:t>* - темп </a:t>
                </a:r>
                <a:r>
                  <a:rPr lang="ru-RU" sz="850"/>
                  <a:t>роста</a:t>
                </a:r>
                <a:r>
                  <a:rPr lang="ru-RU" sz="800"/>
                  <a:t> 
к предыдущему году</a:t>
                </a:r>
              </a:p>
            </c:rich>
          </c:tx>
          <c:layout>
            <c:manualLayout>
              <c:xMode val="edge"/>
              <c:yMode val="edge"/>
              <c:x val="5.9147065215574171E-4"/>
              <c:y val="0.76680883639546304"/>
            </c:manualLayout>
          </c:layout>
          <c:spPr>
            <a:noFill/>
            <a:ln w="24917">
              <a:noFill/>
            </a:ln>
          </c:spPr>
        </c:title>
        <c:numFmt formatCode="General" sourceLinked="1"/>
        <c:tickLblPos val="nextTo"/>
        <c:txPr>
          <a:bodyPr/>
          <a:lstStyle/>
          <a:p>
            <a:pPr>
              <a:defRPr sz="883" b="1">
                <a:latin typeface="Times New Roman" pitchFamily="18" charset="0"/>
                <a:cs typeface="Times New Roman" pitchFamily="18" charset="0"/>
              </a:defRPr>
            </a:pPr>
            <a:endParaRPr lang="ru-RU"/>
          </a:p>
        </c:txPr>
        <c:crossAx val="102792192"/>
        <c:crosses val="autoZero"/>
        <c:auto val="1"/>
        <c:lblAlgn val="ctr"/>
        <c:lblOffset val="100"/>
      </c:catAx>
      <c:valAx>
        <c:axId val="102792192"/>
        <c:scaling>
          <c:orientation val="minMax"/>
          <c:min val="300"/>
        </c:scaling>
        <c:axPos val="l"/>
        <c:majorGridlines/>
        <c:numFmt formatCode="General" sourceLinked="1"/>
        <c:tickLblPos val="nextTo"/>
        <c:txPr>
          <a:bodyPr/>
          <a:lstStyle/>
          <a:p>
            <a:pPr>
              <a:defRPr sz="800" b="1">
                <a:latin typeface="Times New Roman" pitchFamily="18" charset="0"/>
                <a:cs typeface="Times New Roman" pitchFamily="18" charset="0"/>
              </a:defRPr>
            </a:pPr>
            <a:endParaRPr lang="ru-RU"/>
          </a:p>
        </c:txPr>
        <c:crossAx val="102790272"/>
        <c:crosses val="autoZero"/>
        <c:crossBetween val="between"/>
        <c:majorUnit val="200"/>
      </c:valAx>
    </c:plotArea>
    <c:legend>
      <c:legendPos val="r"/>
      <c:legendEntry>
        <c:idx val="0"/>
        <c:delete val="1"/>
      </c:legendEntry>
      <c:legendEntry>
        <c:idx val="1"/>
        <c:delete val="1"/>
      </c:legendEntry>
      <c:legendEntry>
        <c:idx val="2"/>
        <c:delete val="1"/>
      </c:legendEntry>
      <c:legendEntry>
        <c:idx val="3"/>
        <c:txPr>
          <a:bodyPr/>
          <a:lstStyle/>
          <a:p>
            <a:pPr>
              <a:defRPr>
                <a:latin typeface="Times New Roman" pitchFamily="18" charset="0"/>
                <a:cs typeface="Times New Roman" pitchFamily="18" charset="0"/>
              </a:defRPr>
            </a:pPr>
            <a:endParaRPr lang="ru-RU"/>
          </a:p>
        </c:txPr>
      </c:legendEntry>
      <c:legendEntry>
        <c:idx val="4"/>
        <c:txPr>
          <a:bodyPr/>
          <a:lstStyle/>
          <a:p>
            <a:pPr>
              <a:defRPr>
                <a:latin typeface="Times New Roman" pitchFamily="18" charset="0"/>
                <a:cs typeface="Times New Roman" pitchFamily="18" charset="0"/>
              </a:defRPr>
            </a:pPr>
            <a:endParaRPr lang="ru-RU"/>
          </a:p>
        </c:txPr>
      </c:legendEntry>
      <c:layout>
        <c:manualLayout>
          <c:xMode val="edge"/>
          <c:yMode val="edge"/>
          <c:x val="0.30794707190264148"/>
          <c:y val="0.83570603674541233"/>
          <c:w val="0.48199859571693682"/>
          <c:h val="0.1599783027121642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3.5209487702927405E-3"/>
          <c:y val="0"/>
        </c:manualLayout>
      </c:layout>
      <c:txPr>
        <a:bodyPr/>
        <a:lstStyle/>
        <a:p>
          <a:pPr>
            <a:defRPr sz="1200">
              <a:latin typeface="Times New Roman" pitchFamily="18" charset="0"/>
              <a:cs typeface="Times New Roman" pitchFamily="18" charset="0"/>
            </a:defRPr>
          </a:pPr>
          <a:endParaRPr lang="ru-RU"/>
        </a:p>
      </c:txPr>
    </c:title>
    <c:view3D>
      <c:rotX val="30"/>
      <c:perspective val="30"/>
    </c:view3D>
    <c:plotArea>
      <c:layout>
        <c:manualLayout>
          <c:layoutTarget val="inner"/>
          <c:xMode val="edge"/>
          <c:yMode val="edge"/>
          <c:x val="7.8188878075633808E-2"/>
          <c:y val="0.14297166700316308"/>
          <c:w val="0.90682997958590061"/>
          <c:h val="0.81600264920155996"/>
        </c:manualLayout>
      </c:layout>
      <c:pie3DChart>
        <c:varyColors val="1"/>
        <c:ser>
          <c:idx val="0"/>
          <c:order val="0"/>
          <c:tx>
            <c:strRef>
              <c:f>Лист1!$B$1</c:f>
              <c:strCache>
                <c:ptCount val="1"/>
                <c:pt idx="0">
                  <c:v>I полугодие 2016 года</c:v>
                </c:pt>
              </c:strCache>
            </c:strRef>
          </c:tx>
          <c:explosion val="27"/>
          <c:dPt>
            <c:idx val="1"/>
            <c:spPr>
              <a:solidFill>
                <a:schemeClr val="accent2">
                  <a:lumMod val="60000"/>
                  <a:lumOff val="40000"/>
                </a:schemeClr>
              </a:solidFill>
            </c:spPr>
          </c:dPt>
          <c:dPt>
            <c:idx val="5"/>
            <c:spPr>
              <a:solidFill>
                <a:schemeClr val="accent6">
                  <a:lumMod val="60000"/>
                  <a:lumOff val="40000"/>
                </a:schemeClr>
              </a:solidFill>
            </c:spPr>
          </c:dPt>
          <c:dLbls>
            <c:dLbl>
              <c:idx val="0"/>
              <c:layout>
                <c:manualLayout>
                  <c:x val="4.1946419419466092E-2"/>
                  <c:y val="6.8723098124689108E-4"/>
                </c:manualLayout>
              </c:layout>
              <c:tx>
                <c:rich>
                  <a:bodyPr/>
                  <a:lstStyle/>
                  <a:p>
                    <a:r>
                      <a:rPr lang="ru-RU"/>
                      <a:t>13,7%</a:t>
                    </a:r>
                    <a:endParaRPr lang="en-US"/>
                  </a:p>
                </c:rich>
              </c:tx>
              <c:showVal val="1"/>
            </c:dLbl>
            <c:dLbl>
              <c:idx val="1"/>
              <c:layout>
                <c:manualLayout>
                  <c:x val="-3.7256342957130616E-2"/>
                  <c:y val="9.1804461942258747E-2"/>
                </c:manualLayout>
              </c:layout>
              <c:tx>
                <c:rich>
                  <a:bodyPr/>
                  <a:lstStyle/>
                  <a:p>
                    <a:r>
                      <a:rPr lang="ru-RU" sz="900">
                        <a:latin typeface="Times New Roman" pitchFamily="18" charset="0"/>
                        <a:cs typeface="Times New Roman" pitchFamily="18" charset="0"/>
                      </a:rPr>
                      <a:t>48,4%</a:t>
                    </a:r>
                    <a:endParaRPr lang="en-US" sz="900">
                      <a:latin typeface="Times New Roman" pitchFamily="18" charset="0"/>
                      <a:cs typeface="Times New Roman" pitchFamily="18" charset="0"/>
                    </a:endParaRPr>
                  </a:p>
                </c:rich>
              </c:tx>
              <c:showVal val="1"/>
            </c:dLbl>
            <c:dLbl>
              <c:idx val="2"/>
              <c:layout>
                <c:manualLayout>
                  <c:x val="5.0565957033149034E-2"/>
                  <c:y val="0.19271014200148245"/>
                </c:manualLayout>
              </c:layout>
              <c:tx>
                <c:rich>
                  <a:bodyPr/>
                  <a:lstStyle/>
                  <a:p>
                    <a:r>
                      <a:rPr lang="ru-RU"/>
                      <a:t>14,4%</a:t>
                    </a:r>
                    <a:endParaRPr lang="en-US"/>
                  </a:p>
                </c:rich>
              </c:tx>
              <c:showVal val="1"/>
            </c:dLbl>
            <c:dLbl>
              <c:idx val="3"/>
              <c:layout>
                <c:manualLayout>
                  <c:x val="-1.2950854641403768E-2"/>
                  <c:y val="1.7997750281215964E-4"/>
                </c:manualLayout>
              </c:layout>
              <c:tx>
                <c:rich>
                  <a:bodyPr/>
                  <a:lstStyle/>
                  <a:p>
                    <a:r>
                      <a:rPr lang="ru-RU"/>
                      <a:t>12,1%</a:t>
                    </a:r>
                    <a:endParaRPr lang="en-US"/>
                  </a:p>
                </c:rich>
              </c:tx>
              <c:showVal val="1"/>
            </c:dLbl>
            <c:dLbl>
              <c:idx val="4"/>
              <c:layout>
                <c:manualLayout>
                  <c:x val="-4.7972781180130909E-2"/>
                  <c:y val="-1.3061275994346862E-2"/>
                </c:manualLayout>
              </c:layout>
              <c:tx>
                <c:rich>
                  <a:bodyPr/>
                  <a:lstStyle/>
                  <a:p>
                    <a:r>
                      <a:rPr lang="ru-RU"/>
                      <a:t>4,1%</a:t>
                    </a:r>
                    <a:endParaRPr lang="en-US"/>
                  </a:p>
                </c:rich>
              </c:tx>
              <c:showVal val="1"/>
            </c:dLbl>
            <c:dLbl>
              <c:idx val="5"/>
              <c:layout>
                <c:manualLayout>
                  <c:x val="0.1607419072615924"/>
                  <c:y val="-1.6878154653745241E-2"/>
                </c:manualLayout>
              </c:layout>
              <c:tx>
                <c:rich>
                  <a:bodyPr/>
                  <a:lstStyle/>
                  <a:p>
                    <a:r>
                      <a:rPr lang="ru-RU"/>
                      <a:t>7,3%</a:t>
                    </a:r>
                    <a:endParaRPr lang="en-US"/>
                  </a:p>
                </c:rich>
              </c:tx>
              <c:showVal val="1"/>
            </c:dLbl>
            <c:txPr>
              <a:bodyPr/>
              <a:lstStyle/>
              <a:p>
                <a:pPr>
                  <a:defRPr sz="900">
                    <a:latin typeface="Times New Roman" pitchFamily="18" charset="0"/>
                    <a:cs typeface="Times New Roman" pitchFamily="18" charset="0"/>
                  </a:defRPr>
                </a:pPr>
                <a:endParaRPr lang="ru-RU"/>
              </a:p>
            </c:txPr>
            <c:showVal val="1"/>
            <c:showLeaderLines val="1"/>
          </c:dLbls>
          <c:cat>
            <c:strRef>
              <c:f>Лист1!$A$2:$A$7</c:f>
              <c:strCache>
                <c:ptCount val="6"/>
                <c:pt idx="0">
                  <c:v>черная металлургия</c:v>
                </c:pt>
                <c:pt idx="1">
                  <c:v>электроэнергетика</c:v>
                </c:pt>
                <c:pt idx="2">
                  <c:v>легкая промышленность</c:v>
                </c:pt>
                <c:pt idx="3">
                  <c:v>пищевая промышленность</c:v>
                </c:pt>
                <c:pt idx="4">
                  <c:v>промышленность строительных материалов</c:v>
                </c:pt>
                <c:pt idx="5">
                  <c:v>прочие</c:v>
                </c:pt>
              </c:strCache>
            </c:strRef>
          </c:cat>
          <c:val>
            <c:numRef>
              <c:f>Лист1!$B$2:$B$7</c:f>
              <c:numCache>
                <c:formatCode>General</c:formatCode>
                <c:ptCount val="6"/>
                <c:pt idx="0">
                  <c:v>526.20000000000005</c:v>
                </c:pt>
                <c:pt idx="1">
                  <c:v>1857.7</c:v>
                </c:pt>
                <c:pt idx="2" formatCode="0.0">
                  <c:v>550.70000000000005</c:v>
                </c:pt>
                <c:pt idx="3">
                  <c:v>465.3</c:v>
                </c:pt>
                <c:pt idx="4" formatCode="0.0">
                  <c:v>156.1</c:v>
                </c:pt>
                <c:pt idx="5">
                  <c:v>280.40000000000009</c:v>
                </c:pt>
              </c:numCache>
            </c:numRef>
          </c:val>
        </c:ser>
      </c:pie3DChart>
    </c:plotArea>
    <c:plotVisOnly val="1"/>
    <c:dispBlanksAs val="zero"/>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26580540027916388"/>
          <c:y val="4.1064421402770513E-3"/>
        </c:manualLayout>
      </c:layout>
      <c:txPr>
        <a:bodyPr/>
        <a:lstStyle/>
        <a:p>
          <a:pPr>
            <a:defRPr sz="1200">
              <a:latin typeface="Times New Roman" pitchFamily="18" charset="0"/>
              <a:cs typeface="Times New Roman" pitchFamily="18" charset="0"/>
            </a:defRPr>
          </a:pPr>
          <a:endParaRPr lang="ru-RU"/>
        </a:p>
      </c:txPr>
    </c:title>
    <c:view3D>
      <c:rotX val="30"/>
      <c:perspective val="30"/>
    </c:view3D>
    <c:plotArea>
      <c:layout>
        <c:manualLayout>
          <c:layoutTarget val="inner"/>
          <c:xMode val="edge"/>
          <c:yMode val="edge"/>
          <c:x val="0"/>
          <c:y val="0.17975468412983203"/>
          <c:w val="0.65214107778513453"/>
          <c:h val="0.80586627166653668"/>
        </c:manualLayout>
      </c:layout>
      <c:pie3DChart>
        <c:varyColors val="1"/>
        <c:ser>
          <c:idx val="0"/>
          <c:order val="0"/>
          <c:tx>
            <c:strRef>
              <c:f>Лист1!$B$1</c:f>
              <c:strCache>
                <c:ptCount val="1"/>
                <c:pt idx="0">
                  <c:v>I полугодие 2015 года</c:v>
                </c:pt>
              </c:strCache>
            </c:strRef>
          </c:tx>
          <c:explosion val="29"/>
          <c:dPt>
            <c:idx val="0"/>
            <c:explosion val="16"/>
          </c:dPt>
          <c:dPt>
            <c:idx val="1"/>
            <c:explosion val="16"/>
            <c:spPr>
              <a:solidFill>
                <a:schemeClr val="accent2">
                  <a:lumMod val="60000"/>
                  <a:lumOff val="40000"/>
                </a:schemeClr>
              </a:solidFill>
            </c:spPr>
          </c:dPt>
          <c:dPt>
            <c:idx val="2"/>
            <c:explosion val="17"/>
          </c:dPt>
          <c:dPt>
            <c:idx val="3"/>
            <c:explosion val="24"/>
          </c:dPt>
          <c:dPt>
            <c:idx val="5"/>
            <c:spPr>
              <a:solidFill>
                <a:schemeClr val="accent6">
                  <a:lumMod val="60000"/>
                  <a:lumOff val="40000"/>
                </a:schemeClr>
              </a:solidFill>
            </c:spPr>
          </c:dPt>
          <c:dLbls>
            <c:dLbl>
              <c:idx val="0"/>
              <c:layout>
                <c:manualLayout>
                  <c:x val="3.5013256930669881E-2"/>
                  <c:y val="2.9692575556768282E-3"/>
                </c:manualLayout>
              </c:layout>
              <c:tx>
                <c:rich>
                  <a:bodyPr/>
                  <a:lstStyle/>
                  <a:p>
                    <a:r>
                      <a:rPr lang="ru-RU"/>
                      <a:t>15,7%</a:t>
                    </a:r>
                    <a:endParaRPr lang="en-US"/>
                  </a:p>
                </c:rich>
              </c:tx>
              <c:showVal val="1"/>
            </c:dLbl>
            <c:dLbl>
              <c:idx val="1"/>
              <c:layout>
                <c:manualLayout>
                  <c:x val="1.2203589055184901E-2"/>
                  <c:y val="5.2459655414360325E-2"/>
                </c:manualLayout>
              </c:layout>
              <c:tx>
                <c:rich>
                  <a:bodyPr/>
                  <a:lstStyle/>
                  <a:p>
                    <a:r>
                      <a:rPr lang="ru-RU"/>
                      <a:t>50,4%</a:t>
                    </a:r>
                    <a:endParaRPr lang="en-US"/>
                  </a:p>
                </c:rich>
              </c:tx>
              <c:showVal val="1"/>
            </c:dLbl>
            <c:dLbl>
              <c:idx val="2"/>
              <c:layout>
                <c:manualLayout>
                  <c:x val="2.102169012373508E-2"/>
                  <c:y val="0.15985449487226655"/>
                </c:manualLayout>
              </c:layout>
              <c:tx>
                <c:rich>
                  <a:bodyPr/>
                  <a:lstStyle/>
                  <a:p>
                    <a:r>
                      <a:rPr lang="ru-RU"/>
                      <a:t>11,2%</a:t>
                    </a:r>
                    <a:endParaRPr lang="en-US"/>
                  </a:p>
                </c:rich>
              </c:tx>
              <c:showVal val="1"/>
            </c:dLbl>
            <c:dLbl>
              <c:idx val="3"/>
              <c:layout>
                <c:manualLayout>
                  <c:x val="1.8277867938263461E-3"/>
                  <c:y val="-8.3160273415021024E-2"/>
                </c:manualLayout>
              </c:layout>
              <c:tx>
                <c:rich>
                  <a:bodyPr/>
                  <a:lstStyle/>
                  <a:p>
                    <a:r>
                      <a:rPr lang="ru-RU"/>
                      <a:t>11,5%</a:t>
                    </a:r>
                    <a:endParaRPr lang="en-US"/>
                  </a:p>
                </c:rich>
              </c:tx>
              <c:showVal val="1"/>
            </c:dLbl>
            <c:dLbl>
              <c:idx val="4"/>
              <c:layout>
                <c:manualLayout>
                  <c:x val="5.1578140174097275E-3"/>
                  <c:y val="-4.6564319124913864E-2"/>
                </c:manualLayout>
              </c:layout>
              <c:tx>
                <c:rich>
                  <a:bodyPr/>
                  <a:lstStyle/>
                  <a:p>
                    <a:r>
                      <a:rPr lang="ru-RU"/>
                      <a:t>3,5%</a:t>
                    </a:r>
                    <a:endParaRPr lang="en-US"/>
                  </a:p>
                </c:rich>
              </c:tx>
              <c:showVal val="1"/>
            </c:dLbl>
            <c:dLbl>
              <c:idx val="5"/>
              <c:layout>
                <c:manualLayout>
                  <c:x val="-1.1151850293523054E-2"/>
                  <c:y val="-2.4773534324252243E-2"/>
                </c:manualLayout>
              </c:layout>
              <c:tx>
                <c:rich>
                  <a:bodyPr/>
                  <a:lstStyle/>
                  <a:p>
                    <a:r>
                      <a:rPr lang="ru-RU"/>
                      <a:t>7,7%</a:t>
                    </a:r>
                    <a:endParaRPr lang="en-US"/>
                  </a:p>
                </c:rich>
              </c:tx>
              <c:showVal val="1"/>
            </c:dLbl>
            <c:txPr>
              <a:bodyPr/>
              <a:lstStyle/>
              <a:p>
                <a:pPr>
                  <a:defRPr sz="900">
                    <a:latin typeface="Times New Roman" pitchFamily="18" charset="0"/>
                    <a:cs typeface="Times New Roman" pitchFamily="18" charset="0"/>
                  </a:defRPr>
                </a:pPr>
                <a:endParaRPr lang="ru-RU"/>
              </a:p>
            </c:txPr>
            <c:showVal val="1"/>
            <c:showLeaderLines val="1"/>
          </c:dLbls>
          <c:cat>
            <c:strRef>
              <c:f>Лист1!$A$2:$A$7</c:f>
              <c:strCache>
                <c:ptCount val="6"/>
                <c:pt idx="0">
                  <c:v>черная металлургия</c:v>
                </c:pt>
                <c:pt idx="1">
                  <c:v>электроэнергетика</c:v>
                </c:pt>
                <c:pt idx="2">
                  <c:v>легкая промышленность</c:v>
                </c:pt>
                <c:pt idx="3">
                  <c:v>пищевая промышленность</c:v>
                </c:pt>
                <c:pt idx="4">
                  <c:v>промышленность строительных материалов</c:v>
                </c:pt>
                <c:pt idx="5">
                  <c:v>прочие</c:v>
                </c:pt>
              </c:strCache>
            </c:strRef>
          </c:cat>
          <c:val>
            <c:numRef>
              <c:f>Лист1!$B$2:$B$7</c:f>
              <c:numCache>
                <c:formatCode>0.0</c:formatCode>
                <c:ptCount val="6"/>
                <c:pt idx="0">
                  <c:v>655.5</c:v>
                </c:pt>
                <c:pt idx="1">
                  <c:v>2109.3000000000002</c:v>
                </c:pt>
                <c:pt idx="2">
                  <c:v>468.9</c:v>
                </c:pt>
                <c:pt idx="3" formatCode="General">
                  <c:v>482.6</c:v>
                </c:pt>
                <c:pt idx="4" formatCode="General">
                  <c:v>147.5</c:v>
                </c:pt>
                <c:pt idx="5">
                  <c:v>323.59999999999923</c:v>
                </c:pt>
              </c:numCache>
            </c:numRef>
          </c:val>
        </c:ser>
      </c:pie3DChart>
    </c:plotArea>
    <c:legend>
      <c:legendPos val="r"/>
      <c:layout>
        <c:manualLayout>
          <c:xMode val="edge"/>
          <c:yMode val="edge"/>
          <c:x val="0.62238384324096896"/>
          <c:y val="0.22293542184233342"/>
          <c:w val="0.37344660161756343"/>
          <c:h val="0.77601583224561566"/>
        </c:manualLayout>
      </c:layout>
      <c:txPr>
        <a:bodyPr/>
        <a:lstStyle/>
        <a:p>
          <a:pPr>
            <a:defRPr sz="85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sz="1000" b="1" i="0" u="none" strike="noStrike" baseline="0">
                <a:solidFill>
                  <a:srgbClr val="FF0000"/>
                </a:solidFill>
                <a:latin typeface="Times New Roman"/>
                <a:ea typeface="Times New Roman"/>
                <a:cs typeface="Times New Roman"/>
              </a:defRPr>
            </a:pPr>
            <a:r>
              <a:rPr lang="ru-RU" sz="1000">
                <a:solidFill>
                  <a:sysClr val="windowText" lastClr="000000"/>
                </a:solidFill>
              </a:rPr>
              <a:t>Обьем производства в отрасли электроэнергетика,</a:t>
            </a:r>
            <a:r>
              <a:rPr lang="ru-RU" sz="1000" baseline="0">
                <a:solidFill>
                  <a:sysClr val="windowText" lastClr="000000"/>
                </a:solidFill>
              </a:rPr>
              <a:t> </a:t>
            </a:r>
            <a:r>
              <a:rPr lang="ru-RU" sz="1000">
                <a:solidFill>
                  <a:sysClr val="windowText" lastClr="000000"/>
                </a:solidFill>
              </a:rPr>
              <a:t>млн. руб.</a:t>
            </a:r>
          </a:p>
        </c:rich>
      </c:tx>
      <c:layout>
        <c:manualLayout>
          <c:xMode val="edge"/>
          <c:yMode val="edge"/>
          <c:x val="0.21939632545932519"/>
          <c:y val="0"/>
        </c:manualLayout>
      </c:layout>
      <c:spPr>
        <a:noFill/>
        <a:ln w="21571">
          <a:noFill/>
        </a:ln>
      </c:spPr>
    </c:title>
    <c:plotArea>
      <c:layout>
        <c:manualLayout>
          <c:layoutTarget val="inner"/>
          <c:xMode val="edge"/>
          <c:yMode val="edge"/>
          <c:x val="0.35651632970451336"/>
          <c:y val="0.18145922549155041"/>
          <c:w val="0.53743222999145945"/>
          <c:h val="0.63450568678915165"/>
        </c:manualLayout>
      </c:layout>
      <c:barChart>
        <c:barDir val="bar"/>
        <c:grouping val="clustered"/>
        <c:ser>
          <c:idx val="0"/>
          <c:order val="0"/>
          <c:tx>
            <c:strRef>
              <c:f>Лист1!$B$1</c:f>
              <c:strCache>
                <c:ptCount val="1"/>
                <c:pt idx="0">
                  <c:v>2015 год</c:v>
                </c:pt>
              </c:strCache>
            </c:strRef>
          </c:tx>
          <c:spPr>
            <a:gradFill>
              <a:gsLst>
                <a:gs pos="0">
                  <a:srgbClr val="DDEBCF"/>
                </a:gs>
                <a:gs pos="50000">
                  <a:srgbClr val="9CB86E"/>
                </a:gs>
                <a:gs pos="100000">
                  <a:srgbClr val="156B13"/>
                </a:gs>
              </a:gsLst>
              <a:lin ang="5400000" scaled="0"/>
            </a:gradFill>
            <a:ln w="21571">
              <a:noFill/>
            </a:ln>
          </c:spPr>
          <c:dLbls>
            <c:dLbl>
              <c:idx val="0"/>
              <c:layout>
                <c:manualLayout>
                  <c:x val="-4.0443622618712323E-3"/>
                  <c:y val="1.1699989114263943E-2"/>
                </c:manualLayout>
              </c:layout>
              <c:tx>
                <c:rich>
                  <a:bodyPr/>
                  <a:lstStyle/>
                  <a:p>
                    <a:r>
                      <a:rPr lang="ru-RU" sz="800"/>
                      <a:t>116,1%*</a:t>
                    </a:r>
                  </a:p>
                </c:rich>
              </c:tx>
              <c:dLblPos val="outEnd"/>
            </c:dLbl>
            <c:dLbl>
              <c:idx val="1"/>
              <c:layout>
                <c:manualLayout>
                  <c:x val="7.1598437442599132E-3"/>
                  <c:y val="-3.4935955586197429E-3"/>
                </c:manualLayout>
              </c:layout>
              <c:tx>
                <c:rich>
                  <a:bodyPr/>
                  <a:lstStyle/>
                  <a:p>
                    <a:r>
                      <a:rPr lang="ru-RU" sz="800"/>
                      <a:t>119,5%*</a:t>
                    </a:r>
                  </a:p>
                </c:rich>
              </c:tx>
              <c:dLblPos val="outEnd"/>
            </c:dLbl>
            <c:dLbl>
              <c:idx val="2"/>
              <c:layout>
                <c:manualLayout>
                  <c:x val="1.8264628686121753E-3"/>
                  <c:y val="0"/>
                </c:manualLayout>
              </c:layout>
              <c:tx>
                <c:rich>
                  <a:bodyPr/>
                  <a:lstStyle/>
                  <a:p>
                    <a:r>
                      <a:rPr lang="ru-RU" sz="800"/>
                      <a:t>98,2%*</a:t>
                    </a:r>
                    <a:endParaRPr lang="en-US" sz="800"/>
                  </a:p>
                </c:rich>
              </c:tx>
              <c:dLblPos val="outEnd"/>
            </c:dLbl>
            <c:spPr>
              <a:noFill/>
              <a:ln w="21571">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обьем производства подотрасли</c:v>
                </c:pt>
                <c:pt idx="1">
                  <c:v>объем производства ЗАО "Молдавская ГРЭС"</c:v>
                </c:pt>
              </c:strCache>
            </c:strRef>
          </c:cat>
          <c:val>
            <c:numRef>
              <c:f>Лист1!$B$2:$B$3</c:f>
              <c:numCache>
                <c:formatCode>0.0</c:formatCode>
                <c:ptCount val="2"/>
                <c:pt idx="0">
                  <c:v>1732.4</c:v>
                </c:pt>
                <c:pt idx="1">
                  <c:v>1437.7</c:v>
                </c:pt>
              </c:numCache>
            </c:numRef>
          </c:val>
        </c:ser>
        <c:ser>
          <c:idx val="1"/>
          <c:order val="1"/>
          <c:tx>
            <c:strRef>
              <c:f>Лист1!$C$1</c:f>
              <c:strCache>
                <c:ptCount val="1"/>
                <c:pt idx="0">
                  <c:v>2016 год</c:v>
                </c:pt>
              </c:strCache>
            </c:strRef>
          </c:tx>
          <c:spPr>
            <a:gradFill>
              <a:gsLst>
                <a:gs pos="0">
                  <a:srgbClr val="FFF200"/>
                </a:gs>
                <a:gs pos="45000">
                  <a:srgbClr val="FF7A00"/>
                </a:gs>
                <a:gs pos="70000">
                  <a:srgbClr val="FF0300"/>
                </a:gs>
                <a:gs pos="100000">
                  <a:srgbClr val="4D0808"/>
                </a:gs>
              </a:gsLst>
              <a:lin ang="5400000" scaled="0"/>
            </a:gradFill>
            <a:ln w="21571">
              <a:noFill/>
            </a:ln>
          </c:spPr>
          <c:dLbls>
            <c:dLbl>
              <c:idx val="0"/>
              <c:layout>
                <c:manualLayout>
                  <c:x val="-8.6260679312442547E-3"/>
                  <c:y val="3.3687724518306292E-3"/>
                </c:manualLayout>
              </c:layout>
              <c:tx>
                <c:rich>
                  <a:bodyPr/>
                  <a:lstStyle/>
                  <a:p>
                    <a:r>
                      <a:rPr lang="ru-RU" sz="800"/>
                      <a:t>96,3</a:t>
                    </a:r>
                    <a:r>
                      <a:rPr lang="ru-RU" sz="800" baseline="0"/>
                      <a:t>%*</a:t>
                    </a:r>
                    <a:endParaRPr lang="en-US" sz="800"/>
                  </a:p>
                </c:rich>
              </c:tx>
              <c:dLblPos val="outEnd"/>
            </c:dLbl>
            <c:dLbl>
              <c:idx val="1"/>
              <c:layout>
                <c:manualLayout>
                  <c:x val="-6.2461476918807754E-3"/>
                  <c:y val="5.2880486713354402E-4"/>
                </c:manualLayout>
              </c:layout>
              <c:tx>
                <c:rich>
                  <a:bodyPr/>
                  <a:lstStyle/>
                  <a:p>
                    <a:pPr>
                      <a:defRPr sz="800" b="0" i="0" u="none" strike="noStrike" baseline="0">
                        <a:solidFill>
                          <a:srgbClr val="000000"/>
                        </a:solidFill>
                        <a:latin typeface="Times New Roman"/>
                        <a:ea typeface="Times New Roman"/>
                        <a:cs typeface="Times New Roman"/>
                      </a:defRPr>
                    </a:pPr>
                    <a:r>
                      <a:rPr lang="ru-RU" sz="800"/>
                      <a:t>95,8% *</a:t>
                    </a:r>
                  </a:p>
                </c:rich>
              </c:tx>
              <c:spPr>
                <a:noFill/>
                <a:ln w="21571">
                  <a:noFill/>
                </a:ln>
              </c:spPr>
              <c:dLblPos val="outEnd"/>
            </c:dLbl>
            <c:dLbl>
              <c:idx val="2"/>
              <c:layout>
                <c:manualLayout>
                  <c:x val="6.471725490669651E-3"/>
                  <c:y val="0"/>
                </c:manualLayout>
              </c:layout>
              <c:tx>
                <c:rich>
                  <a:bodyPr/>
                  <a:lstStyle/>
                  <a:p>
                    <a:r>
                      <a:rPr lang="ru-RU" sz="800"/>
                      <a:t>95,2%*</a:t>
                    </a:r>
                    <a:endParaRPr lang="en-US" sz="800"/>
                  </a:p>
                </c:rich>
              </c:tx>
              <c:dLblPos val="outEnd"/>
            </c:dLbl>
            <c:spPr>
              <a:noFill/>
              <a:ln w="21571">
                <a:noFill/>
              </a:ln>
            </c:spPr>
            <c:txPr>
              <a:bodyPr/>
              <a:lstStyle/>
              <a:p>
                <a:pPr>
                  <a:defRPr sz="800"/>
                </a:pPr>
                <a:endParaRPr lang="ru-RU"/>
              </a:p>
            </c:txPr>
            <c:showVal val="1"/>
          </c:dLbls>
          <c:cat>
            <c:strRef>
              <c:f>Лист1!$A$2:$A$3</c:f>
              <c:strCache>
                <c:ptCount val="2"/>
                <c:pt idx="0">
                  <c:v>обьем производства подотрасли</c:v>
                </c:pt>
                <c:pt idx="1">
                  <c:v>объем производства ЗАО "Молдавская ГРЭС"</c:v>
                </c:pt>
              </c:strCache>
            </c:strRef>
          </c:cat>
          <c:val>
            <c:numRef>
              <c:f>Лист1!$C$2:$C$3</c:f>
              <c:numCache>
                <c:formatCode>General</c:formatCode>
                <c:ptCount val="2"/>
                <c:pt idx="0">
                  <c:v>1667.6</c:v>
                </c:pt>
                <c:pt idx="1">
                  <c:v>1378</c:v>
                </c:pt>
              </c:numCache>
            </c:numRef>
          </c:val>
        </c:ser>
        <c:dLbls>
          <c:showVal val="1"/>
        </c:dLbls>
        <c:axId val="103150336"/>
        <c:axId val="103151872"/>
      </c:barChart>
      <c:catAx>
        <c:axId val="103150336"/>
        <c:scaling>
          <c:orientation val="minMax"/>
        </c:scaling>
        <c:axPos val="l"/>
        <c:numFmt formatCode="General" sourceLinked="1"/>
        <c:tickLblPos val="nextTo"/>
        <c:crossAx val="103151872"/>
        <c:crosses val="autoZero"/>
        <c:auto val="1"/>
        <c:lblAlgn val="ctr"/>
        <c:lblOffset val="100"/>
      </c:catAx>
      <c:valAx>
        <c:axId val="103151872"/>
        <c:scaling>
          <c:orientation val="minMax"/>
        </c:scaling>
        <c:axPos val="b"/>
        <c:majorGridlines/>
        <c:title>
          <c:tx>
            <c:rich>
              <a:bodyPr/>
              <a:lstStyle/>
              <a:p>
                <a:pPr>
                  <a:defRPr sz="845" b="1" i="0" u="none" strike="noStrike" baseline="0">
                    <a:solidFill>
                      <a:srgbClr val="000000"/>
                    </a:solidFill>
                    <a:latin typeface="Times New Roman"/>
                    <a:ea typeface="Times New Roman"/>
                    <a:cs typeface="Times New Roman"/>
                  </a:defRPr>
                </a:pPr>
                <a:r>
                  <a:rPr lang="ru-RU"/>
                  <a:t>* - темп роста 
к предыдущему году</a:t>
                </a:r>
              </a:p>
            </c:rich>
          </c:tx>
          <c:layout>
            <c:manualLayout>
              <c:xMode val="edge"/>
              <c:yMode val="edge"/>
              <c:x val="8.2944530844997408E-3"/>
              <c:y val="0.82586715122148202"/>
            </c:manualLayout>
          </c:layout>
          <c:spPr>
            <a:noFill/>
            <a:ln w="21571">
              <a:noFill/>
            </a:ln>
          </c:spPr>
        </c:title>
        <c:numFmt formatCode="0.0" sourceLinked="1"/>
        <c:tickLblPos val="nextTo"/>
        <c:crossAx val="103150336"/>
        <c:crosses val="autoZero"/>
        <c:crossBetween val="between"/>
      </c:valAx>
    </c:plotArea>
    <c:legend>
      <c:legendPos val="r"/>
      <c:layout>
        <c:manualLayout>
          <c:xMode val="edge"/>
          <c:yMode val="edge"/>
          <c:x val="0.91856920684291843"/>
          <c:y val="0.16597872634341757"/>
          <c:w val="7.9014788781262391E-2"/>
          <c:h val="0.42167527701571494"/>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Times New Roman"/>
                <a:ea typeface="Times New Roman"/>
                <a:cs typeface="Times New Roman"/>
              </a:defRPr>
            </a:pPr>
            <a:r>
              <a:rPr lang="ru-RU" sz="1000"/>
              <a:t>Обьем производства по отрасли промышленность строительных материалов, </a:t>
            </a:r>
          </a:p>
          <a:p>
            <a:pPr>
              <a:defRPr sz="1050" b="1" i="0" u="none" strike="noStrike" baseline="0">
                <a:solidFill>
                  <a:srgbClr val="000000"/>
                </a:solidFill>
                <a:latin typeface="Times New Roman"/>
                <a:ea typeface="Times New Roman"/>
                <a:cs typeface="Times New Roman"/>
              </a:defRPr>
            </a:pPr>
            <a:r>
              <a:rPr lang="ru-RU" sz="1000"/>
              <a:t>млн. руб.</a:t>
            </a:r>
          </a:p>
        </c:rich>
      </c:tx>
      <c:layout>
        <c:manualLayout>
          <c:xMode val="edge"/>
          <c:yMode val="edge"/>
          <c:x val="0.12566616966306438"/>
          <c:y val="0"/>
        </c:manualLayout>
      </c:layout>
      <c:spPr>
        <a:noFill/>
        <a:ln w="20926">
          <a:noFill/>
        </a:ln>
      </c:spPr>
    </c:title>
    <c:plotArea>
      <c:layout>
        <c:manualLayout>
          <c:layoutTarget val="inner"/>
          <c:xMode val="edge"/>
          <c:yMode val="edge"/>
          <c:x val="0.22358935180050851"/>
          <c:y val="0.18959555636941094"/>
          <c:w val="0.67293531970475562"/>
          <c:h val="0.61332289264950557"/>
        </c:manualLayout>
      </c:layout>
      <c:barChart>
        <c:barDir val="bar"/>
        <c:grouping val="clustered"/>
        <c:ser>
          <c:idx val="0"/>
          <c:order val="0"/>
          <c:tx>
            <c:strRef>
              <c:f>Лист1!$B$1</c:f>
              <c:strCache>
                <c:ptCount val="1"/>
                <c:pt idx="0">
                  <c:v>2015 год</c:v>
                </c:pt>
              </c:strCache>
            </c:strRef>
          </c:tx>
          <c:spPr>
            <a:gradFill>
              <a:gsLst>
                <a:gs pos="0">
                  <a:srgbClr val="D6B19C"/>
                </a:gs>
                <a:gs pos="30000">
                  <a:srgbClr val="D49E6C"/>
                </a:gs>
                <a:gs pos="70000">
                  <a:srgbClr val="A65528"/>
                </a:gs>
                <a:gs pos="100000">
                  <a:srgbClr val="663012"/>
                </a:gs>
              </a:gsLst>
              <a:lin ang="5400000" scaled="0"/>
            </a:gradFill>
            <a:ln w="20926">
              <a:noFill/>
            </a:ln>
          </c:spPr>
          <c:dLbls>
            <c:dLbl>
              <c:idx val="0"/>
              <c:layout>
                <c:manualLayout>
                  <c:x val="3.9423475821390892E-3"/>
                  <c:y val="1.2969876227400626E-2"/>
                </c:manualLayout>
              </c:layout>
              <c:tx>
                <c:rich>
                  <a:bodyPr/>
                  <a:lstStyle/>
                  <a:p>
                    <a:r>
                      <a:rPr lang="ru-RU" sz="900"/>
                      <a:t>55,5%*</a:t>
                    </a:r>
                  </a:p>
                </c:rich>
              </c:tx>
              <c:dLblPos val="outEnd"/>
            </c:dLbl>
            <c:dLbl>
              <c:idx val="1"/>
              <c:layout>
                <c:manualLayout>
                  <c:x val="-2.0865936358894152E-3"/>
                  <c:y val="0"/>
                </c:manualLayout>
              </c:layout>
              <c:tx>
                <c:rich>
                  <a:bodyPr/>
                  <a:lstStyle/>
                  <a:p>
                    <a:r>
                      <a:rPr lang="ru-RU" sz="900"/>
                      <a:t>51,2%*</a:t>
                    </a:r>
                  </a:p>
                </c:rich>
              </c:tx>
            </c:dLbl>
            <c:dLbl>
              <c:idx val="2"/>
              <c:layout>
                <c:manualLayout>
                  <c:x val="1.0432803880735565E-2"/>
                  <c:y val="2.8423444259769027E-17"/>
                </c:manualLayout>
              </c:layout>
              <c:tx>
                <c:rich>
                  <a:bodyPr/>
                  <a:lstStyle/>
                  <a:p>
                    <a:r>
                      <a:rPr lang="ru-RU" sz="900"/>
                      <a:t>111,7%*</a:t>
                    </a:r>
                    <a:endParaRPr lang="en-US" sz="900"/>
                  </a:p>
                </c:rich>
              </c:tx>
              <c:dLblPos val="outEnd"/>
            </c:dLbl>
            <c:spPr>
              <a:noFill/>
              <a:ln w="20926">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обьем производства подотрасли</c:v>
                </c:pt>
                <c:pt idx="1">
                  <c:v>объем производства ЗАО "РЦК"</c:v>
                </c:pt>
              </c:strCache>
            </c:strRef>
          </c:cat>
          <c:val>
            <c:numRef>
              <c:f>Лист1!$B$2:$B$3</c:f>
              <c:numCache>
                <c:formatCode>General</c:formatCode>
                <c:ptCount val="2"/>
                <c:pt idx="0">
                  <c:v>147.5</c:v>
                </c:pt>
                <c:pt idx="1">
                  <c:v>103.6</c:v>
                </c:pt>
              </c:numCache>
            </c:numRef>
          </c:val>
        </c:ser>
        <c:ser>
          <c:idx val="1"/>
          <c:order val="1"/>
          <c:tx>
            <c:strRef>
              <c:f>Лист1!$C$1</c:f>
              <c:strCache>
                <c:ptCount val="1"/>
                <c:pt idx="0">
                  <c:v>2016 год</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20926">
              <a:noFill/>
            </a:ln>
          </c:spPr>
          <c:dLbls>
            <c:dLbl>
              <c:idx val="0"/>
              <c:layout>
                <c:manualLayout>
                  <c:x val="-5.3229496547673328E-3"/>
                  <c:y val="6.957379058582209E-3"/>
                </c:manualLayout>
              </c:layout>
              <c:tx>
                <c:rich>
                  <a:bodyPr/>
                  <a:lstStyle/>
                  <a:p>
                    <a:pPr>
                      <a:defRPr sz="900" b="0" i="0" u="none" strike="noStrike" baseline="0">
                        <a:solidFill>
                          <a:srgbClr val="000000"/>
                        </a:solidFill>
                        <a:latin typeface="Times New Roman"/>
                        <a:ea typeface="Times New Roman"/>
                        <a:cs typeface="Times New Roman"/>
                      </a:defRPr>
                    </a:pPr>
                    <a:r>
                      <a:rPr lang="ru-RU" sz="900"/>
                      <a:t>105,9% *</a:t>
                    </a:r>
                  </a:p>
                </c:rich>
              </c:tx>
              <c:spPr>
                <a:noFill/>
                <a:ln w="20926">
                  <a:noFill/>
                </a:ln>
              </c:spPr>
              <c:dLblPos val="outEnd"/>
            </c:dLbl>
            <c:dLbl>
              <c:idx val="1"/>
              <c:layout>
                <c:manualLayout>
                  <c:x val="-4.9266611626599477E-3"/>
                  <c:y val="-7.0196012732451534E-3"/>
                </c:manualLayout>
              </c:layout>
              <c:tx>
                <c:rich>
                  <a:bodyPr/>
                  <a:lstStyle/>
                  <a:p>
                    <a:pPr>
                      <a:defRPr sz="900" b="0" i="0" u="none" strike="noStrike" baseline="0">
                        <a:solidFill>
                          <a:srgbClr val="000000"/>
                        </a:solidFill>
                        <a:latin typeface="Times New Roman"/>
                        <a:ea typeface="Times New Roman"/>
                        <a:cs typeface="Times New Roman"/>
                      </a:defRPr>
                    </a:pPr>
                    <a:r>
                      <a:rPr lang="ru-RU" sz="900"/>
                      <a:t>118,7% *</a:t>
                    </a:r>
                  </a:p>
                </c:rich>
              </c:tx>
              <c:spPr>
                <a:noFill/>
                <a:ln w="20926">
                  <a:noFill/>
                </a:ln>
              </c:spPr>
              <c:dLblPos val="outEnd"/>
            </c:dLbl>
            <c:dLbl>
              <c:idx val="2"/>
              <c:layout>
                <c:manualLayout>
                  <c:x val="0"/>
                  <c:y val="-1.24031007751938E-2"/>
                </c:manualLayout>
              </c:layout>
              <c:tx>
                <c:rich>
                  <a:bodyPr/>
                  <a:lstStyle/>
                  <a:p>
                    <a:r>
                      <a:rPr lang="ru-RU" sz="900"/>
                      <a:t>81,5%*</a:t>
                    </a:r>
                    <a:endParaRPr lang="en-US" sz="900"/>
                  </a:p>
                </c:rich>
              </c:tx>
              <c:dLblPos val="outEnd"/>
            </c:dLbl>
            <c:spPr>
              <a:noFill/>
              <a:ln w="20926">
                <a:noFill/>
              </a:ln>
            </c:spPr>
            <c:txPr>
              <a:bodyPr/>
              <a:lstStyle/>
              <a:p>
                <a:pPr>
                  <a:defRPr sz="900"/>
                </a:pPr>
                <a:endParaRPr lang="ru-RU"/>
              </a:p>
            </c:txPr>
            <c:showVal val="1"/>
          </c:dLbls>
          <c:cat>
            <c:strRef>
              <c:f>Лист1!$A$2:$A$3</c:f>
              <c:strCache>
                <c:ptCount val="2"/>
                <c:pt idx="0">
                  <c:v>обьем производства подотрасли</c:v>
                </c:pt>
                <c:pt idx="1">
                  <c:v>объем производства ЗАО "РЦК"</c:v>
                </c:pt>
              </c:strCache>
            </c:strRef>
          </c:cat>
          <c:val>
            <c:numRef>
              <c:f>Лист1!$C$2:$C$3</c:f>
              <c:numCache>
                <c:formatCode>General</c:formatCode>
                <c:ptCount val="2"/>
                <c:pt idx="0">
                  <c:v>156.1</c:v>
                </c:pt>
                <c:pt idx="1">
                  <c:v>123</c:v>
                </c:pt>
              </c:numCache>
            </c:numRef>
          </c:val>
        </c:ser>
        <c:dLbls>
          <c:showVal val="1"/>
        </c:dLbls>
        <c:axId val="103359232"/>
        <c:axId val="103360768"/>
      </c:barChart>
      <c:catAx>
        <c:axId val="103359232"/>
        <c:scaling>
          <c:orientation val="minMax"/>
        </c:scaling>
        <c:axPos val="l"/>
        <c:numFmt formatCode="General" sourceLinked="1"/>
        <c:tickLblPos val="nextTo"/>
        <c:txPr>
          <a:bodyPr/>
          <a:lstStyle/>
          <a:p>
            <a:pPr>
              <a:defRPr sz="900" kern="0" baseline="0"/>
            </a:pPr>
            <a:endParaRPr lang="ru-RU"/>
          </a:p>
        </c:txPr>
        <c:crossAx val="103360768"/>
        <c:crosses val="autoZero"/>
        <c:auto val="1"/>
        <c:lblAlgn val="ctr"/>
        <c:lblOffset val="100"/>
      </c:catAx>
      <c:valAx>
        <c:axId val="103360768"/>
        <c:scaling>
          <c:orientation val="minMax"/>
        </c:scaling>
        <c:axPos val="b"/>
        <c:majorGridlines/>
        <c:title>
          <c:tx>
            <c:rich>
              <a:bodyPr/>
              <a:lstStyle/>
              <a:p>
                <a:pPr>
                  <a:defRPr sz="820" b="1" i="0" u="none" strike="noStrike" baseline="0">
                    <a:solidFill>
                      <a:srgbClr val="000000"/>
                    </a:solidFill>
                    <a:latin typeface="Times New Roman"/>
                    <a:ea typeface="Times New Roman"/>
                    <a:cs typeface="Times New Roman"/>
                  </a:defRPr>
                </a:pPr>
                <a:r>
                  <a:rPr lang="ru-RU"/>
                  <a:t>* - темп роста 
к предыдущему году</a:t>
                </a:r>
              </a:p>
            </c:rich>
          </c:tx>
          <c:layout>
            <c:manualLayout>
              <c:xMode val="edge"/>
              <c:yMode val="edge"/>
              <c:x val="0"/>
              <c:y val="0.78966769504689105"/>
            </c:manualLayout>
          </c:layout>
          <c:spPr>
            <a:noFill/>
            <a:ln w="20926">
              <a:noFill/>
            </a:ln>
          </c:spPr>
        </c:title>
        <c:numFmt formatCode="General" sourceLinked="1"/>
        <c:tickLblPos val="nextTo"/>
        <c:crossAx val="103359232"/>
        <c:crosses val="autoZero"/>
        <c:crossBetween val="between"/>
      </c:valAx>
    </c:plotArea>
    <c:legend>
      <c:legendPos val="r"/>
      <c:layout>
        <c:manualLayout>
          <c:xMode val="edge"/>
          <c:yMode val="edge"/>
          <c:x val="0.90340911611400765"/>
          <c:y val="0.13129798001769813"/>
          <c:w val="9.6590930903112368E-2"/>
          <c:h val="0.20006264410318875"/>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32" b="1" i="0" u="none" strike="noStrike" baseline="0">
                <a:solidFill>
                  <a:srgbClr val="000000"/>
                </a:solidFill>
                <a:latin typeface="Times New Roman"/>
                <a:ea typeface="Times New Roman"/>
                <a:cs typeface="Times New Roman"/>
              </a:defRPr>
            </a:pPr>
            <a:r>
              <a:rPr lang="ru-RU" sz="1000"/>
              <a:t>Обьем производства по отрасли легкая промышленность,</a:t>
            </a:r>
            <a:r>
              <a:rPr lang="ru-RU" sz="1000" baseline="0"/>
              <a:t> </a:t>
            </a:r>
            <a:r>
              <a:rPr lang="ru-RU" sz="1000"/>
              <a:t>млн. руб.</a:t>
            </a:r>
          </a:p>
        </c:rich>
      </c:tx>
      <c:layout>
        <c:manualLayout>
          <c:xMode val="edge"/>
          <c:yMode val="edge"/>
          <c:x val="0.23817983860886777"/>
          <c:y val="4.6192253431798024E-2"/>
        </c:manualLayout>
      </c:layout>
      <c:spPr>
        <a:noFill/>
        <a:ln w="19217">
          <a:noFill/>
        </a:ln>
      </c:spPr>
    </c:title>
    <c:plotArea>
      <c:layout>
        <c:manualLayout>
          <c:layoutTarget val="inner"/>
          <c:xMode val="edge"/>
          <c:yMode val="edge"/>
          <c:x val="0.35836071417000254"/>
          <c:y val="0.18870710605620064"/>
          <c:w val="0.56869139042806993"/>
          <c:h val="0.64172485756359232"/>
        </c:manualLayout>
      </c:layout>
      <c:barChart>
        <c:barDir val="bar"/>
        <c:grouping val="clustered"/>
        <c:ser>
          <c:idx val="0"/>
          <c:order val="0"/>
          <c:tx>
            <c:strRef>
              <c:f>Лист1!$B$1</c:f>
              <c:strCache>
                <c:ptCount val="1"/>
                <c:pt idx="0">
                  <c:v>2015год</c:v>
                </c:pt>
              </c:strCache>
            </c:strRef>
          </c:tx>
          <c:spPr>
            <a:gradFill>
              <a:gsLst>
                <a:gs pos="0">
                  <a:srgbClr val="8488C4"/>
                </a:gs>
                <a:gs pos="53000">
                  <a:srgbClr val="D4DEFF"/>
                </a:gs>
                <a:gs pos="83000">
                  <a:srgbClr val="D4DEFF"/>
                </a:gs>
                <a:gs pos="100000">
                  <a:srgbClr val="96AB94"/>
                </a:gs>
              </a:gsLst>
              <a:lin ang="5400000" scaled="0"/>
            </a:gradFill>
            <a:ln w="19217">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dLbls>
            <c:dLbl>
              <c:idx val="0"/>
              <c:layout>
                <c:manualLayout>
                  <c:x val="-2.0516185476815614E-3"/>
                  <c:y val="7.9636674629154514E-3"/>
                </c:manualLayout>
              </c:layout>
              <c:tx>
                <c:rich>
                  <a:bodyPr/>
                  <a:lstStyle/>
                  <a:p>
                    <a:r>
                      <a:rPr lang="ru-RU" sz="800"/>
                      <a:t>74,9%*</a:t>
                    </a:r>
                  </a:p>
                </c:rich>
              </c:tx>
              <c:dLblPos val="outEnd"/>
            </c:dLbl>
            <c:dLbl>
              <c:idx val="1"/>
              <c:layout>
                <c:manualLayout>
                  <c:x val="-8.2328829266712228E-3"/>
                  <c:y val="0"/>
                </c:manualLayout>
              </c:layout>
              <c:tx>
                <c:rich>
                  <a:bodyPr/>
                  <a:lstStyle/>
                  <a:p>
                    <a:r>
                      <a:rPr lang="ru-RU" sz="800"/>
                      <a:t>76,0%*</a:t>
                    </a:r>
                  </a:p>
                </c:rich>
              </c:tx>
              <c:dLblPos val="outEnd"/>
            </c:dLbl>
            <c:dLbl>
              <c:idx val="2"/>
              <c:layout>
                <c:manualLayout>
                  <c:x val="-6.4136825227152023E-3"/>
                  <c:y val="0"/>
                </c:manualLayout>
              </c:layout>
              <c:tx>
                <c:rich>
                  <a:bodyPr/>
                  <a:lstStyle/>
                  <a:p>
                    <a:r>
                      <a:rPr lang="ru-RU" sz="800"/>
                      <a:t>100,3%*</a:t>
                    </a:r>
                    <a:endParaRPr lang="en-US" sz="800"/>
                  </a:p>
                </c:rich>
              </c:tx>
              <c:dLblPos val="outEnd"/>
            </c:dLbl>
            <c:spPr>
              <a:noFill/>
              <a:ln w="19217">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обьем производства подотрасли</c:v>
                </c:pt>
                <c:pt idx="1">
                  <c:v>объем производства ЗАО "Тиротекс"</c:v>
                </c:pt>
              </c:strCache>
            </c:strRef>
          </c:cat>
          <c:val>
            <c:numRef>
              <c:f>Лист1!$B$2:$B$3</c:f>
              <c:numCache>
                <c:formatCode>General</c:formatCode>
                <c:ptCount val="2"/>
                <c:pt idx="0">
                  <c:v>468.9</c:v>
                </c:pt>
                <c:pt idx="1">
                  <c:v>335.7</c:v>
                </c:pt>
              </c:numCache>
            </c:numRef>
          </c:val>
        </c:ser>
        <c:ser>
          <c:idx val="1"/>
          <c:order val="1"/>
          <c:tx>
            <c:strRef>
              <c:f>Лист1!$C$1</c:f>
              <c:strCache>
                <c:ptCount val="1"/>
                <c:pt idx="0">
                  <c:v>2016 год</c:v>
                </c:pt>
              </c:strCache>
            </c:strRef>
          </c:tx>
          <c:spPr>
            <a:gradFill>
              <a:gsLst>
                <a:gs pos="0">
                  <a:srgbClr val="FFEFD1"/>
                </a:gs>
                <a:gs pos="64999">
                  <a:srgbClr val="F0EBD5"/>
                </a:gs>
                <a:gs pos="100000">
                  <a:srgbClr val="D1C39F"/>
                </a:gs>
              </a:gsLst>
              <a:lin ang="5400000" scaled="0"/>
            </a:gradFill>
            <a:ln w="19217">
              <a:noFill/>
            </a:ln>
          </c:spPr>
          <c:dLbls>
            <c:dLbl>
              <c:idx val="0"/>
              <c:layout>
                <c:manualLayout>
                  <c:x val="-8.785522180097859E-3"/>
                  <c:y val="-2.0903005101889811E-3"/>
                </c:manualLayout>
              </c:layout>
              <c:tx>
                <c:rich>
                  <a:bodyPr/>
                  <a:lstStyle/>
                  <a:p>
                    <a:pPr>
                      <a:defRPr sz="800" b="0" i="0" u="none" strike="noStrike" baseline="0">
                        <a:solidFill>
                          <a:srgbClr val="000000"/>
                        </a:solidFill>
                        <a:latin typeface="Times New Roman"/>
                        <a:ea typeface="Times New Roman"/>
                        <a:cs typeface="Times New Roman"/>
                      </a:defRPr>
                    </a:pPr>
                    <a:r>
                      <a:rPr lang="ru-RU" sz="800"/>
                      <a:t>117,5% *</a:t>
                    </a:r>
                  </a:p>
                </c:rich>
              </c:tx>
              <c:spPr>
                <a:noFill/>
                <a:ln w="19217">
                  <a:noFill/>
                </a:ln>
              </c:spPr>
              <c:dLblPos val="outEnd"/>
            </c:dLbl>
            <c:dLbl>
              <c:idx val="1"/>
              <c:layout>
                <c:manualLayout>
                  <c:x val="5.7677975438255413E-5"/>
                  <c:y val="-3.9670883836149693E-3"/>
                </c:manualLayout>
              </c:layout>
              <c:tx>
                <c:rich>
                  <a:bodyPr/>
                  <a:lstStyle/>
                  <a:p>
                    <a:pPr>
                      <a:defRPr sz="800" b="0" i="0" u="none" strike="noStrike" baseline="0">
                        <a:solidFill>
                          <a:srgbClr val="000000"/>
                        </a:solidFill>
                        <a:latin typeface="Times New Roman"/>
                        <a:ea typeface="Times New Roman"/>
                        <a:cs typeface="Times New Roman"/>
                      </a:defRPr>
                    </a:pPr>
                    <a:r>
                      <a:rPr lang="ru-RU" sz="800"/>
                      <a:t>124,2% *</a:t>
                    </a:r>
                  </a:p>
                </c:rich>
              </c:tx>
              <c:spPr>
                <a:noFill/>
                <a:ln w="19217">
                  <a:noFill/>
                </a:ln>
              </c:spPr>
              <c:dLblPos val="outEnd"/>
            </c:dLbl>
            <c:dLbl>
              <c:idx val="2"/>
              <c:layout>
                <c:manualLayout>
                  <c:x val="-1.6055863387446961E-4"/>
                  <c:y val="-6.3642532488316734E-3"/>
                </c:manualLayout>
              </c:layout>
              <c:tx>
                <c:rich>
                  <a:bodyPr/>
                  <a:lstStyle/>
                  <a:p>
                    <a:r>
                      <a:rPr lang="ru-RU" sz="800"/>
                      <a:t>89,3%*</a:t>
                    </a:r>
                    <a:endParaRPr lang="en-US" sz="800"/>
                  </a:p>
                </c:rich>
              </c:tx>
              <c:dLblPos val="outEnd"/>
            </c:dLbl>
            <c:spPr>
              <a:noFill/>
              <a:ln w="19217">
                <a:noFill/>
              </a:ln>
            </c:spPr>
            <c:txPr>
              <a:bodyPr/>
              <a:lstStyle/>
              <a:p>
                <a:pPr>
                  <a:defRPr sz="800"/>
                </a:pPr>
                <a:endParaRPr lang="ru-RU"/>
              </a:p>
            </c:txPr>
            <c:showVal val="1"/>
          </c:dLbls>
          <c:cat>
            <c:strRef>
              <c:f>Лист1!$A$2:$A$3</c:f>
              <c:strCache>
                <c:ptCount val="2"/>
                <c:pt idx="0">
                  <c:v>обьем производства подотрасли</c:v>
                </c:pt>
                <c:pt idx="1">
                  <c:v>объем производства ЗАО "Тиротекс"</c:v>
                </c:pt>
              </c:strCache>
            </c:strRef>
          </c:cat>
          <c:val>
            <c:numRef>
              <c:f>Лист1!$C$2:$C$3</c:f>
              <c:numCache>
                <c:formatCode>General</c:formatCode>
                <c:ptCount val="2"/>
                <c:pt idx="0">
                  <c:v>550.70000000000005</c:v>
                </c:pt>
                <c:pt idx="1">
                  <c:v>416.9</c:v>
                </c:pt>
              </c:numCache>
            </c:numRef>
          </c:val>
        </c:ser>
        <c:dLbls>
          <c:showVal val="1"/>
        </c:dLbls>
        <c:axId val="103564032"/>
        <c:axId val="103565568"/>
      </c:barChart>
      <c:catAx>
        <c:axId val="103564032"/>
        <c:scaling>
          <c:orientation val="minMax"/>
        </c:scaling>
        <c:axPos val="l"/>
        <c:numFmt formatCode="General" sourceLinked="1"/>
        <c:tickLblPos val="nextTo"/>
        <c:txPr>
          <a:bodyPr/>
          <a:lstStyle/>
          <a:p>
            <a:pPr>
              <a:defRPr sz="900" kern="0" baseline="0"/>
            </a:pPr>
            <a:endParaRPr lang="ru-RU"/>
          </a:p>
        </c:txPr>
        <c:crossAx val="103565568"/>
        <c:crosses val="autoZero"/>
        <c:auto val="1"/>
        <c:lblAlgn val="ctr"/>
        <c:lblOffset val="100"/>
      </c:catAx>
      <c:valAx>
        <c:axId val="103565568"/>
        <c:scaling>
          <c:orientation val="minMax"/>
        </c:scaling>
        <c:axPos val="b"/>
        <c:majorGridlines/>
        <c:title>
          <c:tx>
            <c:rich>
              <a:bodyPr/>
              <a:lstStyle/>
              <a:p>
                <a:pPr>
                  <a:defRPr sz="755" b="1" i="0" u="none" strike="noStrike" baseline="0">
                    <a:solidFill>
                      <a:srgbClr val="000000"/>
                    </a:solidFill>
                    <a:latin typeface="Times New Roman"/>
                    <a:ea typeface="Times New Roman"/>
                    <a:cs typeface="Times New Roman"/>
                  </a:defRPr>
                </a:pPr>
                <a:r>
                  <a:rPr lang="ru-RU"/>
                  <a:t>* - темп роста 
к предыдущему году</a:t>
                </a:r>
              </a:p>
            </c:rich>
          </c:tx>
          <c:layout>
            <c:manualLayout>
              <c:xMode val="edge"/>
              <c:yMode val="edge"/>
              <c:x val="0"/>
              <c:y val="0.78966767615586564"/>
            </c:manualLayout>
          </c:layout>
          <c:spPr>
            <a:noFill/>
            <a:ln w="19217">
              <a:noFill/>
            </a:ln>
          </c:spPr>
        </c:title>
        <c:numFmt formatCode="General" sourceLinked="1"/>
        <c:tickLblPos val="nextTo"/>
        <c:crossAx val="103564032"/>
        <c:crosses val="autoZero"/>
        <c:crossBetween val="between"/>
        <c:majorUnit val="200"/>
      </c:valAx>
    </c:plotArea>
    <c:legend>
      <c:legendPos val="r"/>
      <c:layout>
        <c:manualLayout>
          <c:xMode val="edge"/>
          <c:yMode val="edge"/>
          <c:x val="0.91781244936975459"/>
          <c:y val="0.20889827795915755"/>
          <c:w val="7.9922069926447445E-2"/>
          <c:h val="0.20045835733948317"/>
        </c:manualLayout>
      </c:layout>
      <c:txPr>
        <a:bodyPr/>
        <a:lstStyle/>
        <a:p>
          <a:pPr>
            <a:defRPr sz="8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62">
                <a:latin typeface="Times New Roman" pitchFamily="18" charset="0"/>
                <a:cs typeface="Times New Roman" pitchFamily="18" charset="0"/>
              </a:defRPr>
            </a:pPr>
            <a:r>
              <a:rPr lang="ru-RU" sz="1100">
                <a:latin typeface="Times New Roman" pitchFamily="18" charset="0"/>
                <a:cs typeface="Times New Roman" pitchFamily="18" charset="0"/>
              </a:rPr>
              <a:t>Динамика валовой продукции сельского хозяйства (в текущих ценах)</a:t>
            </a:r>
          </a:p>
        </c:rich>
      </c:tx>
      <c:layout>
        <c:manualLayout>
          <c:xMode val="edge"/>
          <c:yMode val="edge"/>
          <c:x val="0.30687436428172343"/>
          <c:y val="5.2500285290425913E-2"/>
        </c:manualLayout>
      </c:layout>
    </c:title>
    <c:plotArea>
      <c:layout/>
      <c:barChart>
        <c:barDir val="col"/>
        <c:grouping val="clustered"/>
        <c:ser>
          <c:idx val="0"/>
          <c:order val="0"/>
          <c:tx>
            <c:strRef>
              <c:f>Лист1!$B$1</c:f>
              <c:strCache>
                <c:ptCount val="1"/>
                <c:pt idx="0">
                  <c:v>Валовая продукция сельского хозяйства (во всех категориях хозяйств), млн. руб.</c:v>
                </c:pt>
              </c:strCache>
            </c:strRef>
          </c:tx>
          <c:dLbls>
            <c:dLbl>
              <c:idx val="0"/>
              <c:layout>
                <c:manualLayout>
                  <c:x val="-2.1378941742383802E-3"/>
                  <c:y val="2.0736465646316447E-2"/>
                </c:manualLayout>
              </c:layout>
              <c:tx>
                <c:rich>
                  <a:bodyPr/>
                  <a:lstStyle/>
                  <a:p>
                    <a:r>
                      <a:rPr lang="ru-RU" sz="872" b="1">
                        <a:latin typeface="Times New Roman" pitchFamily="18" charset="0"/>
                        <a:cs typeface="Times New Roman" pitchFamily="18" charset="0"/>
                      </a:rPr>
                      <a:t>112,1%*</a:t>
                    </a:r>
                    <a:endParaRPr lang="en-US" sz="900" b="1">
                      <a:latin typeface="Times New Roman" pitchFamily="18" charset="0"/>
                      <a:cs typeface="Times New Roman" pitchFamily="18" charset="0"/>
                    </a:endParaRPr>
                  </a:p>
                </c:rich>
              </c:tx>
              <c:dLblPos val="outEnd"/>
            </c:dLbl>
            <c:dLbl>
              <c:idx val="1"/>
              <c:layout>
                <c:manualLayout>
                  <c:x val="6.4136825227151693E-3"/>
                  <c:y val="1.3824310430877661E-2"/>
                </c:manualLayout>
              </c:layout>
              <c:tx>
                <c:rich>
                  <a:bodyPr/>
                  <a:lstStyle/>
                  <a:p>
                    <a:r>
                      <a:rPr lang="ru-RU" sz="872" b="1">
                        <a:latin typeface="Times New Roman" pitchFamily="18" charset="0"/>
                        <a:cs typeface="Times New Roman" pitchFamily="18" charset="0"/>
                      </a:rPr>
                      <a:t>92,3%*</a:t>
                    </a:r>
                    <a:endParaRPr lang="en-US" sz="900" b="1">
                      <a:latin typeface="Times New Roman" pitchFamily="18" charset="0"/>
                      <a:cs typeface="Times New Roman" pitchFamily="18" charset="0"/>
                    </a:endParaRPr>
                  </a:p>
                </c:rich>
              </c:tx>
              <c:dLblPos val="outEnd"/>
            </c:dLbl>
            <c:txPr>
              <a:bodyPr/>
              <a:lstStyle/>
              <a:p>
                <a:pPr>
                  <a:defRPr sz="872" b="1">
                    <a:latin typeface="Times New Roman" pitchFamily="18" charset="0"/>
                    <a:cs typeface="Times New Roman" pitchFamily="18" charset="0"/>
                  </a:defRPr>
                </a:pPr>
                <a:endParaRPr lang="ru-RU"/>
              </a:p>
            </c:txPr>
            <c:dLblPos val="outEnd"/>
            <c:showVal val="1"/>
          </c:dLbls>
          <c:cat>
            <c:strRef>
              <c:f>Лист1!$A$2:$A$3</c:f>
              <c:strCache>
                <c:ptCount val="2"/>
                <c:pt idx="0">
                  <c:v>январь-июнь 2015 года</c:v>
                </c:pt>
                <c:pt idx="1">
                  <c:v>январь-июнь 2016 года</c:v>
                </c:pt>
              </c:strCache>
            </c:strRef>
          </c:cat>
          <c:val>
            <c:numRef>
              <c:f>Лист1!$B$2:$B$3</c:f>
              <c:numCache>
                <c:formatCode>General</c:formatCode>
                <c:ptCount val="2"/>
                <c:pt idx="0">
                  <c:v>438.9</c:v>
                </c:pt>
                <c:pt idx="1">
                  <c:v>316.39999999999969</c:v>
                </c:pt>
              </c:numCache>
            </c:numRef>
          </c:val>
        </c:ser>
        <c:dLbls>
          <c:showVal val="1"/>
        </c:dLbls>
        <c:axId val="103516800"/>
        <c:axId val="103522688"/>
      </c:barChart>
      <c:catAx>
        <c:axId val="103516800"/>
        <c:scaling>
          <c:orientation val="minMax"/>
        </c:scaling>
        <c:axPos val="b"/>
        <c:numFmt formatCode="General" sourceLinked="1"/>
        <c:tickLblPos val="nextTo"/>
        <c:crossAx val="103522688"/>
        <c:crosses val="autoZero"/>
        <c:auto val="1"/>
        <c:lblAlgn val="ctr"/>
        <c:lblOffset val="100"/>
      </c:catAx>
      <c:valAx>
        <c:axId val="103522688"/>
        <c:scaling>
          <c:orientation val="minMax"/>
          <c:max val="500"/>
        </c:scaling>
        <c:axPos val="l"/>
        <c:numFmt formatCode="General" sourceLinked="1"/>
        <c:tickLblPos val="nextTo"/>
        <c:txPr>
          <a:bodyPr/>
          <a:lstStyle/>
          <a:p>
            <a:pPr>
              <a:defRPr b="1">
                <a:latin typeface="Times New Roman" pitchFamily="18" charset="0"/>
                <a:cs typeface="Times New Roman" pitchFamily="18" charset="0"/>
              </a:defRPr>
            </a:pPr>
            <a:endParaRPr lang="ru-RU"/>
          </a:p>
        </c:txPr>
        <c:crossAx val="103516800"/>
        <c:crosses val="autoZero"/>
        <c:crossBetween val="between"/>
        <c:majorUnit val="100"/>
      </c:valAx>
      <c:dTable>
        <c:showHorzBorder val="1"/>
        <c:showVertBorder val="1"/>
        <c:showOutline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000"/>
            </a:pPr>
            <a:r>
              <a:rPr lang="ru-RU" sz="1000"/>
              <a:t>Поголовье основных видов скота и птицы </a:t>
            </a:r>
          </a:p>
          <a:p>
            <a:pPr>
              <a:defRPr sz="1000"/>
            </a:pPr>
            <a:r>
              <a:rPr lang="ru-RU" sz="1000"/>
              <a:t>в  организациях, осуществляющих сельскохозяйственное производство</a:t>
            </a:r>
          </a:p>
        </c:rich>
      </c:tx>
      <c:layout>
        <c:manualLayout>
          <c:xMode val="edge"/>
          <c:yMode val="edge"/>
          <c:x val="0.12033955057943339"/>
          <c:y val="0"/>
        </c:manualLayout>
      </c:layout>
    </c:title>
    <c:plotArea>
      <c:layout>
        <c:manualLayout>
          <c:layoutTarget val="inner"/>
          <c:xMode val="edge"/>
          <c:yMode val="edge"/>
          <c:x val="0.34693244739756951"/>
          <c:y val="0.16089417637509221"/>
          <c:w val="0.63826475178974718"/>
          <c:h val="0.43481695237687107"/>
        </c:manualLayout>
      </c:layout>
      <c:barChart>
        <c:barDir val="col"/>
        <c:grouping val="clustered"/>
        <c:ser>
          <c:idx val="0"/>
          <c:order val="0"/>
          <c:tx>
            <c:strRef>
              <c:f>Лист1!$B$1</c:f>
              <c:strCache>
                <c:ptCount val="1"/>
                <c:pt idx="0">
                  <c:v>Крупный рогатый скот, голов</c:v>
                </c:pt>
              </c:strCache>
            </c:strRef>
          </c:tx>
          <c:dLbls>
            <c:dLbl>
              <c:idx val="0"/>
              <c:layout>
                <c:manualLayout>
                  <c:x val="-4.6296296296295903E-3"/>
                  <c:y val="0"/>
                </c:manualLayout>
              </c:layout>
              <c:tx>
                <c:rich>
                  <a:bodyPr/>
                  <a:lstStyle/>
                  <a:p>
                    <a:r>
                      <a:rPr lang="ru-RU" sz="900" b="1">
                        <a:latin typeface="Times New Roman" pitchFamily="18" charset="0"/>
                        <a:cs typeface="Times New Roman" pitchFamily="18" charset="0"/>
                      </a:rPr>
                      <a:t>100,7*</a:t>
                    </a:r>
                    <a:endParaRPr lang="en-US" sz="900" b="1">
                      <a:latin typeface="Times New Roman" pitchFamily="18" charset="0"/>
                      <a:cs typeface="Times New Roman" pitchFamily="18" charset="0"/>
                    </a:endParaRPr>
                  </a:p>
                </c:rich>
              </c:tx>
              <c:dLblPos val="inEnd"/>
              <c:showVal val="1"/>
            </c:dLbl>
            <c:dLbl>
              <c:idx val="1"/>
              <c:layout>
                <c:manualLayout>
                  <c:x val="-7.6429772121181482E-3"/>
                  <c:y val="6.0472975229242144E-3"/>
                </c:manualLayout>
              </c:layout>
              <c:tx>
                <c:rich>
                  <a:bodyPr/>
                  <a:lstStyle/>
                  <a:p>
                    <a:r>
                      <a:rPr lang="ru-RU" sz="900" b="1">
                        <a:latin typeface="Times New Roman" pitchFamily="18" charset="0"/>
                        <a:cs typeface="Times New Roman" pitchFamily="18" charset="0"/>
                      </a:rPr>
                      <a:t>86,0*</a:t>
                    </a:r>
                    <a:endParaRPr lang="en-US" sz="900" b="1">
                      <a:latin typeface="Times New Roman" pitchFamily="18" charset="0"/>
                      <a:cs typeface="Times New Roman" pitchFamily="18" charset="0"/>
                    </a:endParaRPr>
                  </a:p>
                </c:rich>
              </c:tx>
              <c:dLblPos val="outEnd"/>
              <c:showVal val="1"/>
            </c:dLbl>
            <c:txPr>
              <a:bodyPr/>
              <a:lstStyle/>
              <a:p>
                <a:pPr>
                  <a:defRPr sz="900"/>
                </a:pPr>
                <a:endParaRPr lang="ru-RU"/>
              </a:p>
            </c:txPr>
            <c:dLblPos val="inEnd"/>
            <c:showVal val="1"/>
          </c:dLbls>
          <c:cat>
            <c:strRef>
              <c:f>Лист1!$A$2:$A$3</c:f>
              <c:strCache>
                <c:ptCount val="2"/>
                <c:pt idx="0">
                  <c:v>на 1.07.2015 г.</c:v>
                </c:pt>
                <c:pt idx="1">
                  <c:v>на 1.07.2016 г.</c:v>
                </c:pt>
              </c:strCache>
            </c:strRef>
          </c:cat>
          <c:val>
            <c:numRef>
              <c:f>Лист1!$B$2:$B$3</c:f>
              <c:numCache>
                <c:formatCode>#,##0</c:formatCode>
                <c:ptCount val="2"/>
                <c:pt idx="0">
                  <c:v>6779</c:v>
                </c:pt>
                <c:pt idx="1">
                  <c:v>5830</c:v>
                </c:pt>
              </c:numCache>
            </c:numRef>
          </c:val>
        </c:ser>
        <c:ser>
          <c:idx val="1"/>
          <c:order val="1"/>
          <c:tx>
            <c:strRef>
              <c:f>Лист1!$C$1</c:f>
              <c:strCache>
                <c:ptCount val="1"/>
                <c:pt idx="0">
                  <c:v>Свиньи, голов</c:v>
                </c:pt>
              </c:strCache>
            </c:strRef>
          </c:tx>
          <c:dLbls>
            <c:dLbl>
              <c:idx val="0"/>
              <c:layout>
                <c:manualLayout>
                  <c:x val="4.105778912467402E-3"/>
                  <c:y val="1.3268417783654906E-2"/>
                </c:manualLayout>
              </c:layout>
              <c:tx>
                <c:rich>
                  <a:bodyPr/>
                  <a:lstStyle/>
                  <a:p>
                    <a:r>
                      <a:rPr lang="ru-RU" sz="900" b="1"/>
                      <a:t>114,9*</a:t>
                    </a:r>
                    <a:endParaRPr lang="en-US" sz="900" b="1"/>
                  </a:p>
                </c:rich>
              </c:tx>
              <c:dLblPos val="outEnd"/>
              <c:showVal val="1"/>
            </c:dLbl>
            <c:dLbl>
              <c:idx val="1"/>
              <c:layout>
                <c:manualLayout>
                  <c:x val="1.6148976243181583E-3"/>
                  <c:y val="1.7310319180129732E-2"/>
                </c:manualLayout>
              </c:layout>
              <c:tx>
                <c:rich>
                  <a:bodyPr/>
                  <a:lstStyle/>
                  <a:p>
                    <a:r>
                      <a:rPr lang="ru-RU" sz="900" b="1"/>
                      <a:t>100,6*</a:t>
                    </a:r>
                    <a:endParaRPr lang="en-US" sz="900" b="1"/>
                  </a:p>
                </c:rich>
              </c:tx>
              <c:dLblPos val="outEnd"/>
              <c:showVal val="1"/>
            </c:dLbl>
            <c:txPr>
              <a:bodyPr/>
              <a:lstStyle/>
              <a:p>
                <a:pPr>
                  <a:defRPr sz="900"/>
                </a:pPr>
                <a:endParaRPr lang="ru-RU"/>
              </a:p>
            </c:txPr>
            <c:dLblPos val="inEnd"/>
            <c:showVal val="1"/>
          </c:dLbls>
          <c:cat>
            <c:strRef>
              <c:f>Лист1!$A$2:$A$3</c:f>
              <c:strCache>
                <c:ptCount val="2"/>
                <c:pt idx="0">
                  <c:v>на 1.07.2015 г.</c:v>
                </c:pt>
                <c:pt idx="1">
                  <c:v>на 1.07.2016 г.</c:v>
                </c:pt>
              </c:strCache>
            </c:strRef>
          </c:cat>
          <c:val>
            <c:numRef>
              <c:f>Лист1!$C$2:$C$3</c:f>
              <c:numCache>
                <c:formatCode>#,##0</c:formatCode>
                <c:ptCount val="2"/>
                <c:pt idx="0">
                  <c:v>12237</c:v>
                </c:pt>
                <c:pt idx="1">
                  <c:v>12310</c:v>
                </c:pt>
              </c:numCache>
            </c:numRef>
          </c:val>
        </c:ser>
        <c:ser>
          <c:idx val="2"/>
          <c:order val="2"/>
          <c:tx>
            <c:strRef>
              <c:f>Лист1!$D$1</c:f>
              <c:strCache>
                <c:ptCount val="1"/>
                <c:pt idx="0">
                  <c:v>Овцы и козы, голов</c:v>
                </c:pt>
              </c:strCache>
            </c:strRef>
          </c:tx>
          <c:dLbls>
            <c:dLbl>
              <c:idx val="0"/>
              <c:layout>
                <c:manualLayout>
                  <c:x val="2.2055670007541457E-3"/>
                  <c:y val="1.0078740157480314E-2"/>
                </c:manualLayout>
              </c:layout>
              <c:tx>
                <c:rich>
                  <a:bodyPr/>
                  <a:lstStyle/>
                  <a:p>
                    <a:r>
                      <a:rPr lang="ru-RU" sz="900" b="1"/>
                      <a:t>87,2*</a:t>
                    </a:r>
                    <a:endParaRPr lang="en-US" sz="900" b="1"/>
                  </a:p>
                </c:rich>
              </c:tx>
              <c:dLblPos val="outEnd"/>
              <c:showVal val="1"/>
            </c:dLbl>
            <c:dLbl>
              <c:idx val="1"/>
              <c:layout>
                <c:manualLayout>
                  <c:x val="6.5930141274060895E-3"/>
                  <c:y val="2.000865355045878E-2"/>
                </c:manualLayout>
              </c:layout>
              <c:tx>
                <c:rich>
                  <a:bodyPr/>
                  <a:lstStyle/>
                  <a:p>
                    <a:r>
                      <a:rPr lang="ru-RU" sz="900" b="1"/>
                      <a:t>126,2*</a:t>
                    </a:r>
                    <a:endParaRPr lang="en-US" sz="900" b="1"/>
                  </a:p>
                </c:rich>
              </c:tx>
              <c:dLblPos val="outEnd"/>
              <c:showVal val="1"/>
            </c:dLbl>
            <c:txPr>
              <a:bodyPr/>
              <a:lstStyle/>
              <a:p>
                <a:pPr>
                  <a:defRPr sz="900"/>
                </a:pPr>
                <a:endParaRPr lang="ru-RU"/>
              </a:p>
            </c:txPr>
            <c:dLblPos val="inEnd"/>
            <c:showVal val="1"/>
          </c:dLbls>
          <c:cat>
            <c:strRef>
              <c:f>Лист1!$A$2:$A$3</c:f>
              <c:strCache>
                <c:ptCount val="2"/>
                <c:pt idx="0">
                  <c:v>на 1.07.2015 г.</c:v>
                </c:pt>
                <c:pt idx="1">
                  <c:v>на 1.07.2016 г.</c:v>
                </c:pt>
              </c:strCache>
            </c:strRef>
          </c:cat>
          <c:val>
            <c:numRef>
              <c:f>Лист1!$D$2:$D$3</c:f>
              <c:numCache>
                <c:formatCode>#,##0</c:formatCode>
                <c:ptCount val="2"/>
                <c:pt idx="0">
                  <c:v>1844</c:v>
                </c:pt>
                <c:pt idx="1">
                  <c:v>2327</c:v>
                </c:pt>
              </c:numCache>
            </c:numRef>
          </c:val>
        </c:ser>
        <c:ser>
          <c:idx val="3"/>
          <c:order val="3"/>
          <c:tx>
            <c:strRef>
              <c:f>Лист1!$E$1</c:f>
              <c:strCache>
                <c:ptCount val="1"/>
                <c:pt idx="0">
                  <c:v>Птица, голов</c:v>
                </c:pt>
              </c:strCache>
            </c:strRef>
          </c:tx>
          <c:spPr>
            <a:solidFill>
              <a:schemeClr val="accent3">
                <a:lumMod val="60000"/>
                <a:lumOff val="40000"/>
              </a:schemeClr>
            </a:solidFill>
          </c:spPr>
          <c:dPt>
            <c:idx val="0"/>
            <c:spPr>
              <a:solidFill>
                <a:schemeClr val="tx2">
                  <a:lumMod val="40000"/>
                  <a:lumOff val="60000"/>
                </a:schemeClr>
              </a:solidFill>
            </c:spPr>
          </c:dPt>
          <c:dPt>
            <c:idx val="1"/>
            <c:spPr>
              <a:solidFill>
                <a:schemeClr val="tx2">
                  <a:lumMod val="40000"/>
                  <a:lumOff val="60000"/>
                </a:schemeClr>
              </a:solidFill>
            </c:spPr>
          </c:dPt>
          <c:dLbls>
            <c:dLbl>
              <c:idx val="0"/>
              <c:layout>
                <c:manualLayout>
                  <c:x val="2.3147668339210388E-3"/>
                  <c:y val="1.4146246986302236E-2"/>
                </c:manualLayout>
              </c:layout>
              <c:tx>
                <c:rich>
                  <a:bodyPr/>
                  <a:lstStyle/>
                  <a:p>
                    <a:r>
                      <a:rPr lang="ru-RU" sz="900" b="1"/>
                      <a:t>+132,5*</a:t>
                    </a:r>
                    <a:endParaRPr lang="en-US" sz="900" b="1"/>
                  </a:p>
                </c:rich>
              </c:tx>
              <c:dLblPos val="outEnd"/>
              <c:showVal val="1"/>
            </c:dLbl>
            <c:dLbl>
              <c:idx val="1"/>
              <c:layout>
                <c:manualLayout>
                  <c:x val="8.6295775929164202E-3"/>
                  <c:y val="1.6446394473170419E-2"/>
                </c:manualLayout>
              </c:layout>
              <c:tx>
                <c:rich>
                  <a:bodyPr/>
                  <a:lstStyle/>
                  <a:p>
                    <a:r>
                      <a:rPr lang="ru-RU" sz="900" b="1"/>
                      <a:t>58,3*</a:t>
                    </a:r>
                    <a:endParaRPr lang="en-US" sz="900" b="1"/>
                  </a:p>
                </c:rich>
              </c:tx>
              <c:dLblPos val="outEnd"/>
              <c:showVal val="1"/>
            </c:dLbl>
            <c:txPr>
              <a:bodyPr/>
              <a:lstStyle/>
              <a:p>
                <a:pPr>
                  <a:defRPr sz="900"/>
                </a:pPr>
                <a:endParaRPr lang="ru-RU"/>
              </a:p>
            </c:txPr>
            <c:dLblPos val="outEnd"/>
            <c:showVal val="1"/>
          </c:dLbls>
          <c:cat>
            <c:strRef>
              <c:f>Лист1!$A$2:$A$3</c:f>
              <c:strCache>
                <c:ptCount val="2"/>
                <c:pt idx="0">
                  <c:v>на 1.07.2015 г.</c:v>
                </c:pt>
                <c:pt idx="1">
                  <c:v>на 1.07.2016 г.</c:v>
                </c:pt>
              </c:strCache>
            </c:strRef>
          </c:cat>
          <c:val>
            <c:numRef>
              <c:f>Лист1!$E$2:$E$3</c:f>
              <c:numCache>
                <c:formatCode>#,##0</c:formatCode>
                <c:ptCount val="2"/>
                <c:pt idx="0">
                  <c:v>380555</c:v>
                </c:pt>
                <c:pt idx="1">
                  <c:v>221940</c:v>
                </c:pt>
              </c:numCache>
            </c:numRef>
          </c:val>
        </c:ser>
        <c:dLbls>
          <c:showVal val="1"/>
        </c:dLbls>
        <c:axId val="103929728"/>
        <c:axId val="103931264"/>
      </c:barChart>
      <c:catAx>
        <c:axId val="103929728"/>
        <c:scaling>
          <c:orientation val="minMax"/>
        </c:scaling>
        <c:axPos val="b"/>
        <c:majorGridlines/>
        <c:tickLblPos val="nextTo"/>
        <c:crossAx val="103931264"/>
        <c:crosses val="autoZero"/>
        <c:auto val="1"/>
        <c:lblAlgn val="ctr"/>
        <c:lblOffset val="100"/>
      </c:catAx>
      <c:valAx>
        <c:axId val="103931264"/>
        <c:scaling>
          <c:orientation val="minMax"/>
        </c:scaling>
        <c:axPos val="l"/>
        <c:title>
          <c:tx>
            <c:rich>
              <a:bodyPr rot="0" vert="horz"/>
              <a:lstStyle/>
              <a:p>
                <a:pPr>
                  <a:defRPr sz="900"/>
                </a:pPr>
                <a:r>
                  <a:rPr lang="ru-RU" sz="900"/>
                  <a:t>*- темп роста  (спада) к соответствующей дате, %</a:t>
                </a:r>
              </a:p>
            </c:rich>
          </c:tx>
          <c:layout>
            <c:manualLayout>
              <c:xMode val="edge"/>
              <c:yMode val="edge"/>
              <c:x val="2.3015407733853552E-2"/>
              <c:y val="0.33589542792165122"/>
            </c:manualLayout>
          </c:layout>
        </c:title>
        <c:numFmt formatCode="#,##0" sourceLinked="1"/>
        <c:tickLblPos val="nextTo"/>
        <c:crossAx val="103929728"/>
        <c:crosses val="autoZero"/>
        <c:crossBetween val="between"/>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34087775172682488"/>
          <c:y val="7.6301919659145984E-2"/>
          <c:w val="0.63252442842235079"/>
          <c:h val="0.50740870354168688"/>
        </c:manualLayout>
      </c:layout>
      <c:barChart>
        <c:barDir val="col"/>
        <c:grouping val="clustered"/>
        <c:ser>
          <c:idx val="0"/>
          <c:order val="0"/>
          <c:tx>
            <c:strRef>
              <c:f>Sheet1!$B$1</c:f>
              <c:strCache>
                <c:ptCount val="1"/>
                <c:pt idx="0">
                  <c:v>январь - июнь 2015 года</c:v>
                </c:pt>
              </c:strCache>
            </c:strRef>
          </c:tx>
          <c:dLbls>
            <c:dLbl>
              <c:idx val="0"/>
              <c:layout>
                <c:manualLayout>
                  <c:x val="-1.3336212005757339E-2"/>
                  <c:y val="5.0545415927055384E-3"/>
                </c:manualLayout>
              </c:layout>
              <c:tx>
                <c:rich>
                  <a:bodyPr/>
                  <a:lstStyle/>
                  <a:p>
                    <a:r>
                      <a:rPr lang="ru-RU" sz="880"/>
                      <a:t>-23,8*</a:t>
                    </a:r>
                    <a:endParaRPr lang="en-US" sz="900"/>
                  </a:p>
                </c:rich>
              </c:tx>
              <c:dLblPos val="outEnd"/>
            </c:dLbl>
            <c:dLbl>
              <c:idx val="1"/>
              <c:layout>
                <c:manualLayout>
                  <c:x val="-1.7204301075268821E-2"/>
                  <c:y val="7.7071290944125048E-3"/>
                </c:manualLayout>
              </c:layout>
              <c:tx>
                <c:rich>
                  <a:bodyPr/>
                  <a:lstStyle/>
                  <a:p>
                    <a:r>
                      <a:rPr lang="ru-RU" sz="880"/>
                      <a:t>-20,5*</a:t>
                    </a:r>
                    <a:endParaRPr lang="en-US" sz="900"/>
                  </a:p>
                </c:rich>
              </c:tx>
            </c:dLbl>
            <c:dLbl>
              <c:idx val="2"/>
              <c:layout>
                <c:manualLayout>
                  <c:x val="-8.6021505376344728E-3"/>
                  <c:y val="3.0828516377649346E-2"/>
                </c:manualLayout>
              </c:layout>
              <c:tx>
                <c:rich>
                  <a:bodyPr/>
                  <a:lstStyle/>
                  <a:p>
                    <a:r>
                      <a:rPr lang="ru-RU" sz="880"/>
                      <a:t>-25,2*</a:t>
                    </a:r>
                    <a:endParaRPr lang="en-US" sz="900"/>
                  </a:p>
                </c:rich>
              </c:tx>
            </c:dLbl>
            <c:dLbl>
              <c:idx val="3"/>
              <c:delete val="1"/>
            </c:dLbl>
            <c:spPr>
              <a:noFill/>
              <a:ln w="24830">
                <a:noFill/>
              </a:ln>
            </c:spPr>
            <c:txPr>
              <a:bodyPr/>
              <a:lstStyle/>
              <a:p>
                <a:pPr>
                  <a:defRPr sz="880"/>
                </a:pPr>
                <a:endParaRPr lang="ru-RU"/>
              </a:p>
            </c:txPr>
            <c:showVal val="1"/>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905.4</c:v>
                </c:pt>
                <c:pt idx="1">
                  <c:v>288.60000000000002</c:v>
                </c:pt>
                <c:pt idx="2">
                  <c:v>616.9</c:v>
                </c:pt>
                <c:pt idx="3">
                  <c:v>-328.29999999999899</c:v>
                </c:pt>
              </c:numCache>
            </c:numRef>
          </c:val>
        </c:ser>
        <c:ser>
          <c:idx val="1"/>
          <c:order val="1"/>
          <c:tx>
            <c:strRef>
              <c:f>Sheet1!$C$1</c:f>
              <c:strCache>
                <c:ptCount val="1"/>
                <c:pt idx="0">
                  <c:v>январь - июнь 2016 года</c:v>
                </c:pt>
              </c:strCache>
            </c:strRef>
          </c:tx>
          <c:dLbls>
            <c:dLbl>
              <c:idx val="0"/>
              <c:layout>
                <c:manualLayout>
                  <c:x val="4.1741088815510967E-2"/>
                  <c:y val="2.9100177506714123E-2"/>
                </c:manualLayout>
              </c:layout>
              <c:tx>
                <c:rich>
                  <a:bodyPr/>
                  <a:lstStyle/>
                  <a:p>
                    <a:r>
                      <a:rPr lang="ru-RU" sz="880">
                        <a:solidFill>
                          <a:sysClr val="windowText" lastClr="000000"/>
                        </a:solidFill>
                      </a:rPr>
                      <a:t>-25,3*</a:t>
                    </a:r>
                    <a:endParaRPr lang="en-US" sz="900">
                      <a:solidFill>
                        <a:sysClr val="windowText" lastClr="000000"/>
                      </a:solidFill>
                    </a:endParaRPr>
                  </a:p>
                </c:rich>
              </c:tx>
              <c:dLblPos val="outEnd"/>
            </c:dLbl>
            <c:dLbl>
              <c:idx val="1"/>
              <c:layout>
                <c:manualLayout>
                  <c:x val="3.4423164846329693E-2"/>
                  <c:y val="1.7142597059760605E-2"/>
                </c:manualLayout>
              </c:layout>
              <c:tx>
                <c:rich>
                  <a:bodyPr/>
                  <a:lstStyle/>
                  <a:p>
                    <a:r>
                      <a:rPr lang="ru-RU" sz="880">
                        <a:solidFill>
                          <a:sysClr val="windowText" lastClr="000000"/>
                        </a:solidFill>
                      </a:rPr>
                      <a:t>-12,1*</a:t>
                    </a:r>
                    <a:endParaRPr lang="en-US" sz="900">
                      <a:solidFill>
                        <a:sysClr val="windowText" lastClr="000000"/>
                      </a:solidFill>
                    </a:endParaRPr>
                  </a:p>
                </c:rich>
              </c:tx>
              <c:dLblPos val="outEnd"/>
            </c:dLbl>
            <c:dLbl>
              <c:idx val="2"/>
              <c:layout>
                <c:manualLayout>
                  <c:x val="3.9590551181102364E-2"/>
                  <c:y val="2.7372445496336082E-2"/>
                </c:manualLayout>
              </c:layout>
              <c:tx>
                <c:rich>
                  <a:bodyPr/>
                  <a:lstStyle/>
                  <a:p>
                    <a:r>
                      <a:rPr lang="ru-RU" sz="880">
                        <a:solidFill>
                          <a:sysClr val="windowText" lastClr="000000"/>
                        </a:solidFill>
                      </a:rPr>
                      <a:t>-31,4*</a:t>
                    </a:r>
                    <a:endParaRPr lang="en-US" sz="900">
                      <a:solidFill>
                        <a:sysClr val="windowText" lastClr="000000"/>
                      </a:solidFill>
                    </a:endParaRPr>
                  </a:p>
                </c:rich>
              </c:tx>
              <c:dLblPos val="outEnd"/>
            </c:dLbl>
            <c:dLbl>
              <c:idx val="3"/>
              <c:delete val="1"/>
            </c:dLbl>
            <c:spPr>
              <a:noFill/>
              <a:ln w="24830">
                <a:noFill/>
              </a:ln>
            </c:spPr>
            <c:txPr>
              <a:bodyPr/>
              <a:lstStyle/>
              <a:p>
                <a:pPr>
                  <a:defRPr sz="880">
                    <a:solidFill>
                      <a:sysClr val="windowText" lastClr="000000"/>
                    </a:solidFill>
                  </a:defRPr>
                </a:pPr>
                <a:endParaRPr lang="ru-RU"/>
              </a:p>
            </c:txPr>
            <c:showVal val="1"/>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676.8</c:v>
                </c:pt>
                <c:pt idx="1">
                  <c:v>253.5</c:v>
                </c:pt>
                <c:pt idx="2">
                  <c:v>423.2</c:v>
                </c:pt>
                <c:pt idx="3">
                  <c:v>-169.7</c:v>
                </c:pt>
              </c:numCache>
            </c:numRef>
          </c:val>
        </c:ser>
        <c:gapWidth val="50"/>
        <c:overlap val="60"/>
        <c:axId val="96698368"/>
        <c:axId val="96699904"/>
      </c:barChart>
      <c:catAx>
        <c:axId val="96698368"/>
        <c:scaling>
          <c:orientation val="minMax"/>
        </c:scaling>
        <c:axPos val="b"/>
        <c:numFmt formatCode="General" sourceLinked="1"/>
        <c:majorTickMark val="cross"/>
        <c:tickLblPos val="nextTo"/>
        <c:txPr>
          <a:bodyPr rot="0" vert="horz"/>
          <a:lstStyle/>
          <a:p>
            <a:pPr>
              <a:defRPr/>
            </a:pPr>
            <a:endParaRPr lang="ru-RU"/>
          </a:p>
        </c:txPr>
        <c:crossAx val="96699904"/>
        <c:crosses val="autoZero"/>
        <c:lblAlgn val="ctr"/>
        <c:lblOffset val="20"/>
        <c:tickMarkSkip val="1"/>
      </c:catAx>
      <c:valAx>
        <c:axId val="96699904"/>
        <c:scaling>
          <c:orientation val="minMax"/>
          <c:max val="1000"/>
          <c:min val="-400"/>
        </c:scaling>
        <c:axPos val="l"/>
        <c:title>
          <c:tx>
            <c:rich>
              <a:bodyPr rot="0" vert="horz"/>
              <a:lstStyle/>
              <a:p>
                <a:pPr algn="ctr">
                  <a:defRPr sz="873" b="1" i="0" u="none" strike="noStrike" baseline="0">
                    <a:solidFill>
                      <a:srgbClr val="000000"/>
                    </a:solidFill>
                    <a:latin typeface="Arial Cyr"/>
                    <a:ea typeface="Arial Cyr"/>
                    <a:cs typeface="Arial Cyr"/>
                  </a:defRPr>
                </a:pPr>
                <a:endParaRPr lang="ru-RU" sz="1000" b="1" i="0" strike="noStrike">
                  <a:solidFill>
                    <a:srgbClr val="000000"/>
                  </a:solidFill>
                  <a:latin typeface="Times New Roman"/>
                  <a:cs typeface="Times New Roman"/>
                </a:endParaRPr>
              </a:p>
              <a:p>
                <a:pPr algn="ctr">
                  <a:defRPr sz="873" b="1" i="0" u="none" strike="noStrike" baseline="0">
                    <a:solidFill>
                      <a:srgbClr val="000000"/>
                    </a:solidFill>
                    <a:latin typeface="Arial Cyr"/>
                    <a:ea typeface="Arial Cyr"/>
                    <a:cs typeface="Arial Cyr"/>
                  </a:defRPr>
                </a:pPr>
                <a:endParaRPr lang="ru-RU" sz="1000" b="1" i="0" strike="noStrike">
                  <a:solidFill>
                    <a:srgbClr val="000000"/>
                  </a:solidFill>
                  <a:latin typeface="Times New Roman"/>
                  <a:cs typeface="Times New Roman"/>
                </a:endParaRPr>
              </a:p>
              <a:p>
                <a:pPr algn="ctr">
                  <a:defRPr sz="873" b="1" i="0" u="none" strike="noStrike" baseline="0">
                    <a:solidFill>
                      <a:srgbClr val="000000"/>
                    </a:solidFill>
                    <a:latin typeface="Arial Cyr"/>
                    <a:ea typeface="Arial Cyr"/>
                    <a:cs typeface="Arial Cyr"/>
                  </a:defRPr>
                </a:pPr>
                <a:endParaRPr lang="ru-RU" sz="1000" b="1" i="0" strike="noStrike">
                  <a:solidFill>
                    <a:srgbClr val="000000"/>
                  </a:solidFill>
                  <a:latin typeface="Times New Roman"/>
                  <a:cs typeface="Times New Roman"/>
                </a:endParaRP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 - темп прироста (спада) в % к </a:t>
                </a: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предыдущему </a:t>
                </a: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году</a:t>
                </a:r>
              </a:p>
            </c:rich>
          </c:tx>
          <c:layout>
            <c:manualLayout>
              <c:xMode val="edge"/>
              <c:yMode val="edge"/>
              <c:x val="2.5315214630429416E-2"/>
              <c:y val="2.5052373040526012E-3"/>
            </c:manualLayout>
          </c:layout>
          <c:spPr>
            <a:noFill/>
            <a:ln w="24830">
              <a:noFill/>
            </a:ln>
          </c:spPr>
        </c:title>
        <c:numFmt formatCode="#,##0.0" sourceLinked="1"/>
        <c:majorTickMark val="cross"/>
        <c:tickLblPos val="nextTo"/>
        <c:txPr>
          <a:bodyPr rot="0" vert="horz"/>
          <a:lstStyle/>
          <a:p>
            <a:pPr>
              <a:defRPr/>
            </a:pPr>
            <a:endParaRPr lang="ru-RU"/>
          </a:p>
        </c:txPr>
        <c:crossAx val="96698368"/>
        <c:crosses val="autoZero"/>
        <c:crossBetween val="between"/>
        <c:majorUnit val="200"/>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00"/>
            </a:pPr>
            <a:r>
              <a:rPr lang="ru-RU" sz="1100"/>
              <a:t>Производство продукции животноводства </a:t>
            </a:r>
          </a:p>
          <a:p>
            <a:pPr>
              <a:defRPr sz="1100"/>
            </a:pPr>
            <a:r>
              <a:rPr lang="ru-RU" sz="1100"/>
              <a:t>в организациях, осуществляющих сельскохозяйственное производство</a:t>
            </a:r>
          </a:p>
        </c:rich>
      </c:tx>
      <c:layout>
        <c:manualLayout>
          <c:xMode val="edge"/>
          <c:yMode val="edge"/>
          <c:x val="0.18241225464794897"/>
          <c:y val="2.1111571579868452E-3"/>
        </c:manualLayout>
      </c:layout>
    </c:title>
    <c:plotArea>
      <c:layout>
        <c:manualLayout>
          <c:layoutTarget val="inner"/>
          <c:xMode val="edge"/>
          <c:yMode val="edge"/>
          <c:x val="0.25076482737475864"/>
          <c:y val="0.14563905777600591"/>
          <c:w val="0.75871589085073243"/>
          <c:h val="0.49283497790624869"/>
        </c:manualLayout>
      </c:layout>
      <c:barChart>
        <c:barDir val="col"/>
        <c:grouping val="clustered"/>
        <c:ser>
          <c:idx val="0"/>
          <c:order val="0"/>
          <c:tx>
            <c:strRef>
              <c:f>Лист1!$B$1</c:f>
              <c:strCache>
                <c:ptCount val="1"/>
                <c:pt idx="0">
                  <c:v>январь-июнь 2015 г.</c:v>
                </c:pt>
              </c:strCache>
            </c:strRef>
          </c:tx>
          <c:dLbls>
            <c:dLbl>
              <c:idx val="0"/>
              <c:layout>
                <c:manualLayout>
                  <c:x val="1.9613488018937605E-3"/>
                  <c:y val="1.2251939640412763E-2"/>
                </c:manualLayout>
              </c:layout>
              <c:tx>
                <c:rich>
                  <a:bodyPr/>
                  <a:lstStyle/>
                  <a:p>
                    <a:r>
                      <a:rPr lang="ru-RU" sz="900" b="1">
                        <a:latin typeface="Times New Roman" pitchFamily="18" charset="0"/>
                        <a:cs typeface="Times New Roman" pitchFamily="18" charset="0"/>
                      </a:rPr>
                      <a:t>159,5*</a:t>
                    </a:r>
                    <a:endParaRPr lang="en-US" sz="900" b="1">
                      <a:latin typeface="Times New Roman" pitchFamily="18" charset="0"/>
                      <a:cs typeface="Times New Roman" pitchFamily="18" charset="0"/>
                    </a:endParaRPr>
                  </a:p>
                </c:rich>
              </c:tx>
              <c:dLblPos val="outEnd"/>
              <c:showVal val="1"/>
            </c:dLbl>
            <c:dLbl>
              <c:idx val="1"/>
              <c:layout>
                <c:manualLayout>
                  <c:x val="1.7847432316631146E-3"/>
                  <c:y val="1.0384862488544788E-2"/>
                </c:manualLayout>
              </c:layout>
              <c:tx>
                <c:rich>
                  <a:bodyPr/>
                  <a:lstStyle/>
                  <a:p>
                    <a:r>
                      <a:rPr lang="ru-RU" sz="900" b="1">
                        <a:latin typeface="Times New Roman" pitchFamily="18" charset="0"/>
                        <a:cs typeface="Times New Roman" pitchFamily="18" charset="0"/>
                      </a:rPr>
                      <a:t>104,2*</a:t>
                    </a:r>
                    <a:endParaRPr lang="en-US" sz="900" b="1">
                      <a:latin typeface="Times New Roman" pitchFamily="18" charset="0"/>
                      <a:cs typeface="Times New Roman" pitchFamily="18" charset="0"/>
                    </a:endParaRPr>
                  </a:p>
                </c:rich>
              </c:tx>
              <c:dLblPos val="outEnd"/>
              <c:showVal val="1"/>
            </c:dLbl>
            <c:dLbl>
              <c:idx val="2"/>
              <c:layout>
                <c:manualLayout>
                  <c:x val="8.4875562720156481E-17"/>
                  <c:y val="1.1904761904761921E-2"/>
                </c:manualLayout>
              </c:layout>
              <c:tx>
                <c:rich>
                  <a:bodyPr/>
                  <a:lstStyle/>
                  <a:p>
                    <a:r>
                      <a:rPr lang="ru-RU" sz="900" b="1">
                        <a:latin typeface="Times New Roman" pitchFamily="18" charset="0"/>
                        <a:cs typeface="Times New Roman" pitchFamily="18" charset="0"/>
                      </a:rPr>
                      <a:t>100,6*</a:t>
                    </a:r>
                    <a:endParaRPr lang="en-US" sz="900" b="1">
                      <a:latin typeface="Times New Roman" pitchFamily="18" charset="0"/>
                      <a:cs typeface="Times New Roman" pitchFamily="18" charset="0"/>
                    </a:endParaRPr>
                  </a:p>
                </c:rich>
              </c:tx>
              <c:dLblPos val="outEnd"/>
              <c:showVal val="1"/>
            </c:dLbl>
            <c:txPr>
              <a:bodyPr/>
              <a:lstStyle/>
              <a:p>
                <a:pPr>
                  <a:defRPr sz="900"/>
                </a:pPr>
                <a:endParaRPr lang="ru-RU"/>
              </a:p>
            </c:txPr>
            <c:dLblPos val="outEnd"/>
            <c:showVal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Лист1!$B$2:$B$4</c:f>
              <c:numCache>
                <c:formatCode>#,##0.0</c:formatCode>
                <c:ptCount val="3"/>
                <c:pt idx="0">
                  <c:v>2258.1999999999998</c:v>
                </c:pt>
                <c:pt idx="1">
                  <c:v>3660.8</c:v>
                </c:pt>
                <c:pt idx="2">
                  <c:v>17221.2</c:v>
                </c:pt>
              </c:numCache>
            </c:numRef>
          </c:val>
        </c:ser>
        <c:ser>
          <c:idx val="1"/>
          <c:order val="1"/>
          <c:tx>
            <c:strRef>
              <c:f>Лист1!$C$1</c:f>
              <c:strCache>
                <c:ptCount val="1"/>
                <c:pt idx="0">
                  <c:v>январь-июнь 2016 г.</c:v>
                </c:pt>
              </c:strCache>
            </c:strRef>
          </c:tx>
          <c:spPr>
            <a:solidFill>
              <a:schemeClr val="accent5">
                <a:lumMod val="40000"/>
                <a:lumOff val="60000"/>
              </a:schemeClr>
            </a:solidFill>
          </c:spPr>
          <c:dLbls>
            <c:dLbl>
              <c:idx val="0"/>
              <c:layout>
                <c:manualLayout>
                  <c:x val="8.7333515274647146E-3"/>
                  <c:y val="2.6317724777156479E-2"/>
                </c:manualLayout>
              </c:layout>
              <c:tx>
                <c:rich>
                  <a:bodyPr/>
                  <a:lstStyle/>
                  <a:p>
                    <a:r>
                      <a:rPr lang="ru-RU" sz="900" b="1">
                        <a:latin typeface="Times New Roman" pitchFamily="18" charset="0"/>
                        <a:cs typeface="Times New Roman" pitchFamily="18" charset="0"/>
                      </a:rPr>
                      <a:t>148,0*</a:t>
                    </a:r>
                    <a:endParaRPr lang="en-US" sz="900" b="1">
                      <a:latin typeface="Times New Roman" pitchFamily="18" charset="0"/>
                      <a:cs typeface="Times New Roman" pitchFamily="18" charset="0"/>
                    </a:endParaRPr>
                  </a:p>
                </c:rich>
              </c:tx>
              <c:dLblPos val="outEnd"/>
              <c:showVal val="1"/>
            </c:dLbl>
            <c:dLbl>
              <c:idx val="1"/>
              <c:layout>
                <c:manualLayout>
                  <c:x val="-1.75539674998905E-4"/>
                  <c:y val="2.2140438966868271E-2"/>
                </c:manualLayout>
              </c:layout>
              <c:tx>
                <c:rich>
                  <a:bodyPr/>
                  <a:lstStyle/>
                  <a:p>
                    <a:r>
                      <a:rPr lang="ru-RU" sz="900" b="1">
                        <a:latin typeface="Times New Roman" pitchFamily="18" charset="0"/>
                        <a:cs typeface="Times New Roman" pitchFamily="18" charset="0"/>
                      </a:rPr>
                      <a:t>84,8*</a:t>
                    </a:r>
                    <a:endParaRPr lang="en-US" sz="900" b="1">
                      <a:latin typeface="Times New Roman" pitchFamily="18" charset="0"/>
                      <a:cs typeface="Times New Roman" pitchFamily="18" charset="0"/>
                    </a:endParaRPr>
                  </a:p>
                </c:rich>
              </c:tx>
              <c:dLblPos val="outEnd"/>
              <c:showVal val="1"/>
            </c:dLbl>
            <c:dLbl>
              <c:idx val="2"/>
              <c:layout>
                <c:manualLayout>
                  <c:x val="2.3147415692049392E-3"/>
                  <c:y val="1.8473035698124043E-2"/>
                </c:manualLayout>
              </c:layout>
              <c:tx>
                <c:rich>
                  <a:bodyPr/>
                  <a:lstStyle/>
                  <a:p>
                    <a:r>
                      <a:rPr lang="ru-RU" sz="900" b="1">
                        <a:latin typeface="Times New Roman" pitchFamily="18" charset="0"/>
                        <a:cs typeface="Times New Roman" pitchFamily="18" charset="0"/>
                      </a:rPr>
                      <a:t>27,9*</a:t>
                    </a:r>
                    <a:endParaRPr lang="en-US" sz="900" b="1">
                      <a:latin typeface="Times New Roman" pitchFamily="18" charset="0"/>
                      <a:cs typeface="Times New Roman" pitchFamily="18" charset="0"/>
                    </a:endParaRPr>
                  </a:p>
                </c:rich>
              </c:tx>
              <c:dLblPos val="outEnd"/>
              <c:showVal val="1"/>
            </c:dLbl>
            <c:txPr>
              <a:bodyPr/>
              <a:lstStyle/>
              <a:p>
                <a:pPr>
                  <a:defRPr sz="900"/>
                </a:pPr>
                <a:endParaRPr lang="ru-RU"/>
              </a:p>
            </c:txPr>
            <c:dLblPos val="outEnd"/>
            <c:showVal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Лист1!$C$2:$C$4</c:f>
              <c:numCache>
                <c:formatCode>#,##0.0</c:formatCode>
                <c:ptCount val="3"/>
                <c:pt idx="0">
                  <c:v>3341.9</c:v>
                </c:pt>
                <c:pt idx="1">
                  <c:v>3104.7</c:v>
                </c:pt>
                <c:pt idx="2">
                  <c:v>4799.9000000000005</c:v>
                </c:pt>
              </c:numCache>
            </c:numRef>
          </c:val>
        </c:ser>
        <c:dLbls>
          <c:showVal val="1"/>
        </c:dLbls>
        <c:axId val="103864576"/>
        <c:axId val="104022016"/>
      </c:barChart>
      <c:catAx>
        <c:axId val="103864576"/>
        <c:scaling>
          <c:orientation val="minMax"/>
        </c:scaling>
        <c:axPos val="b"/>
        <c:tickLblPos val="nextTo"/>
        <c:crossAx val="104022016"/>
        <c:crosses val="autoZero"/>
        <c:auto val="1"/>
        <c:lblAlgn val="ctr"/>
        <c:lblOffset val="100"/>
      </c:catAx>
      <c:valAx>
        <c:axId val="104022016"/>
        <c:scaling>
          <c:orientation val="minMax"/>
        </c:scaling>
        <c:axPos val="l"/>
        <c:numFmt formatCode="#,##0.0" sourceLinked="1"/>
        <c:tickLblPos val="nextTo"/>
        <c:txPr>
          <a:bodyPr/>
          <a:lstStyle/>
          <a:p>
            <a:pPr>
              <a:defRPr sz="900"/>
            </a:pPr>
            <a:endParaRPr lang="ru-RU"/>
          </a:p>
        </c:txPr>
        <c:crossAx val="103864576"/>
        <c:crosses val="autoZero"/>
        <c:crossBetween val="between"/>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000"/>
            </a:pPr>
            <a:r>
              <a:rPr lang="ru-RU" sz="1100">
                <a:latin typeface="Times New Roman" pitchFamily="18" charset="0"/>
                <a:cs typeface="Times New Roman" pitchFamily="18" charset="0"/>
              </a:rPr>
              <a:t>Продуктивность скота и птицы в организациях, осуществляющих сельскохозяйственное производство</a:t>
            </a:r>
          </a:p>
        </c:rich>
      </c:tx>
      <c:layout>
        <c:manualLayout>
          <c:xMode val="edge"/>
          <c:yMode val="edge"/>
          <c:x val="0.17601074764028479"/>
          <c:y val="2.6533047005488E-3"/>
        </c:manualLayout>
      </c:layout>
    </c:title>
    <c:plotArea>
      <c:layout>
        <c:manualLayout>
          <c:layoutTarget val="inner"/>
          <c:xMode val="edge"/>
          <c:yMode val="edge"/>
          <c:x val="0.27137292584190092"/>
          <c:y val="0.1331667705759654"/>
          <c:w val="0.71930512923172751"/>
          <c:h val="0.49962061560487347"/>
        </c:manualLayout>
      </c:layout>
      <c:barChart>
        <c:barDir val="col"/>
        <c:grouping val="clustered"/>
        <c:ser>
          <c:idx val="0"/>
          <c:order val="0"/>
          <c:tx>
            <c:strRef>
              <c:f>Лист1!$B$1</c:f>
              <c:strCache>
                <c:ptCount val="1"/>
                <c:pt idx="0">
                  <c:v>январь-июнь 2015 г.</c:v>
                </c:pt>
              </c:strCache>
            </c:strRef>
          </c:tx>
          <c:spPr>
            <a:solidFill>
              <a:srgbClr val="00B0F0"/>
            </a:solidFill>
          </c:spPr>
          <c:dLbls>
            <c:dLbl>
              <c:idx val="0"/>
              <c:layout>
                <c:manualLayout>
                  <c:x val="-1.0979136082565961E-4"/>
                  <c:y val="1.6718307323497921E-2"/>
                </c:manualLayout>
              </c:layout>
              <c:tx>
                <c:rich>
                  <a:bodyPr/>
                  <a:lstStyle/>
                  <a:p>
                    <a:r>
                      <a:rPr lang="ru-RU" sz="850" b="1">
                        <a:latin typeface="Times New Roman" pitchFamily="18" charset="0"/>
                        <a:cs typeface="Times New Roman" pitchFamily="18" charset="0"/>
                      </a:rPr>
                      <a:t>100,6*</a:t>
                    </a:r>
                    <a:endParaRPr lang="en-US" sz="850" b="1">
                      <a:latin typeface="Times New Roman" pitchFamily="18" charset="0"/>
                      <a:cs typeface="Times New Roman" pitchFamily="18" charset="0"/>
                    </a:endParaRPr>
                  </a:p>
                </c:rich>
              </c:tx>
              <c:dLblPos val="outEnd"/>
              <c:showVal val="1"/>
            </c:dLbl>
            <c:dLbl>
              <c:idx val="1"/>
              <c:layout>
                <c:manualLayout>
                  <c:x val="-4.5747586636417014E-3"/>
                  <c:y val="1.6718307323497921E-2"/>
                </c:manualLayout>
              </c:layout>
              <c:tx>
                <c:rich>
                  <a:bodyPr/>
                  <a:lstStyle/>
                  <a:p>
                    <a:r>
                      <a:rPr lang="ru-RU" sz="850" b="1">
                        <a:latin typeface="Times New Roman" pitchFamily="18" charset="0"/>
                        <a:cs typeface="Times New Roman" pitchFamily="18" charset="0"/>
                      </a:rPr>
                      <a:t>88,8*</a:t>
                    </a:r>
                    <a:endParaRPr lang="en-US" sz="850" b="1">
                      <a:latin typeface="Times New Roman" pitchFamily="18" charset="0"/>
                      <a:cs typeface="Times New Roman" pitchFamily="18" charset="0"/>
                    </a:endParaRPr>
                  </a:p>
                </c:rich>
              </c:tx>
              <c:dLblPos val="outEnd"/>
              <c:showVal val="1"/>
            </c:dLbl>
            <c:txPr>
              <a:bodyPr/>
              <a:lstStyle/>
              <a:p>
                <a:pPr>
                  <a:defRPr sz="850">
                    <a:latin typeface="Times New Roman" pitchFamily="18" charset="0"/>
                    <a:cs typeface="Times New Roman" pitchFamily="18" charset="0"/>
                  </a:defRPr>
                </a:pPr>
                <a:endParaRPr lang="ru-RU"/>
              </a:p>
            </c:txPr>
            <c:dLblPos val="outEnd"/>
            <c:showVal val="1"/>
          </c:dLbls>
          <c:cat>
            <c:strRef>
              <c:f>Лист1!$A$2:$A$3</c:f>
              <c:strCache>
                <c:ptCount val="2"/>
                <c:pt idx="0">
                  <c:v>Среднегодовой надой молока в расчёте на одну корову, кг</c:v>
                </c:pt>
                <c:pt idx="1">
                  <c:v>Среднегодовая яйценокость кур-несушек, шт.</c:v>
                </c:pt>
              </c:strCache>
            </c:strRef>
          </c:cat>
          <c:val>
            <c:numRef>
              <c:f>Лист1!$B$2:$B$3</c:f>
              <c:numCache>
                <c:formatCode>General</c:formatCode>
                <c:ptCount val="2"/>
                <c:pt idx="0" formatCode="#,##0">
                  <c:v>1854</c:v>
                </c:pt>
                <c:pt idx="1">
                  <c:v>109</c:v>
                </c:pt>
              </c:numCache>
            </c:numRef>
          </c:val>
        </c:ser>
        <c:ser>
          <c:idx val="1"/>
          <c:order val="1"/>
          <c:tx>
            <c:strRef>
              <c:f>Лист1!$C$1</c:f>
              <c:strCache>
                <c:ptCount val="1"/>
                <c:pt idx="0">
                  <c:v>январь-июнь 2016 г.</c:v>
                </c:pt>
              </c:strCache>
            </c:strRef>
          </c:tx>
          <c:spPr>
            <a:solidFill>
              <a:srgbClr val="C0504D">
                <a:lumMod val="60000"/>
                <a:lumOff val="40000"/>
              </a:srgbClr>
            </a:solidFill>
          </c:spPr>
          <c:dLbls>
            <c:dLbl>
              <c:idx val="0"/>
              <c:layout>
                <c:manualLayout>
                  <c:x val="-2.3148716579919435E-3"/>
                  <c:y val="1.6905350174336711E-2"/>
                </c:manualLayout>
              </c:layout>
              <c:tx>
                <c:rich>
                  <a:bodyPr/>
                  <a:lstStyle/>
                  <a:p>
                    <a:r>
                      <a:rPr lang="ru-RU" sz="850" b="1">
                        <a:latin typeface="Times New Roman" pitchFamily="18" charset="0"/>
                        <a:cs typeface="Times New Roman" pitchFamily="18" charset="0"/>
                      </a:rPr>
                      <a:t>95,6*</a:t>
                    </a:r>
                    <a:endParaRPr lang="en-US" sz="850" b="1">
                      <a:latin typeface="Times New Roman" pitchFamily="18" charset="0"/>
                      <a:cs typeface="Times New Roman" pitchFamily="18" charset="0"/>
                    </a:endParaRPr>
                  </a:p>
                </c:rich>
              </c:tx>
              <c:dLblPos val="outEnd"/>
              <c:showVal val="1"/>
            </c:dLbl>
            <c:dLbl>
              <c:idx val="1"/>
              <c:layout>
                <c:manualLayout>
                  <c:x val="6.6696917122648705E-3"/>
                  <c:y val="1.5873030533939857E-2"/>
                </c:manualLayout>
              </c:layout>
              <c:tx>
                <c:rich>
                  <a:bodyPr/>
                  <a:lstStyle/>
                  <a:p>
                    <a:r>
                      <a:rPr lang="ru-RU" sz="850" b="1">
                        <a:latin typeface="Times New Roman" pitchFamily="18" charset="0"/>
                        <a:cs typeface="Times New Roman" pitchFamily="18" charset="0"/>
                      </a:rPr>
                      <a:t>96,3*</a:t>
                    </a:r>
                    <a:endParaRPr lang="en-US" sz="850" b="1">
                      <a:latin typeface="Times New Roman" pitchFamily="18" charset="0"/>
                      <a:cs typeface="Times New Roman" pitchFamily="18" charset="0"/>
                    </a:endParaRPr>
                  </a:p>
                </c:rich>
              </c:tx>
              <c:dLblPos val="outEnd"/>
              <c:showVal val="1"/>
            </c:dLbl>
            <c:txPr>
              <a:bodyPr/>
              <a:lstStyle/>
              <a:p>
                <a:pPr>
                  <a:defRPr sz="850">
                    <a:latin typeface="Times New Roman" pitchFamily="18" charset="0"/>
                    <a:cs typeface="Times New Roman" pitchFamily="18" charset="0"/>
                  </a:defRPr>
                </a:pPr>
                <a:endParaRPr lang="ru-RU"/>
              </a:p>
            </c:txPr>
            <c:dLblPos val="outEnd"/>
            <c:showVal val="1"/>
          </c:dLbls>
          <c:cat>
            <c:strRef>
              <c:f>Лист1!$A$2:$A$3</c:f>
              <c:strCache>
                <c:ptCount val="2"/>
                <c:pt idx="0">
                  <c:v>Среднегодовой надой молока в расчёте на одну корову, кг</c:v>
                </c:pt>
                <c:pt idx="1">
                  <c:v>Среднегодовая яйценокость кур-несушек, шт.</c:v>
                </c:pt>
              </c:strCache>
            </c:strRef>
          </c:cat>
          <c:val>
            <c:numRef>
              <c:f>Лист1!$C$2:$C$3</c:f>
              <c:numCache>
                <c:formatCode>General</c:formatCode>
                <c:ptCount val="2"/>
                <c:pt idx="0" formatCode="#,##0">
                  <c:v>1772</c:v>
                </c:pt>
                <c:pt idx="1">
                  <c:v>105</c:v>
                </c:pt>
              </c:numCache>
            </c:numRef>
          </c:val>
        </c:ser>
        <c:dLbls>
          <c:showVal val="1"/>
        </c:dLbls>
        <c:axId val="104176256"/>
        <c:axId val="104194432"/>
      </c:barChart>
      <c:catAx>
        <c:axId val="104176256"/>
        <c:scaling>
          <c:orientation val="minMax"/>
        </c:scaling>
        <c:axPos val="b"/>
        <c:tickLblPos val="nextTo"/>
        <c:crossAx val="104194432"/>
        <c:crosses val="autoZero"/>
        <c:auto val="1"/>
        <c:lblAlgn val="ctr"/>
        <c:lblOffset val="100"/>
      </c:catAx>
      <c:valAx>
        <c:axId val="104194432"/>
        <c:scaling>
          <c:orientation val="minMax"/>
        </c:scaling>
        <c:delete val="1"/>
        <c:axPos val="l"/>
        <c:title>
          <c:tx>
            <c:rich>
              <a:bodyPr rot="0" vert="horz"/>
              <a:lstStyle/>
              <a:p>
                <a:pPr>
                  <a:defRPr sz="900"/>
                </a:pPr>
                <a:r>
                  <a:rPr lang="ru-RU" sz="900" b="1" i="0" baseline="0">
                    <a:latin typeface="Times New Roman" pitchFamily="18" charset="0"/>
                    <a:cs typeface="Times New Roman" pitchFamily="18" charset="0"/>
                  </a:rPr>
                  <a:t>* - темп роста (спада) к предыдущему периоду, %</a:t>
                </a:r>
                <a:endParaRPr lang="ru-RU" sz="900">
                  <a:latin typeface="Times New Roman" pitchFamily="18" charset="0"/>
                  <a:cs typeface="Times New Roman" pitchFamily="18" charset="0"/>
                </a:endParaRPr>
              </a:p>
            </c:rich>
          </c:tx>
          <c:layout>
            <c:manualLayout>
              <c:xMode val="edge"/>
              <c:yMode val="edge"/>
              <c:x val="4.1666666666666664E-2"/>
              <c:y val="0.26572814761791141"/>
            </c:manualLayout>
          </c:layout>
        </c:title>
        <c:numFmt formatCode="#,##0" sourceLinked="1"/>
        <c:tickLblPos val="none"/>
        <c:crossAx val="104176256"/>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200">
                <a:latin typeface="Times New Roman" pitchFamily="18" charset="0"/>
                <a:cs typeface="Times New Roman" pitchFamily="18" charset="0"/>
              </a:rPr>
              <a:t>Инвестиции в основной капитал</a:t>
            </a:r>
          </a:p>
          <a:p>
            <a:pPr algn="ctr">
              <a:defRPr/>
            </a:pPr>
            <a:r>
              <a:rPr lang="ru-RU" sz="1100" i="1">
                <a:latin typeface="Times New Roman" pitchFamily="18" charset="0"/>
                <a:cs typeface="Times New Roman" pitchFamily="18" charset="0"/>
              </a:rPr>
              <a:t>(в части</a:t>
            </a:r>
            <a:r>
              <a:rPr lang="ru-RU" sz="1100" i="1" baseline="0">
                <a:latin typeface="Times New Roman" pitchFamily="18" charset="0"/>
                <a:cs typeface="Times New Roman" pitchFamily="18" charset="0"/>
              </a:rPr>
              <a:t> новых и преобретенных по импорту основных средств</a:t>
            </a:r>
            <a:r>
              <a:rPr lang="ru-RU" sz="1100" i="1">
                <a:latin typeface="Times New Roman" pitchFamily="18" charset="0"/>
                <a:cs typeface="Times New Roman" pitchFamily="18" charset="0"/>
              </a:rPr>
              <a:t>)</a:t>
            </a:r>
          </a:p>
          <a:p>
            <a:pPr algn="ctr">
              <a:defRPr/>
            </a:pPr>
            <a:r>
              <a:rPr lang="ru-RU" sz="1100" i="1">
                <a:latin typeface="Times New Roman" pitchFamily="18" charset="0"/>
                <a:cs typeface="Times New Roman" pitchFamily="18" charset="0"/>
              </a:rPr>
              <a:t> </a:t>
            </a:r>
            <a:r>
              <a:rPr lang="ru-RU" sz="1100" b="0">
                <a:latin typeface="Times New Roman" pitchFamily="18" charset="0"/>
                <a:cs typeface="Times New Roman" pitchFamily="18" charset="0"/>
              </a:rPr>
              <a:t>(без субъектов малого предпринимательства) (в текущих ценах), </a:t>
            </a:r>
            <a:r>
              <a:rPr lang="ru-RU" sz="1100">
                <a:latin typeface="Times New Roman" pitchFamily="18" charset="0"/>
                <a:cs typeface="Times New Roman" pitchFamily="18" charset="0"/>
              </a:rPr>
              <a:t>млн. руб.</a:t>
            </a:r>
          </a:p>
        </c:rich>
      </c:tx>
      <c:layout>
        <c:manualLayout>
          <c:xMode val="edge"/>
          <c:yMode val="edge"/>
          <c:x val="0.18182034349476245"/>
          <c:y val="3.3293516329034891E-3"/>
        </c:manualLayout>
      </c:layout>
    </c:title>
    <c:plotArea>
      <c:layout>
        <c:manualLayout>
          <c:layoutTarget val="inner"/>
          <c:xMode val="edge"/>
          <c:yMode val="edge"/>
          <c:x val="0.3601236476043278"/>
          <c:y val="0.26220822397200388"/>
          <c:w val="0.61349509559039983"/>
          <c:h val="0.37599835734818882"/>
        </c:manualLayout>
      </c:layout>
      <c:barChart>
        <c:barDir val="col"/>
        <c:grouping val="clustered"/>
        <c:ser>
          <c:idx val="0"/>
          <c:order val="0"/>
          <c:tx>
            <c:strRef>
              <c:f>Лист1!$B$1</c:f>
              <c:strCache>
                <c:ptCount val="1"/>
                <c:pt idx="0">
                  <c:v>прочие</c:v>
                </c:pt>
              </c:strCache>
            </c:strRef>
          </c:tx>
          <c:dLbls>
            <c:dLbl>
              <c:idx val="0"/>
              <c:layout>
                <c:manualLayout>
                  <c:x val="-5.2424639580603335E-3"/>
                  <c:y val="-1.6511867905056765E-2"/>
                </c:manualLayout>
              </c:layout>
              <c:tx>
                <c:rich>
                  <a:bodyPr/>
                  <a:lstStyle/>
                  <a:p>
                    <a:r>
                      <a:rPr lang="ru-RU" sz="950"/>
                      <a:t>*4,4</a:t>
                    </a:r>
                    <a:endParaRPr lang="en-US" sz="950"/>
                  </a:p>
                </c:rich>
              </c:tx>
              <c:showVal val="1"/>
            </c:dLbl>
            <c:dLbl>
              <c:idx val="1"/>
              <c:layout>
                <c:manualLayout>
                  <c:x val="-3.4949759720402018E-3"/>
                  <c:y val="-8.2559339525285248E-3"/>
                </c:manualLayout>
              </c:layout>
              <c:tx>
                <c:rich>
                  <a:bodyPr/>
                  <a:lstStyle/>
                  <a:p>
                    <a:r>
                      <a:rPr lang="ru-RU" sz="950"/>
                      <a:t>*5,8</a:t>
                    </a:r>
                    <a:endParaRPr lang="en-US" sz="950"/>
                  </a:p>
                </c:rich>
              </c:tx>
              <c:showVal val="1"/>
            </c:dLbl>
            <c:txPr>
              <a:bodyPr/>
              <a:lstStyle/>
              <a:p>
                <a:pPr>
                  <a:defRPr sz="950"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Лист1!$B$2:$B$3</c:f>
              <c:numCache>
                <c:formatCode>General</c:formatCode>
                <c:ptCount val="2"/>
                <c:pt idx="0">
                  <c:v>17.7</c:v>
                </c:pt>
                <c:pt idx="1">
                  <c:v>21.6</c:v>
                </c:pt>
              </c:numCache>
            </c:numRef>
          </c:val>
        </c:ser>
        <c:ser>
          <c:idx val="1"/>
          <c:order val="1"/>
          <c:tx>
            <c:strRef>
              <c:f>Лист1!$C$1</c:f>
              <c:strCache>
                <c:ptCount val="1"/>
                <c:pt idx="0">
                  <c:v>строительно-монтажные работы</c:v>
                </c:pt>
              </c:strCache>
            </c:strRef>
          </c:tx>
          <c:dLbls>
            <c:dLbl>
              <c:idx val="0"/>
              <c:layout>
                <c:manualLayout>
                  <c:x val="-3.1817352042741503E-3"/>
                  <c:y val="1.007116378493926E-2"/>
                </c:manualLayout>
              </c:layout>
              <c:tx>
                <c:rich>
                  <a:bodyPr/>
                  <a:lstStyle/>
                  <a:p>
                    <a:pPr>
                      <a:defRPr sz="950" b="1">
                        <a:latin typeface="Times New Roman" pitchFamily="18" charset="0"/>
                        <a:cs typeface="Times New Roman" pitchFamily="18" charset="0"/>
                      </a:defRPr>
                    </a:pPr>
                    <a:r>
                      <a:rPr lang="ru-RU" sz="950"/>
                      <a:t>*38,2</a:t>
                    </a:r>
                    <a:endParaRPr lang="en-US" sz="950"/>
                  </a:p>
                </c:rich>
              </c:tx>
              <c:spPr/>
              <c:showVal val="1"/>
            </c:dLbl>
            <c:dLbl>
              <c:idx val="1"/>
              <c:layout>
                <c:manualLayout>
                  <c:x val="-5.24252860973523E-3"/>
                  <c:y val="1.0979606930576846E-2"/>
                </c:manualLayout>
              </c:layout>
              <c:tx>
                <c:rich>
                  <a:bodyPr/>
                  <a:lstStyle/>
                  <a:p>
                    <a:r>
                      <a:rPr lang="ru-RU" sz="950" b="1">
                        <a:latin typeface="Times New Roman" pitchFamily="18" charset="0"/>
                        <a:cs typeface="Times New Roman" pitchFamily="18" charset="0"/>
                      </a:rPr>
                      <a:t>*27,7</a:t>
                    </a:r>
                    <a:endParaRPr lang="en-US" sz="950" b="1">
                      <a:latin typeface="Times New Roman" pitchFamily="18" charset="0"/>
                      <a:cs typeface="Times New Roman" pitchFamily="18" charset="0"/>
                    </a:endParaRPr>
                  </a:p>
                </c:rich>
              </c:tx>
              <c:showVal val="1"/>
            </c:dLbl>
            <c:txPr>
              <a:bodyPr/>
              <a:lstStyle/>
              <a:p>
                <a:pPr>
                  <a:defRPr sz="950"/>
                </a:pPr>
                <a:endParaRPr lang="ru-RU"/>
              </a:p>
            </c:txPr>
            <c:showVal val="1"/>
          </c:dLbls>
          <c:cat>
            <c:strRef>
              <c:f>Лист1!$A$2:$A$3</c:f>
              <c:strCache>
                <c:ptCount val="2"/>
                <c:pt idx="0">
                  <c:v>январь-июнь 2015 года</c:v>
                </c:pt>
                <c:pt idx="1">
                  <c:v>январь-июнь 2016 года</c:v>
                </c:pt>
              </c:strCache>
            </c:strRef>
          </c:cat>
          <c:val>
            <c:numRef>
              <c:f>Лист1!$C$2:$C$3</c:f>
              <c:numCache>
                <c:formatCode>General</c:formatCode>
                <c:ptCount val="2"/>
                <c:pt idx="0">
                  <c:v>153.19999999999999</c:v>
                </c:pt>
                <c:pt idx="1">
                  <c:v>102.7</c:v>
                </c:pt>
              </c:numCache>
            </c:numRef>
          </c:val>
        </c:ser>
        <c:ser>
          <c:idx val="2"/>
          <c:order val="2"/>
          <c:tx>
            <c:strRef>
              <c:f>Лист1!$D$1</c:f>
              <c:strCache>
                <c:ptCount val="1"/>
                <c:pt idx="0">
                  <c:v>машины, оборудование, транспортные средства, инструмент, инвентарь</c:v>
                </c:pt>
              </c:strCache>
            </c:strRef>
          </c:tx>
          <c:dLbls>
            <c:dLbl>
              <c:idx val="0"/>
              <c:layout>
                <c:manualLayout>
                  <c:x val="-2.0607934054610532E-3"/>
                  <c:y val="1.968954911563911E-2"/>
                </c:manualLayout>
              </c:layout>
              <c:tx>
                <c:rich>
                  <a:bodyPr/>
                  <a:lstStyle/>
                  <a:p>
                    <a:r>
                      <a:rPr lang="ru-RU" sz="950" b="1">
                        <a:latin typeface="Times New Roman" pitchFamily="18" charset="0"/>
                        <a:cs typeface="Times New Roman" pitchFamily="18" charset="0"/>
                      </a:rPr>
                      <a:t>*57,4</a:t>
                    </a:r>
                    <a:endParaRPr lang="en-US" sz="950" b="1">
                      <a:latin typeface="Times New Roman" pitchFamily="18" charset="0"/>
                      <a:cs typeface="Times New Roman" pitchFamily="18" charset="0"/>
                    </a:endParaRPr>
                  </a:p>
                </c:rich>
              </c:tx>
              <c:showVal val="1"/>
            </c:dLbl>
            <c:dLbl>
              <c:idx val="1"/>
              <c:layout>
                <c:manualLayout>
                  <c:x val="2.0607934054611252E-3"/>
                  <c:y val="1.832760595647194E-2"/>
                </c:manualLayout>
              </c:layout>
              <c:tx>
                <c:rich>
                  <a:bodyPr/>
                  <a:lstStyle/>
                  <a:p>
                    <a:r>
                      <a:rPr lang="ru-RU" sz="950" b="1">
                        <a:latin typeface="Times New Roman" pitchFamily="18" charset="0"/>
                        <a:cs typeface="Times New Roman" pitchFamily="18" charset="0"/>
                      </a:rPr>
                      <a:t>*66,5</a:t>
                    </a:r>
                    <a:endParaRPr lang="en-US" sz="950" b="1">
                      <a:latin typeface="Times New Roman" pitchFamily="18" charset="0"/>
                      <a:cs typeface="Times New Roman" pitchFamily="18" charset="0"/>
                    </a:endParaRPr>
                  </a:p>
                </c:rich>
              </c:tx>
              <c:showVal val="1"/>
            </c:dLbl>
            <c:txPr>
              <a:bodyPr/>
              <a:lstStyle/>
              <a:p>
                <a:pPr>
                  <a:defRPr sz="950"/>
                </a:pPr>
                <a:endParaRPr lang="ru-RU"/>
              </a:p>
            </c:txPr>
            <c:showVal val="1"/>
          </c:dLbls>
          <c:cat>
            <c:strRef>
              <c:f>Лист1!$A$2:$A$3</c:f>
              <c:strCache>
                <c:ptCount val="2"/>
                <c:pt idx="0">
                  <c:v>январь-июнь 2015 года</c:v>
                </c:pt>
                <c:pt idx="1">
                  <c:v>январь-июнь 2016 года</c:v>
                </c:pt>
              </c:strCache>
            </c:strRef>
          </c:cat>
          <c:val>
            <c:numRef>
              <c:f>Лист1!$D$2:$D$3</c:f>
              <c:numCache>
                <c:formatCode>0.0</c:formatCode>
                <c:ptCount val="2"/>
                <c:pt idx="0" formatCode="General">
                  <c:v>229.8</c:v>
                </c:pt>
                <c:pt idx="1">
                  <c:v>247</c:v>
                </c:pt>
              </c:numCache>
            </c:numRef>
          </c:val>
        </c:ser>
        <c:dLbls>
          <c:showVal val="1"/>
        </c:dLbls>
        <c:axId val="104259968"/>
        <c:axId val="104261504"/>
      </c:barChart>
      <c:catAx>
        <c:axId val="104259968"/>
        <c:scaling>
          <c:orientation val="minMax"/>
        </c:scaling>
        <c:delete val="1"/>
        <c:axPos val="b"/>
        <c:majorGridlines>
          <c:spPr>
            <a:ln>
              <a:solidFill>
                <a:schemeClr val="bg1">
                  <a:lumMod val="65000"/>
                </a:schemeClr>
              </a:solidFill>
            </a:ln>
          </c:spPr>
        </c:majorGridlines>
        <c:tickLblPos val="none"/>
        <c:crossAx val="104261504"/>
        <c:crossesAt val="0"/>
        <c:auto val="1"/>
        <c:lblAlgn val="ctr"/>
        <c:lblOffset val="100"/>
      </c:catAx>
      <c:valAx>
        <c:axId val="104261504"/>
        <c:scaling>
          <c:orientation val="minMax"/>
          <c:min val="0"/>
        </c:scaling>
        <c:axPos val="l"/>
        <c:majorGridlines/>
        <c:numFmt formatCode="General" sourceLinked="1"/>
        <c:majorTickMark val="in"/>
        <c:tickLblPos val="nextTo"/>
        <c:spPr>
          <a:ln w="6350" cap="sq"/>
        </c:spPr>
        <c:txPr>
          <a:bodyPr/>
          <a:lstStyle/>
          <a:p>
            <a:pPr>
              <a:defRPr sz="950" b="1">
                <a:latin typeface="Times New Roman" pitchFamily="18" charset="0"/>
                <a:cs typeface="Times New Roman" pitchFamily="18" charset="0"/>
              </a:defRPr>
            </a:pPr>
            <a:endParaRPr lang="ru-RU"/>
          </a:p>
        </c:txPr>
        <c:crossAx val="104259968"/>
        <c:crosses val="autoZero"/>
        <c:crossBetween val="between"/>
      </c:valAx>
      <c:dTable>
        <c:showHorzBorder val="1"/>
        <c:showVertBorder val="1"/>
        <c:showOutline val="1"/>
        <c:showKeys val="1"/>
        <c:spPr>
          <a:ln>
            <a:solidFill>
              <a:schemeClr val="tx1"/>
            </a:solidFill>
          </a:ln>
        </c:spPr>
        <c:txPr>
          <a:bodyPr/>
          <a:lstStyle/>
          <a:p>
            <a:pPr algn="just" rtl="0">
              <a:defRPr sz="900" b="1">
                <a:latin typeface="Times New Roman" pitchFamily="18" charset="0"/>
                <a:cs typeface="Times New Roman" pitchFamily="18" charset="0"/>
              </a:defRPr>
            </a:pPr>
            <a:endParaRPr lang="ru-RU"/>
          </a:p>
        </c:txPr>
      </c:dTable>
      <c:spPr>
        <a:noFill/>
        <a:ln w="25400">
          <a:noFill/>
        </a:ln>
      </c:spPr>
    </c:plotArea>
    <c:plotVisOnly val="1"/>
    <c:dispBlanksAs val="gap"/>
  </c:chart>
  <c:spPr>
    <a:noFill/>
    <a:ln>
      <a:noFill/>
    </a:ln>
  </c:spPr>
  <c:externalData r:id="rId1"/>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200">
                <a:latin typeface="Times New Roman" pitchFamily="18" charset="0"/>
                <a:cs typeface="Times New Roman" pitchFamily="18" charset="0"/>
              </a:rPr>
              <a:t>Динамика инвестиций по объектам </a:t>
            </a:r>
          </a:p>
          <a:p>
            <a:pPr algn="ctr">
              <a:defRPr/>
            </a:pPr>
            <a:r>
              <a:rPr lang="ru-RU" sz="1200">
                <a:latin typeface="Times New Roman" pitchFamily="18" charset="0"/>
                <a:cs typeface="Times New Roman" pitchFamily="18" charset="0"/>
              </a:rPr>
              <a:t>производственного и непроизводственного назначенея,</a:t>
            </a:r>
            <a:r>
              <a:rPr lang="ru-RU" sz="1200" b="0">
                <a:latin typeface="Times New Roman" pitchFamily="18" charset="0"/>
                <a:cs typeface="Times New Roman" pitchFamily="18" charset="0"/>
              </a:rPr>
              <a:t> </a:t>
            </a:r>
            <a:r>
              <a:rPr lang="ru-RU" sz="1200">
                <a:latin typeface="Times New Roman" pitchFamily="18" charset="0"/>
                <a:cs typeface="Times New Roman" pitchFamily="18" charset="0"/>
              </a:rPr>
              <a:t>млн. руб.</a:t>
            </a:r>
          </a:p>
        </c:rich>
      </c:tx>
      <c:layout>
        <c:manualLayout>
          <c:xMode val="edge"/>
          <c:yMode val="edge"/>
          <c:x val="0.18768523406756932"/>
          <c:y val="3.3292283962135069E-3"/>
        </c:manualLayout>
      </c:layout>
    </c:title>
    <c:plotArea>
      <c:layout>
        <c:manualLayout>
          <c:layoutTarget val="inner"/>
          <c:xMode val="edge"/>
          <c:yMode val="edge"/>
          <c:x val="0.32885261605073146"/>
          <c:y val="0.1832511374949608"/>
          <c:w val="0.61642653792363544"/>
          <c:h val="0.53204617447897384"/>
        </c:manualLayout>
      </c:layout>
      <c:barChart>
        <c:barDir val="col"/>
        <c:grouping val="clustered"/>
        <c:ser>
          <c:idx val="0"/>
          <c:order val="0"/>
          <c:tx>
            <c:strRef>
              <c:f>Лист1!$B$1</c:f>
              <c:strCache>
                <c:ptCount val="1"/>
                <c:pt idx="0">
                  <c:v>производственного назначения</c:v>
                </c:pt>
              </c:strCache>
            </c:strRef>
          </c:tx>
          <c:spPr>
            <a:solidFill>
              <a:srgbClr val="00B0F0"/>
            </a:solidFill>
            <a:ln>
              <a:noFill/>
            </a:ln>
          </c:spPr>
          <c:dLbls>
            <c:dLbl>
              <c:idx val="0"/>
              <c:layout>
                <c:manualLayout>
                  <c:x val="8.1288962967220532E-3"/>
                  <c:y val="1.5066768691531134E-2"/>
                </c:manualLayout>
              </c:layout>
              <c:tx>
                <c:rich>
                  <a:bodyPr/>
                  <a:lstStyle/>
                  <a:p>
                    <a:r>
                      <a:rPr lang="ru-RU" sz="950"/>
                      <a:t>*87,2</a:t>
                    </a:r>
                    <a:endParaRPr lang="en-US" sz="950"/>
                  </a:p>
                </c:rich>
              </c:tx>
              <c:showVal val="1"/>
            </c:dLbl>
            <c:dLbl>
              <c:idx val="1"/>
              <c:layout>
                <c:manualLayout>
                  <c:x val="2.2798245109872254E-3"/>
                  <c:y val="1.9894848567126602E-2"/>
                </c:manualLayout>
              </c:layout>
              <c:tx>
                <c:rich>
                  <a:bodyPr/>
                  <a:lstStyle/>
                  <a:p>
                    <a:r>
                      <a:rPr lang="ru-RU" sz="950"/>
                      <a:t>*83,3</a:t>
                    </a:r>
                    <a:endParaRPr lang="en-US" sz="950"/>
                  </a:p>
                </c:rich>
              </c:tx>
              <c:showVal val="1"/>
            </c:dLbl>
            <c:txPr>
              <a:bodyPr/>
              <a:lstStyle/>
              <a:p>
                <a:pPr>
                  <a:defRPr sz="950"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Лист1!$B$2:$B$3</c:f>
              <c:numCache>
                <c:formatCode>General</c:formatCode>
                <c:ptCount val="2"/>
                <c:pt idx="0">
                  <c:v>349.6</c:v>
                </c:pt>
                <c:pt idx="1">
                  <c:v>309.3</c:v>
                </c:pt>
              </c:numCache>
            </c:numRef>
          </c:val>
        </c:ser>
        <c:ser>
          <c:idx val="1"/>
          <c:order val="1"/>
          <c:tx>
            <c:strRef>
              <c:f>Лист1!$C$1</c:f>
              <c:strCache>
                <c:ptCount val="1"/>
                <c:pt idx="0">
                  <c:v>непроизводственного назначения</c:v>
                </c:pt>
              </c:strCache>
            </c:strRef>
          </c:tx>
          <c:spPr>
            <a:solidFill>
              <a:schemeClr val="accent6">
                <a:lumMod val="75000"/>
              </a:schemeClr>
            </a:solidFill>
            <a:ln>
              <a:noFill/>
            </a:ln>
          </c:spPr>
          <c:dLbls>
            <c:dLbl>
              <c:idx val="0"/>
              <c:layout>
                <c:manualLayout>
                  <c:x val="-6.2383661896277748E-3"/>
                  <c:y val="1.2543463415035525E-2"/>
                </c:manualLayout>
              </c:layout>
              <c:tx>
                <c:rich>
                  <a:bodyPr/>
                  <a:lstStyle/>
                  <a:p>
                    <a:r>
                      <a:rPr lang="ru-RU"/>
                      <a:t>*12,8</a:t>
                    </a:r>
                    <a:endParaRPr lang="en-US"/>
                  </a:p>
                </c:rich>
              </c:tx>
              <c:showVal val="1"/>
            </c:dLbl>
            <c:dLbl>
              <c:idx val="1"/>
              <c:layout>
                <c:manualLayout>
                  <c:x val="-1.6682951127459456E-3"/>
                  <c:y val="2.135479146611385E-2"/>
                </c:manualLayout>
              </c:layout>
              <c:tx>
                <c:rich>
                  <a:bodyPr/>
                  <a:lstStyle/>
                  <a:p>
                    <a:r>
                      <a:rPr lang="ru-RU"/>
                      <a:t>*16,7</a:t>
                    </a:r>
                    <a:endParaRPr lang="en-US"/>
                  </a:p>
                </c:rich>
              </c:tx>
              <c:showVal val="1"/>
            </c:dLbl>
            <c:txPr>
              <a:bodyPr/>
              <a:lstStyle/>
              <a:p>
                <a:pPr>
                  <a:defRPr sz="950"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Лист1!$C$2:$C$3</c:f>
              <c:numCache>
                <c:formatCode>0.0</c:formatCode>
                <c:ptCount val="2"/>
                <c:pt idx="0" formatCode="General">
                  <c:v>51.1</c:v>
                </c:pt>
                <c:pt idx="1">
                  <c:v>61.97</c:v>
                </c:pt>
              </c:numCache>
            </c:numRef>
          </c:val>
        </c:ser>
        <c:gapWidth val="142"/>
        <c:axId val="104542592"/>
        <c:axId val="104544128"/>
      </c:barChart>
      <c:catAx>
        <c:axId val="104542592"/>
        <c:scaling>
          <c:orientation val="minMax"/>
        </c:scaling>
        <c:axPos val="b"/>
        <c:majorGridlines>
          <c:spPr>
            <a:ln>
              <a:solidFill>
                <a:schemeClr val="bg1">
                  <a:lumMod val="65000"/>
                </a:schemeClr>
              </a:solidFill>
            </a:ln>
          </c:spPr>
        </c:majorGridlines>
        <c:numFmt formatCode="General" sourceLinked="1"/>
        <c:majorTickMark val="none"/>
        <c:tickLblPos val="none"/>
        <c:spPr>
          <a:ln w="6350" cap="sq"/>
        </c:spPr>
        <c:txPr>
          <a:bodyPr/>
          <a:lstStyle/>
          <a:p>
            <a:pPr>
              <a:defRPr sz="950" b="1">
                <a:latin typeface="Times New Roman" pitchFamily="18" charset="0"/>
                <a:cs typeface="Times New Roman" pitchFamily="18" charset="0"/>
              </a:defRPr>
            </a:pPr>
            <a:endParaRPr lang="ru-RU"/>
          </a:p>
        </c:txPr>
        <c:crossAx val="104544128"/>
        <c:crossesAt val="0"/>
        <c:auto val="1"/>
        <c:lblAlgn val="ctr"/>
        <c:lblOffset val="100"/>
        <c:tickLblSkip val="1"/>
      </c:catAx>
      <c:valAx>
        <c:axId val="104544128"/>
        <c:scaling>
          <c:orientation val="minMax"/>
        </c:scaling>
        <c:axPos val="l"/>
        <c:majorGridlines/>
        <c:numFmt formatCode="General" sourceLinked="1"/>
        <c:majorTickMark val="none"/>
        <c:tickLblPos val="nextTo"/>
        <c:spPr>
          <a:ln>
            <a:noFill/>
          </a:ln>
        </c:spPr>
        <c:txPr>
          <a:bodyPr/>
          <a:lstStyle/>
          <a:p>
            <a:pPr>
              <a:defRPr sz="950" b="1">
                <a:latin typeface="Times New Roman" pitchFamily="18" charset="0"/>
                <a:cs typeface="Times New Roman" pitchFamily="18" charset="0"/>
              </a:defRPr>
            </a:pPr>
            <a:endParaRPr lang="ru-RU"/>
          </a:p>
        </c:txPr>
        <c:crossAx val="104542592"/>
        <c:crosses val="autoZero"/>
        <c:crossBetween val="between"/>
      </c:valAx>
      <c:dTable>
        <c:showHorzBorder val="1"/>
        <c:showVertBorder val="1"/>
        <c:showOutline val="1"/>
        <c:showKeys val="1"/>
        <c:spPr>
          <a:ln>
            <a:solidFill>
              <a:schemeClr val="tx1"/>
            </a:solidFill>
          </a:ln>
        </c:spPr>
        <c:txPr>
          <a:bodyPr/>
          <a:lstStyle/>
          <a:p>
            <a:pPr algn="just" rtl="0">
              <a:defRPr sz="950" b="1">
                <a:latin typeface="Times New Roman" pitchFamily="18" charset="0"/>
                <a:cs typeface="Times New Roman" pitchFamily="18" charset="0"/>
              </a:defRPr>
            </a:pPr>
            <a:endParaRPr lang="ru-RU"/>
          </a:p>
        </c:txPr>
      </c:dTable>
      <c:spPr>
        <a:noFill/>
        <a:ln w="25400">
          <a:noFill/>
        </a:ln>
      </c:spPr>
    </c:plotArea>
    <c:plotVisOnly val="1"/>
    <c:dispBlanksAs val="gap"/>
  </c:chart>
  <c:spPr>
    <a:noFill/>
    <a:ln>
      <a:noFill/>
    </a:ln>
  </c:spPr>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50"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январь-июнь  2015  г.</a:t>
            </a:r>
          </a:p>
        </c:rich>
      </c:tx>
      <c:layout>
        <c:manualLayout>
          <c:xMode val="edge"/>
          <c:yMode val="edge"/>
          <c:x val="0.39598848531031144"/>
          <c:y val="6.4014936277296047E-3"/>
        </c:manualLayout>
      </c:layout>
      <c:spPr>
        <a:noFill/>
        <a:ln w="18548">
          <a:noFill/>
        </a:ln>
      </c:spPr>
    </c:title>
    <c:view3D>
      <c:rotX val="30"/>
      <c:rotY val="60"/>
      <c:perspective val="0"/>
    </c:view3D>
    <c:plotArea>
      <c:layout>
        <c:manualLayout>
          <c:layoutTarget val="inner"/>
          <c:xMode val="edge"/>
          <c:yMode val="edge"/>
          <c:x val="0.25809273840769903"/>
          <c:y val="0.18483913737587088"/>
          <c:w val="0.71323342646685295"/>
          <c:h val="0.69737262223665342"/>
        </c:manualLayout>
      </c:layout>
      <c:pie3DChart>
        <c:ser>
          <c:idx val="0"/>
          <c:order val="0"/>
          <c:tx>
            <c:strRef>
              <c:f>Sheet1!$A$2</c:f>
              <c:strCache>
                <c:ptCount val="1"/>
                <c:pt idx="0">
                  <c:v>Восток</c:v>
                </c:pt>
              </c:strCache>
            </c:strRef>
          </c:tx>
          <c:explosion val="25"/>
          <c:dPt>
            <c:idx val="0"/>
            <c:spPr>
              <a:blipFill>
                <a:blip xmlns:r="http://schemas.openxmlformats.org/officeDocument/2006/relationships" r:embed="rId2"/>
                <a:tile tx="0" ty="0" sx="100000" sy="100000" flip="none" algn="tl"/>
              </a:blipFill>
            </c:spPr>
          </c:dPt>
          <c:dPt>
            <c:idx val="1"/>
            <c:explosion val="9"/>
            <c:spPr>
              <a:blipFill>
                <a:blip xmlns:r="http://schemas.openxmlformats.org/officeDocument/2006/relationships" r:embed="rId3"/>
                <a:tile tx="0" ty="0" sx="100000" sy="100000" flip="none" algn="tl"/>
              </a:blipFill>
            </c:spPr>
          </c:dPt>
          <c:dPt>
            <c:idx val="2"/>
            <c:spPr>
              <a:blipFill>
                <a:blip xmlns:r="http://schemas.openxmlformats.org/officeDocument/2006/relationships" r:embed="rId4"/>
                <a:tile tx="0" ty="0" sx="100000" sy="100000" flip="none" algn="tl"/>
              </a:blipFill>
            </c:spPr>
          </c:dPt>
          <c:dPt>
            <c:idx val="3"/>
            <c:explosion val="33"/>
            <c:spPr>
              <a:blipFill>
                <a:blip xmlns:r="http://schemas.openxmlformats.org/officeDocument/2006/relationships" r:embed="rId5"/>
                <a:tile tx="0" ty="0" sx="100000" sy="100000" flip="none" algn="tl"/>
              </a:blipFill>
            </c:spPr>
          </c:dPt>
          <c:dLbls>
            <c:dLbl>
              <c:idx val="0"/>
              <c:layout>
                <c:manualLayout>
                  <c:x val="1.7921146953405017E-2"/>
                  <c:y val="-4.0092539978894434E-2"/>
                </c:manualLayout>
              </c:layout>
              <c:tx>
                <c:rich>
                  <a:bodyPr/>
                  <a:lstStyle/>
                  <a:p>
                    <a:r>
                      <a:rPr lang="ru-RU" sz="900">
                        <a:latin typeface="Times New Roman" pitchFamily="18" charset="0"/>
                        <a:cs typeface="Times New Roman" pitchFamily="18" charset="0"/>
                      </a:rPr>
                      <a:t>3,0</a:t>
                    </a:r>
                    <a:r>
                      <a:rPr lang="en-US" sz="900">
                        <a:latin typeface="Times New Roman" pitchFamily="18" charset="0"/>
                        <a:cs typeface="Times New Roman" pitchFamily="18" charset="0"/>
                      </a:rPr>
                      <a:t>%</a:t>
                    </a:r>
                  </a:p>
                </c:rich>
              </c:tx>
              <c:dLblPos val="bestFit"/>
            </c:dLbl>
            <c:dLbl>
              <c:idx val="1"/>
              <c:layout>
                <c:manualLayout>
                  <c:x val="0.14645641069060056"/>
                  <c:y val="0.16151960386395001"/>
                </c:manualLayout>
              </c:layout>
              <c:tx>
                <c:rich>
                  <a:bodyPr/>
                  <a:lstStyle/>
                  <a:p>
                    <a:r>
                      <a:rPr lang="ru-RU" sz="900">
                        <a:latin typeface="Times New Roman" pitchFamily="18" charset="0"/>
                        <a:cs typeface="Times New Roman" pitchFamily="18" charset="0"/>
                      </a:rPr>
                      <a:t>94,9</a:t>
                    </a:r>
                    <a:r>
                      <a:rPr lang="en-US" sz="900">
                        <a:latin typeface="Times New Roman" pitchFamily="18" charset="0"/>
                        <a:cs typeface="Times New Roman" pitchFamily="18" charset="0"/>
                      </a:rPr>
                      <a:t>%</a:t>
                    </a:r>
                  </a:p>
                </c:rich>
              </c:tx>
              <c:dLblPos val="bestFit"/>
            </c:dLbl>
            <c:dLbl>
              <c:idx val="2"/>
              <c:layout>
                <c:manualLayout>
                  <c:x val="-0.11637897063421089"/>
                  <c:y val="-0.13201883269746145"/>
                </c:manualLayout>
              </c:layout>
              <c:tx>
                <c:rich>
                  <a:bodyPr/>
                  <a:lstStyle/>
                  <a:p>
                    <a:r>
                      <a:rPr lang="ru-RU" sz="900">
                        <a:latin typeface="Times New Roman" pitchFamily="18" charset="0"/>
                        <a:cs typeface="Times New Roman" pitchFamily="18" charset="0"/>
                      </a:rPr>
                      <a:t>0,2%</a:t>
                    </a:r>
                    <a:endParaRPr lang="en-US" sz="900">
                      <a:latin typeface="Times New Roman" pitchFamily="18" charset="0"/>
                      <a:cs typeface="Times New Roman" pitchFamily="18" charset="0"/>
                    </a:endParaRPr>
                  </a:p>
                </c:rich>
              </c:tx>
              <c:dLblPos val="bestFit"/>
            </c:dLbl>
            <c:dLbl>
              <c:idx val="3"/>
              <c:layout>
                <c:manualLayout>
                  <c:x val="3.8509299240820712E-3"/>
                  <c:y val="-0.12136158237952216"/>
                </c:manualLayout>
              </c:layout>
              <c:tx>
                <c:rich>
                  <a:bodyPr/>
                  <a:lstStyle/>
                  <a:p>
                    <a:r>
                      <a:rPr lang="ru-RU" sz="900">
                        <a:latin typeface="Times New Roman" pitchFamily="18" charset="0"/>
                        <a:cs typeface="Times New Roman" pitchFamily="18" charset="0"/>
                      </a:rPr>
                      <a:t>1,9</a:t>
                    </a:r>
                    <a:r>
                      <a:rPr lang="en-US" sz="900">
                        <a:latin typeface="Times New Roman" pitchFamily="18" charset="0"/>
                        <a:cs typeface="Times New Roman" pitchFamily="18" charset="0"/>
                      </a:rPr>
                      <a:t>%</a:t>
                    </a:r>
                  </a:p>
                </c:rich>
              </c:tx>
              <c:dLblPos val="bestFit"/>
            </c:dLbl>
            <c:txPr>
              <a:bodyPr/>
              <a:lstStyle/>
              <a:p>
                <a:pPr>
                  <a:defRPr sz="900">
                    <a:latin typeface="Times New Roman" pitchFamily="18" charset="0"/>
                    <a:cs typeface="Times New Roman" pitchFamily="18" charset="0"/>
                  </a:defRPr>
                </a:pPr>
                <a:endParaRPr lang="ru-RU"/>
              </a:p>
            </c:txPr>
            <c:showVal val="1"/>
            <c:showPercent val="1"/>
            <c:showLeaderLines val="1"/>
          </c:dLbls>
          <c:cat>
            <c:strRef>
              <c:f>Sheet1!$B$1:$E$1</c:f>
              <c:strCache>
                <c:ptCount val="4"/>
                <c:pt idx="0">
                  <c:v>средства бюджетов</c:v>
                </c:pt>
                <c:pt idx="1">
                  <c:v>собственные средства организаций</c:v>
                </c:pt>
                <c:pt idx="2">
                  <c:v>кредиты (займы) банков</c:v>
                </c:pt>
                <c:pt idx="3">
                  <c:v>прочие источники</c:v>
                </c:pt>
              </c:strCache>
            </c:strRef>
          </c:cat>
          <c:val>
            <c:numRef>
              <c:f>Sheet1!$B$2:$E$2</c:f>
              <c:numCache>
                <c:formatCode>0.0%</c:formatCode>
                <c:ptCount val="4"/>
                <c:pt idx="0">
                  <c:v>3.0000000000000002E-2</c:v>
                </c:pt>
                <c:pt idx="1">
                  <c:v>0.94899999999999995</c:v>
                </c:pt>
                <c:pt idx="2">
                  <c:v>2.0000000000000052E-3</c:v>
                </c:pt>
                <c:pt idx="3">
                  <c:v>1.9000000000000128E-2</c:v>
                </c:pt>
              </c:numCache>
            </c:numRef>
          </c:val>
        </c:ser>
        <c:dLbls>
          <c:showVal val="1"/>
          <c:showPercent val="1"/>
        </c:dLbls>
      </c:pie3DChart>
      <c:spPr>
        <a:noFill/>
        <a:ln w="18594">
          <a:noFill/>
        </a:ln>
      </c:spPr>
    </c:plotArea>
    <c:legend>
      <c:legendPos val="l"/>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3"/>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2.3668900891520791E-2"/>
          <c:y val="6.8923884514435693E-2"/>
          <c:w val="0.31415093274630995"/>
          <c:h val="0.90358470655085632"/>
        </c:manualLayout>
      </c:layout>
      <c:spPr>
        <a:solidFill>
          <a:srgbClr val="FFFFFF"/>
        </a:solidFill>
        <a:ln>
          <a:noFill/>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586" b="1" i="0" u="none" strike="noStrike" baseline="0">
          <a:solidFill>
            <a:srgbClr val="000000"/>
          </a:solidFill>
          <a:latin typeface="Calibri"/>
          <a:ea typeface="Calibri"/>
          <a:cs typeface="Calibri"/>
        </a:defRPr>
      </a:pPr>
      <a:endParaRPr lang="ru-RU"/>
    </a:p>
  </c:txPr>
  <c:externalData r:id="rId6"/>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65"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январь-июнь</a:t>
            </a:r>
            <a:r>
              <a:rPr lang="ru-RU" sz="900">
                <a:latin typeface="Times New Roman" pitchFamily="18" charset="0"/>
                <a:cs typeface="Times New Roman" pitchFamily="18" charset="0"/>
              </a:rPr>
              <a:t>  2016 г.</a:t>
            </a:r>
          </a:p>
        </c:rich>
      </c:tx>
      <c:layout>
        <c:manualLayout>
          <c:xMode val="edge"/>
          <c:yMode val="edge"/>
          <c:x val="0.23311383374375497"/>
          <c:y val="2.0342658172753551E-2"/>
        </c:manualLayout>
      </c:layout>
      <c:spPr>
        <a:noFill/>
        <a:ln w="24324">
          <a:noFill/>
        </a:ln>
      </c:spPr>
    </c:title>
    <c:view3D>
      <c:rotX val="25"/>
      <c:rotY val="65"/>
      <c:perspective val="0"/>
    </c:view3D>
    <c:plotArea>
      <c:layout>
        <c:manualLayout>
          <c:layoutTarget val="inner"/>
          <c:xMode val="edge"/>
          <c:yMode val="edge"/>
          <c:x val="3.485645375409155E-3"/>
          <c:y val="0.26059536527783322"/>
          <c:w val="0.95533031344054964"/>
          <c:h val="0.60351363114786527"/>
        </c:manualLayout>
      </c:layout>
      <c:pie3DChart>
        <c:varyColors val="1"/>
        <c:ser>
          <c:idx val="0"/>
          <c:order val="0"/>
          <c:tx>
            <c:strRef>
              <c:f>Sheet1!$A$2</c:f>
              <c:strCache>
                <c:ptCount val="1"/>
                <c:pt idx="0">
                  <c:v>Восток</c:v>
                </c:pt>
              </c:strCache>
            </c:strRef>
          </c:tx>
          <c:explosion val="27"/>
          <c:dPt>
            <c:idx val="0"/>
            <c:explosion val="13"/>
            <c:spPr>
              <a:blipFill>
                <a:blip xmlns:r="http://schemas.openxmlformats.org/officeDocument/2006/relationships" r:embed="rId2"/>
                <a:tile tx="0" ty="0" sx="100000" sy="100000" flip="none" algn="tl"/>
              </a:blipFill>
            </c:spPr>
          </c:dPt>
          <c:dPt>
            <c:idx val="1"/>
            <c:spPr>
              <a:blipFill>
                <a:blip xmlns:r="http://schemas.openxmlformats.org/officeDocument/2006/relationships" r:embed="rId3"/>
                <a:tile tx="0" ty="0" sx="100000" sy="100000" flip="none" algn="tl"/>
              </a:blipFill>
            </c:spPr>
          </c:dPt>
          <c:dPt>
            <c:idx val="2"/>
            <c:explosion val="11"/>
            <c:spPr>
              <a:blipFill>
                <a:blip xmlns:r="http://schemas.openxmlformats.org/officeDocument/2006/relationships" r:embed="rId4"/>
                <a:tile tx="0" ty="0" sx="100000" sy="100000" flip="none" algn="tl"/>
              </a:blipFill>
            </c:spPr>
          </c:dPt>
          <c:dPt>
            <c:idx val="3"/>
            <c:explosion val="8"/>
            <c:spPr>
              <a:blipFill>
                <a:blip xmlns:r="http://schemas.openxmlformats.org/officeDocument/2006/relationships" r:embed="rId5"/>
                <a:tile tx="0" ty="0" sx="100000" sy="100000" flip="none" algn="tl"/>
              </a:blipFill>
            </c:spPr>
          </c:dPt>
          <c:dLbls>
            <c:dLbl>
              <c:idx val="0"/>
              <c:layout>
                <c:manualLayout>
                  <c:x val="1.0296010296010301E-2"/>
                  <c:y val="-0.11984120075442832"/>
                </c:manualLayout>
              </c:layout>
              <c:tx>
                <c:rich>
                  <a:bodyPr/>
                  <a:lstStyle/>
                  <a:p>
                    <a:r>
                      <a:rPr lang="ru-RU" sz="900">
                        <a:latin typeface="Times New Roman" pitchFamily="18" charset="0"/>
                        <a:cs typeface="Times New Roman" pitchFamily="18" charset="0"/>
                      </a:rPr>
                      <a:t>2,0</a:t>
                    </a:r>
                    <a:r>
                      <a:rPr lang="en-US" sz="900">
                        <a:latin typeface="Times New Roman" pitchFamily="18" charset="0"/>
                        <a:cs typeface="Times New Roman" pitchFamily="18" charset="0"/>
                      </a:rPr>
                      <a:t>%</a:t>
                    </a:r>
                  </a:p>
                </c:rich>
              </c:tx>
              <c:dLblPos val="bestFit"/>
              <c:separator>; </c:separator>
            </c:dLbl>
            <c:dLbl>
              <c:idx val="1"/>
              <c:layout>
                <c:manualLayout>
                  <c:x val="0.18018018018018173"/>
                  <c:y val="0.15517798968596291"/>
                </c:manualLayout>
              </c:layout>
              <c:tx>
                <c:rich>
                  <a:bodyPr/>
                  <a:lstStyle/>
                  <a:p>
                    <a:r>
                      <a:rPr lang="ru-RU" sz="900">
                        <a:latin typeface="Times New Roman" pitchFamily="18" charset="0"/>
                        <a:cs typeface="Times New Roman" pitchFamily="18" charset="0"/>
                      </a:rPr>
                      <a:t>92,2%</a:t>
                    </a:r>
                    <a:endParaRPr lang="en-US" sz="900">
                      <a:latin typeface="Times New Roman" pitchFamily="18" charset="0"/>
                      <a:cs typeface="Times New Roman" pitchFamily="18" charset="0"/>
                    </a:endParaRPr>
                  </a:p>
                </c:rich>
              </c:tx>
              <c:dLblPos val="bestFit"/>
              <c:separator>; </c:separator>
            </c:dLbl>
            <c:dLbl>
              <c:idx val="2"/>
              <c:delete val="1"/>
            </c:dLbl>
            <c:dLbl>
              <c:idx val="3"/>
              <c:layout>
                <c:manualLayout>
                  <c:x val="8.4646175984759743E-3"/>
                  <c:y val="-0.21925796963821734"/>
                </c:manualLayout>
              </c:layout>
              <c:tx>
                <c:rich>
                  <a:bodyPr/>
                  <a:lstStyle/>
                  <a:p>
                    <a:r>
                      <a:rPr lang="ru-RU" sz="900">
                        <a:latin typeface="Times New Roman" pitchFamily="18" charset="0"/>
                        <a:cs typeface="Times New Roman" pitchFamily="18" charset="0"/>
                      </a:rPr>
                      <a:t>5,8</a:t>
                    </a:r>
                    <a:r>
                      <a:rPr lang="en-US" sz="900">
                        <a:latin typeface="Times New Roman" pitchFamily="18" charset="0"/>
                        <a:cs typeface="Times New Roman" pitchFamily="18" charset="0"/>
                      </a:rPr>
                      <a:t>%</a:t>
                    </a:r>
                  </a:p>
                </c:rich>
              </c:tx>
              <c:dLblPos val="bestFit"/>
              <c:separator>; </c:separator>
            </c:dLbl>
            <c:dLbl>
              <c:idx val="4"/>
              <c:layout>
                <c:manualLayout>
                  <c:x val="-7.9423291546550534E-2"/>
                  <c:y val="1.1341417274298561E-3"/>
                </c:manualLayout>
              </c:layout>
              <c:dLblPos val="bestFit"/>
              <c:showPercent val="1"/>
              <c:separator>; </c:separator>
            </c:dLbl>
            <c:dLbl>
              <c:idx val="5"/>
              <c:layout>
                <c:manualLayout>
                  <c:x val="-0.12883613558915979"/>
                  <c:y val="-5.6232996118203933E-2"/>
                </c:manualLayout>
              </c:layout>
              <c:dLblPos val="bestFit"/>
              <c:showPercent val="1"/>
              <c:separator>; </c:separator>
            </c:dLbl>
            <c:dLbl>
              <c:idx val="6"/>
              <c:layout>
                <c:manualLayout>
                  <c:x val="-4.6739807796465846E-2"/>
                  <c:y val="-0.13727101005578182"/>
                </c:manualLayout>
              </c:layout>
              <c:dLblPos val="bestFit"/>
              <c:showPercent val="1"/>
              <c:separator>; </c:separator>
            </c:dLbl>
            <c:dLbl>
              <c:idx val="7"/>
              <c:layout>
                <c:manualLayout>
                  <c:x val="-0.12131749626794185"/>
                  <c:y val="-0.14979121978685594"/>
                </c:manualLayout>
              </c:layout>
              <c:dLblPos val="bestFit"/>
              <c:showPercent val="1"/>
              <c:separator>; </c:separator>
            </c:dLbl>
            <c:dLbl>
              <c:idx val="8"/>
              <c:layout>
                <c:manualLayout>
                  <c:x val="7.9664857278558709E-2"/>
                  <c:y val="-0.1359210952999807"/>
                </c:manualLayout>
              </c:layout>
              <c:dLblPos val="bestFit"/>
              <c:showPercent val="1"/>
              <c:separator>; </c:separator>
            </c:dLbl>
            <c:dLbl>
              <c:idx val="9"/>
              <c:layout>
                <c:manualLayout>
                  <c:x val="5.5932806936557874E-2"/>
                  <c:y val="-9.9738752073467746E-2"/>
                </c:manualLayout>
              </c:layout>
              <c:dLblPos val="bestFit"/>
              <c:showPercent val="1"/>
              <c:separator>; </c:separator>
            </c:dLbl>
            <c:dLbl>
              <c:idx val="10"/>
              <c:layout>
                <c:manualLayout>
                  <c:x val="8.9960564866300274E-2"/>
                  <c:y val="-6.6121948348689341E-2"/>
                </c:manualLayout>
              </c:layout>
              <c:dLblPos val="bestFit"/>
              <c:showPercent val="1"/>
              <c:separator>; </c:separator>
            </c:dLbl>
            <c:dLbl>
              <c:idx val="11"/>
              <c:layout>
                <c:manualLayout>
                  <c:x val="4.7145589451160895E-2"/>
                  <c:y val="-1.489385283150272E-2"/>
                </c:manualLayout>
              </c:layout>
              <c:dLblPos val="bestFit"/>
              <c:showPercent val="1"/>
              <c:separator>; </c:separator>
            </c:dLbl>
            <c:showPercent val="1"/>
            <c:separator>; </c:separator>
            <c:showLeaderLines val="1"/>
          </c:dLbls>
          <c:cat>
            <c:strRef>
              <c:f>Sheet1!$B$1:$E$1</c:f>
              <c:strCache>
                <c:ptCount val="4"/>
                <c:pt idx="0">
                  <c:v>средства бюджетов</c:v>
                </c:pt>
                <c:pt idx="1">
                  <c:v>собственные средства организаций</c:v>
                </c:pt>
                <c:pt idx="2">
                  <c:v>кредиты (займы) банков</c:v>
                </c:pt>
                <c:pt idx="3">
                  <c:v>прочие источники</c:v>
                </c:pt>
              </c:strCache>
            </c:strRef>
          </c:cat>
          <c:val>
            <c:numRef>
              <c:f>Sheet1!$B$2:$E$2</c:f>
              <c:numCache>
                <c:formatCode>0.0%</c:formatCode>
                <c:ptCount val="4"/>
                <c:pt idx="0">
                  <c:v>2.0000000000000011E-2</c:v>
                </c:pt>
                <c:pt idx="1">
                  <c:v>0.92200000000000004</c:v>
                </c:pt>
                <c:pt idx="2">
                  <c:v>0</c:v>
                </c:pt>
                <c:pt idx="3">
                  <c:v>5.8000000000000003E-2</c:v>
                </c:pt>
              </c:numCache>
            </c:numRef>
          </c:val>
        </c:ser>
        <c:dLbls>
          <c:showVal val="1"/>
          <c:showPercent val="1"/>
        </c:dLbls>
      </c:pie3DChart>
      <c:spPr>
        <a:solidFill>
          <a:srgbClr val="FFFFFF"/>
        </a:solidFill>
        <a:ln w="12162">
          <a:solidFill>
            <a:srgbClr val="FFFFFF"/>
          </a:solidFill>
          <a:prstDash val="solid"/>
        </a:ln>
      </c:spPr>
    </c:plotArea>
    <c:plotVisOnly val="1"/>
    <c:dispBlanksAs val="zero"/>
  </c:chart>
  <c:spPr>
    <a:noFill/>
    <a:ln>
      <a:noFill/>
    </a:ln>
  </c:spPr>
  <c:txPr>
    <a:bodyPr/>
    <a:lstStyle/>
    <a:p>
      <a:pPr>
        <a:defRPr sz="763" b="1" i="0" u="none" strike="noStrike" baseline="0">
          <a:solidFill>
            <a:srgbClr val="000000"/>
          </a:solidFill>
          <a:latin typeface="Calibri"/>
          <a:ea typeface="Calibri"/>
          <a:cs typeface="Calibri"/>
        </a:defRPr>
      </a:pPr>
      <a:endParaRPr lang="ru-RU"/>
    </a:p>
  </c:txPr>
  <c:externalData r:id="rId6"/>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50"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 -июнь 2015 г.</a:t>
            </a:r>
          </a:p>
        </c:rich>
      </c:tx>
      <c:layout>
        <c:manualLayout>
          <c:xMode val="edge"/>
          <c:yMode val="edge"/>
          <c:x val="0.36774944932526532"/>
          <c:y val="9.7951673566578745E-5"/>
        </c:manualLayout>
      </c:layout>
      <c:spPr>
        <a:noFill/>
        <a:ln w="23471">
          <a:noFill/>
        </a:ln>
      </c:spPr>
    </c:title>
    <c:view3D>
      <c:rotX val="30"/>
      <c:rotY val="80"/>
      <c:perspective val="0"/>
    </c:view3D>
    <c:plotArea>
      <c:layout>
        <c:manualLayout>
          <c:layoutTarget val="inner"/>
          <c:xMode val="edge"/>
          <c:yMode val="edge"/>
          <c:x val="0.32013285949875736"/>
          <c:y val="0.21789284813974524"/>
          <c:w val="0.67986714050124253"/>
          <c:h val="0.67461126681199313"/>
        </c:manualLayout>
      </c:layout>
      <c:pie3DChart>
        <c:varyColors val="1"/>
        <c:ser>
          <c:idx val="0"/>
          <c:order val="0"/>
          <c:tx>
            <c:strRef>
              <c:f>Sheet1!$A$2</c:f>
              <c:strCache>
                <c:ptCount val="1"/>
                <c:pt idx="0">
                  <c:v>Восток</c:v>
                </c:pt>
              </c:strCache>
            </c:strRef>
          </c:tx>
          <c:spPr>
            <a:solidFill>
              <a:srgbClr val="9999FF"/>
            </a:solidFill>
            <a:ln w="11735">
              <a:solidFill>
                <a:srgbClr val="000000"/>
              </a:solidFill>
              <a:prstDash val="solid"/>
            </a:ln>
          </c:spPr>
          <c:dPt>
            <c:idx val="0"/>
            <c:explosion val="15"/>
            <c:spPr>
              <a:solidFill>
                <a:srgbClr val="00B0F0"/>
              </a:solidFill>
              <a:ln w="11735">
                <a:solidFill>
                  <a:srgbClr val="000000"/>
                </a:solidFill>
                <a:prstDash val="solid"/>
              </a:ln>
            </c:spPr>
          </c:dPt>
          <c:dPt>
            <c:idx val="1"/>
            <c:explosion val="29"/>
            <c:spPr>
              <a:blipFill dpi="0" rotWithShape="0">
                <a:blip xmlns:r="http://schemas.openxmlformats.org/officeDocument/2006/relationships" r:embed="rId2"/>
                <a:srcRect/>
                <a:tile tx="0" ty="0" sx="100000" sy="100000" flip="none" algn="tl"/>
              </a:blipFill>
              <a:ln w="11735">
                <a:solidFill>
                  <a:srgbClr val="000000"/>
                </a:solidFill>
                <a:prstDash val="solid"/>
              </a:ln>
            </c:spPr>
          </c:dPt>
          <c:dPt>
            <c:idx val="2"/>
            <c:explosion val="7"/>
            <c:spPr>
              <a:solidFill>
                <a:srgbClr val="00B050"/>
              </a:solidFill>
              <a:ln w="11735">
                <a:solidFill>
                  <a:srgbClr val="000000"/>
                </a:solidFill>
                <a:prstDash val="solid"/>
              </a:ln>
            </c:spPr>
          </c:dPt>
          <c:dPt>
            <c:idx val="3"/>
            <c:explosion val="23"/>
            <c:spPr>
              <a:pattFill prst="lgCheck">
                <a:fgClr>
                  <a:srgbClr val="993366"/>
                </a:fgClr>
                <a:bgClr>
                  <a:srgbClr val="FFFFFF"/>
                </a:bgClr>
              </a:pattFill>
              <a:ln w="11735">
                <a:solidFill>
                  <a:srgbClr val="000000"/>
                </a:solidFill>
                <a:prstDash val="solid"/>
              </a:ln>
            </c:spPr>
          </c:dPt>
          <c:dLbls>
            <c:dLbl>
              <c:idx val="0"/>
              <c:layout>
                <c:manualLayout>
                  <c:x val="7.6335877862595422E-2"/>
                  <c:y val="2.0833333333333412E-2"/>
                </c:manualLayout>
              </c:layout>
              <c:dLblPos val="bestFit"/>
              <c:showVal val="1"/>
            </c:dLbl>
            <c:dLbl>
              <c:idx val="1"/>
              <c:layout>
                <c:manualLayout>
                  <c:x val="0.14418999151823594"/>
                  <c:y val="5.5555555555555615E-2"/>
                </c:manualLayout>
              </c:layout>
              <c:dLblPos val="bestFit"/>
              <c:showVal val="1"/>
            </c:dLbl>
            <c:dLbl>
              <c:idx val="2"/>
              <c:layout>
                <c:manualLayout>
                  <c:x val="-4.8563708297524759E-2"/>
                  <c:y val="-5.9792695404600874E-2"/>
                </c:manualLayout>
              </c:layout>
              <c:dLblPos val="bestFit"/>
              <c:showVal val="1"/>
            </c:dLbl>
            <c:dLbl>
              <c:idx val="3"/>
              <c:layout>
                <c:manualLayout>
                  <c:x val="-3.9331366764995381E-3"/>
                  <c:y val="-0.14418553613001764"/>
                </c:manualLayout>
              </c:layout>
              <c:dLblPos val="bestFit"/>
              <c:showVal val="1"/>
            </c:dLbl>
            <c:txPr>
              <a:bodyPr/>
              <a:lstStyle/>
              <a:p>
                <a:pPr>
                  <a:defRPr sz="900">
                    <a:latin typeface="Times New Roman" pitchFamily="18" charset="0"/>
                    <a:cs typeface="Times New Roman" pitchFamily="18" charset="0"/>
                  </a:defRPr>
                </a:pPr>
                <a:endParaRPr lang="ru-RU"/>
              </a:p>
            </c:txPr>
            <c:dLblPos val="outEnd"/>
            <c:showVal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0.30400000000000038</c:v>
                </c:pt>
                <c:pt idx="1">
                  <c:v>4.0000000000000022E-2</c:v>
                </c:pt>
                <c:pt idx="2">
                  <c:v>0.65400000000000624</c:v>
                </c:pt>
                <c:pt idx="3">
                  <c:v>2.0000000000000052E-3</c:v>
                </c:pt>
              </c:numCache>
            </c:numRef>
          </c:val>
        </c:ser>
        <c:dLbls>
          <c:showVal val="1"/>
          <c:showPercent val="1"/>
        </c:dLbls>
      </c:pie3DChart>
      <c:spPr>
        <a:solidFill>
          <a:srgbClr val="FFFFFF"/>
        </a:solidFill>
        <a:ln w="11735">
          <a:solidFill>
            <a:srgbClr val="FFFFFF"/>
          </a:solidFill>
          <a:prstDash val="solid"/>
        </a:ln>
      </c:spPr>
    </c:plotArea>
    <c:legend>
      <c:legendPos val="l"/>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3"/>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4.7197640117994114E-2"/>
          <c:y val="0.31877040793629935"/>
          <c:w val="0.31118388962442201"/>
          <c:h val="0.51571689132078824"/>
        </c:manualLayout>
      </c:layout>
      <c:spPr>
        <a:solidFill>
          <a:srgbClr val="FFFFFF"/>
        </a:solidFill>
        <a:ln w="2934">
          <a:noFill/>
          <a:prstDash val="solid"/>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741" b="1" i="0" u="none" strike="noStrike" baseline="0">
          <a:solidFill>
            <a:srgbClr val="000000"/>
          </a:solidFill>
          <a:latin typeface="Calibri"/>
          <a:ea typeface="Calibri"/>
          <a:cs typeface="Calibri"/>
        </a:defRPr>
      </a:pPr>
      <a:endParaRPr lang="ru-RU"/>
    </a:p>
  </c:txPr>
  <c:externalData r:id="rId3"/>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январь-июнь</a:t>
            </a:r>
            <a:r>
              <a:rPr lang="ru-RU" sz="900">
                <a:latin typeface="Times New Roman" pitchFamily="18" charset="0"/>
                <a:cs typeface="Times New Roman" pitchFamily="18" charset="0"/>
              </a:rPr>
              <a:t> 2016 г.</a:t>
            </a:r>
          </a:p>
        </c:rich>
      </c:tx>
      <c:layout>
        <c:manualLayout>
          <c:xMode val="edge"/>
          <c:yMode val="edge"/>
          <c:x val="0.35048194129108823"/>
          <c:y val="5.9130657448308883E-3"/>
        </c:manualLayout>
      </c:layout>
      <c:spPr>
        <a:noFill/>
        <a:ln w="22943">
          <a:noFill/>
        </a:ln>
      </c:spPr>
    </c:title>
    <c:view3D>
      <c:rotX val="30"/>
      <c:rotY val="80"/>
      <c:perspective val="0"/>
    </c:view3D>
    <c:plotArea>
      <c:layout>
        <c:manualLayout>
          <c:layoutTarget val="inner"/>
          <c:xMode val="edge"/>
          <c:yMode val="edge"/>
          <c:x val="3.9547869016372951E-2"/>
          <c:y val="0.24057591067012576"/>
          <c:w val="0.9604521434820591"/>
          <c:h val="0.62911292157844423"/>
        </c:manualLayout>
      </c:layout>
      <c:pie3DChart>
        <c:varyColors val="1"/>
        <c:ser>
          <c:idx val="0"/>
          <c:order val="0"/>
          <c:tx>
            <c:strRef>
              <c:f>Sheet1!$A$2</c:f>
              <c:strCache>
                <c:ptCount val="1"/>
                <c:pt idx="0">
                  <c:v>Восток</c:v>
                </c:pt>
              </c:strCache>
            </c:strRef>
          </c:tx>
          <c:spPr>
            <a:solidFill>
              <a:srgbClr val="9999FF"/>
            </a:solidFill>
            <a:ln w="11472">
              <a:solidFill>
                <a:srgbClr val="000000"/>
              </a:solidFill>
              <a:prstDash val="solid"/>
            </a:ln>
          </c:spPr>
          <c:dPt>
            <c:idx val="0"/>
            <c:explosion val="19"/>
            <c:spPr>
              <a:solidFill>
                <a:srgbClr val="00B0F0"/>
              </a:solidFill>
              <a:ln w="11472">
                <a:solidFill>
                  <a:srgbClr val="000000"/>
                </a:solidFill>
                <a:prstDash val="solid"/>
              </a:ln>
            </c:spPr>
          </c:dPt>
          <c:dPt>
            <c:idx val="1"/>
            <c:explosion val="18"/>
            <c:spPr>
              <a:blipFill dpi="0" rotWithShape="0">
                <a:blip xmlns:r="http://schemas.openxmlformats.org/officeDocument/2006/relationships" r:embed="rId2"/>
                <a:srcRect/>
                <a:tile tx="0" ty="0" sx="100000" sy="100000" flip="none" algn="tl"/>
              </a:blipFill>
              <a:ln w="11472">
                <a:solidFill>
                  <a:srgbClr val="000000"/>
                </a:solidFill>
                <a:prstDash val="solid"/>
              </a:ln>
            </c:spPr>
          </c:dPt>
          <c:dPt>
            <c:idx val="2"/>
            <c:explosion val="13"/>
            <c:spPr>
              <a:solidFill>
                <a:srgbClr val="00B050"/>
              </a:solidFill>
              <a:ln w="11472">
                <a:solidFill>
                  <a:srgbClr val="000000"/>
                </a:solidFill>
                <a:prstDash val="solid"/>
              </a:ln>
            </c:spPr>
          </c:dPt>
          <c:dPt>
            <c:idx val="3"/>
            <c:explosion val="20"/>
            <c:spPr>
              <a:pattFill prst="lgCheck">
                <a:fgClr>
                  <a:srgbClr val="993366"/>
                </a:fgClr>
                <a:bgClr>
                  <a:srgbClr val="FFFFFF"/>
                </a:bgClr>
              </a:pattFill>
              <a:ln w="11472">
                <a:solidFill>
                  <a:srgbClr val="000000"/>
                </a:solidFill>
                <a:prstDash val="solid"/>
              </a:ln>
            </c:spPr>
          </c:dPt>
          <c:dLbls>
            <c:dLbl>
              <c:idx val="0"/>
              <c:layout>
                <c:manualLayout>
                  <c:x val="9.4501859142608766E-2"/>
                  <c:y val="-4.0294181977252874E-3"/>
                </c:manualLayout>
              </c:layout>
              <c:tx>
                <c:rich>
                  <a:bodyPr/>
                  <a:lstStyle/>
                  <a:p>
                    <a:r>
                      <a:rPr lang="ru-RU" sz="900">
                        <a:latin typeface="Times New Roman" pitchFamily="18" charset="0"/>
                        <a:cs typeface="Times New Roman" pitchFamily="18" charset="0"/>
                      </a:rPr>
                      <a:t>32,1</a:t>
                    </a:r>
                    <a:r>
                      <a:rPr lang="en-US" sz="900">
                        <a:latin typeface="Times New Roman" pitchFamily="18" charset="0"/>
                        <a:cs typeface="Times New Roman" pitchFamily="18" charset="0"/>
                      </a:rPr>
                      <a:t>%</a:t>
                    </a:r>
                  </a:p>
                </c:rich>
              </c:tx>
              <c:dLblPos val="bestFit"/>
            </c:dLbl>
            <c:dLbl>
              <c:idx val="1"/>
              <c:layout>
                <c:manualLayout>
                  <c:x val="0.14293373918538643"/>
                  <c:y val="5.9182524059495506E-2"/>
                </c:manualLayout>
              </c:layout>
              <c:tx>
                <c:rich>
                  <a:bodyPr/>
                  <a:lstStyle/>
                  <a:p>
                    <a:r>
                      <a:rPr lang="ru-RU" sz="900">
                        <a:latin typeface="Times New Roman" pitchFamily="18" charset="0"/>
                        <a:cs typeface="Times New Roman" pitchFamily="18" charset="0"/>
                      </a:rPr>
                      <a:t>5,0</a:t>
                    </a:r>
                    <a:r>
                      <a:rPr lang="en-US" sz="900">
                        <a:latin typeface="Times New Roman" pitchFamily="18" charset="0"/>
                        <a:cs typeface="Times New Roman" pitchFamily="18" charset="0"/>
                      </a:rPr>
                      <a:t>% </a:t>
                    </a:r>
                  </a:p>
                </c:rich>
              </c:tx>
              <c:dLblPos val="bestFit"/>
            </c:dLbl>
            <c:dLbl>
              <c:idx val="2"/>
              <c:layout>
                <c:manualLayout>
                  <c:x val="-7.7556255468066493E-2"/>
                  <c:y val="-6.011257263362367E-2"/>
                </c:manualLayout>
              </c:layout>
              <c:tx>
                <c:rich>
                  <a:bodyPr/>
                  <a:lstStyle/>
                  <a:p>
                    <a:r>
                      <a:rPr lang="ru-RU" sz="900">
                        <a:latin typeface="Times New Roman" pitchFamily="18" charset="0"/>
                        <a:cs typeface="Times New Roman" pitchFamily="18" charset="0"/>
                      </a:rPr>
                      <a:t>62,8</a:t>
                    </a:r>
                    <a:r>
                      <a:rPr lang="en-US" sz="900">
                        <a:latin typeface="Times New Roman" pitchFamily="18" charset="0"/>
                        <a:cs typeface="Times New Roman" pitchFamily="18" charset="0"/>
                      </a:rPr>
                      <a:t>% </a:t>
                    </a:r>
                  </a:p>
                </c:rich>
              </c:tx>
              <c:dLblPos val="bestFit"/>
            </c:dLbl>
            <c:dLbl>
              <c:idx val="3"/>
              <c:layout>
                <c:manualLayout>
                  <c:x val="6.4336966559739209E-2"/>
                  <c:y val="-8.357884951881539E-2"/>
                </c:manualLayout>
              </c:layout>
              <c:tx>
                <c:rich>
                  <a:bodyPr/>
                  <a:lstStyle/>
                  <a:p>
                    <a:r>
                      <a:rPr lang="en-US" sz="900">
                        <a:latin typeface="Times New Roman" pitchFamily="18" charset="0"/>
                        <a:cs typeface="Times New Roman" pitchFamily="18" charset="0"/>
                      </a:rPr>
                      <a:t>0,</a:t>
                    </a:r>
                    <a:r>
                      <a:rPr lang="ru-RU" sz="900">
                        <a:latin typeface="Times New Roman" pitchFamily="18" charset="0"/>
                        <a:cs typeface="Times New Roman" pitchFamily="18" charset="0"/>
                      </a:rPr>
                      <a:t>1</a:t>
                    </a:r>
                    <a:r>
                      <a:rPr lang="en-US" sz="900">
                        <a:latin typeface="Times New Roman" pitchFamily="18" charset="0"/>
                        <a:cs typeface="Times New Roman" pitchFamily="18" charset="0"/>
                      </a:rPr>
                      <a:t>% </a:t>
                    </a:r>
                  </a:p>
                </c:rich>
              </c:tx>
              <c:dLblPos val="bestFit"/>
            </c:dLbl>
            <c:txPr>
              <a:bodyPr/>
              <a:lstStyle/>
              <a:p>
                <a:pPr>
                  <a:defRPr sz="900">
                    <a:latin typeface="Times New Roman" pitchFamily="18" charset="0"/>
                    <a:cs typeface="Times New Roman" pitchFamily="18" charset="0"/>
                  </a:defRPr>
                </a:pPr>
                <a:endParaRPr lang="ru-RU"/>
              </a:p>
            </c:txPr>
            <c:showVal val="1"/>
            <c:showPercent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0.32100000000000217</c:v>
                </c:pt>
                <c:pt idx="1">
                  <c:v>0.05</c:v>
                </c:pt>
                <c:pt idx="2">
                  <c:v>0.62800000000000433</c:v>
                </c:pt>
                <c:pt idx="3">
                  <c:v>1.0000000000000041E-3</c:v>
                </c:pt>
              </c:numCache>
            </c:numRef>
          </c:val>
        </c:ser>
        <c:ser>
          <c:idx val="1"/>
          <c:order val="1"/>
          <c:tx>
            <c:strRef>
              <c:f>Sheet1!$A$2</c:f>
              <c:strCache>
                <c:ptCount val="1"/>
                <c:pt idx="0">
                  <c:v>Восток</c:v>
                </c:pt>
              </c:strCache>
            </c:strRef>
          </c:tx>
          <c:spPr>
            <a:solidFill>
              <a:srgbClr val="9999FF"/>
            </a:solidFill>
            <a:ln w="11468">
              <a:solidFill>
                <a:srgbClr val="000000"/>
              </a:solidFill>
              <a:prstDash val="solid"/>
            </a:ln>
          </c:spPr>
          <c:dPt>
            <c:idx val="0"/>
            <c:spPr>
              <a:solidFill>
                <a:srgbClr val="969696"/>
              </a:solidFill>
              <a:ln w="11468">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1468">
                <a:solidFill>
                  <a:srgbClr val="000000"/>
                </a:solidFill>
                <a:prstDash val="solid"/>
              </a:ln>
            </c:spPr>
          </c:dPt>
          <c:dPt>
            <c:idx val="2"/>
            <c:spPr>
              <a:solidFill>
                <a:srgbClr val="00B050"/>
              </a:solidFill>
              <a:ln w="11468">
                <a:solidFill>
                  <a:srgbClr val="000000"/>
                </a:solidFill>
                <a:prstDash val="solid"/>
              </a:ln>
            </c:spPr>
          </c:dPt>
          <c:dPt>
            <c:idx val="3"/>
            <c:spPr>
              <a:pattFill prst="lgCheck">
                <a:fgClr>
                  <a:srgbClr val="993366"/>
                </a:fgClr>
                <a:bgClr>
                  <a:srgbClr val="FFFFFF"/>
                </a:bgClr>
              </a:pattFill>
              <a:ln w="11468">
                <a:solidFill>
                  <a:srgbClr val="000000"/>
                </a:solidFill>
                <a:prstDash val="solid"/>
              </a:ln>
            </c:spPr>
          </c:dPt>
          <c:dLbls>
            <c:dLbl>
              <c:idx val="0"/>
              <c:tx>
                <c:rich>
                  <a:bodyPr/>
                  <a:lstStyle/>
                  <a:p>
                    <a:r>
                      <a:rPr lang="en-US"/>
                      <a:t> 2</a:t>
                    </a:r>
                    <a:r>
                      <a:rPr lang="ru-RU"/>
                      <a:t>4,7</a:t>
                    </a:r>
                    <a:r>
                      <a:rPr lang="en-US"/>
                      <a:t>%</a:t>
                    </a:r>
                  </a:p>
                </c:rich>
              </c:tx>
              <c:dLblPos val="bestFit"/>
            </c:dLbl>
            <c:dLbl>
              <c:idx val="1"/>
              <c:tx>
                <c:rich>
                  <a:bodyPr/>
                  <a:lstStyle/>
                  <a:p>
                    <a:r>
                      <a:rPr lang="en-US"/>
                      <a:t> </a:t>
                    </a:r>
                    <a:r>
                      <a:rPr lang="ru-RU"/>
                      <a:t>4,0%</a:t>
                    </a:r>
                    <a:endParaRPr lang="en-US"/>
                  </a:p>
                </c:rich>
              </c:tx>
              <c:dLblPos val="bestFit"/>
            </c:dLbl>
            <c:dLbl>
              <c:idx val="2"/>
              <c:tx>
                <c:rich>
                  <a:bodyPr/>
                  <a:lstStyle/>
                  <a:p>
                    <a:r>
                      <a:rPr lang="en-US"/>
                      <a:t> 7</a:t>
                    </a:r>
                    <a:r>
                      <a:rPr lang="ru-RU"/>
                      <a:t>1,0</a:t>
                    </a:r>
                    <a:r>
                      <a:rPr lang="en-US"/>
                      <a:t>%</a:t>
                    </a:r>
                  </a:p>
                </c:rich>
              </c:tx>
              <c:dLblPos val="bestFit"/>
            </c:dLbl>
            <c:dLbl>
              <c:idx val="3"/>
              <c:tx>
                <c:rich>
                  <a:bodyPr/>
                  <a:lstStyle/>
                  <a:p>
                    <a:r>
                      <a:rPr lang="en-US"/>
                      <a:t> 0</a:t>
                    </a:r>
                    <a:r>
                      <a:rPr lang="ru-RU"/>
                      <a:t>,3</a:t>
                    </a:r>
                    <a:r>
                      <a:rPr lang="en-US"/>
                      <a:t>%</a:t>
                    </a:r>
                  </a:p>
                </c:rich>
              </c:tx>
              <c:dLblPos val="bestFit"/>
            </c:dLbl>
            <c:txPr>
              <a:bodyPr/>
              <a:lstStyle/>
              <a:p>
                <a:pPr>
                  <a:defRPr>
                    <a:latin typeface="Times New Roman" pitchFamily="18" charset="0"/>
                    <a:cs typeface="Times New Roman" pitchFamily="18" charset="0"/>
                  </a:defRPr>
                </a:pPr>
                <a:endParaRPr lang="ru-RU"/>
              </a:p>
            </c:txPr>
            <c:showVal val="1"/>
            <c:showPercent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0.32100000000000217</c:v>
                </c:pt>
                <c:pt idx="1">
                  <c:v>0.05</c:v>
                </c:pt>
                <c:pt idx="2">
                  <c:v>0.62800000000000433</c:v>
                </c:pt>
                <c:pt idx="3">
                  <c:v>1.0000000000000041E-3</c:v>
                </c:pt>
              </c:numCache>
            </c:numRef>
          </c:val>
        </c:ser>
        <c:dLbls>
          <c:showVal val="1"/>
          <c:showPercent val="1"/>
        </c:dLbls>
      </c:pie3DChart>
      <c:spPr>
        <a:solidFill>
          <a:srgbClr val="FFFFFF"/>
        </a:solidFill>
        <a:ln w="11472">
          <a:solidFill>
            <a:srgbClr val="FFFFFF"/>
          </a:solidFill>
          <a:prstDash val="solid"/>
        </a:ln>
      </c:spPr>
    </c:plotArea>
    <c:plotVisOnly val="1"/>
    <c:dispBlanksAs val="zero"/>
  </c:chart>
  <c:spPr>
    <a:noFill/>
    <a:ln>
      <a:noFill/>
    </a:ln>
  </c:spPr>
  <c:txPr>
    <a:bodyPr/>
    <a:lstStyle/>
    <a:p>
      <a:pPr>
        <a:defRPr sz="726" b="1" i="0" u="none" strike="noStrike" baseline="0">
          <a:solidFill>
            <a:srgbClr val="000000"/>
          </a:solidFill>
          <a:latin typeface="Calibri"/>
          <a:ea typeface="Calibri"/>
          <a:cs typeface="Calibri"/>
        </a:defRPr>
      </a:pPr>
      <a:endParaRPr lang="ru-RU"/>
    </a:p>
  </c:txPr>
  <c:externalData r:id="rId3"/>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Анализ основных доходов от предоставления услуг электросвязи (млн. руб.)</a:t>
            </a:r>
          </a:p>
        </c:rich>
      </c:tx>
      <c:layout>
        <c:manualLayout>
          <c:xMode val="edge"/>
          <c:yMode val="edge"/>
          <c:x val="0.14733612273361227"/>
          <c:y val="2.1645021645021696E-2"/>
        </c:manualLayout>
      </c:layout>
    </c:title>
    <c:view3D>
      <c:rotX val="5"/>
      <c:rotY val="5"/>
      <c:depthPercent val="110"/>
      <c:perspective val="0"/>
    </c:view3D>
    <c:plotArea>
      <c:layout>
        <c:manualLayout>
          <c:layoutTarget val="inner"/>
          <c:xMode val="edge"/>
          <c:yMode val="edge"/>
          <c:x val="0.23890283589028619"/>
          <c:y val="0.12900451443569555"/>
          <c:w val="0.76109722146801528"/>
          <c:h val="0.52828178477689958"/>
        </c:manualLayout>
      </c:layout>
      <c:bar3DChart>
        <c:barDir val="col"/>
        <c:grouping val="stacked"/>
        <c:ser>
          <c:idx val="0"/>
          <c:order val="0"/>
          <c:tx>
            <c:strRef>
              <c:f>Лист1!$B$1</c:f>
              <c:strCache>
                <c:ptCount val="1"/>
                <c:pt idx="0">
                  <c:v>Фиксированная связь</c:v>
                </c:pt>
              </c:strCache>
            </c:strRef>
          </c:tx>
          <c:spPr>
            <a:solidFill>
              <a:srgbClr val="00B0F0"/>
            </a:solidFill>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Лист1!$B$2:$B$3</c:f>
              <c:numCache>
                <c:formatCode>#,##0.0</c:formatCode>
                <c:ptCount val="2"/>
                <c:pt idx="0">
                  <c:v>90.4</c:v>
                </c:pt>
                <c:pt idx="1">
                  <c:v>81.813000000000002</c:v>
                </c:pt>
              </c:numCache>
            </c:numRef>
          </c:val>
        </c:ser>
        <c:ser>
          <c:idx val="1"/>
          <c:order val="1"/>
          <c:tx>
            <c:strRef>
              <c:f>Лист1!$C$1</c:f>
              <c:strCache>
                <c:ptCount val="1"/>
                <c:pt idx="0">
                  <c:v>Мобильная связь</c:v>
                </c:pt>
              </c:strCache>
            </c:strRef>
          </c:tx>
          <c:spPr>
            <a:solidFill>
              <a:srgbClr val="FF5050"/>
            </a:solidFill>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Лист1!$C$2:$C$3</c:f>
              <c:numCache>
                <c:formatCode>#,##0.0</c:formatCode>
                <c:ptCount val="2"/>
                <c:pt idx="0">
                  <c:v>132.92060000000001</c:v>
                </c:pt>
                <c:pt idx="1">
                  <c:v>130.02720000000087</c:v>
                </c:pt>
              </c:numCache>
            </c:numRef>
          </c:val>
        </c:ser>
        <c:ser>
          <c:idx val="2"/>
          <c:order val="2"/>
          <c:tx>
            <c:strRef>
              <c:f>Лист1!$D$1</c:f>
              <c:strCache>
                <c:ptCount val="1"/>
                <c:pt idx="0">
                  <c:v>Услуги по передаче данных и доступа к глобальной сети Интернет или к информационным ресурсам</c:v>
                </c:pt>
              </c:strCache>
            </c:strRef>
          </c:tx>
          <c:spPr>
            <a:solidFill>
              <a:srgbClr val="92D050"/>
            </a:solidFill>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Лист1!$D$2:$D$3</c:f>
              <c:numCache>
                <c:formatCode>#,##0.0</c:formatCode>
                <c:ptCount val="2"/>
                <c:pt idx="0">
                  <c:v>94.697100000000006</c:v>
                </c:pt>
                <c:pt idx="1">
                  <c:v>95.631299999999996</c:v>
                </c:pt>
              </c:numCache>
            </c:numRef>
          </c:val>
        </c:ser>
        <c:ser>
          <c:idx val="3"/>
          <c:order val="3"/>
          <c:tx>
            <c:strRef>
              <c:f>Лист1!$E$1</c:f>
              <c:strCache>
                <c:ptCount val="1"/>
                <c:pt idx="0">
                  <c:v>Услуги для целей телевизионного вещания</c:v>
                </c:pt>
              </c:strCache>
            </c:strRef>
          </c:tx>
          <c:spPr>
            <a:solidFill>
              <a:srgbClr val="9999FF"/>
            </a:solidFill>
          </c:spPr>
          <c:dLbls>
            <c:dLbl>
              <c:idx val="0"/>
              <c:spPr/>
              <c:txPr>
                <a:bodyPr/>
                <a:lstStyle/>
                <a:p>
                  <a:pPr>
                    <a:defRPr sz="1000" b="1">
                      <a:latin typeface="Times New Roman" pitchFamily="18" charset="0"/>
                      <a:cs typeface="Times New Roman" pitchFamily="18" charset="0"/>
                    </a:defRPr>
                  </a:pPr>
                  <a:endParaRPr lang="ru-RU"/>
                </a:p>
              </c:txPr>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Лист1!$E$2:$E$3</c:f>
              <c:numCache>
                <c:formatCode>#,##0.0</c:formatCode>
                <c:ptCount val="2"/>
                <c:pt idx="0">
                  <c:v>29.863800000000001</c:v>
                </c:pt>
                <c:pt idx="1">
                  <c:v>29.953800000000001</c:v>
                </c:pt>
              </c:numCache>
            </c:numRef>
          </c:val>
        </c:ser>
        <c:ser>
          <c:idx val="4"/>
          <c:order val="4"/>
          <c:tx>
            <c:strRef>
              <c:f>Лист1!$F$1</c:f>
              <c:strCache>
                <c:ptCount val="1"/>
                <c:pt idx="0">
                  <c:v>Услуги для целей радиовещания</c:v>
                </c:pt>
              </c:strCache>
            </c:strRef>
          </c:tx>
          <c:spPr>
            <a:solidFill>
              <a:srgbClr val="FFC000"/>
            </a:solidFill>
          </c:spPr>
          <c:dLbls>
            <c:dLbl>
              <c:idx val="0"/>
              <c:layout>
                <c:manualLayout>
                  <c:x val="3.7192003719200791E-3"/>
                  <c:y val="-3.4632034632034653E-2"/>
                </c:manualLayout>
              </c:layout>
              <c:showVal val="1"/>
            </c:dLbl>
            <c:dLbl>
              <c:idx val="1"/>
              <c:layout>
                <c:manualLayout>
                  <c:x val="1.8596001859600378E-3"/>
                  <c:y val="-3.463203463203463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Лист1!$F$2:$F$3</c:f>
              <c:numCache>
                <c:formatCode>#,##0.0</c:formatCode>
                <c:ptCount val="2"/>
                <c:pt idx="0">
                  <c:v>13.6511</c:v>
                </c:pt>
                <c:pt idx="1">
                  <c:v>13.858600000000004</c:v>
                </c:pt>
              </c:numCache>
            </c:numRef>
          </c:val>
        </c:ser>
        <c:gapWidth val="75"/>
        <c:shape val="cylinder"/>
        <c:axId val="106461056"/>
        <c:axId val="106462592"/>
        <c:axId val="0"/>
      </c:bar3DChart>
      <c:catAx>
        <c:axId val="106461056"/>
        <c:scaling>
          <c:orientation val="minMax"/>
        </c:scaling>
        <c:axPos val="b"/>
        <c:majorTickMark val="none"/>
        <c:tickLblPos val="nextTo"/>
        <c:txPr>
          <a:bodyPr/>
          <a:lstStyle/>
          <a:p>
            <a:pPr>
              <a:defRPr sz="1000" b="1">
                <a:latin typeface="Times New Roman" pitchFamily="18" charset="0"/>
                <a:cs typeface="Times New Roman" pitchFamily="18" charset="0"/>
              </a:defRPr>
            </a:pPr>
            <a:endParaRPr lang="ru-RU"/>
          </a:p>
        </c:txPr>
        <c:crossAx val="106462592"/>
        <c:crosses val="autoZero"/>
        <c:auto val="1"/>
        <c:lblAlgn val="ctr"/>
        <c:lblOffset val="100"/>
      </c:catAx>
      <c:valAx>
        <c:axId val="106462592"/>
        <c:scaling>
          <c:orientation val="minMax"/>
        </c:scaling>
        <c:axPos val="l"/>
        <c:majorGridlines/>
        <c:numFmt formatCode="#,##0.0" sourceLinked="1"/>
        <c:majorTickMark val="none"/>
        <c:tickLblPos val="nextTo"/>
        <c:spPr>
          <a:ln w="9525">
            <a:noFill/>
          </a:ln>
        </c:spPr>
        <c:txPr>
          <a:bodyPr/>
          <a:lstStyle/>
          <a:p>
            <a:pPr>
              <a:defRPr b="1">
                <a:latin typeface="Times New Roman" pitchFamily="18" charset="0"/>
                <a:cs typeface="Times New Roman" pitchFamily="18" charset="0"/>
              </a:defRPr>
            </a:pPr>
            <a:endParaRPr lang="ru-RU"/>
          </a:p>
        </c:txPr>
        <c:crossAx val="106461056"/>
        <c:crosses val="autoZero"/>
        <c:crossBetween val="between"/>
      </c:valAx>
    </c:plotArea>
    <c:legend>
      <c:legendPos val="b"/>
      <c:layout>
        <c:manualLayout>
          <c:xMode val="edge"/>
          <c:yMode val="edge"/>
          <c:x val="2.2694829360712546E-2"/>
          <c:y val="0.7258837994088001"/>
          <c:w val="0.95791621705360164"/>
          <c:h val="0.27411630364386658"/>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a:effectLst>
      <a:outerShdw blurRad="50800" dist="38100" algn="l" rotWithShape="0">
        <a:prstClr val="black">
          <a:alpha val="40000"/>
        </a:prstClr>
      </a:outerShdw>
    </a:effectLst>
    <a:scene3d>
      <a:camera prst="orthographicFront"/>
      <a:lightRig rig="threePt" dir="t"/>
    </a:scene3d>
    <a:sp3d prstMaterial="powder"/>
  </c:spPr>
  <c:externalData r:id="rId1"/>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a:t>Структура доходов от основной деятельности в разрезе </a:t>
            </a:r>
          </a:p>
          <a:p>
            <a:pPr>
              <a:defRPr sz="1100" b="1" i="0" u="none" strike="noStrike" baseline="0">
                <a:solidFill>
                  <a:srgbClr val="000000"/>
                </a:solidFill>
                <a:latin typeface="Times New Roman"/>
                <a:ea typeface="Times New Roman"/>
                <a:cs typeface="Times New Roman"/>
              </a:defRPr>
            </a:pPr>
            <a:r>
              <a:rPr lang="ru-RU" sz="1100"/>
              <a:t>предприятий почтовой связи за </a:t>
            </a:r>
            <a:r>
              <a:rPr lang="en-US" sz="1100"/>
              <a:t>I </a:t>
            </a:r>
            <a:r>
              <a:rPr lang="ru-RU" sz="1100"/>
              <a:t>полугодие  2016 года (млн. руб.)</a:t>
            </a:r>
          </a:p>
        </c:rich>
      </c:tx>
      <c:layout>
        <c:manualLayout>
          <c:xMode val="edge"/>
          <c:yMode val="edge"/>
          <c:x val="0.19314063270181114"/>
          <c:y val="0"/>
        </c:manualLayout>
      </c:layout>
      <c:spPr>
        <a:noFill/>
        <a:ln w="25441">
          <a:noFill/>
        </a:ln>
      </c:spPr>
    </c:title>
    <c:view3D>
      <c:rotX val="30"/>
      <c:rotY val="30"/>
      <c:depthPercent val="120"/>
      <c:perspective val="0"/>
    </c:view3D>
    <c:plotArea>
      <c:layout>
        <c:manualLayout>
          <c:layoutTarget val="inner"/>
          <c:xMode val="edge"/>
          <c:yMode val="edge"/>
          <c:x val="0.46620234148363027"/>
          <c:y val="0.403765193557449"/>
          <c:w val="0.53379765851636962"/>
          <c:h val="0.57275881105268112"/>
        </c:manualLayout>
      </c:layout>
      <c:pie3DChart>
        <c:varyColors val="1"/>
        <c:ser>
          <c:idx val="0"/>
          <c:order val="0"/>
          <c:tx>
            <c:strRef>
              <c:f>Sheet1!$A$2</c:f>
              <c:strCache>
                <c:ptCount val="1"/>
                <c:pt idx="0">
                  <c:v>Восток</c:v>
                </c:pt>
              </c:strCache>
            </c:strRef>
          </c:tx>
          <c:spPr>
            <a:solidFill>
              <a:srgbClr val="FFFFFF"/>
            </a:solidFill>
            <a:ln w="12720">
              <a:solidFill>
                <a:srgbClr val="000000"/>
              </a:solidFill>
              <a:prstDash val="solid"/>
            </a:ln>
          </c:spPr>
          <c:explosion val="39"/>
          <c:dPt>
            <c:idx val="0"/>
            <c:explosion val="26"/>
            <c:spPr>
              <a:pattFill prst="diagBrick">
                <a:fgClr>
                  <a:srgbClr val="000000"/>
                </a:fgClr>
                <a:bgClr>
                  <a:srgbClr val="FFFFFF"/>
                </a:bgClr>
              </a:pattFill>
              <a:ln w="12720">
                <a:solidFill>
                  <a:srgbClr val="000000"/>
                </a:solidFill>
                <a:prstDash val="solid"/>
              </a:ln>
            </c:spPr>
          </c:dPt>
          <c:dPt>
            <c:idx val="1"/>
            <c:explosion val="24"/>
            <c:spPr>
              <a:pattFill prst="divot">
                <a:fgClr>
                  <a:srgbClr val="000000"/>
                </a:fgClr>
                <a:bgClr>
                  <a:srgbClr val="FFFFFF"/>
                </a:bgClr>
              </a:pattFill>
              <a:ln w="12720">
                <a:solidFill>
                  <a:srgbClr val="000000"/>
                </a:solidFill>
                <a:prstDash val="solid"/>
              </a:ln>
            </c:spPr>
          </c:dPt>
          <c:dPt>
            <c:idx val="2"/>
            <c:spPr>
              <a:pattFill prst="ltVert">
                <a:fgClr>
                  <a:srgbClr val="000000"/>
                </a:fgClr>
                <a:bgClr>
                  <a:srgbClr val="FFFFFF"/>
                </a:bgClr>
              </a:pattFill>
              <a:ln w="12720">
                <a:solidFill>
                  <a:srgbClr val="000000"/>
                </a:solidFill>
                <a:prstDash val="solid"/>
              </a:ln>
            </c:spPr>
          </c:dPt>
          <c:dPt>
            <c:idx val="3"/>
            <c:spPr>
              <a:pattFill prst="zigZag">
                <a:fgClr>
                  <a:srgbClr val="000000"/>
                </a:fgClr>
                <a:bgClr>
                  <a:srgbClr val="FFFFFF"/>
                </a:bgClr>
              </a:pattFill>
              <a:ln w="12720">
                <a:solidFill>
                  <a:srgbClr val="000000"/>
                </a:solidFill>
                <a:prstDash val="solid"/>
              </a:ln>
            </c:spPr>
          </c:dPt>
          <c:dPt>
            <c:idx val="4"/>
            <c:spPr>
              <a:pattFill prst="solidDmnd">
                <a:fgClr>
                  <a:srgbClr val="000000"/>
                </a:fgClr>
                <a:bgClr>
                  <a:srgbClr val="FFFFFF"/>
                </a:bgClr>
              </a:pattFill>
              <a:ln w="12720">
                <a:solidFill>
                  <a:srgbClr val="000000"/>
                </a:solidFill>
                <a:prstDash val="solid"/>
              </a:ln>
            </c:spPr>
          </c:dPt>
          <c:dPt>
            <c:idx val="5"/>
            <c:spPr>
              <a:pattFill prst="dotGrid">
                <a:fgClr>
                  <a:srgbClr val="000000"/>
                </a:fgClr>
                <a:bgClr>
                  <a:srgbClr val="FFFFFF"/>
                </a:bgClr>
              </a:pattFill>
              <a:ln w="12720">
                <a:solidFill>
                  <a:srgbClr val="000000"/>
                </a:solidFill>
                <a:prstDash val="solid"/>
              </a:ln>
            </c:spPr>
          </c:dPt>
          <c:dPt>
            <c:idx val="6"/>
            <c:explosion val="41"/>
            <c:spPr>
              <a:pattFill prst="dkHorz">
                <a:fgClr>
                  <a:srgbClr val="000000"/>
                </a:fgClr>
                <a:bgClr>
                  <a:srgbClr val="FFFFFF"/>
                </a:bgClr>
              </a:pattFill>
              <a:ln w="12720">
                <a:solidFill>
                  <a:srgbClr val="000000"/>
                </a:solidFill>
                <a:prstDash val="solid"/>
              </a:ln>
            </c:spPr>
          </c:dPt>
          <c:dPt>
            <c:idx val="7"/>
            <c:explosion val="44"/>
          </c:dPt>
          <c:dPt>
            <c:idx val="8"/>
            <c:explosion val="61"/>
            <c:spPr>
              <a:solidFill>
                <a:schemeClr val="tx1">
                  <a:lumMod val="95000"/>
                  <a:lumOff val="5000"/>
                </a:schemeClr>
              </a:solidFill>
              <a:ln w="12720">
                <a:solidFill>
                  <a:srgbClr val="000000"/>
                </a:solidFill>
                <a:prstDash val="solid"/>
              </a:ln>
            </c:spPr>
          </c:dPt>
          <c:dPt>
            <c:idx val="9"/>
            <c:explosion val="57"/>
            <c:spPr>
              <a:blipFill>
                <a:blip xmlns:r="http://schemas.openxmlformats.org/officeDocument/2006/relationships" r:embed="rId1"/>
                <a:tile tx="0" ty="0" sx="100000" sy="100000" flip="none" algn="tl"/>
              </a:blipFill>
              <a:ln w="12720">
                <a:solidFill>
                  <a:srgbClr val="000000"/>
                </a:solidFill>
                <a:prstDash val="solid"/>
              </a:ln>
            </c:spPr>
          </c:dPt>
          <c:dLbls>
            <c:dLbl>
              <c:idx val="0"/>
              <c:layout>
                <c:manualLayout>
                  <c:x val="2.0481310803891688E-3"/>
                  <c:y val="7.6822113103020812E-2"/>
                </c:manualLayout>
              </c:layout>
              <c:tx>
                <c:rich>
                  <a:bodyPr/>
                  <a:lstStyle/>
                  <a:p>
                    <a:r>
                      <a:rPr lang="en-US" b="1"/>
                      <a:t>1342,4; </a:t>
                    </a:r>
                    <a:r>
                      <a:rPr lang="en-US" i="1"/>
                      <a:t>47%</a:t>
                    </a:r>
                  </a:p>
                </c:rich>
              </c:tx>
              <c:dLblPos val="bestFit"/>
              <c:showVal val="1"/>
              <c:showPercent val="1"/>
            </c:dLbl>
            <c:dLbl>
              <c:idx val="1"/>
              <c:layout>
                <c:manualLayout>
                  <c:x val="-5.345444722635477E-2"/>
                  <c:y val="2.8681949811624408E-2"/>
                </c:manualLayout>
              </c:layout>
              <c:tx>
                <c:rich>
                  <a:bodyPr/>
                  <a:lstStyle/>
                  <a:p>
                    <a:r>
                      <a:rPr lang="en-US" b="1"/>
                      <a:t>386,6;</a:t>
                    </a:r>
                    <a:r>
                      <a:rPr lang="en-US"/>
                      <a:t> </a:t>
                    </a:r>
                    <a:r>
                      <a:rPr lang="en-US" i="1"/>
                      <a:t>13%</a:t>
                    </a:r>
                  </a:p>
                </c:rich>
              </c:tx>
              <c:dLblPos val="bestFit"/>
              <c:showVal val="1"/>
              <c:showPercent val="1"/>
            </c:dLbl>
            <c:dLbl>
              <c:idx val="2"/>
              <c:layout>
                <c:manualLayout>
                  <c:x val="-4.8912487912695764E-2"/>
                  <c:y val="5.4577679635064123E-3"/>
                </c:manualLayout>
              </c:layout>
              <c:tx>
                <c:rich>
                  <a:bodyPr/>
                  <a:lstStyle/>
                  <a:p>
                    <a:r>
                      <a:rPr lang="en-US" b="1"/>
                      <a:t>225,7;</a:t>
                    </a:r>
                    <a:r>
                      <a:rPr lang="en-US"/>
                      <a:t> </a:t>
                    </a:r>
                    <a:r>
                      <a:rPr lang="en-US" i="1"/>
                      <a:t>8%</a:t>
                    </a:r>
                  </a:p>
                </c:rich>
              </c:tx>
              <c:dLblPos val="bestFit"/>
              <c:showVal val="1"/>
              <c:showPercent val="1"/>
            </c:dLbl>
            <c:dLbl>
              <c:idx val="3"/>
              <c:layout>
                <c:manualLayout>
                  <c:x val="-5.3779009531703274E-2"/>
                  <c:y val="-5.7167097655229107E-2"/>
                </c:manualLayout>
              </c:layout>
              <c:tx>
                <c:rich>
                  <a:bodyPr/>
                  <a:lstStyle/>
                  <a:p>
                    <a:r>
                      <a:rPr lang="en-US" b="1"/>
                      <a:t>106,9; </a:t>
                    </a:r>
                    <a:r>
                      <a:rPr lang="en-US" i="1"/>
                      <a:t>4%</a:t>
                    </a:r>
                  </a:p>
                </c:rich>
              </c:tx>
              <c:dLblPos val="bestFit"/>
              <c:showVal val="1"/>
              <c:showPercent val="1"/>
            </c:dLbl>
            <c:dLbl>
              <c:idx val="4"/>
              <c:layout>
                <c:manualLayout>
                  <c:x val="-3.4466777179168392E-2"/>
                  <c:y val="-0.13074275309682346"/>
                </c:manualLayout>
              </c:layout>
              <c:tx>
                <c:rich>
                  <a:bodyPr/>
                  <a:lstStyle/>
                  <a:p>
                    <a:r>
                      <a:rPr lang="en-US" b="1"/>
                      <a:t>118,3; </a:t>
                    </a:r>
                    <a:r>
                      <a:rPr lang="en-US" i="1"/>
                      <a:t>4%</a:t>
                    </a:r>
                  </a:p>
                </c:rich>
              </c:tx>
              <c:dLblPos val="bestFit"/>
              <c:showVal val="1"/>
              <c:showPercent val="1"/>
            </c:dLbl>
            <c:dLbl>
              <c:idx val="5"/>
              <c:layout>
                <c:manualLayout>
                  <c:x val="-1.3244750656168116E-2"/>
                  <c:y val="-0.14594183107185538"/>
                </c:manualLayout>
              </c:layout>
              <c:tx>
                <c:rich>
                  <a:bodyPr/>
                  <a:lstStyle/>
                  <a:p>
                    <a:r>
                      <a:rPr lang="en-US" b="1"/>
                      <a:t>252,9;</a:t>
                    </a:r>
                    <a:r>
                      <a:rPr lang="en-US" b="1" i="1"/>
                      <a:t> </a:t>
                    </a:r>
                    <a:r>
                      <a:rPr lang="en-US" i="1"/>
                      <a:t>9%</a:t>
                    </a:r>
                  </a:p>
                </c:rich>
              </c:tx>
              <c:dLblPos val="bestFit"/>
              <c:showVal val="1"/>
              <c:showPercent val="1"/>
            </c:dLbl>
            <c:dLbl>
              <c:idx val="6"/>
              <c:layout>
                <c:manualLayout>
                  <c:x val="1.2935661002900953E-2"/>
                  <c:y val="-0.16106923903884721"/>
                </c:manualLayout>
              </c:layout>
              <c:tx>
                <c:rich>
                  <a:bodyPr/>
                  <a:lstStyle/>
                  <a:p>
                    <a:r>
                      <a:rPr lang="en-US" b="1"/>
                      <a:t>115,1; </a:t>
                    </a:r>
                    <a:r>
                      <a:rPr lang="en-US" i="1"/>
                      <a:t>4%</a:t>
                    </a:r>
                  </a:p>
                </c:rich>
              </c:tx>
              <c:dLblPos val="bestFit"/>
              <c:showVal val="1"/>
              <c:showPercent val="1"/>
            </c:dLbl>
            <c:dLbl>
              <c:idx val="7"/>
              <c:layout>
                <c:manualLayout>
                  <c:x val="-1.4792989585979173E-2"/>
                  <c:y val="-0.18153586890199624"/>
                </c:manualLayout>
              </c:layout>
              <c:tx>
                <c:rich>
                  <a:bodyPr/>
                  <a:lstStyle/>
                  <a:p>
                    <a:r>
                      <a:rPr lang="en-US" b="1"/>
                      <a:t>246,2;</a:t>
                    </a:r>
                    <a:r>
                      <a:rPr lang="en-US" b="1" i="1"/>
                      <a:t> </a:t>
                    </a:r>
                    <a:r>
                      <a:rPr lang="en-US" i="1"/>
                      <a:t>9%</a:t>
                    </a:r>
                  </a:p>
                </c:rich>
              </c:tx>
              <c:showVal val="1"/>
              <c:showPercent val="1"/>
            </c:dLbl>
            <c:dLbl>
              <c:idx val="8"/>
              <c:layout>
                <c:manualLayout>
                  <c:x val="2.0527697195745268E-2"/>
                  <c:y val="-0.13624158603790859"/>
                </c:manualLayout>
              </c:layout>
              <c:tx>
                <c:rich>
                  <a:bodyPr/>
                  <a:lstStyle/>
                  <a:p>
                    <a:r>
                      <a:rPr lang="en-US" b="1"/>
                      <a:t>42,4; </a:t>
                    </a:r>
                    <a:r>
                      <a:rPr lang="en-US" i="1"/>
                      <a:t>1%</a:t>
                    </a:r>
                  </a:p>
                </c:rich>
              </c:tx>
              <c:showVal val="1"/>
              <c:showPercent val="1"/>
            </c:dLbl>
            <c:dLbl>
              <c:idx val="9"/>
              <c:layout>
                <c:manualLayout>
                  <c:x val="4.8162044260596483E-2"/>
                  <c:y val="-2.7965249731237471E-2"/>
                </c:manualLayout>
              </c:layout>
              <c:tx>
                <c:rich>
                  <a:bodyPr/>
                  <a:lstStyle/>
                  <a:p>
                    <a:r>
                      <a:rPr lang="en-US" b="1"/>
                      <a:t>20,5; </a:t>
                    </a:r>
                    <a:r>
                      <a:rPr lang="en-US" i="1"/>
                      <a:t>1%</a:t>
                    </a:r>
                  </a:p>
                </c:rich>
              </c:tx>
              <c:showVal val="1"/>
              <c:showPercent val="1"/>
            </c:dLbl>
            <c:dLbl>
              <c:idx val="10"/>
              <c:layout>
                <c:manualLayout>
                  <c:x val="8.898645733799404E-2"/>
                  <c:y val="0.10578725629775992"/>
                </c:manualLayout>
              </c:layout>
              <c:tx>
                <c:rich>
                  <a:bodyPr/>
                  <a:lstStyle/>
                  <a:p>
                    <a:r>
                      <a:rPr lang="en-US" b="1"/>
                      <a:t>1,2; </a:t>
                    </a:r>
                    <a:r>
                      <a:rPr lang="en-US" i="1"/>
                      <a:t>0%</a:t>
                    </a:r>
                  </a:p>
                </c:rich>
              </c:tx>
              <c:showVal val="1"/>
              <c:showPercent val="1"/>
            </c:dLbl>
            <c:numFmt formatCode="0%" sourceLinked="0"/>
            <c:spPr>
              <a:noFill/>
              <a:ln w="25441">
                <a:noFill/>
              </a:ln>
            </c:spPr>
            <c:txPr>
              <a:bodyPr/>
              <a:lstStyle/>
              <a:p>
                <a:pPr>
                  <a:defRPr sz="950" b="0" i="0" u="none" strike="noStrike" baseline="0">
                    <a:solidFill>
                      <a:srgbClr val="000000"/>
                    </a:solidFill>
                    <a:latin typeface="Times New Roman"/>
                    <a:ea typeface="Times New Roman"/>
                    <a:cs typeface="Times New Roman"/>
                  </a:defRPr>
                </a:pPr>
                <a:endParaRPr lang="ru-RU"/>
              </a:p>
            </c:txPr>
            <c:showVal val="1"/>
            <c:showPercent val="1"/>
            <c:showLeaderLines val="1"/>
          </c:dLbls>
          <c:cat>
            <c:strRef>
              <c:f>Sheet1!$B$1:$L$1</c:f>
              <c:strCache>
                <c:ptCount val="11"/>
                <c:pt idx="0">
                  <c:v>ГУП "Почта Приднестровья"</c:v>
                </c:pt>
                <c:pt idx="1">
                  <c:v>ДГУП "Бендерская почта"</c:v>
                </c:pt>
                <c:pt idx="2">
                  <c:v>ДГУП "Слободзейская почта"</c:v>
                </c:pt>
                <c:pt idx="3">
                  <c:v>ДГУП "Григориопольская почта"</c:v>
                </c:pt>
                <c:pt idx="4">
                  <c:v>ДГУП "Дубоссарская почта"</c:v>
                </c:pt>
                <c:pt idx="5">
                  <c:v>ДГУП "Рыбницкая почта"</c:v>
                </c:pt>
                <c:pt idx="6">
                  <c:v>ДГУП "Каменская почта"</c:v>
                </c:pt>
                <c:pt idx="7">
                  <c:v>ООО "СНП"</c:v>
                </c:pt>
                <c:pt idx="8">
                  <c:v>ООО "Авиаэкспресс"</c:v>
                </c:pt>
                <c:pt idx="9">
                  <c:v>ООО "Экспресс-Курьер и Компания"</c:v>
                </c:pt>
                <c:pt idx="10">
                  <c:v>ООО "Деливири Интернешнл Персел"</c:v>
                </c:pt>
              </c:strCache>
            </c:strRef>
          </c:cat>
          <c:val>
            <c:numRef>
              <c:f>Sheet1!$B$2:$L$2</c:f>
              <c:numCache>
                <c:formatCode>0.0</c:formatCode>
                <c:ptCount val="11"/>
                <c:pt idx="0">
                  <c:v>1342.4</c:v>
                </c:pt>
                <c:pt idx="1">
                  <c:v>386.6</c:v>
                </c:pt>
                <c:pt idx="2">
                  <c:v>225.7</c:v>
                </c:pt>
                <c:pt idx="3">
                  <c:v>106.9</c:v>
                </c:pt>
                <c:pt idx="4">
                  <c:v>118.3</c:v>
                </c:pt>
                <c:pt idx="5">
                  <c:v>252.9</c:v>
                </c:pt>
                <c:pt idx="6">
                  <c:v>115.1</c:v>
                </c:pt>
                <c:pt idx="7">
                  <c:v>246.2</c:v>
                </c:pt>
                <c:pt idx="8">
                  <c:v>42.4</c:v>
                </c:pt>
                <c:pt idx="9">
                  <c:v>20.5</c:v>
                </c:pt>
                <c:pt idx="10">
                  <c:v>1.2</c:v>
                </c:pt>
              </c:numCache>
            </c:numRef>
          </c:val>
        </c:ser>
        <c:dLbls>
          <c:showVal val="1"/>
          <c:showPercent val="1"/>
        </c:dLbls>
      </c:pie3DChart>
      <c:spPr>
        <a:noFill/>
        <a:ln w="25441">
          <a:noFill/>
        </a:ln>
      </c:spPr>
    </c:plotArea>
    <c:legend>
      <c:legendPos val="l"/>
      <c:layout>
        <c:manualLayout>
          <c:xMode val="edge"/>
          <c:yMode val="edge"/>
          <c:x val="0"/>
          <c:y val="0.23006498726404589"/>
          <c:w val="0.38024796242574982"/>
          <c:h val="0.73936530660940558"/>
        </c:manualLayout>
      </c:layout>
      <c:spPr>
        <a:solidFill>
          <a:srgbClr val="FFFFFF"/>
        </a:solidFill>
        <a:ln w="25441">
          <a:noFill/>
        </a:ln>
      </c:spPr>
      <c:txPr>
        <a:bodyPr/>
        <a:lstStyle/>
        <a:p>
          <a:pPr algn="l">
            <a:lnSpc>
              <a:spcPct val="100000"/>
            </a:lnSpc>
            <a:defRPr sz="95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8.0192616372391654E-2"/>
          <c:y val="3.1550068587105642E-2"/>
          <c:w val="0.92836811128945951"/>
          <c:h val="0.40492226933172826"/>
        </c:manualLayout>
      </c:layout>
      <c:barChart>
        <c:barDir val="col"/>
        <c:grouping val="clustered"/>
        <c:ser>
          <c:idx val="0"/>
          <c:order val="0"/>
          <c:tx>
            <c:strRef>
              <c:f>Sheet1!$A$2</c:f>
              <c:strCache>
                <c:ptCount val="1"/>
                <c:pt idx="0">
                  <c:v>январь - июнь 2015 год</c:v>
                </c:pt>
              </c:strCache>
            </c:strRef>
          </c:tx>
          <c:dLbls>
            <c:dLbl>
              <c:idx val="0"/>
              <c:layout>
                <c:manualLayout>
                  <c:x val="-6.4205457463884395E-3"/>
                  <c:y val="1.5936254980079678E-2"/>
                </c:manualLayout>
              </c:layout>
              <c:tx>
                <c:rich>
                  <a:bodyPr/>
                  <a:lstStyle/>
                  <a:p>
                    <a:r>
                      <a:rPr lang="ru-RU"/>
                      <a:t>22,2*</a:t>
                    </a:r>
                    <a:endParaRPr lang="en-US"/>
                  </a:p>
                </c:rich>
              </c:tx>
              <c:dLblPos val="outEnd"/>
            </c:dLbl>
            <c:dLbl>
              <c:idx val="1"/>
              <c:layout>
                <c:manualLayout>
                  <c:x val="-4.2804057687022808E-3"/>
                  <c:y val="1.5538791916744669E-3"/>
                </c:manualLayout>
              </c:layout>
              <c:tx>
                <c:rich>
                  <a:bodyPr/>
                  <a:lstStyle/>
                  <a:p>
                    <a:r>
                      <a:rPr lang="ru-RU"/>
                      <a:t>37,2*</a:t>
                    </a:r>
                    <a:endParaRPr lang="en-US"/>
                  </a:p>
                </c:rich>
              </c:tx>
              <c:dLblPos val="outEnd"/>
            </c:dLbl>
            <c:dLbl>
              <c:idx val="2"/>
              <c:layout>
                <c:manualLayout>
                  <c:x val="-8.5608146876613566E-3"/>
                  <c:y val="1.5245580341754474E-2"/>
                </c:manualLayout>
              </c:layout>
              <c:tx>
                <c:rich>
                  <a:bodyPr/>
                  <a:lstStyle/>
                  <a:p>
                    <a:r>
                      <a:rPr lang="ru-RU"/>
                      <a:t>17,7*</a:t>
                    </a:r>
                    <a:endParaRPr lang="en-US"/>
                  </a:p>
                </c:rich>
              </c:tx>
              <c:dLblPos val="outEnd"/>
            </c:dLbl>
            <c:dLbl>
              <c:idx val="3"/>
              <c:layout/>
              <c:tx>
                <c:rich>
                  <a:bodyPr/>
                  <a:lstStyle/>
                  <a:p>
                    <a:r>
                      <a:rPr lang="ru-RU"/>
                      <a:t>11,9*</a:t>
                    </a:r>
                    <a:endParaRPr lang="en-US"/>
                  </a:p>
                </c:rich>
              </c:tx>
              <c:dLblPos val="outEnd"/>
            </c:dLbl>
            <c:dLbl>
              <c:idx val="4"/>
              <c:layout>
                <c:manualLayout>
                  <c:x val="2.1401819154630046E-3"/>
                  <c:y val="5.0505050505050475E-3"/>
                </c:manualLayout>
              </c:layout>
              <c:tx>
                <c:rich>
                  <a:bodyPr/>
                  <a:lstStyle/>
                  <a:p>
                    <a:r>
                      <a:rPr lang="ru-RU"/>
                      <a:t>4,5*</a:t>
                    </a:r>
                    <a:endParaRPr lang="en-US"/>
                  </a:p>
                </c:rich>
              </c:tx>
              <c:dLblPos val="outEnd"/>
            </c:dLbl>
            <c:dLbl>
              <c:idx val="5"/>
              <c:layout/>
              <c:tx>
                <c:rich>
                  <a:bodyPr/>
                  <a:lstStyle/>
                  <a:p>
                    <a:r>
                      <a:rPr lang="ru-RU"/>
                      <a:t>3,9*</a:t>
                    </a:r>
                    <a:endParaRPr lang="en-US"/>
                  </a:p>
                </c:rich>
              </c:tx>
              <c:dLblPos val="outEnd"/>
            </c:dLbl>
            <c:dLbl>
              <c:idx val="6"/>
              <c:layout>
                <c:manualLayout>
                  <c:x val="-4.2803638309256934E-3"/>
                  <c:y val="0"/>
                </c:manualLayout>
              </c:layout>
              <c:tx>
                <c:rich>
                  <a:bodyPr/>
                  <a:lstStyle/>
                  <a:p>
                    <a:r>
                      <a:rPr lang="ru-RU"/>
                      <a:t>2,6*</a:t>
                    </a:r>
                    <a:endParaRPr lang="en-US"/>
                  </a:p>
                </c:rich>
              </c:tx>
              <c:dLblPos val="outEnd"/>
            </c:dLbl>
            <c:spPr>
              <a:noFill/>
              <a:ln w="24878">
                <a:noFill/>
              </a:ln>
            </c:spPr>
            <c:txPr>
              <a:bodyPr rot="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64.117000000000004</c:v>
                </c:pt>
                <c:pt idx="1">
                  <c:v>107.39400000000002</c:v>
                </c:pt>
                <c:pt idx="2">
                  <c:v>51.008000000000003</c:v>
                </c:pt>
                <c:pt idx="3">
                  <c:v>34.239000000000011</c:v>
                </c:pt>
                <c:pt idx="4">
                  <c:v>12.982000000000006</c:v>
                </c:pt>
                <c:pt idx="5">
                  <c:v>11.199</c:v>
                </c:pt>
                <c:pt idx="6">
                  <c:v>7.6289999999999045</c:v>
                </c:pt>
              </c:numCache>
            </c:numRef>
          </c:val>
        </c:ser>
        <c:ser>
          <c:idx val="1"/>
          <c:order val="1"/>
          <c:tx>
            <c:strRef>
              <c:f>Sheet1!$A$3</c:f>
              <c:strCache>
                <c:ptCount val="1"/>
                <c:pt idx="0">
                  <c:v>январь - июнь 2016 год</c:v>
                </c:pt>
              </c:strCache>
            </c:strRef>
          </c:tx>
          <c:spPr>
            <a:scene3d>
              <a:camera prst="orthographicFront"/>
              <a:lightRig rig="threePt" dir="t">
                <a:rot lat="0" lon="0" rev="1800000"/>
              </a:lightRig>
            </a:scene3d>
            <a:sp3d>
              <a:bevelT w="63500" h="25400"/>
            </a:sp3d>
          </c:spPr>
          <c:dLbls>
            <c:dLbl>
              <c:idx val="0"/>
              <c:layout>
                <c:manualLayout>
                  <c:x val="8.5607276618512567E-3"/>
                  <c:y val="4.0041409166483672E-3"/>
                </c:manualLayout>
              </c:layout>
              <c:tx>
                <c:rich>
                  <a:bodyPr/>
                  <a:lstStyle/>
                  <a:p>
                    <a:r>
                      <a:rPr lang="ru-RU"/>
                      <a:t>21,3*</a:t>
                    </a:r>
                    <a:endParaRPr lang="en-US"/>
                  </a:p>
                </c:rich>
              </c:tx>
              <c:dLblPos val="outEnd"/>
            </c:dLbl>
            <c:dLbl>
              <c:idx val="1"/>
              <c:layout>
                <c:manualLayout>
                  <c:x val="6.4205457463884395E-3"/>
                  <c:y val="5.0505050505050475E-3"/>
                </c:manualLayout>
              </c:layout>
              <c:tx>
                <c:rich>
                  <a:bodyPr/>
                  <a:lstStyle/>
                  <a:p>
                    <a:r>
                      <a:rPr lang="ru-RU"/>
                      <a:t>36,1*</a:t>
                    </a:r>
                    <a:endParaRPr lang="en-US"/>
                  </a:p>
                </c:rich>
              </c:tx>
              <c:dLblPos val="outEnd"/>
            </c:dLbl>
            <c:dLbl>
              <c:idx val="2"/>
              <c:layout>
                <c:manualLayout>
                  <c:x val="8.5607276618512567E-3"/>
                  <c:y val="6.0606060606060629E-2"/>
                </c:manualLayout>
              </c:layout>
              <c:tx>
                <c:rich>
                  <a:bodyPr/>
                  <a:lstStyle/>
                  <a:p>
                    <a:r>
                      <a:rPr lang="ru-RU"/>
                      <a:t>20,2*</a:t>
                    </a:r>
                  </a:p>
                  <a:p>
                    <a:endParaRPr lang="en-US"/>
                  </a:p>
                </c:rich>
              </c:tx>
              <c:dLblPos val="outEnd"/>
            </c:dLbl>
            <c:dLbl>
              <c:idx val="3"/>
              <c:layout>
                <c:manualLayout>
                  <c:x val="1.7176581410167986E-2"/>
                  <c:y val="1.0100950411188261E-2"/>
                </c:manualLayout>
              </c:layout>
              <c:tx>
                <c:rich>
                  <a:bodyPr/>
                  <a:lstStyle/>
                  <a:p>
                    <a:r>
                      <a:rPr lang="ru-RU"/>
                      <a:t>11,2*</a:t>
                    </a:r>
                    <a:endParaRPr lang="en-US"/>
                  </a:p>
                </c:rich>
              </c:tx>
              <c:dLblPos val="outEnd"/>
            </c:dLbl>
            <c:dLbl>
              <c:idx val="4"/>
              <c:layout>
                <c:manualLayout>
                  <c:x val="4.2803638309255824E-3"/>
                  <c:y val="0"/>
                </c:manualLayout>
              </c:layout>
              <c:tx>
                <c:rich>
                  <a:bodyPr/>
                  <a:lstStyle/>
                  <a:p>
                    <a:r>
                      <a:rPr lang="ru-RU"/>
                      <a:t>4,1*</a:t>
                    </a:r>
                    <a:endParaRPr lang="en-US"/>
                  </a:p>
                </c:rich>
              </c:tx>
              <c:dLblPos val="outEnd"/>
            </c:dLbl>
            <c:dLbl>
              <c:idx val="5"/>
              <c:layout>
                <c:manualLayout>
                  <c:x val="1.0700909577314071E-2"/>
                  <c:y val="0"/>
                </c:manualLayout>
              </c:layout>
              <c:tx>
                <c:rich>
                  <a:bodyPr/>
                  <a:lstStyle/>
                  <a:p>
                    <a:r>
                      <a:rPr lang="ru-RU"/>
                      <a:t>4,5*</a:t>
                    </a:r>
                    <a:endParaRPr lang="en-US"/>
                  </a:p>
                </c:rich>
              </c:tx>
              <c:dLblPos val="outEnd"/>
            </c:dLbl>
            <c:dLbl>
              <c:idx val="6"/>
              <c:layout>
                <c:manualLayout>
                  <c:x val="4.2803638309256934E-3"/>
                  <c:y val="1.5936254980079678E-2"/>
                </c:manualLayout>
              </c:layout>
              <c:tx>
                <c:rich>
                  <a:bodyPr/>
                  <a:lstStyle/>
                  <a:p>
                    <a:r>
                      <a:rPr lang="ru-RU"/>
                      <a:t>2,6*</a:t>
                    </a:r>
                    <a:endParaRPr lang="en-US"/>
                  </a:p>
                </c:rich>
              </c:tx>
              <c:dLblPos val="outEnd"/>
            </c:dLbl>
            <c:spPr>
              <a:noFill/>
              <a:ln w="24878">
                <a:noFill/>
              </a:ln>
            </c:spPr>
            <c:txPr>
              <a:bodyPr rot="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54.047000000000004</c:v>
                </c:pt>
                <c:pt idx="1">
                  <c:v>91.641000000000005</c:v>
                </c:pt>
                <c:pt idx="2">
                  <c:v>51.152000000000001</c:v>
                </c:pt>
                <c:pt idx="3">
                  <c:v>28.279</c:v>
                </c:pt>
                <c:pt idx="4">
                  <c:v>10.449</c:v>
                </c:pt>
                <c:pt idx="5">
                  <c:v>11.346</c:v>
                </c:pt>
                <c:pt idx="6">
                  <c:v>6.6249999999999645</c:v>
                </c:pt>
              </c:numCache>
            </c:numRef>
          </c:val>
        </c:ser>
        <c:dLbls>
          <c:showVal val="1"/>
        </c:dLbls>
        <c:gapWidth val="160"/>
        <c:axId val="96366592"/>
        <c:axId val="96368128"/>
      </c:barChart>
      <c:catAx>
        <c:axId val="96366592"/>
        <c:scaling>
          <c:orientation val="minMax"/>
        </c:scaling>
        <c:axPos val="b"/>
        <c:numFmt formatCode="General" sourceLinked="1"/>
        <c:tickLblPos val="low"/>
        <c:txPr>
          <a:bodyPr rot="-5400000" vert="horz"/>
          <a:lstStyle/>
          <a:p>
            <a:pPr>
              <a:defRPr sz="900" b="1">
                <a:latin typeface="Times New Roman" pitchFamily="18" charset="0"/>
                <a:cs typeface="Times New Roman" pitchFamily="18" charset="0"/>
              </a:defRPr>
            </a:pPr>
            <a:endParaRPr lang="ru-RU"/>
          </a:p>
        </c:txPr>
        <c:crossAx val="96368128"/>
        <c:crosses val="autoZero"/>
        <c:lblAlgn val="ctr"/>
        <c:lblOffset val="160"/>
        <c:tickLblSkip val="1"/>
        <c:tickMarkSkip val="1"/>
      </c:catAx>
      <c:valAx>
        <c:axId val="96368128"/>
        <c:scaling>
          <c:orientation val="minMax"/>
        </c:scaling>
        <c:axPos val="l"/>
        <c:title>
          <c:tx>
            <c:rich>
              <a:bodyPr rot="0" vert="horz"/>
              <a:lstStyle/>
              <a:p>
                <a:pPr algn="ctr">
                  <a:defRPr sz="784" b="1" i="0" u="none" strike="noStrike" baseline="0">
                    <a:solidFill>
                      <a:srgbClr val="000000"/>
                    </a:solidFill>
                    <a:latin typeface="Times New Roman"/>
                    <a:ea typeface="Times New Roman"/>
                    <a:cs typeface="Times New Roman"/>
                  </a:defRPr>
                </a:pPr>
                <a:r>
                  <a:rPr lang="ru-RU" sz="900"/>
                  <a:t>*- удельный вес в общем объеме экспорта,%</a:t>
                </a:r>
              </a:p>
            </c:rich>
          </c:tx>
          <c:layout>
            <c:manualLayout>
              <c:xMode val="edge"/>
              <c:yMode val="edge"/>
              <c:x val="0.78116633330801499"/>
              <c:y val="4.7138206436642023E-2"/>
            </c:manualLayout>
          </c:layout>
          <c:spPr>
            <a:noFill/>
            <a:ln w="24878">
              <a:noFill/>
            </a:ln>
          </c:spPr>
        </c:title>
        <c:numFmt formatCode="0.0" sourceLinked="1"/>
        <c:tickLblPos val="nextTo"/>
        <c:txPr>
          <a:bodyPr rot="0" vert="horz"/>
          <a:lstStyle/>
          <a:p>
            <a:pPr>
              <a:defRPr b="1">
                <a:latin typeface="Times New Roman" pitchFamily="18" charset="0"/>
                <a:cs typeface="Times New Roman" pitchFamily="18" charset="0"/>
              </a:defRPr>
            </a:pPr>
            <a:endParaRPr lang="ru-RU"/>
          </a:p>
        </c:txPr>
        <c:crossAx val="96366592"/>
        <c:crosses val="autoZero"/>
        <c:crossBetween val="between"/>
      </c:valAx>
    </c:plotArea>
    <c:legend>
      <c:legendPos val="r"/>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0.13427168341438353"/>
          <c:y val="0.8889712387350186"/>
          <c:w val="0.73472668810289465"/>
          <c:h val="7.3732718894009494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потребительского рынка,%</a:t>
            </a:r>
          </a:p>
        </c:rich>
      </c:tx>
      <c:layout>
        <c:manualLayout>
          <c:xMode val="edge"/>
          <c:yMode val="edge"/>
          <c:x val="0.2666272965879265"/>
          <c:y val="7.9473084732335276E-4"/>
        </c:manualLayout>
      </c:layout>
      <c:spPr>
        <a:noFill/>
        <a:ln w="25399">
          <a:noFill/>
        </a:ln>
      </c:spPr>
    </c:title>
    <c:view3D>
      <c:depthPercent val="100"/>
      <c:rAngAx val="1"/>
    </c:view3D>
    <c:plotArea>
      <c:layout>
        <c:manualLayout>
          <c:layoutTarget val="inner"/>
          <c:xMode val="edge"/>
          <c:yMode val="edge"/>
          <c:x val="0.35816582735770908"/>
          <c:y val="0.10732316688262072"/>
          <c:w val="0.64183417264230425"/>
          <c:h val="0.52848577472119751"/>
        </c:manualLayout>
      </c:layout>
      <c:bar3DChart>
        <c:barDir val="col"/>
        <c:grouping val="stacked"/>
        <c:ser>
          <c:idx val="0"/>
          <c:order val="0"/>
          <c:tx>
            <c:strRef>
              <c:f>Лист1!$B$1</c:f>
              <c:strCache>
                <c:ptCount val="1"/>
                <c:pt idx="0">
                  <c:v>Розничный товарооборот, включая общественное питание</c:v>
                </c:pt>
              </c:strCache>
            </c:strRef>
          </c:tx>
          <c:spPr>
            <a:solidFill>
              <a:srgbClr val="FFFF00"/>
            </a:solidFill>
          </c:spPr>
          <c:dLbls>
            <c:dLbl>
              <c:idx val="0"/>
              <c:layout>
                <c:manualLayout>
                  <c:x val="1.2827365045430403E-2"/>
                  <c:y val="5.6559473845474214E-3"/>
                </c:manualLayout>
              </c:layout>
              <c:tx>
                <c:rich>
                  <a:bodyPr/>
                  <a:lstStyle/>
                  <a:p>
                    <a:r>
                      <a:rPr lang="ru-RU"/>
                      <a:t>-22,3*</a:t>
                    </a:r>
                    <a:endParaRPr lang="en-US"/>
                  </a:p>
                </c:rich>
              </c:tx>
            </c:dLbl>
            <c:dLbl>
              <c:idx val="1"/>
              <c:layout>
                <c:manualLayout>
                  <c:x val="1.7103153393907243E-2"/>
                  <c:y val="0"/>
                </c:manualLayout>
              </c:layout>
              <c:tx>
                <c:rich>
                  <a:bodyPr/>
                  <a:lstStyle/>
                  <a:p>
                    <a:r>
                      <a:rPr lang="ru-RU"/>
                      <a:t>-7,9*</a:t>
                    </a:r>
                    <a:endParaRPr lang="en-US"/>
                  </a:p>
                </c:rich>
              </c:tx>
            </c:dLbl>
            <c:spPr>
              <a:noFill/>
              <a:ln w="25399">
                <a:noFill/>
              </a:ln>
            </c:spPr>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Лист1!$B$2:$B$3</c:f>
              <c:numCache>
                <c:formatCode>0.0</c:formatCode>
                <c:ptCount val="2"/>
                <c:pt idx="0" formatCode="General">
                  <c:v>70.900000000000006</c:v>
                </c:pt>
                <c:pt idx="1">
                  <c:v>69.5</c:v>
                </c:pt>
              </c:numCache>
            </c:numRef>
          </c:val>
        </c:ser>
        <c:ser>
          <c:idx val="1"/>
          <c:order val="1"/>
          <c:tx>
            <c:strRef>
              <c:f>Лист1!$C$1</c:f>
              <c:strCache>
                <c:ptCount val="1"/>
                <c:pt idx="0">
                  <c:v>Платние услуги населению</c:v>
                </c:pt>
              </c:strCache>
            </c:strRef>
          </c:tx>
          <c:spPr>
            <a:solidFill>
              <a:srgbClr val="FF0000"/>
            </a:solidFill>
          </c:spPr>
          <c:dLbls>
            <c:dLbl>
              <c:idx val="0"/>
              <c:layout>
                <c:manualLayout>
                  <c:x val="8.5515766969535226E-3"/>
                  <c:y val="2.592279271686324E-17"/>
                </c:manualLayout>
              </c:layout>
              <c:tx>
                <c:rich>
                  <a:bodyPr/>
                  <a:lstStyle/>
                  <a:p>
                    <a:r>
                      <a:rPr lang="ru-RU"/>
                      <a:t>-7,6*</a:t>
                    </a:r>
                    <a:endParaRPr lang="en-US"/>
                  </a:p>
                </c:rich>
              </c:tx>
            </c:dLbl>
            <c:dLbl>
              <c:idx val="1"/>
              <c:layout>
                <c:manualLayout>
                  <c:x val="1.4965259219668868E-2"/>
                  <c:y val="0"/>
                </c:manualLayout>
              </c:layout>
              <c:tx>
                <c:rich>
                  <a:bodyPr/>
                  <a:lstStyle/>
                  <a:p>
                    <a:r>
                      <a:rPr lang="ru-RU"/>
                      <a:t>-2,1*</a:t>
                    </a:r>
                    <a:endParaRPr lang="en-US"/>
                  </a:p>
                </c:rich>
              </c:tx>
            </c:dLbl>
            <c:spPr>
              <a:noFill/>
              <a:ln w="25399">
                <a:noFill/>
              </a:ln>
            </c:spPr>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Лист1!$C$2:$C$3</c:f>
              <c:numCache>
                <c:formatCode>0.0</c:formatCode>
                <c:ptCount val="2"/>
                <c:pt idx="0" formatCode="General">
                  <c:v>29.1</c:v>
                </c:pt>
                <c:pt idx="1">
                  <c:v>30.5</c:v>
                </c:pt>
              </c:numCache>
            </c:numRef>
          </c:val>
        </c:ser>
        <c:dLbls>
          <c:showVal val="1"/>
        </c:dLbls>
        <c:shape val="cylinder"/>
        <c:axId val="106867712"/>
        <c:axId val="106873600"/>
        <c:axId val="0"/>
      </c:bar3DChart>
      <c:catAx>
        <c:axId val="106867712"/>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06873600"/>
        <c:crosses val="autoZero"/>
        <c:auto val="1"/>
        <c:lblAlgn val="ctr"/>
        <c:lblOffset val="100"/>
      </c:catAx>
      <c:valAx>
        <c:axId val="106873600"/>
        <c:scaling>
          <c:orientation val="minMax"/>
        </c:scaling>
        <c:axPos val="l"/>
        <c:title>
          <c:tx>
            <c:rich>
              <a:bodyPr rot="0" vert="horz"/>
              <a:lstStyle/>
              <a:p>
                <a:pPr algn="ctr">
                  <a:defRPr sz="1000" b="0" i="0" u="none" strike="noStrike" baseline="0">
                    <a:solidFill>
                      <a:srgbClr val="000000"/>
                    </a:solidFill>
                    <a:latin typeface="Times New Roman"/>
                    <a:ea typeface="Times New Roman"/>
                    <a:cs typeface="Times New Roman"/>
                  </a:defRPr>
                </a:pPr>
                <a:r>
                  <a:rPr lang="ru-RU"/>
                  <a:t>*- темп прироста (спада) (в сопоставимых ценах), в %</a:t>
                </a:r>
              </a:p>
            </c:rich>
          </c:tx>
          <c:spPr>
            <a:noFill/>
            <a:ln w="25399">
              <a:noFill/>
            </a:ln>
          </c:spPr>
        </c:title>
        <c:numFmt formatCode="General" sourceLinked="1"/>
        <c:tickLblPos val="nextTo"/>
        <c:txPr>
          <a:bodyPr/>
          <a:lstStyle/>
          <a:p>
            <a:pPr>
              <a:defRPr b="1">
                <a:latin typeface="Times New Roman" pitchFamily="18" charset="0"/>
                <a:cs typeface="Times New Roman" pitchFamily="18" charset="0"/>
              </a:defRPr>
            </a:pPr>
            <a:endParaRPr lang="ru-RU"/>
          </a:p>
        </c:txPr>
        <c:crossAx val="106867712"/>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spPr>
        <a:noFill/>
        <a:ln w="25400">
          <a:noFill/>
        </a:ln>
      </c:spPr>
    </c:plotArea>
    <c:plotVisOnly val="1"/>
    <c:dispBlanksAs val="gap"/>
  </c:chart>
  <c:spPr>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perspective val="30"/>
    </c:view3D>
    <c:plotArea>
      <c:layout/>
      <c:bar3DChart>
        <c:barDir val="col"/>
        <c:grouping val="clustered"/>
        <c:ser>
          <c:idx val="0"/>
          <c:order val="0"/>
          <c:tx>
            <c:strRef>
              <c:f>Лист1!$B$1</c:f>
              <c:strCache>
                <c:ptCount val="1"/>
                <c:pt idx="0">
                  <c:v>январь-июнь 2015 года</c:v>
                </c:pt>
              </c:strCache>
            </c:strRef>
          </c:tx>
          <c:spPr>
            <a:solidFill>
              <a:schemeClr val="accent2">
                <a:lumMod val="75000"/>
              </a:schemeClr>
            </a:solidFill>
          </c:spPr>
          <c:dLbls>
            <c:dLbl>
              <c:idx val="0"/>
              <c:tx>
                <c:rich>
                  <a:bodyPr/>
                  <a:lstStyle/>
                  <a:p>
                    <a:r>
                      <a:rPr lang="ru-RU"/>
                      <a:t>-24,4*</a:t>
                    </a:r>
                    <a:endParaRPr lang="en-US"/>
                  </a:p>
                </c:rich>
              </c:tx>
              <c:showVal val="1"/>
            </c:dLbl>
            <c:dLbl>
              <c:idx val="1"/>
              <c:layout>
                <c:manualLayout>
                  <c:x val="9.2592592592595484E-3"/>
                  <c:y val="-1.1904761904761921E-2"/>
                </c:manualLayout>
              </c:layout>
              <c:tx>
                <c:rich>
                  <a:bodyPr/>
                  <a:lstStyle/>
                  <a:p>
                    <a:r>
                      <a:rPr lang="ru-RU"/>
                      <a:t>-22,3*</a:t>
                    </a:r>
                    <a:endParaRPr lang="en-US"/>
                  </a:p>
                </c:rich>
              </c:tx>
              <c:showVal val="1"/>
            </c:dLbl>
            <c:txPr>
              <a:bodyPr/>
              <a:lstStyle/>
              <a:p>
                <a:pPr>
                  <a:defRPr b="1"/>
                </a:pPr>
                <a:endParaRPr lang="ru-RU"/>
              </a:p>
            </c:txPr>
            <c:showVal val="1"/>
          </c:dLbls>
          <c:cat>
            <c:strRef>
              <c:f>Лист1!$A$2:$A$3</c:f>
              <c:strCache>
                <c:ptCount val="2"/>
                <c:pt idx="0">
                  <c:v>в текущих ценах</c:v>
                </c:pt>
                <c:pt idx="1">
                  <c:v>в сопоставимых ценах</c:v>
                </c:pt>
              </c:strCache>
            </c:strRef>
          </c:cat>
          <c:val>
            <c:numRef>
              <c:f>Лист1!$B$2:$B$3</c:f>
              <c:numCache>
                <c:formatCode>General</c:formatCode>
                <c:ptCount val="2"/>
                <c:pt idx="0" formatCode="0.0">
                  <c:v>75.599999999999994</c:v>
                </c:pt>
                <c:pt idx="1">
                  <c:v>77.7</c:v>
                </c:pt>
              </c:numCache>
            </c:numRef>
          </c:val>
        </c:ser>
        <c:ser>
          <c:idx val="1"/>
          <c:order val="1"/>
          <c:tx>
            <c:strRef>
              <c:f>Лист1!$C$1</c:f>
              <c:strCache>
                <c:ptCount val="1"/>
                <c:pt idx="0">
                  <c:v>январь-июнь 2016 года</c:v>
                </c:pt>
              </c:strCache>
            </c:strRef>
          </c:tx>
          <c:spPr>
            <a:solidFill>
              <a:schemeClr val="accent2">
                <a:lumMod val="40000"/>
                <a:lumOff val="60000"/>
              </a:schemeClr>
            </a:solidFill>
          </c:spPr>
          <c:dLbls>
            <c:dLbl>
              <c:idx val="0"/>
              <c:layout>
                <c:manualLayout>
                  <c:x val="3.2407407407408426E-2"/>
                  <c:y val="-1.1904761904761921E-2"/>
                </c:manualLayout>
              </c:layout>
              <c:tx>
                <c:rich>
                  <a:bodyPr/>
                  <a:lstStyle/>
                  <a:p>
                    <a:r>
                      <a:rPr lang="ru-RU"/>
                      <a:t>-9,1*</a:t>
                    </a:r>
                    <a:endParaRPr lang="en-US"/>
                  </a:p>
                </c:rich>
              </c:tx>
              <c:showVal val="1"/>
            </c:dLbl>
            <c:dLbl>
              <c:idx val="1"/>
              <c:layout>
                <c:manualLayout>
                  <c:x val="1.388888888888928E-2"/>
                  <c:y val="-1.9841269841270312E-2"/>
                </c:manualLayout>
              </c:layout>
              <c:tx>
                <c:rich>
                  <a:bodyPr/>
                  <a:lstStyle/>
                  <a:p>
                    <a:r>
                      <a:rPr lang="ru-RU"/>
                      <a:t>-7,9*</a:t>
                    </a:r>
                    <a:endParaRPr lang="en-US"/>
                  </a:p>
                </c:rich>
              </c:tx>
              <c:showVal val="1"/>
            </c:dLbl>
            <c:txPr>
              <a:bodyPr/>
              <a:lstStyle/>
              <a:p>
                <a:pPr>
                  <a:defRPr b="1"/>
                </a:pPr>
                <a:endParaRPr lang="ru-RU"/>
              </a:p>
            </c:txPr>
            <c:showVal val="1"/>
          </c:dLbls>
          <c:cat>
            <c:strRef>
              <c:f>Лист1!$A$2:$A$3</c:f>
              <c:strCache>
                <c:ptCount val="2"/>
                <c:pt idx="0">
                  <c:v>в текущих ценах</c:v>
                </c:pt>
                <c:pt idx="1">
                  <c:v>в сопоставимых ценах</c:v>
                </c:pt>
              </c:strCache>
            </c:strRef>
          </c:cat>
          <c:val>
            <c:numRef>
              <c:f>Лист1!$C$2:$C$3</c:f>
              <c:numCache>
                <c:formatCode>General</c:formatCode>
                <c:ptCount val="2"/>
                <c:pt idx="0" formatCode="0.0">
                  <c:v>90.9</c:v>
                </c:pt>
                <c:pt idx="1">
                  <c:v>92.1</c:v>
                </c:pt>
              </c:numCache>
            </c:numRef>
          </c:val>
        </c:ser>
        <c:dLbls>
          <c:showVal val="1"/>
        </c:dLbls>
        <c:shape val="cylinder"/>
        <c:axId val="106921984"/>
        <c:axId val="106923520"/>
        <c:axId val="0"/>
      </c:bar3DChart>
      <c:catAx>
        <c:axId val="106921984"/>
        <c:scaling>
          <c:orientation val="minMax"/>
        </c:scaling>
        <c:axPos val="b"/>
        <c:tickLblPos val="nextTo"/>
        <c:txPr>
          <a:bodyPr/>
          <a:lstStyle/>
          <a:p>
            <a:pPr>
              <a:defRPr sz="1000" b="1"/>
            </a:pPr>
            <a:endParaRPr lang="ru-RU"/>
          </a:p>
        </c:txPr>
        <c:crossAx val="106923520"/>
        <c:crosses val="autoZero"/>
        <c:auto val="1"/>
        <c:lblAlgn val="ctr"/>
        <c:lblOffset val="100"/>
      </c:catAx>
      <c:valAx>
        <c:axId val="106923520"/>
        <c:scaling>
          <c:orientation val="minMax"/>
          <c:max val="120"/>
        </c:scaling>
        <c:axPos val="l"/>
        <c:title>
          <c:tx>
            <c:rich>
              <a:bodyPr rot="0" vert="horz"/>
              <a:lstStyle/>
              <a:p>
                <a:pPr>
                  <a:defRPr/>
                </a:pPr>
                <a:r>
                  <a:rPr lang="ru-RU"/>
                  <a:t>*-темп прироста (спада),%</a:t>
                </a:r>
              </a:p>
            </c:rich>
          </c:tx>
        </c:title>
        <c:numFmt formatCode="0.0" sourceLinked="1"/>
        <c:tickLblPos val="nextTo"/>
        <c:crossAx val="106921984"/>
        <c:crosses val="autoZero"/>
        <c:crossBetween val="between"/>
      </c:valAx>
    </c:plotArea>
    <c:legend>
      <c:legendPos val="b"/>
      <c:txPr>
        <a:bodyPr/>
        <a:lstStyle/>
        <a:p>
          <a:pPr>
            <a:defRPr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200"/>
            </a:pPr>
            <a:r>
              <a:rPr lang="ru-RU" sz="1200"/>
              <a:t>Товарная структура розничного товарооборота, %</a:t>
            </a:r>
          </a:p>
        </c:rich>
      </c:tx>
      <c:layout>
        <c:manualLayout>
          <c:xMode val="edge"/>
          <c:yMode val="edge"/>
          <c:x val="0.1919772670231456"/>
          <c:y val="0"/>
        </c:manualLayout>
      </c:layout>
    </c:title>
    <c:plotArea>
      <c:layout>
        <c:manualLayout>
          <c:layoutTarget val="inner"/>
          <c:xMode val="edge"/>
          <c:yMode val="edge"/>
          <c:x val="6.4038461538461669E-2"/>
          <c:y val="0.27148594377510038"/>
          <c:w val="0.91245726495726309"/>
          <c:h val="0.34751668089681625"/>
        </c:manualLayout>
      </c:layout>
      <c:barChart>
        <c:barDir val="col"/>
        <c:grouping val="clustered"/>
        <c:ser>
          <c:idx val="0"/>
          <c:order val="0"/>
          <c:tx>
            <c:strRef>
              <c:f>Лист1!$B$1</c:f>
              <c:strCache>
                <c:ptCount val="1"/>
                <c:pt idx="0">
                  <c:v>Продовольственные товары</c:v>
                </c:pt>
              </c:strCache>
            </c:strRef>
          </c:tx>
          <c:dLbls>
            <c:dLbl>
              <c:idx val="0"/>
              <c:tx>
                <c:rich>
                  <a:bodyPr/>
                  <a:lstStyle/>
                  <a:p>
                    <a:r>
                      <a:rPr lang="ru-RU"/>
                      <a:t>47,0</a:t>
                    </a:r>
                    <a:endParaRPr lang="en-US"/>
                  </a:p>
                </c:rich>
              </c:tx>
              <c:showVal val="1"/>
            </c:dLbl>
            <c:dLbl>
              <c:idx val="1"/>
              <c:tx>
                <c:rich>
                  <a:bodyPr/>
                  <a:lstStyle/>
                  <a:p>
                    <a:r>
                      <a:rPr lang="ru-RU"/>
                      <a:t>48,0</a:t>
                    </a:r>
                    <a:endParaRPr lang="en-US"/>
                  </a:p>
                </c:rich>
              </c:tx>
              <c:showVal val="1"/>
            </c:dLbl>
            <c:txPr>
              <a:bodyPr/>
              <a:lstStyle/>
              <a:p>
                <a:pPr>
                  <a:defRPr b="1"/>
                </a:pPr>
                <a:endParaRPr lang="ru-RU"/>
              </a:p>
            </c:txPr>
            <c:showVal val="1"/>
          </c:dLbls>
          <c:cat>
            <c:strRef>
              <c:f>Лист1!$A$2:$A$3</c:f>
              <c:strCache>
                <c:ptCount val="2"/>
                <c:pt idx="0">
                  <c:v>январь-июнь 2015 года</c:v>
                </c:pt>
                <c:pt idx="1">
                  <c:v>январь-июнь 2016 года</c:v>
                </c:pt>
              </c:strCache>
            </c:strRef>
          </c:cat>
          <c:val>
            <c:numRef>
              <c:f>Лист1!$B$2:$B$3</c:f>
              <c:numCache>
                <c:formatCode>0.0</c:formatCode>
                <c:ptCount val="2"/>
                <c:pt idx="0" formatCode="General">
                  <c:v>47.1</c:v>
                </c:pt>
                <c:pt idx="1">
                  <c:v>48</c:v>
                </c:pt>
              </c:numCache>
            </c:numRef>
          </c:val>
        </c:ser>
        <c:ser>
          <c:idx val="1"/>
          <c:order val="1"/>
          <c:tx>
            <c:strRef>
              <c:f>Лист1!$C$1</c:f>
              <c:strCache>
                <c:ptCount val="1"/>
                <c:pt idx="0">
                  <c:v>Непродовольственные товары</c:v>
                </c:pt>
              </c:strCache>
            </c:strRef>
          </c:tx>
          <c:spPr>
            <a:solidFill>
              <a:schemeClr val="accent6">
                <a:lumMod val="40000"/>
                <a:lumOff val="60000"/>
              </a:schemeClr>
            </a:solidFill>
          </c:spPr>
          <c:dLbls>
            <c:dLbl>
              <c:idx val="0"/>
              <c:tx>
                <c:rich>
                  <a:bodyPr/>
                  <a:lstStyle/>
                  <a:p>
                    <a:r>
                      <a:rPr lang="ru-RU"/>
                      <a:t>53,0</a:t>
                    </a:r>
                    <a:endParaRPr lang="en-US"/>
                  </a:p>
                </c:rich>
              </c:tx>
              <c:showVal val="1"/>
            </c:dLbl>
            <c:dLbl>
              <c:idx val="1"/>
              <c:tx>
                <c:rich>
                  <a:bodyPr/>
                  <a:lstStyle/>
                  <a:p>
                    <a:r>
                      <a:rPr lang="ru-RU"/>
                      <a:t>52,0</a:t>
                    </a:r>
                    <a:endParaRPr lang="en-US"/>
                  </a:p>
                </c:rich>
              </c:tx>
              <c:showVal val="1"/>
            </c:dLbl>
            <c:txPr>
              <a:bodyPr/>
              <a:lstStyle/>
              <a:p>
                <a:pPr>
                  <a:defRPr b="1"/>
                </a:pPr>
                <a:endParaRPr lang="ru-RU"/>
              </a:p>
            </c:txPr>
            <c:showVal val="1"/>
          </c:dLbls>
          <c:cat>
            <c:strRef>
              <c:f>Лист1!$A$2:$A$3</c:f>
              <c:strCache>
                <c:ptCount val="2"/>
                <c:pt idx="0">
                  <c:v>январь-июнь 2015 года</c:v>
                </c:pt>
                <c:pt idx="1">
                  <c:v>январь-июнь 2016 года</c:v>
                </c:pt>
              </c:strCache>
            </c:strRef>
          </c:cat>
          <c:val>
            <c:numRef>
              <c:f>Лист1!$C$2:$C$3</c:f>
              <c:numCache>
                <c:formatCode>0.0</c:formatCode>
                <c:ptCount val="2"/>
                <c:pt idx="0" formatCode="General">
                  <c:v>52.9</c:v>
                </c:pt>
                <c:pt idx="1">
                  <c:v>52</c:v>
                </c:pt>
              </c:numCache>
            </c:numRef>
          </c:val>
        </c:ser>
        <c:axId val="107063936"/>
        <c:axId val="107180416"/>
      </c:barChart>
      <c:catAx>
        <c:axId val="107063936"/>
        <c:scaling>
          <c:orientation val="minMax"/>
        </c:scaling>
        <c:axPos val="b"/>
        <c:tickLblPos val="nextTo"/>
        <c:txPr>
          <a:bodyPr/>
          <a:lstStyle/>
          <a:p>
            <a:pPr>
              <a:defRPr b="1"/>
            </a:pPr>
            <a:endParaRPr lang="ru-RU"/>
          </a:p>
        </c:txPr>
        <c:crossAx val="107180416"/>
        <c:crosses val="autoZero"/>
        <c:auto val="1"/>
        <c:lblAlgn val="ctr"/>
        <c:lblOffset val="100"/>
      </c:catAx>
      <c:valAx>
        <c:axId val="107180416"/>
        <c:scaling>
          <c:orientation val="minMax"/>
          <c:max val="60"/>
          <c:min val="0"/>
        </c:scaling>
        <c:axPos val="l"/>
        <c:numFmt formatCode="General" sourceLinked="1"/>
        <c:tickLblPos val="nextTo"/>
        <c:txPr>
          <a:bodyPr/>
          <a:lstStyle/>
          <a:p>
            <a:pPr>
              <a:defRPr b="1"/>
            </a:pPr>
            <a:endParaRPr lang="ru-RU"/>
          </a:p>
        </c:txPr>
        <c:crossAx val="107063936"/>
        <c:crosses val="autoZero"/>
        <c:crossBetween val="between"/>
        <c:majorUnit val="20"/>
      </c:valAx>
    </c:plotArea>
    <c:legend>
      <c:legendPos val="b"/>
      <c:layout>
        <c:manualLayout>
          <c:xMode val="edge"/>
          <c:yMode val="edge"/>
          <c:x val="0.12682010902483337"/>
          <c:y val="0.86130474654523603"/>
          <c:w val="0.74635970341632762"/>
          <c:h val="9.2172760583144914E-2"/>
        </c:manualLayout>
      </c:layout>
      <c:txPr>
        <a:bodyPr/>
        <a:lstStyle/>
        <a:p>
          <a:pPr>
            <a:defRPr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view3D>
      <c:rotX val="0"/>
      <c:rotY val="0"/>
      <c:perspective val="30"/>
    </c:view3D>
    <c:floor>
      <c:spPr>
        <a:effectLst/>
      </c:spPr>
    </c:floor>
    <c:plotArea>
      <c:layout>
        <c:manualLayout>
          <c:layoutTarget val="inner"/>
          <c:xMode val="edge"/>
          <c:yMode val="edge"/>
          <c:x val="0.31480805906456544"/>
          <c:y val="4.2124542124542107E-2"/>
          <c:w val="0.65161879944863565"/>
          <c:h val="0.72187418880332266"/>
        </c:manualLayout>
      </c:layout>
      <c:bar3DChart>
        <c:barDir val="col"/>
        <c:grouping val="clustered"/>
        <c:ser>
          <c:idx val="0"/>
          <c:order val="0"/>
          <c:tx>
            <c:strRef>
              <c:f>Лист1!$B$1</c:f>
              <c:strCache>
                <c:ptCount val="1"/>
                <c:pt idx="0">
                  <c:v>в текущих ценах</c:v>
                </c:pt>
              </c:strCache>
            </c:strRef>
          </c:tx>
          <c:spPr>
            <a:blipFill>
              <a:blip xmlns:r="http://schemas.openxmlformats.org/officeDocument/2006/relationships" r:embed="rId2"/>
              <a:tile tx="0" ty="0" sx="100000" sy="100000" flip="none" algn="tl"/>
            </a:blipFill>
          </c:spPr>
          <c:dLbls>
            <c:dLbl>
              <c:idx val="0"/>
              <c:tx>
                <c:rich>
                  <a:bodyPr/>
                  <a:lstStyle/>
                  <a:p>
                    <a:r>
                      <a:rPr lang="ru-RU"/>
                      <a:t>+6,0*</a:t>
                    </a:r>
                    <a:endParaRPr lang="en-US"/>
                  </a:p>
                </c:rich>
              </c:tx>
              <c:showVal val="1"/>
            </c:dLbl>
            <c:dLbl>
              <c:idx val="1"/>
              <c:layout>
                <c:manualLayout>
                  <c:x val="5.5528133610165224E-3"/>
                  <c:y val="2.1885370055615899E-2"/>
                </c:manualLayout>
              </c:layout>
              <c:tx>
                <c:rich>
                  <a:bodyPr/>
                  <a:lstStyle/>
                  <a:p>
                    <a:r>
                      <a:rPr lang="ru-RU"/>
                      <a:t>-1,7*</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Лист1!$B$2:$B$3</c:f>
              <c:numCache>
                <c:formatCode>0.0</c:formatCode>
                <c:ptCount val="2"/>
                <c:pt idx="0">
                  <c:v>106</c:v>
                </c:pt>
                <c:pt idx="1">
                  <c:v>98.3</c:v>
                </c:pt>
              </c:numCache>
            </c:numRef>
          </c:val>
        </c:ser>
        <c:ser>
          <c:idx val="1"/>
          <c:order val="1"/>
          <c:tx>
            <c:strRef>
              <c:f>Лист1!$C$1</c:f>
              <c:strCache>
                <c:ptCount val="1"/>
                <c:pt idx="0">
                  <c:v>в сопоставимых ценах</c:v>
                </c:pt>
              </c:strCache>
            </c:strRef>
          </c:tx>
          <c:spPr>
            <a:blipFill>
              <a:blip xmlns:r="http://schemas.openxmlformats.org/officeDocument/2006/relationships" r:embed="rId3"/>
              <a:tile tx="0" ty="0" sx="100000" sy="100000" flip="none" algn="tl"/>
            </a:blipFill>
          </c:spPr>
          <c:dLbls>
            <c:dLbl>
              <c:idx val="0"/>
              <c:layout>
                <c:manualLayout>
                  <c:x val="1.0824600162389775E-2"/>
                  <c:y val="-4.5784661532694108E-3"/>
                </c:manualLayout>
              </c:layout>
              <c:tx>
                <c:rich>
                  <a:bodyPr/>
                  <a:lstStyle/>
                  <a:p>
                    <a:r>
                      <a:rPr lang="ru-RU"/>
                      <a:t>-7,6*</a:t>
                    </a:r>
                    <a:endParaRPr lang="en-US"/>
                  </a:p>
                </c:rich>
              </c:tx>
              <c:showVal val="1"/>
            </c:dLbl>
            <c:dLbl>
              <c:idx val="1"/>
              <c:layout>
                <c:manualLayout>
                  <c:x val="-8.2546149393018728E-3"/>
                  <c:y val="2.2725727565992601E-2"/>
                </c:manualLayout>
              </c:layout>
              <c:tx>
                <c:rich>
                  <a:bodyPr/>
                  <a:lstStyle/>
                  <a:p>
                    <a:r>
                      <a:rPr lang="ru-RU"/>
                      <a:t>-2,1*</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2015 года</c:v>
                </c:pt>
                <c:pt idx="1">
                  <c:v>январь-июнь 2016 года</c:v>
                </c:pt>
              </c:strCache>
            </c:strRef>
          </c:cat>
          <c:val>
            <c:numRef>
              <c:f>Лист1!$C$2:$C$3</c:f>
              <c:numCache>
                <c:formatCode>0.0</c:formatCode>
                <c:ptCount val="2"/>
                <c:pt idx="0">
                  <c:v>92.4</c:v>
                </c:pt>
                <c:pt idx="1">
                  <c:v>97.2</c:v>
                </c:pt>
              </c:numCache>
            </c:numRef>
          </c:val>
        </c:ser>
        <c:dLbls>
          <c:showVal val="1"/>
        </c:dLbls>
        <c:shape val="cylinder"/>
        <c:axId val="107358080"/>
        <c:axId val="107359616"/>
        <c:axId val="0"/>
      </c:bar3DChart>
      <c:catAx>
        <c:axId val="107358080"/>
        <c:scaling>
          <c:orientation val="minMax"/>
        </c:scaling>
        <c:axPos val="b"/>
        <c:tickLblPos val="nextTo"/>
        <c:spPr>
          <a:noFill/>
        </c:spPr>
        <c:txPr>
          <a:bodyPr/>
          <a:lstStyle/>
          <a:p>
            <a:pPr>
              <a:defRPr b="1">
                <a:latin typeface="Times New Roman" pitchFamily="18" charset="0"/>
                <a:cs typeface="Times New Roman" pitchFamily="18" charset="0"/>
              </a:defRPr>
            </a:pPr>
            <a:endParaRPr lang="ru-RU"/>
          </a:p>
        </c:txPr>
        <c:crossAx val="107359616"/>
        <c:crosses val="autoZero"/>
        <c:auto val="1"/>
        <c:lblAlgn val="ctr"/>
        <c:lblOffset val="100"/>
      </c:catAx>
      <c:valAx>
        <c:axId val="107359616"/>
        <c:scaling>
          <c:orientation val="minMax"/>
          <c:max val="115"/>
        </c:scaling>
        <c:axPos val="l"/>
        <c:title>
          <c:tx>
            <c:rich>
              <a:bodyPr rot="0" vert="horz"/>
              <a:lstStyle/>
              <a:p>
                <a:pPr>
                  <a:defRPr sz="800">
                    <a:latin typeface="Times New Roman" pitchFamily="18" charset="0"/>
                    <a:cs typeface="Times New Roman" pitchFamily="18" charset="0"/>
                  </a:defRPr>
                </a:pPr>
                <a:r>
                  <a:rPr lang="ru-RU" sz="800">
                    <a:latin typeface="Times New Roman" pitchFamily="18" charset="0"/>
                    <a:cs typeface="Times New Roman" pitchFamily="18" charset="0"/>
                  </a:rPr>
                  <a:t>*-темп прироста (спада),%</a:t>
                </a:r>
              </a:p>
            </c:rich>
          </c:tx>
        </c:title>
        <c:numFmt formatCode="0.0" sourceLinked="1"/>
        <c:tickLblPos val="nextTo"/>
        <c:txPr>
          <a:bodyPr/>
          <a:lstStyle/>
          <a:p>
            <a:pPr>
              <a:defRPr b="1">
                <a:latin typeface="Times New Roman" pitchFamily="18" charset="0"/>
                <a:cs typeface="Times New Roman" pitchFamily="18" charset="0"/>
              </a:defRPr>
            </a:pPr>
            <a:endParaRPr lang="ru-RU"/>
          </a:p>
        </c:txPr>
        <c:crossAx val="107358080"/>
        <c:crosses val="autoZero"/>
        <c:crossBetween val="between"/>
      </c:valAx>
    </c:plotArea>
    <c:legend>
      <c:legendPos val="b"/>
      <c:layout>
        <c:manualLayout>
          <c:xMode val="edge"/>
          <c:yMode val="edge"/>
          <c:x val="0.11574893344517502"/>
          <c:y val="0.86162261895481851"/>
          <c:w val="0.84266940859196771"/>
          <c:h val="9.6283809594223252E-2"/>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4"/>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январь-июнь 2015 года</a:t>
            </a:r>
          </a:p>
        </c:rich>
      </c:tx>
    </c:title>
    <c:view3D>
      <c:rotX val="30"/>
      <c:perspective val="30"/>
    </c:view3D>
    <c:plotArea>
      <c:layout>
        <c:manualLayout>
          <c:layoutTarget val="inner"/>
          <c:xMode val="edge"/>
          <c:yMode val="edge"/>
          <c:x val="0.26402272500748475"/>
          <c:y val="0.20414624228309491"/>
          <c:w val="0.50267483969568838"/>
          <c:h val="0.42947716042536938"/>
        </c:manualLayout>
      </c:layout>
      <c:pie3DChart>
        <c:varyColors val="1"/>
        <c:ser>
          <c:idx val="0"/>
          <c:order val="0"/>
          <c:tx>
            <c:strRef>
              <c:f>Лист1!$B$1</c:f>
              <c:strCache>
                <c:ptCount val="1"/>
                <c:pt idx="0">
                  <c:v>январь-декабрь 2014 года</c:v>
                </c:pt>
              </c:strCache>
            </c:strRef>
          </c:tx>
          <c:spPr>
            <a:solidFill>
              <a:srgbClr val="7030A0"/>
            </a:solidFill>
          </c:spPr>
          <c:dPt>
            <c:idx val="0"/>
            <c:explosion val="11"/>
          </c:dPt>
          <c:dPt>
            <c:idx val="1"/>
            <c:spPr>
              <a:solidFill>
                <a:schemeClr val="accent2">
                  <a:lumMod val="60000"/>
                  <a:lumOff val="40000"/>
                </a:schemeClr>
              </a:solidFill>
            </c:spPr>
          </c:dPt>
          <c:dLbls>
            <c:dLbl>
              <c:idx val="0"/>
              <c:layout>
                <c:manualLayout>
                  <c:x val="0.13895393990577676"/>
                  <c:y val="0.21407154814309629"/>
                </c:manualLayout>
              </c:layout>
              <c:tx>
                <c:rich>
                  <a:bodyPr/>
                  <a:lstStyle/>
                  <a:p>
                    <a:r>
                      <a:rPr lang="en-US"/>
                      <a:t>5</a:t>
                    </a:r>
                    <a:r>
                      <a:rPr lang="ru-RU"/>
                      <a:t>5</a:t>
                    </a:r>
                    <a:r>
                      <a:rPr lang="en-US"/>
                      <a:t>,</a:t>
                    </a:r>
                    <a:r>
                      <a:rPr lang="ru-RU"/>
                      <a:t>5</a:t>
                    </a:r>
                    <a:endParaRPr lang="en-US"/>
                  </a:p>
                </c:rich>
              </c:tx>
              <c:dLblPos val="bestFit"/>
              <c:showVal val="1"/>
            </c:dLbl>
            <c:dLbl>
              <c:idx val="1"/>
              <c:layout>
                <c:manualLayout>
                  <c:x val="-0.11808009803191002"/>
                  <c:y val="-0.1487986442639552"/>
                </c:manualLayout>
              </c:layout>
              <c:tx>
                <c:rich>
                  <a:bodyPr/>
                  <a:lstStyle/>
                  <a:p>
                    <a:r>
                      <a:rPr lang="en-US"/>
                      <a:t>4</a:t>
                    </a:r>
                    <a:r>
                      <a:rPr lang="ru-RU"/>
                      <a:t>4,5</a:t>
                    </a:r>
                    <a:endParaRPr lang="en-US"/>
                  </a:p>
                </c:rich>
              </c:tx>
              <c:dLblPos val="bestFit"/>
              <c:showVal val="1"/>
            </c:dLbl>
            <c:txPr>
              <a:bodyPr/>
              <a:lstStyle/>
              <a:p>
                <a:pPr>
                  <a:defRPr sz="900"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50.2</c:v>
                </c:pt>
                <c:pt idx="1">
                  <c:v>49.8</c:v>
                </c:pt>
              </c:numCache>
            </c:numRef>
          </c:val>
        </c:ser>
      </c:pie3DChart>
      <c:spPr>
        <a:noFill/>
        <a:ln w="25395">
          <a:noFill/>
        </a:ln>
      </c:spPr>
    </c:plotArea>
    <c:legend>
      <c:legendPos val="b"/>
      <c:layout>
        <c:manualLayout>
          <c:xMode val="edge"/>
          <c:yMode val="edge"/>
          <c:x val="9.9719348806891275E-2"/>
          <c:y val="0.77528680709783071"/>
          <c:w val="0.70754670372085826"/>
          <c:h val="0.2029943692935819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январь-июнь 2016 года</a:t>
            </a:r>
          </a:p>
        </c:rich>
      </c:tx>
    </c:title>
    <c:view3D>
      <c:rotX val="30"/>
      <c:perspective val="30"/>
    </c:view3D>
    <c:plotArea>
      <c:layout>
        <c:manualLayout>
          <c:layoutTarget val="inner"/>
          <c:xMode val="edge"/>
          <c:yMode val="edge"/>
          <c:x val="0.26402272500748475"/>
          <c:y val="0.20414624228309491"/>
          <c:w val="0.50267483969568838"/>
          <c:h val="0.42947716042536938"/>
        </c:manualLayout>
      </c:layout>
      <c:pie3DChart>
        <c:varyColors val="1"/>
        <c:ser>
          <c:idx val="0"/>
          <c:order val="0"/>
          <c:tx>
            <c:strRef>
              <c:f>Лист1!$B$1</c:f>
              <c:strCache>
                <c:ptCount val="1"/>
                <c:pt idx="0">
                  <c:v>январь-декабрь 2014 года</c:v>
                </c:pt>
              </c:strCache>
            </c:strRef>
          </c:tx>
          <c:spPr>
            <a:solidFill>
              <a:srgbClr val="7030A0"/>
            </a:solidFill>
          </c:spPr>
          <c:dPt>
            <c:idx val="0"/>
            <c:explosion val="11"/>
          </c:dPt>
          <c:dPt>
            <c:idx val="1"/>
            <c:spPr>
              <a:solidFill>
                <a:schemeClr val="accent2">
                  <a:lumMod val="60000"/>
                  <a:lumOff val="40000"/>
                </a:schemeClr>
              </a:solidFill>
            </c:spPr>
          </c:dPt>
          <c:dLbls>
            <c:dLbl>
              <c:idx val="0"/>
              <c:layout>
                <c:manualLayout>
                  <c:x val="0.13895393990577676"/>
                  <c:y val="0.21407154814309629"/>
                </c:manualLayout>
              </c:layout>
              <c:tx>
                <c:rich>
                  <a:bodyPr/>
                  <a:lstStyle/>
                  <a:p>
                    <a:r>
                      <a:rPr lang="en-US"/>
                      <a:t>5</a:t>
                    </a:r>
                    <a:r>
                      <a:rPr lang="ru-RU"/>
                      <a:t>4</a:t>
                    </a:r>
                    <a:r>
                      <a:rPr lang="en-US"/>
                      <a:t>,</a:t>
                    </a:r>
                    <a:r>
                      <a:rPr lang="ru-RU"/>
                      <a:t>9</a:t>
                    </a:r>
                    <a:endParaRPr lang="en-US"/>
                  </a:p>
                </c:rich>
              </c:tx>
              <c:dLblPos val="bestFit"/>
              <c:showVal val="1"/>
            </c:dLbl>
            <c:dLbl>
              <c:idx val="1"/>
              <c:layout>
                <c:manualLayout>
                  <c:x val="-0.11808009803191002"/>
                  <c:y val="-0.1487986442639552"/>
                </c:manualLayout>
              </c:layout>
              <c:tx>
                <c:rich>
                  <a:bodyPr/>
                  <a:lstStyle/>
                  <a:p>
                    <a:r>
                      <a:rPr lang="en-US"/>
                      <a:t>4</a:t>
                    </a:r>
                    <a:r>
                      <a:rPr lang="ru-RU"/>
                      <a:t>5,1</a:t>
                    </a:r>
                    <a:endParaRPr lang="en-US"/>
                  </a:p>
                </c:rich>
              </c:tx>
              <c:dLblPos val="bestFit"/>
              <c:showVal val="1"/>
            </c:dLbl>
            <c:txPr>
              <a:bodyPr/>
              <a:lstStyle/>
              <a:p>
                <a:pPr>
                  <a:defRPr sz="900"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50.2</c:v>
                </c:pt>
                <c:pt idx="1">
                  <c:v>49.8</c:v>
                </c:pt>
              </c:numCache>
            </c:numRef>
          </c:val>
        </c:ser>
      </c:pie3DChart>
      <c:spPr>
        <a:noFill/>
        <a:ln w="25395">
          <a:noFill/>
        </a:ln>
      </c:spPr>
    </c:plotArea>
    <c:legend>
      <c:legendPos val="b"/>
      <c:layout>
        <c:manualLayout>
          <c:xMode val="edge"/>
          <c:yMode val="edge"/>
          <c:x val="9.9719348806891275E-2"/>
          <c:y val="0.77528680709783071"/>
          <c:w val="0.7742133483314585"/>
          <c:h val="0.2029943692935819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200"/>
            </a:pPr>
            <a:r>
              <a:rPr lang="ru-RU" sz="1200"/>
              <a:t>Динамика основных составляющих инфляции,%</a:t>
            </a:r>
          </a:p>
        </c:rich>
      </c:tx>
      <c:layout>
        <c:manualLayout>
          <c:xMode val="edge"/>
          <c:yMode val="edge"/>
          <c:x val="0.26946996442635185"/>
          <c:y val="5.0813392816909005E-3"/>
        </c:manualLayout>
      </c:layout>
    </c:title>
    <c:plotArea>
      <c:layout>
        <c:manualLayout>
          <c:layoutTarget val="inner"/>
          <c:xMode val="edge"/>
          <c:yMode val="edge"/>
          <c:x val="0.23208025872968568"/>
          <c:y val="0.13632240414392646"/>
          <c:w val="0.76544241901269194"/>
          <c:h val="0.46861697843325184"/>
        </c:manualLayout>
      </c:layout>
      <c:barChart>
        <c:barDir val="col"/>
        <c:grouping val="clustered"/>
        <c:ser>
          <c:idx val="0"/>
          <c:order val="0"/>
          <c:tx>
            <c:strRef>
              <c:f>Лист1!$B$1</c:f>
              <c:strCache>
                <c:ptCount val="1"/>
                <c:pt idx="0">
                  <c:v>январь- июнь 2015 г. </c:v>
                </c:pt>
              </c:strCache>
            </c:strRef>
          </c:tx>
          <c:spPr>
            <a:solidFill>
              <a:schemeClr val="accent6">
                <a:lumMod val="75000"/>
              </a:schemeClr>
            </a:solidFill>
          </c:spPr>
          <c:dLbls>
            <c:dLbl>
              <c:idx val="0"/>
              <c:layout>
                <c:manualLayout>
                  <c:x val="-1.3186910958164131E-3"/>
                  <c:y val="2.4780600878498437E-2"/>
                </c:manualLayout>
              </c:layout>
              <c:tx>
                <c:rich>
                  <a:bodyPr/>
                  <a:lstStyle/>
                  <a:p>
                    <a:r>
                      <a:rPr lang="ru-RU" b="1"/>
                      <a:t>+0, 22*</a:t>
                    </a:r>
                    <a:endParaRPr lang="en-US" b="1"/>
                  </a:p>
                </c:rich>
              </c:tx>
              <c:dLblPos val="outEnd"/>
              <c:showVal val="1"/>
            </c:dLbl>
            <c:dLbl>
              <c:idx val="1"/>
              <c:layout>
                <c:manualLayout>
                  <c:x val="2.8049989514022811E-3"/>
                  <c:y val="2.3492166571962011E-2"/>
                </c:manualLayout>
              </c:layout>
              <c:tx>
                <c:rich>
                  <a:bodyPr/>
                  <a:lstStyle/>
                  <a:p>
                    <a:r>
                      <a:rPr lang="ru-RU" b="1"/>
                      <a:t>-1,41*</a:t>
                    </a:r>
                    <a:endParaRPr lang="en-US" b="1"/>
                  </a:p>
                </c:rich>
              </c:tx>
              <c:dLblPos val="outEnd"/>
              <c:showVal val="1"/>
            </c:dLbl>
            <c:dLbl>
              <c:idx val="2"/>
              <c:layout>
                <c:manualLayout>
                  <c:x val="3.3172477021709912E-3"/>
                  <c:y val="1.9060971695085655E-2"/>
                </c:manualLayout>
              </c:layout>
              <c:tx>
                <c:rich>
                  <a:bodyPr/>
                  <a:lstStyle/>
                  <a:p>
                    <a:r>
                      <a:rPr lang="ru-RU" b="1"/>
                      <a:t>-1,62*</a:t>
                    </a:r>
                    <a:endParaRPr lang="en-US" b="1"/>
                  </a:p>
                </c:rich>
              </c:tx>
              <c:dLblPos val="outEnd"/>
              <c:showVal val="1"/>
            </c:dLbl>
            <c:dLbl>
              <c:idx val="3"/>
              <c:layout>
                <c:manualLayout>
                  <c:x val="5.7719775941958837E-3"/>
                  <c:y val="2.199134567035756E-2"/>
                </c:manualLayout>
              </c:layout>
              <c:tx>
                <c:rich>
                  <a:bodyPr/>
                  <a:lstStyle/>
                  <a:p>
                    <a:r>
                      <a:rPr lang="ru-RU" b="1"/>
                      <a:t>+6,54*</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       ные товары</c:v>
                </c:pt>
                <c:pt idx="3">
                  <c:v>Индекс  тарифов на услуги</c:v>
                </c:pt>
              </c:strCache>
            </c:strRef>
          </c:cat>
          <c:val>
            <c:numRef>
              <c:f>Лист1!$B$2:$B$5</c:f>
              <c:numCache>
                <c:formatCode>0.00</c:formatCode>
                <c:ptCount val="4"/>
                <c:pt idx="0">
                  <c:v>100.22</c:v>
                </c:pt>
                <c:pt idx="1">
                  <c:v>98.59</c:v>
                </c:pt>
                <c:pt idx="2">
                  <c:v>98.38</c:v>
                </c:pt>
                <c:pt idx="3">
                  <c:v>106.54</c:v>
                </c:pt>
              </c:numCache>
            </c:numRef>
          </c:val>
        </c:ser>
        <c:ser>
          <c:idx val="1"/>
          <c:order val="1"/>
          <c:tx>
            <c:strRef>
              <c:f>Лист1!$C$1</c:f>
              <c:strCache>
                <c:ptCount val="1"/>
                <c:pt idx="0">
                  <c:v>январь - июнь 2016 г. </c:v>
                </c:pt>
              </c:strCache>
            </c:strRef>
          </c:tx>
          <c:spPr>
            <a:solidFill>
              <a:schemeClr val="accent5">
                <a:lumMod val="60000"/>
                <a:lumOff val="40000"/>
              </a:schemeClr>
            </a:solidFill>
          </c:spPr>
          <c:dLbls>
            <c:dLbl>
              <c:idx val="0"/>
              <c:layout>
                <c:manualLayout>
                  <c:x val="3.5867792366552891E-3"/>
                  <c:y val="2.7515739454136889E-2"/>
                </c:manualLayout>
              </c:layout>
              <c:tx>
                <c:rich>
                  <a:bodyPr/>
                  <a:lstStyle/>
                  <a:p>
                    <a:r>
                      <a:rPr lang="ru-RU" b="1"/>
                      <a:t>+3,75*</a:t>
                    </a:r>
                    <a:endParaRPr lang="en-US" b="1"/>
                  </a:p>
                </c:rich>
              </c:tx>
              <c:dLblPos val="outEnd"/>
              <c:showVal val="1"/>
            </c:dLbl>
            <c:dLbl>
              <c:idx val="1"/>
              <c:layout>
                <c:manualLayout>
                  <c:x val="3.373177356566625E-3"/>
                  <c:y val="2.5444736074657442E-2"/>
                </c:manualLayout>
              </c:layout>
              <c:tx>
                <c:rich>
                  <a:bodyPr/>
                  <a:lstStyle/>
                  <a:p>
                    <a:r>
                      <a:rPr lang="ru-RU" b="1"/>
                      <a:t>+4,64*</a:t>
                    </a:r>
                    <a:endParaRPr lang="en-US" b="1"/>
                  </a:p>
                </c:rich>
              </c:tx>
              <c:dLblPos val="outEnd"/>
              <c:showVal val="1"/>
            </c:dLbl>
            <c:dLbl>
              <c:idx val="2"/>
              <c:layout>
                <c:manualLayout>
                  <c:x val="3.7334618886926785E-3"/>
                  <c:y val="2.8067640534832138E-2"/>
                </c:manualLayout>
              </c:layout>
              <c:tx>
                <c:rich>
                  <a:bodyPr/>
                  <a:lstStyle/>
                  <a:p>
                    <a:r>
                      <a:rPr lang="ru-RU" b="1"/>
                      <a:t>+3,48*</a:t>
                    </a:r>
                    <a:endParaRPr lang="en-US" b="1"/>
                  </a:p>
                </c:rich>
              </c:tx>
              <c:dLblPos val="outEnd"/>
              <c:showVal val="1"/>
            </c:dLbl>
            <c:dLbl>
              <c:idx val="3"/>
              <c:layout>
                <c:manualLayout>
                  <c:x val="6.0955090697696534E-3"/>
                  <c:y val="2.1990685507745876E-2"/>
                </c:manualLayout>
              </c:layout>
              <c:tx>
                <c:rich>
                  <a:bodyPr/>
                  <a:lstStyle/>
                  <a:p>
                    <a:r>
                      <a:rPr lang="ru-RU" b="1"/>
                      <a:t>+2,53*</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       ные товары</c:v>
                </c:pt>
                <c:pt idx="3">
                  <c:v>Индекс  тарифов на услуги</c:v>
                </c:pt>
              </c:strCache>
            </c:strRef>
          </c:cat>
          <c:val>
            <c:numRef>
              <c:f>Лист1!$C$2:$C$5</c:f>
              <c:numCache>
                <c:formatCode>0.00</c:formatCode>
                <c:ptCount val="4"/>
                <c:pt idx="0">
                  <c:v>103.75</c:v>
                </c:pt>
                <c:pt idx="1">
                  <c:v>104.64</c:v>
                </c:pt>
                <c:pt idx="2">
                  <c:v>103.48</c:v>
                </c:pt>
                <c:pt idx="3">
                  <c:v>102.53</c:v>
                </c:pt>
              </c:numCache>
            </c:numRef>
          </c:val>
        </c:ser>
        <c:axId val="107804928"/>
        <c:axId val="107696128"/>
      </c:barChart>
      <c:catAx>
        <c:axId val="107804928"/>
        <c:scaling>
          <c:orientation val="minMax"/>
        </c:scaling>
        <c:axPos val="b"/>
        <c:tickLblPos val="nextTo"/>
        <c:crossAx val="107696128"/>
        <c:crosses val="autoZero"/>
        <c:auto val="1"/>
        <c:lblAlgn val="ctr"/>
        <c:lblOffset val="100"/>
      </c:catAx>
      <c:valAx>
        <c:axId val="107696128"/>
        <c:scaling>
          <c:orientation val="minMax"/>
        </c:scaling>
        <c:axPos val="l"/>
        <c:title>
          <c:tx>
            <c:rich>
              <a:bodyPr rot="0" vert="horz"/>
              <a:lstStyle/>
              <a:p>
                <a:pPr>
                  <a:defRPr/>
                </a:pPr>
                <a:r>
                  <a:rPr lang="ru-RU"/>
                  <a:t>* -прирост (снижение)  индекса цен,%</a:t>
                </a:r>
              </a:p>
            </c:rich>
          </c:tx>
          <c:layout>
            <c:manualLayout>
              <c:xMode val="edge"/>
              <c:yMode val="edge"/>
              <c:x val="3.3979491970283382E-2"/>
              <c:y val="0.57193630435370835"/>
            </c:manualLayout>
          </c:layout>
        </c:title>
        <c:numFmt formatCode="0.00" sourceLinked="1"/>
        <c:tickLblPos val="nextTo"/>
        <c:crossAx val="107804928"/>
        <c:crosses val="autoZero"/>
        <c:crossBetween val="between"/>
        <c:minorUnit val="4"/>
      </c:valAx>
      <c:dTable>
        <c:showHorzBorder val="1"/>
        <c:showVertBorder val="1"/>
        <c:showOutline val="1"/>
        <c:showKeys val="1"/>
        <c:txPr>
          <a:bodyPr/>
          <a:lstStyle/>
          <a:p>
            <a:pPr rtl="0">
              <a:defRPr b="1"/>
            </a:pPr>
            <a:endParaRPr lang="ru-RU"/>
          </a:p>
        </c:txPr>
      </c:dTable>
      <c:spPr>
        <a:noFill/>
        <a:ln w="25400">
          <a:noFill/>
        </a:ln>
      </c:spPr>
    </c:plotArea>
    <c:plotVisOnly val="1"/>
  </c:chart>
  <c:spPr>
    <a:noFill/>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pPr>
            <a:r>
              <a:rPr lang="ru-RU" sz="1200"/>
              <a:t>Сводный индекс потребительских цен (инфляция) в ПМР </a:t>
            </a:r>
          </a:p>
          <a:p>
            <a:pPr>
              <a:defRPr sz="1200"/>
            </a:pPr>
            <a:r>
              <a:rPr lang="ru-RU" sz="1200"/>
              <a:t>в январе-июне, %</a:t>
            </a:r>
          </a:p>
        </c:rich>
      </c:tx>
      <c:layout>
        <c:manualLayout>
          <c:xMode val="edge"/>
          <c:yMode val="edge"/>
          <c:x val="0.21013093514921499"/>
          <c:y val="3.0392811068108002E-3"/>
        </c:manualLayout>
      </c:layout>
      <c:spPr>
        <a:ln>
          <a:noFill/>
        </a:ln>
      </c:spPr>
    </c:title>
    <c:view3D>
      <c:rotX val="10"/>
      <c:rotY val="10"/>
      <c:perspective val="0"/>
    </c:view3D>
    <c:sideWall>
      <c:spPr>
        <a:noFill/>
        <a:ln w="25400">
          <a:noFill/>
        </a:ln>
      </c:spPr>
    </c:sideWall>
    <c:backWall>
      <c:spPr>
        <a:noFill/>
        <a:ln w="25400">
          <a:noFill/>
        </a:ln>
      </c:spPr>
    </c:backWall>
    <c:plotArea>
      <c:layout>
        <c:manualLayout>
          <c:layoutTarget val="inner"/>
          <c:xMode val="edge"/>
          <c:yMode val="edge"/>
          <c:x val="9.0196123284963264E-2"/>
          <c:y val="3.4690799396681744E-2"/>
          <c:w val="0.90861868228012665"/>
          <c:h val="0.65242047026280481"/>
        </c:manualLayout>
      </c:layout>
      <c:bar3DChart>
        <c:barDir val="col"/>
        <c:grouping val="standard"/>
        <c:ser>
          <c:idx val="0"/>
          <c:order val="0"/>
          <c:tx>
            <c:strRef>
              <c:f>Лист1!$B$1</c:f>
              <c:strCache>
                <c:ptCount val="1"/>
                <c:pt idx="0">
                  <c:v>Столбец3</c:v>
                </c:pt>
              </c:strCache>
            </c:strRef>
          </c:tx>
          <c:spPr>
            <a:solidFill>
              <a:srgbClr val="00B0F0"/>
            </a:solidFill>
          </c:spPr>
          <c:dLbls>
            <c:dLbl>
              <c:idx val="0"/>
              <c:layout>
                <c:manualLayout>
                  <c:x val="8.0730126822665445E-3"/>
                  <c:y val="2.1871452085831612E-2"/>
                </c:manualLayout>
              </c:layout>
              <c:showVal val="1"/>
            </c:dLbl>
            <c:dLbl>
              <c:idx val="1"/>
              <c:layout>
                <c:manualLayout>
                  <c:x val="1.8775074539672495E-3"/>
                  <c:y val="1.5968817925213395E-2"/>
                </c:manualLayout>
              </c:layout>
              <c:showVal val="1"/>
            </c:dLbl>
            <c:dLbl>
              <c:idx val="2"/>
              <c:layout>
                <c:manualLayout>
                  <c:x val="8.239180173036419E-3"/>
                  <c:y val="1.5546241282801333E-2"/>
                </c:manualLayout>
              </c:layout>
              <c:showVal val="1"/>
            </c:dLbl>
            <c:dLbl>
              <c:idx val="3"/>
              <c:layout>
                <c:manualLayout>
                  <c:x val="3.9412167770241056E-3"/>
                  <c:y val="2.2498099898312827E-2"/>
                </c:manualLayout>
              </c:layout>
              <c:showVal val="1"/>
            </c:dLbl>
            <c:dLbl>
              <c:idx val="4"/>
              <c:layout>
                <c:manualLayout>
                  <c:x val="6.1399836231234104E-3"/>
                  <c:y val="1.8877021037023003E-2"/>
                </c:manualLayout>
              </c:layout>
              <c:showVal val="1"/>
            </c:dLbl>
            <c:dLbl>
              <c:idx val="5"/>
              <c:layout>
                <c:manualLayout>
                  <c:x val="6.0493721158493699E-3"/>
                  <c:y val="2.0581324103343641E-2"/>
                </c:manualLayout>
              </c:layout>
              <c:showVal val="1"/>
            </c:dLbl>
            <c:dLbl>
              <c:idx val="6"/>
              <c:layout>
                <c:manualLayout>
                  <c:x val="8.238338392434718E-3"/>
                  <c:y val="1.4080413000229454E-2"/>
                </c:manualLayout>
              </c:layout>
              <c:showVal val="1"/>
            </c:dLbl>
            <c:dLbl>
              <c:idx val="7"/>
              <c:layout>
                <c:manualLayout>
                  <c:x val="5.9815245993546234E-3"/>
                  <c:y val="2.1867470209342182E-2"/>
                </c:manualLayout>
              </c:layout>
              <c:showVal val="1"/>
            </c:dLbl>
            <c:dLbl>
              <c:idx val="8"/>
              <c:layout>
                <c:manualLayout>
                  <c:x val="3.9678170440369826E-3"/>
                  <c:y val="2.1085031479222846E-2"/>
                </c:manualLayout>
              </c:layout>
              <c:showVal val="1"/>
            </c:dLbl>
            <c:dLbl>
              <c:idx val="9"/>
              <c:layout>
                <c:manualLayout>
                  <c:x val="6.0675545768451855E-3"/>
                  <c:y val="2.1875931696881651E-2"/>
                </c:manualLayout>
              </c:layout>
              <c:showVal val="1"/>
            </c:dLbl>
            <c:dLbl>
              <c:idx val="10"/>
              <c:layout>
                <c:manualLayout>
                  <c:x val="7.8651043059079495E-3"/>
                  <c:y val="9.4678497514098497E-3"/>
                </c:manualLayout>
              </c:layout>
              <c:showVal val="1"/>
            </c:dLbl>
            <c:dLbl>
              <c:idx val="11"/>
              <c:layout>
                <c:manualLayout>
                  <c:x val="1.056333641425034E-2"/>
                  <c:y val="1.6391394567625457E-2"/>
                </c:manualLayout>
              </c:layout>
              <c:showVal val="1"/>
            </c:dLbl>
            <c:txPr>
              <a:bodyPr/>
              <a:lstStyle/>
              <a:p>
                <a:pPr>
                  <a:defRPr sz="800" b="1"/>
                </a:pPr>
                <a:endParaRPr lang="ru-RU"/>
              </a:p>
            </c:txPr>
            <c:showVal val="1"/>
          </c:dLbls>
          <c:cat>
            <c:strRef>
              <c:f>Лист1!$A$2:$A$15</c:f>
              <c:strCache>
                <c:ptCount val="12"/>
                <c:pt idx="0">
                  <c:v>2005 г.</c:v>
                </c:pt>
                <c:pt idx="1">
                  <c:v>2006 г.</c:v>
                </c:pt>
                <c:pt idx="2">
                  <c:v>2007 г.</c:v>
                </c:pt>
                <c:pt idx="3">
                  <c:v>2008 г.</c:v>
                </c:pt>
                <c:pt idx="4">
                  <c:v>2009 г.</c:v>
                </c:pt>
                <c:pt idx="5">
                  <c:v>2010 г.</c:v>
                </c:pt>
                <c:pt idx="6">
                  <c:v>2011 г.</c:v>
                </c:pt>
                <c:pt idx="7">
                  <c:v>2012 г.</c:v>
                </c:pt>
                <c:pt idx="8">
                  <c:v>2013 г.</c:v>
                </c:pt>
                <c:pt idx="9">
                  <c:v>2014 г.</c:v>
                </c:pt>
                <c:pt idx="10">
                  <c:v>2015 г.</c:v>
                </c:pt>
                <c:pt idx="11">
                  <c:v>2016 г.</c:v>
                </c:pt>
              </c:strCache>
            </c:strRef>
          </c:cat>
          <c:val>
            <c:numRef>
              <c:f>Лист1!$B$2:$B$15</c:f>
              <c:numCache>
                <c:formatCode>#,##0.00</c:formatCode>
                <c:ptCount val="12"/>
                <c:pt idx="0">
                  <c:v>106.08</c:v>
                </c:pt>
                <c:pt idx="1">
                  <c:v>103.67999999999998</c:v>
                </c:pt>
                <c:pt idx="2">
                  <c:v>110.93</c:v>
                </c:pt>
                <c:pt idx="3">
                  <c:v>120.44000000000032</c:v>
                </c:pt>
                <c:pt idx="4">
                  <c:v>100.49000000000002</c:v>
                </c:pt>
                <c:pt idx="5">
                  <c:v>107.3</c:v>
                </c:pt>
                <c:pt idx="6">
                  <c:v>111.36</c:v>
                </c:pt>
                <c:pt idx="7">
                  <c:v>107.75</c:v>
                </c:pt>
                <c:pt idx="8">
                  <c:v>103.42</c:v>
                </c:pt>
                <c:pt idx="9">
                  <c:v>101.96000000000002</c:v>
                </c:pt>
                <c:pt idx="10">
                  <c:v>100.22</c:v>
                </c:pt>
                <c:pt idx="11">
                  <c:v>103.75</c:v>
                </c:pt>
              </c:numCache>
            </c:numRef>
          </c:val>
        </c:ser>
        <c:ser>
          <c:idx val="1"/>
          <c:order val="1"/>
          <c:tx>
            <c:strRef>
              <c:f>Лист1!$C$1</c:f>
              <c:strCache>
                <c:ptCount val="1"/>
                <c:pt idx="0">
                  <c:v>Столбец1</c:v>
                </c:pt>
              </c:strCache>
            </c:strRef>
          </c:tx>
          <c:dLbls>
            <c:showVal val="1"/>
          </c:dLbls>
          <c:cat>
            <c:strRef>
              <c:f>Лист1!$A$2:$A$15</c:f>
              <c:strCache>
                <c:ptCount val="12"/>
                <c:pt idx="0">
                  <c:v>2005 г.</c:v>
                </c:pt>
                <c:pt idx="1">
                  <c:v>2006 г.</c:v>
                </c:pt>
                <c:pt idx="2">
                  <c:v>2007 г.</c:v>
                </c:pt>
                <c:pt idx="3">
                  <c:v>2008 г.</c:v>
                </c:pt>
                <c:pt idx="4">
                  <c:v>2009 г.</c:v>
                </c:pt>
                <c:pt idx="5">
                  <c:v>2010 г.</c:v>
                </c:pt>
                <c:pt idx="6">
                  <c:v>2011 г.</c:v>
                </c:pt>
                <c:pt idx="7">
                  <c:v>2012 г.</c:v>
                </c:pt>
                <c:pt idx="8">
                  <c:v>2013 г.</c:v>
                </c:pt>
                <c:pt idx="9">
                  <c:v>2014 г.</c:v>
                </c:pt>
                <c:pt idx="10">
                  <c:v>2015 г.</c:v>
                </c:pt>
                <c:pt idx="11">
                  <c:v>2016 г.</c:v>
                </c:pt>
              </c:strCache>
            </c:strRef>
          </c:cat>
          <c:val>
            <c:numRef>
              <c:f>Лист1!$C$2:$C$15</c:f>
            </c:numRef>
          </c:val>
          <c:shape val="box"/>
        </c:ser>
        <c:ser>
          <c:idx val="2"/>
          <c:order val="2"/>
          <c:tx>
            <c:strRef>
              <c:f>Лист1!$D$1</c:f>
              <c:strCache>
                <c:ptCount val="1"/>
                <c:pt idx="0">
                  <c:v>Столбец2</c:v>
                </c:pt>
              </c:strCache>
            </c:strRef>
          </c:tx>
          <c:dLbls>
            <c:showVal val="1"/>
          </c:dLbls>
          <c:cat>
            <c:strRef>
              <c:f>Лист1!$A$2:$A$15</c:f>
              <c:strCache>
                <c:ptCount val="12"/>
                <c:pt idx="0">
                  <c:v>2005 г.</c:v>
                </c:pt>
                <c:pt idx="1">
                  <c:v>2006 г.</c:v>
                </c:pt>
                <c:pt idx="2">
                  <c:v>2007 г.</c:v>
                </c:pt>
                <c:pt idx="3">
                  <c:v>2008 г.</c:v>
                </c:pt>
                <c:pt idx="4">
                  <c:v>2009 г.</c:v>
                </c:pt>
                <c:pt idx="5">
                  <c:v>2010 г.</c:v>
                </c:pt>
                <c:pt idx="6">
                  <c:v>2011 г.</c:v>
                </c:pt>
                <c:pt idx="7">
                  <c:v>2012 г.</c:v>
                </c:pt>
                <c:pt idx="8">
                  <c:v>2013 г.</c:v>
                </c:pt>
                <c:pt idx="9">
                  <c:v>2014 г.</c:v>
                </c:pt>
                <c:pt idx="10">
                  <c:v>2015 г.</c:v>
                </c:pt>
                <c:pt idx="11">
                  <c:v>2016 г.</c:v>
                </c:pt>
              </c:strCache>
            </c:strRef>
          </c:cat>
          <c:val>
            <c:numRef>
              <c:f>Лист1!$D$2:$D$15</c:f>
            </c:numRef>
          </c:val>
          <c:shape val="box"/>
        </c:ser>
        <c:dLbls>
          <c:showVal val="1"/>
        </c:dLbls>
        <c:shape val="cylinder"/>
        <c:axId val="108061056"/>
        <c:axId val="108062592"/>
        <c:axId val="107367488"/>
      </c:bar3DChart>
      <c:catAx>
        <c:axId val="108061056"/>
        <c:scaling>
          <c:orientation val="minMax"/>
        </c:scaling>
        <c:axPos val="b"/>
        <c:numFmt formatCode="General" sourceLinked="1"/>
        <c:tickLblPos val="nextTo"/>
        <c:txPr>
          <a:bodyPr rot="-5400000" vert="horz"/>
          <a:lstStyle/>
          <a:p>
            <a:pPr>
              <a:defRPr b="1"/>
            </a:pPr>
            <a:endParaRPr lang="ru-RU"/>
          </a:p>
        </c:txPr>
        <c:crossAx val="108062592"/>
        <c:crossesAt val="0"/>
        <c:auto val="1"/>
        <c:lblAlgn val="ctr"/>
        <c:lblOffset val="100"/>
      </c:catAx>
      <c:valAx>
        <c:axId val="108062592"/>
        <c:scaling>
          <c:orientation val="minMax"/>
          <c:max val="140"/>
          <c:min val="80"/>
        </c:scaling>
        <c:axPos val="l"/>
        <c:numFmt formatCode="#,##0.00" sourceLinked="1"/>
        <c:tickLblPos val="nextTo"/>
        <c:txPr>
          <a:bodyPr/>
          <a:lstStyle/>
          <a:p>
            <a:pPr>
              <a:defRPr b="1"/>
            </a:pPr>
            <a:endParaRPr lang="ru-RU"/>
          </a:p>
        </c:txPr>
        <c:crossAx val="108061056"/>
        <c:crosses val="autoZero"/>
        <c:crossBetween val="between"/>
        <c:majorUnit val="20"/>
        <c:minorUnit val="20"/>
      </c:valAx>
      <c:serAx>
        <c:axId val="107367488"/>
        <c:scaling>
          <c:orientation val="minMax"/>
        </c:scaling>
        <c:delete val="1"/>
        <c:axPos val="b"/>
        <c:tickLblPos val="none"/>
        <c:crossAx val="108062592"/>
        <c:crosses val="autoZero"/>
      </c:serAx>
    </c:plotArea>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b="1"/>
              <a:t>январь - июнь 2016 год</a:t>
            </a:r>
          </a:p>
        </c:rich>
      </c:tx>
      <c:layout>
        <c:manualLayout>
          <c:xMode val="edge"/>
          <c:yMode val="edge"/>
          <c:x val="0.41432312786515302"/>
          <c:y val="0"/>
        </c:manualLayout>
      </c:layout>
      <c:spPr>
        <a:noFill/>
      </c:spPr>
    </c:title>
    <c:view3D>
      <c:rotY val="270"/>
      <c:perspective val="0"/>
    </c:view3D>
    <c:plotArea>
      <c:layout>
        <c:manualLayout>
          <c:layoutTarget val="inner"/>
          <c:xMode val="edge"/>
          <c:yMode val="edge"/>
          <c:x val="0.26978369083174947"/>
          <c:y val="0.18421052631578938"/>
          <c:w val="0.46342862314625394"/>
          <c:h val="0.29868987895501214"/>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24001268723584779"/>
                  <c:y val="-4.6837168609737784E-4"/>
                </c:manualLayout>
              </c:layout>
              <c:tx>
                <c:rich>
                  <a:bodyPr/>
                  <a:lstStyle/>
                  <a:p>
                    <a:r>
                      <a:rPr lang="ru-RU" sz="900"/>
                      <a:t>Торговля и общепит; 1897; 49,4%</a:t>
                    </a:r>
                  </a:p>
                </c:rich>
              </c:tx>
              <c:dLblPos val="bestFit"/>
              <c:showVal val="1"/>
              <c:showCatName val="1"/>
              <c:showPercent val="1"/>
              <c:separator>; </c:separator>
            </c:dLbl>
            <c:dLbl>
              <c:idx val="1"/>
              <c:layout>
                <c:manualLayout>
                  <c:x val="0.17844026294296597"/>
                  <c:y val="-5.9528779832753904E-2"/>
                </c:manualLayout>
              </c:layout>
              <c:tx>
                <c:rich>
                  <a:bodyPr/>
                  <a:lstStyle/>
                  <a:p>
                    <a:r>
                      <a:rPr lang="ru-RU" sz="900"/>
                      <a:t>Промышленность; 439; 11,4%</a:t>
                    </a:r>
                  </a:p>
                </c:rich>
              </c:tx>
              <c:dLblPos val="bestFit"/>
              <c:showVal val="1"/>
              <c:showCatName val="1"/>
              <c:showPercent val="1"/>
              <c:separator>; </c:separator>
            </c:dLbl>
            <c:dLbl>
              <c:idx val="2"/>
              <c:layout>
                <c:manualLayout>
                  <c:x val="0.15706480798661496"/>
                  <c:y val="0.10471545707949299"/>
                </c:manualLayout>
              </c:layout>
              <c:tx>
                <c:rich>
                  <a:bodyPr/>
                  <a:lstStyle/>
                  <a:p>
                    <a:r>
                      <a:rPr lang="ru-RU" sz="900"/>
                      <a:t>Сельское хозяйство; 331; 8,6%</a:t>
                    </a:r>
                  </a:p>
                </c:rich>
              </c:tx>
              <c:dLblPos val="bestFit"/>
              <c:showVal val="1"/>
              <c:showCatName val="1"/>
              <c:showPercent val="1"/>
              <c:separator>; </c:separator>
            </c:dLbl>
            <c:dLbl>
              <c:idx val="3"/>
              <c:layout>
                <c:manualLayout>
                  <c:x val="0.40551196961407554"/>
                  <c:y val="0.30293149402836272"/>
                </c:manualLayout>
              </c:layout>
              <c:tx>
                <c:rich>
                  <a:bodyPr/>
                  <a:lstStyle/>
                  <a:p>
                    <a:r>
                      <a:rPr lang="ru-RU" sz="900"/>
                      <a:t>Строительство; 259; 6,7%</a:t>
                    </a:r>
                  </a:p>
                </c:rich>
              </c:tx>
              <c:dLblPos val="bestFit"/>
              <c:showVal val="1"/>
              <c:showCatName val="1"/>
              <c:showPercent val="1"/>
              <c:separator>; </c:separator>
            </c:dLbl>
            <c:dLbl>
              <c:idx val="4"/>
              <c:layout>
                <c:manualLayout>
                  <c:x val="0.18511533490338036"/>
                  <c:y val="0.31404748825001538"/>
                </c:manualLayout>
              </c:layout>
              <c:tx>
                <c:rich>
                  <a:bodyPr/>
                  <a:lstStyle/>
                  <a:p>
                    <a:r>
                      <a:rPr lang="ru-RU" sz="900"/>
                      <a:t>Операции с недвижим. имущест.; 208; 5,4%</a:t>
                    </a:r>
                  </a:p>
                </c:rich>
              </c:tx>
              <c:dLblPos val="bestFit"/>
              <c:showVal val="1"/>
              <c:showCatName val="1"/>
              <c:showPercent val="1"/>
              <c:separator>; </c:separator>
            </c:dLbl>
            <c:dLbl>
              <c:idx val="5"/>
              <c:layout>
                <c:manualLayout>
                  <c:x val="3.3368064641466633E-2"/>
                  <c:y val="0.33456713259679749"/>
                </c:manualLayout>
              </c:layout>
              <c:tx>
                <c:rich>
                  <a:bodyPr/>
                  <a:lstStyle/>
                  <a:p>
                    <a:r>
                      <a:rPr lang="ru-RU" sz="900"/>
                      <a:t>Непроизв. виды бытового обслуж.; 92; 2,4%</a:t>
                    </a:r>
                  </a:p>
                </c:rich>
              </c:tx>
              <c:dLblPos val="bestFit"/>
              <c:showVal val="1"/>
              <c:showCatName val="1"/>
              <c:showPercent val="1"/>
              <c:separator>; </c:separator>
            </c:dLbl>
            <c:dLbl>
              <c:idx val="6"/>
              <c:layout>
                <c:manualLayout>
                  <c:x val="-0.11077035310163313"/>
                  <c:y val="0.16563714419418554"/>
                </c:manualLayout>
              </c:layout>
              <c:tx>
                <c:rich>
                  <a:bodyPr/>
                  <a:lstStyle/>
                  <a:p>
                    <a:r>
                      <a:rPr lang="ru-RU" sz="900"/>
                      <a:t>Общая коммер. деятельность; 116; 3,0%</a:t>
                    </a:r>
                  </a:p>
                </c:rich>
              </c:tx>
              <c:dLblPos val="bestFit"/>
              <c:showVal val="1"/>
              <c:showCatName val="1"/>
              <c:showPercent val="1"/>
              <c:separator>; </c:separator>
            </c:dLbl>
            <c:dLbl>
              <c:idx val="7"/>
              <c:layout>
                <c:manualLayout>
                  <c:x val="-0.12273917421953778"/>
                  <c:y val="-1.4180959938147311E-2"/>
                </c:manualLayout>
              </c:layout>
              <c:tx>
                <c:rich>
                  <a:bodyPr/>
                  <a:lstStyle/>
                  <a:p>
                    <a:r>
                      <a:rPr lang="ru-RU" sz="900"/>
                      <a:t>ЖКХ; 74; 1,9%</a:t>
                    </a:r>
                  </a:p>
                </c:rich>
              </c:tx>
              <c:dLblPos val="bestFit"/>
              <c:showVal val="1"/>
              <c:showCatName val="1"/>
              <c:showPercent val="1"/>
              <c:separator>; </c:separator>
            </c:dLbl>
            <c:dLbl>
              <c:idx val="8"/>
              <c:layout>
                <c:manualLayout>
                  <c:x val="-7.9251135904084502E-2"/>
                  <c:y val="-0.10968076664835502"/>
                </c:manualLayout>
              </c:layout>
              <c:tx>
                <c:rich>
                  <a:bodyPr/>
                  <a:lstStyle/>
                  <a:p>
                    <a:r>
                      <a:rPr lang="ru-RU" sz="900"/>
                      <a:t>Прочие; 425; 11,1%</a:t>
                    </a:r>
                  </a:p>
                </c:rich>
              </c:tx>
              <c:dLblPos val="bestFit"/>
              <c:showVal val="1"/>
              <c:showCatName val="1"/>
              <c:showPercent val="1"/>
              <c:separator>; </c:separator>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1897</c:v>
                </c:pt>
                <c:pt idx="1">
                  <c:v>439</c:v>
                </c:pt>
                <c:pt idx="2">
                  <c:v>331</c:v>
                </c:pt>
                <c:pt idx="3">
                  <c:v>259</c:v>
                </c:pt>
                <c:pt idx="4">
                  <c:v>208</c:v>
                </c:pt>
                <c:pt idx="5">
                  <c:v>92</c:v>
                </c:pt>
                <c:pt idx="6">
                  <c:v>116</c:v>
                </c:pt>
                <c:pt idx="7">
                  <c:v>74</c:v>
                </c:pt>
                <c:pt idx="8">
                  <c:v>425</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b="1"/>
              <a:t>январь - июнь 2015 года</a:t>
            </a:r>
          </a:p>
        </c:rich>
      </c:tx>
      <c:layout>
        <c:manualLayout>
          <c:xMode val="edge"/>
          <c:yMode val="edge"/>
          <c:x val="0.41432302270627386"/>
          <c:y val="0"/>
        </c:manualLayout>
      </c:layout>
      <c:spPr>
        <a:noFill/>
      </c:spPr>
    </c:title>
    <c:view3D>
      <c:rotY val="270"/>
      <c:perspective val="0"/>
    </c:view3D>
    <c:plotArea>
      <c:layout>
        <c:manualLayout>
          <c:layoutTarget val="inner"/>
          <c:xMode val="edge"/>
          <c:yMode val="edge"/>
          <c:x val="0.26443768996960876"/>
          <c:y val="0.22033898305084745"/>
          <c:w val="0.44376899696048638"/>
          <c:h val="0.24576271186440832"/>
        </c:manualLayout>
      </c:layout>
      <c:pie3DChart>
        <c:varyColors val="1"/>
        <c:ser>
          <c:idx val="0"/>
          <c:order val="0"/>
          <c:tx>
            <c:strRef>
              <c:f>Sheet1!$A$2</c:f>
              <c:strCache>
                <c:ptCount val="1"/>
                <c:pt idx="0">
                  <c:v>Восток</c:v>
                </c:pt>
              </c:strCache>
            </c:strRef>
          </c:tx>
          <c:spPr>
            <a:solidFill>
              <a:srgbClr val="9999FF"/>
            </a:solidFill>
            <a:ln w="16852">
              <a:solidFill>
                <a:srgbClr val="000000"/>
              </a:solidFill>
              <a:prstDash val="solid"/>
            </a:ln>
          </c:spPr>
          <c:explosion val="25"/>
          <c:dPt>
            <c:idx val="0"/>
            <c:spPr>
              <a:pattFill prst="pct10">
                <a:fgClr>
                  <a:srgbClr val="000000"/>
                </a:fgClr>
                <a:bgClr>
                  <a:srgbClr val="FFFFFF"/>
                </a:bgClr>
              </a:pattFill>
              <a:ln w="16852">
                <a:solidFill>
                  <a:srgbClr val="000000"/>
                </a:solidFill>
                <a:prstDash val="solid"/>
              </a:ln>
            </c:spPr>
          </c:dPt>
          <c:dPt>
            <c:idx val="1"/>
            <c:spPr>
              <a:pattFill prst="lgGrid">
                <a:fgClr>
                  <a:srgbClr val="000000"/>
                </a:fgClr>
                <a:bgClr>
                  <a:srgbClr val="FFFFFF"/>
                </a:bgClr>
              </a:pattFill>
              <a:ln w="16852">
                <a:solidFill>
                  <a:srgbClr val="000000"/>
                </a:solidFill>
                <a:prstDash val="solid"/>
              </a:ln>
            </c:spPr>
          </c:dPt>
          <c:dPt>
            <c:idx val="2"/>
            <c:spPr>
              <a:pattFill prst="dkVert">
                <a:fgClr>
                  <a:srgbClr val="000000"/>
                </a:fgClr>
                <a:bgClr>
                  <a:srgbClr val="FFFFFF"/>
                </a:bgClr>
              </a:pattFill>
              <a:ln w="16852">
                <a:solidFill>
                  <a:srgbClr val="000000"/>
                </a:solidFill>
                <a:prstDash val="solid"/>
              </a:ln>
            </c:spPr>
          </c:dPt>
          <c:dPt>
            <c:idx val="3"/>
            <c:spPr>
              <a:pattFill prst="dashVert">
                <a:fgClr>
                  <a:srgbClr val="000000"/>
                </a:fgClr>
                <a:bgClr>
                  <a:srgbClr val="FFFFFF"/>
                </a:bgClr>
              </a:pattFill>
              <a:ln w="16852">
                <a:solidFill>
                  <a:srgbClr val="000000"/>
                </a:solidFill>
                <a:prstDash val="solid"/>
              </a:ln>
            </c:spPr>
          </c:dPt>
          <c:dPt>
            <c:idx val="4"/>
            <c:spPr>
              <a:pattFill prst="lgConfetti">
                <a:fgClr>
                  <a:srgbClr val="000000"/>
                </a:fgClr>
                <a:bgClr>
                  <a:srgbClr val="FFFFFF"/>
                </a:bgClr>
              </a:pattFill>
              <a:ln w="16852">
                <a:solidFill>
                  <a:srgbClr val="000000"/>
                </a:solidFill>
                <a:prstDash val="solid"/>
              </a:ln>
            </c:spPr>
          </c:dPt>
          <c:dPt>
            <c:idx val="5"/>
            <c:spPr>
              <a:pattFill prst="zigZag">
                <a:fgClr>
                  <a:srgbClr val="000000"/>
                </a:fgClr>
                <a:bgClr>
                  <a:srgbClr val="FFFFFF"/>
                </a:bgClr>
              </a:pattFill>
              <a:ln w="16852">
                <a:solidFill>
                  <a:srgbClr val="000000"/>
                </a:solidFill>
                <a:prstDash val="solid"/>
              </a:ln>
            </c:spPr>
          </c:dPt>
          <c:dPt>
            <c:idx val="6"/>
            <c:spPr>
              <a:pattFill prst="sphere">
                <a:fgClr>
                  <a:srgbClr val="000000"/>
                </a:fgClr>
                <a:bgClr>
                  <a:srgbClr val="FFFFFF"/>
                </a:bgClr>
              </a:pattFill>
              <a:ln w="16852">
                <a:solidFill>
                  <a:srgbClr val="000000"/>
                </a:solidFill>
                <a:prstDash val="solid"/>
              </a:ln>
            </c:spPr>
          </c:dPt>
          <c:dPt>
            <c:idx val="7"/>
            <c:spPr>
              <a:pattFill prst="weave">
                <a:fgClr>
                  <a:srgbClr val="000000"/>
                </a:fgClr>
                <a:bgClr>
                  <a:srgbClr val="FFFFFF"/>
                </a:bgClr>
              </a:pattFill>
              <a:ln w="16852">
                <a:solidFill>
                  <a:srgbClr val="000000"/>
                </a:solidFill>
                <a:prstDash val="solid"/>
              </a:ln>
            </c:spPr>
          </c:dPt>
          <c:dPt>
            <c:idx val="8"/>
            <c:spPr>
              <a:pattFill prst="pct90">
                <a:fgClr>
                  <a:srgbClr val="000000"/>
                </a:fgClr>
                <a:bgClr>
                  <a:srgbClr val="FFFFFF"/>
                </a:bgClr>
              </a:pattFill>
              <a:ln w="16852">
                <a:solidFill>
                  <a:srgbClr val="000000"/>
                </a:solidFill>
                <a:prstDash val="solid"/>
              </a:ln>
            </c:spPr>
          </c:dPt>
          <c:dLbls>
            <c:dLbl>
              <c:idx val="0"/>
              <c:layout>
                <c:manualLayout>
                  <c:x val="-0.1916743186557856"/>
                  <c:y val="-4.6837168609737762E-4"/>
                </c:manualLayout>
              </c:layout>
              <c:tx>
                <c:rich>
                  <a:bodyPr/>
                  <a:lstStyle/>
                  <a:p>
                    <a:r>
                      <a:rPr lang="ru-RU" sz="896"/>
                      <a:t>Торговля и общепит; 1995; 48,1%</a:t>
                    </a:r>
                  </a:p>
                </c:rich>
              </c:tx>
              <c:dLblPos val="bestFit"/>
            </c:dLbl>
            <c:dLbl>
              <c:idx val="1"/>
              <c:layout>
                <c:manualLayout>
                  <c:x val="0.17844026294296653"/>
                  <c:y val="-5.9528779832753814E-2"/>
                </c:manualLayout>
              </c:layout>
              <c:tx>
                <c:rich>
                  <a:bodyPr/>
                  <a:lstStyle/>
                  <a:p>
                    <a:r>
                      <a:rPr lang="ru-RU" sz="896"/>
                      <a:t>Промышленность; 497; 12,0%</a:t>
                    </a:r>
                  </a:p>
                </c:rich>
              </c:tx>
              <c:dLblPos val="bestFit"/>
            </c:dLbl>
            <c:dLbl>
              <c:idx val="2"/>
              <c:layout>
                <c:manualLayout>
                  <c:x val="0.15706480798661496"/>
                  <c:y val="0.10471545707949299"/>
                </c:manualLayout>
              </c:layout>
              <c:tx>
                <c:rich>
                  <a:bodyPr/>
                  <a:lstStyle/>
                  <a:p>
                    <a:r>
                      <a:rPr lang="ru-RU" sz="896"/>
                      <a:t>Сельское хозяйство; 315; 7,6%</a:t>
                    </a:r>
                  </a:p>
                </c:rich>
              </c:tx>
              <c:dLblPos val="bestFit"/>
            </c:dLbl>
            <c:dLbl>
              <c:idx val="3"/>
              <c:layout>
                <c:manualLayout>
                  <c:x val="0.40551196961407654"/>
                  <c:y val="0.30293149402836272"/>
                </c:manualLayout>
              </c:layout>
              <c:tx>
                <c:rich>
                  <a:bodyPr/>
                  <a:lstStyle/>
                  <a:p>
                    <a:r>
                      <a:rPr lang="ru-RU" sz="896"/>
                      <a:t>Строительство; 306; 7,4%</a:t>
                    </a:r>
                  </a:p>
                </c:rich>
              </c:tx>
              <c:dLblPos val="bestFit"/>
            </c:dLbl>
            <c:dLbl>
              <c:idx val="4"/>
              <c:layout>
                <c:manualLayout>
                  <c:x val="0.18511533490338064"/>
                  <c:y val="0.31404748825001538"/>
                </c:manualLayout>
              </c:layout>
              <c:tx>
                <c:rich>
                  <a:bodyPr/>
                  <a:lstStyle/>
                  <a:p>
                    <a:r>
                      <a:rPr lang="ru-RU" sz="896"/>
                      <a:t>Операции с недвижим. имущест.; 254; 6,1%</a:t>
                    </a:r>
                  </a:p>
                </c:rich>
              </c:tx>
              <c:dLblPos val="bestFit"/>
            </c:dLbl>
            <c:dLbl>
              <c:idx val="5"/>
              <c:layout>
                <c:manualLayout>
                  <c:x val="3.3368052901154348E-2"/>
                  <c:y val="0.32420173314044787"/>
                </c:manualLayout>
              </c:layout>
              <c:tx>
                <c:rich>
                  <a:bodyPr/>
                  <a:lstStyle/>
                  <a:p>
                    <a:r>
                      <a:rPr lang="ru-RU" sz="896"/>
                      <a:t>Непроизв. виды бытового обслуж.; 100; 2,4%</a:t>
                    </a:r>
                  </a:p>
                </c:rich>
              </c:tx>
              <c:dLblPos val="bestFit"/>
            </c:dLbl>
            <c:dLbl>
              <c:idx val="6"/>
              <c:layout>
                <c:manualLayout>
                  <c:x val="-0.11077035310163277"/>
                  <c:y val="0.1656371441941854"/>
                </c:manualLayout>
              </c:layout>
              <c:tx>
                <c:rich>
                  <a:bodyPr/>
                  <a:lstStyle/>
                  <a:p>
                    <a:r>
                      <a:rPr lang="ru-RU" sz="896"/>
                      <a:t>Общая коммер. деятельность; 130; 3,1%</a:t>
                    </a:r>
                  </a:p>
                </c:rich>
              </c:tx>
              <c:dLblPos val="bestFit"/>
            </c:dLbl>
            <c:dLbl>
              <c:idx val="7"/>
              <c:layout>
                <c:manualLayout>
                  <c:x val="-0.12273917421953801"/>
                  <c:y val="-1.4180959938147301E-2"/>
                </c:manualLayout>
              </c:layout>
              <c:tx>
                <c:rich>
                  <a:bodyPr/>
                  <a:lstStyle/>
                  <a:p>
                    <a:r>
                      <a:rPr lang="ru-RU" sz="896"/>
                      <a:t>ЖКХ; 77; 1,9%</a:t>
                    </a:r>
                  </a:p>
                </c:rich>
              </c:tx>
              <c:dLblPos val="bestFit"/>
            </c:dLbl>
            <c:dLbl>
              <c:idx val="8"/>
              <c:layout>
                <c:manualLayout>
                  <c:x val="-7.9251135904084502E-2"/>
                  <c:y val="-0.10968076664835502"/>
                </c:manualLayout>
              </c:layout>
              <c:tx>
                <c:rich>
                  <a:bodyPr/>
                  <a:lstStyle/>
                  <a:p>
                    <a:r>
                      <a:rPr lang="ru-RU" sz="896"/>
                      <a:t>Прочие; 474; 11,4%</a:t>
                    </a:r>
                  </a:p>
                </c:rich>
              </c:tx>
              <c:dLblPos val="bestFit"/>
            </c:dLbl>
            <c:numFmt formatCode="0.0%" sourceLinked="0"/>
            <c:spPr>
              <a:solidFill>
                <a:srgbClr val="FFFFFF"/>
              </a:solidFill>
              <a:ln w="33770">
                <a:noFill/>
              </a:ln>
            </c:spPr>
            <c:txPr>
              <a:bodyPr/>
              <a:lstStyle/>
              <a:p>
                <a:pPr>
                  <a:defRPr sz="896"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1995</c:v>
                </c:pt>
                <c:pt idx="1">
                  <c:v>497</c:v>
                </c:pt>
                <c:pt idx="2">
                  <c:v>315</c:v>
                </c:pt>
                <c:pt idx="3">
                  <c:v>306</c:v>
                </c:pt>
                <c:pt idx="4">
                  <c:v>254</c:v>
                </c:pt>
                <c:pt idx="5">
                  <c:v>100</c:v>
                </c:pt>
                <c:pt idx="6">
                  <c:v>130</c:v>
                </c:pt>
                <c:pt idx="7">
                  <c:v>77</c:v>
                </c:pt>
                <c:pt idx="8">
                  <c:v>474</c:v>
                </c:pt>
              </c:numCache>
            </c:numRef>
          </c:val>
        </c:ser>
        <c:dLbls>
          <c:showVal val="1"/>
          <c:showCatName val="1"/>
          <c:showPercent val="1"/>
          <c:separator>; </c:separator>
        </c:dLbls>
      </c:pie3DChart>
      <c:spPr>
        <a:solidFill>
          <a:srgbClr val="FFFFFF"/>
        </a:solidFill>
        <a:ln w="33705">
          <a:noFill/>
        </a:ln>
      </c:spPr>
    </c:plotArea>
    <c:plotVisOnly val="1"/>
    <c:dispBlanksAs val="zero"/>
  </c:chart>
  <c:spPr>
    <a:noFill/>
    <a:ln>
      <a:noFill/>
    </a:ln>
  </c:spPr>
  <c:txPr>
    <a:bodyPr/>
    <a:lstStyle/>
    <a:p>
      <a:pPr>
        <a:defRPr sz="931" b="0" i="0" u="none" strike="noStrike" baseline="0">
          <a:solidFill>
            <a:srgbClr val="000000"/>
          </a:solidFill>
          <a:latin typeface="Times New Roman"/>
          <a:ea typeface="Times New Roman"/>
          <a:cs typeface="Times New Roman"/>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pPr>
            <a:r>
              <a:rPr lang="ru-RU" sz="1200"/>
              <a:t>Товарная структура импорта ПМР, млн. долл. США</a:t>
            </a:r>
          </a:p>
        </c:rich>
      </c:tx>
      <c:layout>
        <c:manualLayout>
          <c:xMode val="edge"/>
          <c:yMode val="edge"/>
          <c:x val="0.20873792195533941"/>
          <c:y val="5.6755808749712738E-3"/>
        </c:manualLayout>
      </c:layout>
      <c:spPr>
        <a:noFill/>
        <a:ln w="28727">
          <a:noFill/>
        </a:ln>
      </c:spPr>
    </c:title>
    <c:plotArea>
      <c:layout>
        <c:manualLayout>
          <c:layoutTarget val="inner"/>
          <c:xMode val="edge"/>
          <c:yMode val="edge"/>
          <c:x val="6.4038461538462113E-2"/>
          <c:y val="0.10118998685984135"/>
          <c:w val="0.96291208791208749"/>
          <c:h val="0.34117860829148355"/>
        </c:manualLayout>
      </c:layout>
      <c:barChart>
        <c:barDir val="col"/>
        <c:grouping val="clustered"/>
        <c:ser>
          <c:idx val="0"/>
          <c:order val="0"/>
          <c:tx>
            <c:strRef>
              <c:f>Sheet1!$A$2</c:f>
              <c:strCache>
                <c:ptCount val="1"/>
                <c:pt idx="0">
                  <c:v>январь - июнь 2015 г.</c:v>
                </c:pt>
              </c:strCache>
            </c:strRef>
          </c:tx>
          <c:dLbls>
            <c:dLbl>
              <c:idx val="0"/>
              <c:layout>
                <c:manualLayout>
                  <c:x val="-5.146938139947899E-3"/>
                  <c:y val="2.3060336786534442E-2"/>
                </c:manualLayout>
              </c:layout>
              <c:tx>
                <c:rich>
                  <a:bodyPr/>
                  <a:lstStyle/>
                  <a:p>
                    <a:r>
                      <a:rPr lang="ru-RU" sz="1000"/>
                      <a:t>57,0*</a:t>
                    </a:r>
                    <a:endParaRPr lang="en-US" sz="1000"/>
                  </a:p>
                </c:rich>
              </c:tx>
              <c:dLblPos val="outEnd"/>
            </c:dLbl>
            <c:dLbl>
              <c:idx val="1"/>
              <c:layout>
                <c:manualLayout>
                  <c:x val="-1.5731287177619545E-3"/>
                  <c:y val="2.0290865281184192E-2"/>
                </c:manualLayout>
              </c:layout>
              <c:tx>
                <c:rich>
                  <a:bodyPr/>
                  <a:lstStyle/>
                  <a:p>
                    <a:r>
                      <a:rPr lang="ru-RU" sz="1000"/>
                      <a:t>10,2*</a:t>
                    </a:r>
                    <a:endParaRPr lang="en-US" sz="1000"/>
                  </a:p>
                </c:rich>
              </c:tx>
              <c:dLblPos val="outEnd"/>
            </c:dLbl>
            <c:dLbl>
              <c:idx val="2"/>
              <c:layout>
                <c:manualLayout>
                  <c:x val="-1.3042927798846641E-3"/>
                  <c:y val="1.8925405541558367E-2"/>
                </c:manualLayout>
              </c:layout>
              <c:tx>
                <c:rich>
                  <a:bodyPr/>
                  <a:lstStyle/>
                  <a:p>
                    <a:r>
                      <a:rPr lang="ru-RU" sz="1000"/>
                      <a:t>7,6*</a:t>
                    </a:r>
                    <a:endParaRPr lang="en-US" sz="1000"/>
                  </a:p>
                </c:rich>
              </c:tx>
              <c:dLblPos val="outEnd"/>
            </c:dLbl>
            <c:dLbl>
              <c:idx val="3"/>
              <c:layout>
                <c:manualLayout>
                  <c:x val="-4.1449626488996565E-3"/>
                  <c:y val="1.1628763795829869E-2"/>
                </c:manualLayout>
              </c:layout>
              <c:tx>
                <c:rich>
                  <a:bodyPr/>
                  <a:lstStyle/>
                  <a:p>
                    <a:r>
                      <a:rPr lang="ru-RU" sz="1000"/>
                      <a:t>9,6*</a:t>
                    </a:r>
                    <a:endParaRPr lang="en-US" sz="1000"/>
                  </a:p>
                </c:rich>
              </c:tx>
              <c:dLblPos val="outEnd"/>
            </c:dLbl>
            <c:dLbl>
              <c:idx val="4"/>
              <c:layout>
                <c:manualLayout>
                  <c:x val="1.2039404165388417E-3"/>
                  <c:y val="3.9873514104252416E-3"/>
                </c:manualLayout>
              </c:layout>
              <c:tx>
                <c:rich>
                  <a:bodyPr/>
                  <a:lstStyle/>
                  <a:p>
                    <a:r>
                      <a:rPr lang="ru-RU" sz="1000"/>
                      <a:t>3,3*</a:t>
                    </a:r>
                    <a:endParaRPr lang="en-US" sz="1000"/>
                  </a:p>
                </c:rich>
              </c:tx>
              <c:dLblPos val="outEnd"/>
            </c:dLbl>
            <c:dLbl>
              <c:idx val="5"/>
              <c:layout>
                <c:manualLayout>
                  <c:x val="-1.5628511428054401E-3"/>
                  <c:y val="1.9837695311139061E-2"/>
                </c:manualLayout>
              </c:layout>
              <c:tx>
                <c:rich>
                  <a:bodyPr/>
                  <a:lstStyle/>
                  <a:p>
                    <a:r>
                      <a:rPr lang="ru-RU" sz="1000" b="1"/>
                      <a:t>12,3*</a:t>
                    </a:r>
                    <a:endParaRPr lang="en-US" sz="1000" b="1"/>
                  </a:p>
                </c:rich>
              </c:tx>
              <c:dLblPos val="outEnd"/>
            </c:dLbl>
            <c:dLbl>
              <c:idx val="6"/>
              <c:layout>
                <c:manualLayout>
                  <c:x val="-7.5617342090612003E-4"/>
                  <c:y val="1.6455402091132061E-2"/>
                </c:manualLayout>
              </c:layout>
              <c:tx>
                <c:rich>
                  <a:bodyPr/>
                  <a:lstStyle/>
                  <a:p>
                    <a:r>
                      <a:rPr lang="ru-RU" sz="1000" b="1"/>
                      <a:t>8</a:t>
                    </a:r>
                    <a:r>
                      <a:rPr lang="en-US" sz="1000" b="1"/>
                      <a:t>,2</a:t>
                    </a:r>
                  </a:p>
                </c:rich>
              </c:tx>
              <c:dLblPos val="outEnd"/>
            </c:dLbl>
            <c:dLbl>
              <c:idx val="7"/>
              <c:layout>
                <c:manualLayout>
                  <c:xMode val="edge"/>
                  <c:yMode val="edge"/>
                  <c:x val="0.72802197802197965"/>
                  <c:y val="0.43750000000000488"/>
                </c:manualLayout>
              </c:layout>
              <c:dLblPos val="outEnd"/>
              <c:showVal val="1"/>
            </c:dLbl>
            <c:spPr>
              <a:noFill/>
              <a:ln w="28727">
                <a:noFill/>
              </a:ln>
            </c:spPr>
            <c:txPr>
              <a:bodyPr rot="0" vert="horz" anchor="ctr" anchorCtr="0"/>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Sheet1!$B$2:$G$2</c:f>
              <c:numCache>
                <c:formatCode>0.0</c:formatCode>
                <c:ptCount val="6"/>
                <c:pt idx="0">
                  <c:v>351.59799999999899</c:v>
                </c:pt>
                <c:pt idx="1">
                  <c:v>63.166000000000011</c:v>
                </c:pt>
                <c:pt idx="2">
                  <c:v>46.838000000000001</c:v>
                </c:pt>
                <c:pt idx="3">
                  <c:v>58.984000000000002</c:v>
                </c:pt>
                <c:pt idx="4">
                  <c:v>20.431000000000001</c:v>
                </c:pt>
                <c:pt idx="5">
                  <c:v>75.859999999999843</c:v>
                </c:pt>
              </c:numCache>
            </c:numRef>
          </c:val>
        </c:ser>
        <c:ser>
          <c:idx val="1"/>
          <c:order val="1"/>
          <c:tx>
            <c:strRef>
              <c:f>Sheet1!$A$3</c:f>
              <c:strCache>
                <c:ptCount val="1"/>
                <c:pt idx="0">
                  <c:v>январь - июнь 2016 г.</c:v>
                </c:pt>
              </c:strCache>
            </c:strRef>
          </c:tx>
          <c:dLbls>
            <c:dLbl>
              <c:idx val="0"/>
              <c:layout>
                <c:manualLayout>
                  <c:x val="5.2558529061472684E-3"/>
                  <c:y val="6.0188774629529422E-3"/>
                </c:manualLayout>
              </c:layout>
              <c:tx>
                <c:rich>
                  <a:bodyPr/>
                  <a:lstStyle/>
                  <a:p>
                    <a:r>
                      <a:rPr lang="ru-RU" sz="1000"/>
                      <a:t>51,2*</a:t>
                    </a:r>
                    <a:endParaRPr lang="en-US" sz="1000"/>
                  </a:p>
                </c:rich>
              </c:tx>
              <c:dLblPos val="outEnd"/>
            </c:dLbl>
            <c:dLbl>
              <c:idx val="1"/>
              <c:layout>
                <c:manualLayout>
                  <c:x val="9.1876075299207279E-4"/>
                  <c:y val="1.6703670237941701E-2"/>
                </c:manualLayout>
              </c:layout>
              <c:tx>
                <c:rich>
                  <a:bodyPr/>
                  <a:lstStyle/>
                  <a:p>
                    <a:r>
                      <a:rPr lang="ru-RU" sz="1000"/>
                      <a:t>6,9*</a:t>
                    </a:r>
                    <a:endParaRPr lang="en-US" sz="1000"/>
                  </a:p>
                </c:rich>
              </c:tx>
              <c:dLblPos val="outEnd"/>
            </c:dLbl>
            <c:dLbl>
              <c:idx val="2"/>
              <c:layout>
                <c:manualLayout>
                  <c:x val="7.8853360982597022E-3"/>
                  <c:y val="1.2483689461698441E-2"/>
                </c:manualLayout>
              </c:layout>
              <c:tx>
                <c:rich>
                  <a:bodyPr/>
                  <a:lstStyle/>
                  <a:p>
                    <a:r>
                      <a:rPr lang="ru-RU" sz="1000" b="1"/>
                      <a:t>10,2*</a:t>
                    </a:r>
                    <a:endParaRPr lang="en-US" sz="1000" b="1"/>
                  </a:p>
                </c:rich>
              </c:tx>
              <c:dLblPos val="outEnd"/>
            </c:dLbl>
            <c:dLbl>
              <c:idx val="3"/>
              <c:layout>
                <c:manualLayout>
                  <c:x val="7.6797816540875134E-3"/>
                  <c:y val="1.7186868034938303E-2"/>
                </c:manualLayout>
              </c:layout>
              <c:tx>
                <c:rich>
                  <a:bodyPr/>
                  <a:lstStyle/>
                  <a:p>
                    <a:r>
                      <a:rPr lang="ru-RU" sz="1000"/>
                      <a:t>9,1*</a:t>
                    </a:r>
                    <a:endParaRPr lang="en-US" sz="1000"/>
                  </a:p>
                </c:rich>
              </c:tx>
              <c:dLblPos val="outEnd"/>
            </c:dLbl>
            <c:dLbl>
              <c:idx val="4"/>
              <c:layout>
                <c:manualLayout>
                  <c:x val="1.0924639230358713E-2"/>
                  <c:y val="4.8544624769320784E-3"/>
                </c:manualLayout>
              </c:layout>
              <c:tx>
                <c:rich>
                  <a:bodyPr/>
                  <a:lstStyle/>
                  <a:p>
                    <a:r>
                      <a:rPr lang="ru-RU" sz="1000"/>
                      <a:t>6,6*</a:t>
                    </a:r>
                    <a:endParaRPr lang="en-US" sz="1000"/>
                  </a:p>
                </c:rich>
              </c:tx>
              <c:dLblPos val="outEnd"/>
            </c:dLbl>
            <c:dLbl>
              <c:idx val="5"/>
              <c:layout>
                <c:manualLayout>
                  <c:x val="1.6322401175000143E-2"/>
                  <c:y val="9.2570991388661768E-3"/>
                </c:manualLayout>
              </c:layout>
              <c:tx>
                <c:rich>
                  <a:bodyPr/>
                  <a:lstStyle/>
                  <a:p>
                    <a:r>
                      <a:rPr lang="ru-RU" sz="1000"/>
                      <a:t>16,0*</a:t>
                    </a:r>
                    <a:endParaRPr lang="en-US" sz="1000"/>
                  </a:p>
                </c:rich>
              </c:tx>
              <c:dLblPos val="outEnd"/>
            </c:dLbl>
            <c:dLbl>
              <c:idx val="6"/>
              <c:layout>
                <c:manualLayout>
                  <c:x val="4.0251667106205027E-3"/>
                  <c:y val="1.0088636461425918E-2"/>
                </c:manualLayout>
              </c:layout>
              <c:tx>
                <c:rich>
                  <a:bodyPr/>
                  <a:lstStyle/>
                  <a:p>
                    <a:r>
                      <a:rPr lang="en-US" sz="1000" b="1"/>
                      <a:t>9,</a:t>
                    </a:r>
                    <a:r>
                      <a:rPr lang="ru-RU" sz="1000" b="1"/>
                      <a:t>6</a:t>
                    </a:r>
                    <a:endParaRPr lang="en-US" sz="1000" b="1"/>
                  </a:p>
                </c:rich>
              </c:tx>
              <c:dLblPos val="outEnd"/>
            </c:dLbl>
            <c:dLbl>
              <c:idx val="7"/>
              <c:layout>
                <c:manualLayout>
                  <c:xMode val="edge"/>
                  <c:yMode val="edge"/>
                  <c:x val="0.75274725274725274"/>
                  <c:y val="0.48214285714289573"/>
                </c:manualLayout>
              </c:layout>
              <c:dLblPos val="outEnd"/>
              <c:showVal val="1"/>
            </c:dLbl>
            <c:spPr>
              <a:noFill/>
              <a:ln w="28727">
                <a:noFill/>
              </a:ln>
            </c:spPr>
            <c:txPr>
              <a:bodyPr rot="0" vert="horz"/>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Sheet1!$B$3:$G$3</c:f>
              <c:numCache>
                <c:formatCode>0.0</c:formatCode>
                <c:ptCount val="6"/>
                <c:pt idx="0">
                  <c:v>216.70299999999997</c:v>
                </c:pt>
                <c:pt idx="1">
                  <c:v>29.206</c:v>
                </c:pt>
                <c:pt idx="2">
                  <c:v>43.053000000000004</c:v>
                </c:pt>
                <c:pt idx="3">
                  <c:v>38.709000000000003</c:v>
                </c:pt>
                <c:pt idx="4">
                  <c:v>27.899000000000001</c:v>
                </c:pt>
                <c:pt idx="5">
                  <c:v>67.675999999999959</c:v>
                </c:pt>
              </c:numCache>
            </c:numRef>
          </c:val>
        </c:ser>
        <c:gapWidth val="160"/>
        <c:axId val="97000448"/>
        <c:axId val="96944896"/>
      </c:barChart>
      <c:catAx>
        <c:axId val="97000448"/>
        <c:scaling>
          <c:orientation val="minMax"/>
        </c:scaling>
        <c:axPos val="b"/>
        <c:numFmt formatCode="General" sourceLinked="1"/>
        <c:tickLblPos val="low"/>
        <c:txPr>
          <a:bodyPr rot="-5400000" vert="horz"/>
          <a:lstStyle/>
          <a:p>
            <a:pPr>
              <a:defRPr sz="900" b="1"/>
            </a:pPr>
            <a:endParaRPr lang="ru-RU"/>
          </a:p>
        </c:txPr>
        <c:crossAx val="96944896"/>
        <c:crosses val="autoZero"/>
        <c:lblAlgn val="ctr"/>
        <c:lblOffset val="160"/>
        <c:tickLblSkip val="1"/>
        <c:tickMarkSkip val="1"/>
      </c:catAx>
      <c:valAx>
        <c:axId val="96944896"/>
        <c:scaling>
          <c:orientation val="minMax"/>
          <c:max val="400"/>
        </c:scaling>
        <c:axPos val="l"/>
        <c:title>
          <c:tx>
            <c:rich>
              <a:bodyPr rot="0" vert="horz"/>
              <a:lstStyle/>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*-удельный</a:t>
                </a:r>
              </a:p>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 вес в общем </a:t>
                </a:r>
              </a:p>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объеме импорта,%</a:t>
                </a:r>
              </a:p>
            </c:rich>
          </c:tx>
          <c:layout>
            <c:manualLayout>
              <c:xMode val="edge"/>
              <c:yMode val="edge"/>
              <c:x val="0.83865758540200652"/>
              <c:y val="6.6576571950317034E-2"/>
            </c:manualLayout>
          </c:layout>
          <c:spPr>
            <a:noFill/>
            <a:ln w="28727">
              <a:noFill/>
            </a:ln>
          </c:spPr>
        </c:title>
        <c:numFmt formatCode="0.0" sourceLinked="1"/>
        <c:tickLblPos val="nextTo"/>
        <c:txPr>
          <a:bodyPr rot="0" vert="horz"/>
          <a:lstStyle/>
          <a:p>
            <a:pPr>
              <a:defRPr b="1"/>
            </a:pPr>
            <a:endParaRPr lang="ru-RU"/>
          </a:p>
        </c:txPr>
        <c:crossAx val="97000448"/>
        <c:crosses val="autoZero"/>
        <c:crossBetween val="between"/>
      </c:valAx>
    </c:plotArea>
    <c:legend>
      <c:legendPos val="r"/>
      <c:layout>
        <c:manualLayout>
          <c:xMode val="edge"/>
          <c:yMode val="edge"/>
          <c:x val="8.1971350574403565E-2"/>
          <c:y val="0.93962291071669124"/>
          <c:w val="0.87296413539101581"/>
          <c:h val="6.0377089283308823E-2"/>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Динамика оплаты труда в разрезе отраслей экономики, руб. ПМР</a:t>
            </a:r>
          </a:p>
        </c:rich>
      </c:tx>
      <c:layout>
        <c:manualLayout>
          <c:xMode val="edge"/>
          <c:yMode val="edge"/>
          <c:x val="0.17390464947862391"/>
          <c:y val="2.1721703391727196E-3"/>
        </c:manualLayout>
      </c:layout>
      <c:spPr>
        <a:noFill/>
      </c:spPr>
    </c:title>
    <c:plotArea>
      <c:layout>
        <c:manualLayout>
          <c:layoutTarget val="inner"/>
          <c:xMode val="edge"/>
          <c:yMode val="edge"/>
          <c:x val="6.7541720075688219E-2"/>
          <c:y val="6.3207909517231889E-2"/>
          <c:w val="0.93245827992431152"/>
          <c:h val="0.37346906636670607"/>
        </c:manualLayout>
      </c:layout>
      <c:lineChart>
        <c:grouping val="standard"/>
        <c:ser>
          <c:idx val="0"/>
          <c:order val="0"/>
          <c:tx>
            <c:strRef>
              <c:f>Sheet1!$A$2</c:f>
              <c:strCache>
                <c:ptCount val="1"/>
                <c:pt idx="0">
                  <c:v>I полугодие 2015 года</c:v>
                </c:pt>
              </c:strCache>
            </c:strRef>
          </c:tx>
          <c:marker>
            <c:symbol val="none"/>
          </c:marker>
          <c:dLbls>
            <c:dLbl>
              <c:idx val="0"/>
              <c:layout>
                <c:manualLayout>
                  <c:x val="-3.975796048749735E-2"/>
                  <c:y val="6.126015027016074E-2"/>
                </c:manualLayout>
              </c:layout>
              <c:showVal val="1"/>
            </c:dLbl>
            <c:dLbl>
              <c:idx val="1"/>
              <c:layout>
                <c:manualLayout>
                  <c:x val="-4.4653929886671426E-2"/>
                  <c:y val="-4.6418883569202075E-2"/>
                </c:manualLayout>
              </c:layout>
              <c:showVal val="1"/>
            </c:dLbl>
            <c:dLbl>
              <c:idx val="2"/>
              <c:layout>
                <c:manualLayout>
                  <c:x val="-6.9226067671773583E-2"/>
                  <c:y val="-2.0478815776168845E-2"/>
                </c:manualLayout>
              </c:layout>
              <c:showVal val="1"/>
            </c:dLbl>
            <c:dLbl>
              <c:idx val="3"/>
              <c:layout>
                <c:manualLayout>
                  <c:x val="-6.7289588801399819E-2"/>
                  <c:y val="-2.0894718562189881E-2"/>
                </c:manualLayout>
              </c:layout>
              <c:showVal val="1"/>
            </c:dLbl>
            <c:dLbl>
              <c:idx val="4"/>
              <c:layout>
                <c:manualLayout>
                  <c:x val="-1.2490182913182367E-2"/>
                  <c:y val="-1.4382498670078301E-2"/>
                </c:manualLayout>
              </c:layout>
              <c:showVal val="1"/>
            </c:dLbl>
            <c:dLbl>
              <c:idx val="5"/>
              <c:layout>
                <c:manualLayout>
                  <c:x val="-2.025514252578909E-2"/>
                  <c:y val="-2.0506073675464049E-2"/>
                </c:manualLayout>
              </c:layout>
              <c:showVal val="1"/>
            </c:dLbl>
            <c:dLbl>
              <c:idx val="6"/>
              <c:layout>
                <c:manualLayout>
                  <c:x val="-8.8457547457730708E-3"/>
                  <c:y val="-2.8170159634568277E-3"/>
                </c:manualLayout>
              </c:layout>
              <c:showVal val="1"/>
            </c:dLbl>
            <c:dLbl>
              <c:idx val="7"/>
              <c:layout>
                <c:manualLayout>
                  <c:x val="-5.4967222120491002E-2"/>
                  <c:y val="-1.0036842128402298E-2"/>
                </c:manualLayout>
              </c:layout>
              <c:showVal val="1"/>
            </c:dLbl>
            <c:dLbl>
              <c:idx val="8"/>
              <c:layout>
                <c:manualLayout>
                  <c:x val="-1.5733219394087401E-2"/>
                  <c:y val="-2.6106912515332602E-2"/>
                </c:manualLayout>
              </c:layout>
              <c:showVal val="1"/>
            </c:dLbl>
            <c:dLbl>
              <c:idx val="9"/>
              <c:layout>
                <c:manualLayout>
                  <c:x val="-8.5303709129382094E-2"/>
                  <c:y val="-1.0574086530640936E-2"/>
                </c:manualLayout>
              </c:layout>
              <c:showVal val="1"/>
            </c:dLbl>
            <c:dLbl>
              <c:idx val="10"/>
              <c:layout>
                <c:manualLayout>
                  <c:x val="-8.5637551120063909E-2"/>
                  <c:y val="2.4721156086645211E-3"/>
                </c:manualLayout>
              </c:layout>
              <c:showVal val="1"/>
            </c:dLbl>
            <c:dLbl>
              <c:idx val="11"/>
              <c:layout>
                <c:manualLayout>
                  <c:x val="-7.3787218458157874E-2"/>
                  <c:y val="1.2265834861094624E-2"/>
                </c:manualLayout>
              </c:layout>
              <c:showVal val="1"/>
            </c:dLbl>
            <c:dLbl>
              <c:idx val="12"/>
              <c:layout>
                <c:manualLayout>
                  <c:x val="-3.3690687114137377E-2"/>
                  <c:y val="-1.9821871638890289E-2"/>
                </c:manualLayout>
              </c:layout>
              <c:showVal val="1"/>
            </c:dLbl>
            <c:dLbl>
              <c:idx val="13"/>
              <c:layout>
                <c:manualLayout>
                  <c:x val="-5.2657836375104294E-3"/>
                  <c:y val="-1.3221619910576505E-2"/>
                </c:manualLayout>
              </c:layout>
              <c:showVal val="1"/>
            </c:dLbl>
            <c:dLbl>
              <c:idx val="14"/>
              <c:layout>
                <c:manualLayout>
                  <c:x val="-8.4719038027223345E-2"/>
                  <c:y val="1.0876341462342332E-2"/>
                </c:manualLayout>
              </c:layout>
              <c:showVal val="1"/>
            </c:dLbl>
            <c:dLbl>
              <c:idx val="15"/>
              <c:layout>
                <c:manualLayout>
                  <c:x val="-2.9902541252110931E-2"/>
                  <c:y val="-2.0990560853260176E-2"/>
                </c:manualLayout>
              </c:layout>
              <c:showVal val="1"/>
            </c:dLbl>
            <c:dLbl>
              <c:idx val="16"/>
              <c:layout>
                <c:manualLayout>
                  <c:x val="-9.7654072310729267E-3"/>
                  <c:y val="-1.2303864027046871E-2"/>
                </c:manualLayout>
              </c:layout>
              <c:showVal val="1"/>
            </c:dLbl>
            <c:dLbl>
              <c:idx val="17"/>
              <c:layout>
                <c:manualLayout>
                  <c:x val="-7.9522594559401472E-2"/>
                  <c:y val="1.6402880544454625E-2"/>
                </c:manualLayout>
              </c:layout>
              <c:showVal val="1"/>
            </c:dLbl>
            <c:dLbl>
              <c:idx val="18"/>
              <c:layout>
                <c:manualLayout>
                  <c:x val="-2.5074772630165533E-2"/>
                  <c:y val="-1.3116764926996898E-3"/>
                </c:manualLayout>
              </c:layout>
              <c:showVal val="1"/>
            </c:dLbl>
            <c:dLbl>
              <c:idx val="19"/>
              <c:layout>
                <c:manualLayout>
                  <c:x val="-2.9930518439337254E-2"/>
                  <c:y val="1.5657818232210161E-2"/>
                </c:manualLayout>
              </c:layout>
              <c:dLblPos val="r"/>
              <c:showVal val="1"/>
            </c:dLbl>
            <c:txPr>
              <a:bodyPr/>
              <a:lstStyle/>
              <a:p>
                <a:pPr>
                  <a:defRPr sz="1000"/>
                </a:pPr>
                <a:endParaRPr lang="ru-RU"/>
              </a:p>
            </c:txPr>
            <c:dLblPos val="t"/>
            <c:showVal val="1"/>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Sheet1!$B$2:$T$2</c:f>
              <c:numCache>
                <c:formatCode>0.0</c:formatCode>
                <c:ptCount val="19"/>
                <c:pt idx="0">
                  <c:v>2970.1</c:v>
                </c:pt>
                <c:pt idx="1">
                  <c:v>2615.5</c:v>
                </c:pt>
                <c:pt idx="2">
                  <c:v>3074.2</c:v>
                </c:pt>
                <c:pt idx="3">
                  <c:v>3460.1</c:v>
                </c:pt>
                <c:pt idx="4">
                  <c:v>3200.7</c:v>
                </c:pt>
                <c:pt idx="5">
                  <c:v>2581.1999999999998</c:v>
                </c:pt>
                <c:pt idx="6">
                  <c:v>2113.9</c:v>
                </c:pt>
                <c:pt idx="7">
                  <c:v>4183.3</c:v>
                </c:pt>
                <c:pt idx="8">
                  <c:v>3896.1</c:v>
                </c:pt>
                <c:pt idx="9">
                  <c:v>3157.8</c:v>
                </c:pt>
                <c:pt idx="10">
                  <c:v>3579.8</c:v>
                </c:pt>
                <c:pt idx="11">
                  <c:v>3126.4</c:v>
                </c:pt>
                <c:pt idx="12">
                  <c:v>2993</c:v>
                </c:pt>
                <c:pt idx="13">
                  <c:v>2320.8000000000002</c:v>
                </c:pt>
                <c:pt idx="14">
                  <c:v>3399.3</c:v>
                </c:pt>
                <c:pt idx="15">
                  <c:v>3506.5</c:v>
                </c:pt>
                <c:pt idx="16">
                  <c:v>2921.6</c:v>
                </c:pt>
                <c:pt idx="17">
                  <c:v>5090</c:v>
                </c:pt>
                <c:pt idx="18">
                  <c:v>3648.3</c:v>
                </c:pt>
              </c:numCache>
            </c:numRef>
          </c:val>
        </c:ser>
        <c:ser>
          <c:idx val="1"/>
          <c:order val="1"/>
          <c:tx>
            <c:strRef>
              <c:f>Sheet1!$A$3</c:f>
              <c:strCache>
                <c:ptCount val="1"/>
                <c:pt idx="0">
                  <c:v>I полугодие 2016 года</c:v>
                </c:pt>
              </c:strCache>
            </c:strRef>
          </c:tx>
          <c:marker>
            <c:symbol val="none"/>
          </c:marker>
          <c:dLbls>
            <c:dLbl>
              <c:idx val="0"/>
              <c:layout>
                <c:manualLayout>
                  <c:x val="-3.8294166717532399E-2"/>
                  <c:y val="-4.5576966195808463E-2"/>
                </c:manualLayout>
              </c:layout>
              <c:showVal val="1"/>
            </c:dLbl>
            <c:dLbl>
              <c:idx val="1"/>
              <c:layout>
                <c:manualLayout>
                  <c:x val="-2.3832997619483789E-2"/>
                  <c:y val="2.030845390557337E-2"/>
                </c:manualLayout>
              </c:layout>
              <c:showVal val="1"/>
            </c:dLbl>
            <c:dLbl>
              <c:idx val="2"/>
              <c:layout>
                <c:manualLayout>
                  <c:x val="-2.1150216688030292E-2"/>
                  <c:y val="1.7411202996610347E-2"/>
                </c:manualLayout>
              </c:layout>
              <c:showVal val="1"/>
            </c:dLbl>
            <c:dLbl>
              <c:idx val="3"/>
              <c:layout>
                <c:manualLayout>
                  <c:x val="-8.6571852936987548E-2"/>
                  <c:y val="-1.0423948262748563E-2"/>
                </c:manualLayout>
              </c:layout>
              <c:showVal val="1"/>
            </c:dLbl>
            <c:dLbl>
              <c:idx val="4"/>
              <c:layout>
                <c:manualLayout>
                  <c:x val="-6.2330790046593448E-2"/>
                  <c:y val="2.4638722923453805E-2"/>
                </c:manualLayout>
              </c:layout>
              <c:showVal val="1"/>
            </c:dLbl>
            <c:dLbl>
              <c:idx val="5"/>
              <c:layout>
                <c:manualLayout>
                  <c:x val="-4.5032859264684866E-2"/>
                  <c:y val="2.477017634102275E-2"/>
                </c:manualLayout>
              </c:layout>
              <c:showVal val="1"/>
            </c:dLbl>
            <c:dLbl>
              <c:idx val="6"/>
              <c:layout>
                <c:manualLayout>
                  <c:x val="-7.5981362794766888E-2"/>
                  <c:y val="-2.8636181783809815E-3"/>
                </c:manualLayout>
              </c:layout>
              <c:showVal val="1"/>
            </c:dLbl>
            <c:dLbl>
              <c:idx val="7"/>
              <c:layout>
                <c:manualLayout>
                  <c:x val="-3.4950212618771667E-2"/>
                  <c:y val="-1.941443877304282E-2"/>
                </c:manualLayout>
              </c:layout>
              <c:spPr>
                <a:noFill/>
              </c:spPr>
              <c:txPr>
                <a:bodyPr/>
                <a:lstStyle/>
                <a:p>
                  <a:pPr>
                    <a:defRPr sz="1000" b="1"/>
                  </a:pPr>
                  <a:endParaRPr lang="ru-RU"/>
                </a:p>
              </c:txPr>
              <c:showVal val="1"/>
            </c:dLbl>
            <c:dLbl>
              <c:idx val="8"/>
              <c:layout>
                <c:manualLayout>
                  <c:x val="-3.1452114997253255E-2"/>
                  <c:y val="1.3863499474625987E-2"/>
                </c:manualLayout>
              </c:layout>
              <c:showVal val="1"/>
            </c:dLbl>
            <c:dLbl>
              <c:idx val="9"/>
              <c:layout>
                <c:manualLayout>
                  <c:x val="-1.4734297747665263E-2"/>
                  <c:y val="1.4934471130807203E-2"/>
                </c:manualLayout>
              </c:layout>
              <c:showVal val="1"/>
            </c:dLbl>
            <c:dLbl>
              <c:idx val="10"/>
              <c:layout>
                <c:manualLayout>
                  <c:x val="-8.4668253677592994E-3"/>
                  <c:y val="9.1801966965184747E-3"/>
                </c:manualLayout>
              </c:layout>
              <c:showVal val="1"/>
            </c:dLbl>
            <c:dLbl>
              <c:idx val="11"/>
              <c:layout>
                <c:manualLayout>
                  <c:x val="-2.1499684632444199E-2"/>
                  <c:y val="-1.8305877594446445E-2"/>
                </c:manualLayout>
              </c:layout>
              <c:showVal val="1"/>
            </c:dLbl>
            <c:dLbl>
              <c:idx val="12"/>
              <c:layout>
                <c:manualLayout>
                  <c:x val="-7.1702618568027829E-2"/>
                  <c:y val="1.8031540027345881E-2"/>
                </c:manualLayout>
              </c:layout>
              <c:showVal val="1"/>
            </c:dLbl>
            <c:dLbl>
              <c:idx val="13"/>
              <c:layout>
                <c:manualLayout>
                  <c:x val="-2.0197847362102991E-2"/>
                  <c:y val="1.3854926425654078E-2"/>
                </c:manualLayout>
              </c:layout>
              <c:showVal val="1"/>
            </c:dLbl>
            <c:dLbl>
              <c:idx val="14"/>
              <c:layout>
                <c:manualLayout>
                  <c:x val="-6.8566196667277049E-2"/>
                  <c:y val="-1.6796361510087641E-2"/>
                </c:manualLayout>
              </c:layout>
              <c:showVal val="1"/>
            </c:dLbl>
            <c:dLbl>
              <c:idx val="15"/>
              <c:layout>
                <c:manualLayout>
                  <c:x val="-6.1157704124193794E-2"/>
                  <c:y val="2.5739370518383889E-2"/>
                </c:manualLayout>
              </c:layout>
              <c:showVal val="1"/>
            </c:dLbl>
            <c:dLbl>
              <c:idx val="16"/>
              <c:layout>
                <c:manualLayout>
                  <c:x val="-5.52969948523881E-2"/>
                  <c:y val="1.310687294741429E-2"/>
                </c:manualLayout>
              </c:layout>
              <c:showVal val="1"/>
            </c:dLbl>
            <c:dLbl>
              <c:idx val="17"/>
              <c:layout>
                <c:manualLayout>
                  <c:x val="-2.5567478483794252E-2"/>
                  <c:y val="1.5831343946328319E-2"/>
                </c:manualLayout>
              </c:layout>
              <c:showVal val="1"/>
            </c:dLbl>
            <c:dLbl>
              <c:idx val="18"/>
              <c:layout>
                <c:manualLayout>
                  <c:x val="-3.1256465034893897E-2"/>
                  <c:y val="1.0565513481669063E-2"/>
                </c:manualLayout>
              </c:layout>
              <c:showVal val="1"/>
            </c:dLbl>
            <c:dLbl>
              <c:idx val="19"/>
              <c:layout>
                <c:manualLayout>
                  <c:x val="0"/>
                  <c:y val="-2.5052509171536237E-2"/>
                </c:manualLayout>
              </c:layout>
              <c:dLblPos val="r"/>
              <c:showVal val="1"/>
            </c:dLbl>
            <c:txPr>
              <a:bodyPr/>
              <a:lstStyle/>
              <a:p>
                <a:pPr>
                  <a:defRPr sz="1000" b="1"/>
                </a:pPr>
                <a:endParaRPr lang="ru-RU"/>
              </a:p>
            </c:txPr>
            <c:dLblPos val="t"/>
            <c:showVal val="1"/>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Sheet1!$B$3:$T$3</c:f>
              <c:numCache>
                <c:formatCode>0.0</c:formatCode>
                <c:ptCount val="19"/>
                <c:pt idx="0">
                  <c:v>2824</c:v>
                </c:pt>
                <c:pt idx="1">
                  <c:v>2555.9</c:v>
                </c:pt>
                <c:pt idx="2">
                  <c:v>3044.9</c:v>
                </c:pt>
                <c:pt idx="3">
                  <c:v>3340.9</c:v>
                </c:pt>
                <c:pt idx="4">
                  <c:v>2972.9</c:v>
                </c:pt>
                <c:pt idx="5">
                  <c:v>2523.9</c:v>
                </c:pt>
                <c:pt idx="6">
                  <c:v>2116.6999999999998</c:v>
                </c:pt>
                <c:pt idx="7">
                  <c:v>2835.6</c:v>
                </c:pt>
                <c:pt idx="8">
                  <c:v>2835.8</c:v>
                </c:pt>
                <c:pt idx="9">
                  <c:v>3001.7</c:v>
                </c:pt>
                <c:pt idx="10">
                  <c:v>3729.5</c:v>
                </c:pt>
                <c:pt idx="11">
                  <c:v>3181.4</c:v>
                </c:pt>
                <c:pt idx="12">
                  <c:v>2744</c:v>
                </c:pt>
                <c:pt idx="13">
                  <c:v>2256.6</c:v>
                </c:pt>
                <c:pt idx="14">
                  <c:v>3414.3</c:v>
                </c:pt>
                <c:pt idx="15">
                  <c:v>3373.1</c:v>
                </c:pt>
                <c:pt idx="16">
                  <c:v>2770.5</c:v>
                </c:pt>
                <c:pt idx="17">
                  <c:v>2704.4</c:v>
                </c:pt>
                <c:pt idx="18">
                  <c:v>3519.2</c:v>
                </c:pt>
              </c:numCache>
            </c:numRef>
          </c:val>
        </c:ser>
        <c:ser>
          <c:idx val="2"/>
          <c:order val="2"/>
          <c:tx>
            <c:strRef>
              <c:f>Sheet1!$A$4</c:f>
              <c:strCache>
                <c:ptCount val="1"/>
                <c:pt idx="0">
                  <c:v>средняя заработная плата в целом по республике за I полугодие 2016 года</c:v>
                </c:pt>
              </c:strCache>
            </c:strRef>
          </c:tx>
          <c:marker>
            <c:symbol val="none"/>
          </c:marker>
          <c:trendline>
            <c:trendlineType val="linear"/>
          </c:trendline>
          <c:trendline>
            <c:trendlineType val="linear"/>
          </c:trendline>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Sheet1!$B$4:$T$4</c:f>
              <c:numCache>
                <c:formatCode>General</c:formatCode>
                <c:ptCount val="19"/>
                <c:pt idx="0">
                  <c:v>3791</c:v>
                </c:pt>
                <c:pt idx="1">
                  <c:v>3791</c:v>
                </c:pt>
                <c:pt idx="2">
                  <c:v>3791</c:v>
                </c:pt>
                <c:pt idx="3">
                  <c:v>3791</c:v>
                </c:pt>
                <c:pt idx="4">
                  <c:v>3791</c:v>
                </c:pt>
                <c:pt idx="5">
                  <c:v>3791</c:v>
                </c:pt>
                <c:pt idx="6">
                  <c:v>3791</c:v>
                </c:pt>
                <c:pt idx="7">
                  <c:v>3791</c:v>
                </c:pt>
                <c:pt idx="8">
                  <c:v>3791</c:v>
                </c:pt>
                <c:pt idx="9">
                  <c:v>3791</c:v>
                </c:pt>
                <c:pt idx="10">
                  <c:v>3791</c:v>
                </c:pt>
                <c:pt idx="11">
                  <c:v>3791</c:v>
                </c:pt>
                <c:pt idx="12">
                  <c:v>3791</c:v>
                </c:pt>
                <c:pt idx="13">
                  <c:v>3791</c:v>
                </c:pt>
                <c:pt idx="14">
                  <c:v>3791</c:v>
                </c:pt>
                <c:pt idx="15">
                  <c:v>3791</c:v>
                </c:pt>
                <c:pt idx="16">
                  <c:v>3791</c:v>
                </c:pt>
                <c:pt idx="17">
                  <c:v>3791</c:v>
                </c:pt>
                <c:pt idx="18">
                  <c:v>3791</c:v>
                </c:pt>
              </c:numCache>
            </c:numRef>
          </c:val>
        </c:ser>
        <c:marker val="1"/>
        <c:axId val="108545920"/>
        <c:axId val="108547456"/>
      </c:lineChart>
      <c:catAx>
        <c:axId val="108545920"/>
        <c:scaling>
          <c:orientation val="minMax"/>
        </c:scaling>
        <c:axPos val="b"/>
        <c:numFmt formatCode="General" sourceLinked="1"/>
        <c:tickLblPos val="nextTo"/>
        <c:txPr>
          <a:bodyPr rot="-5400000" vert="horz"/>
          <a:lstStyle/>
          <a:p>
            <a:pPr>
              <a:defRPr sz="1000"/>
            </a:pPr>
            <a:endParaRPr lang="ru-RU"/>
          </a:p>
        </c:txPr>
        <c:crossAx val="108547456"/>
        <c:crosses val="autoZero"/>
        <c:auto val="1"/>
        <c:lblAlgn val="ctr"/>
        <c:lblOffset val="200"/>
        <c:tickLblSkip val="1"/>
        <c:tickMarkSkip val="1"/>
      </c:catAx>
      <c:valAx>
        <c:axId val="108547456"/>
        <c:scaling>
          <c:orientation val="minMax"/>
          <c:max val="5100"/>
          <c:min val="2000"/>
        </c:scaling>
        <c:axPos val="l"/>
        <c:numFmt formatCode="General" sourceLinked="0"/>
        <c:tickLblPos val="nextTo"/>
        <c:txPr>
          <a:bodyPr rot="0" vert="horz"/>
          <a:lstStyle/>
          <a:p>
            <a:pPr>
              <a:defRPr sz="1000"/>
            </a:pPr>
            <a:endParaRPr lang="ru-RU"/>
          </a:p>
        </c:txPr>
        <c:crossAx val="108545920"/>
        <c:crosses val="autoZero"/>
        <c:crossBetween val="between"/>
        <c:majorUnit val="500"/>
      </c:valAx>
    </c:plotArea>
    <c:legend>
      <c:legendPos val="r"/>
      <c:legendEntry>
        <c:idx val="3"/>
        <c:delete val="1"/>
      </c:legendEntry>
      <c:legendEntry>
        <c:idx val="4"/>
        <c:delete val="1"/>
      </c:legendEntry>
      <c:layout>
        <c:manualLayout>
          <c:xMode val="edge"/>
          <c:yMode val="edge"/>
          <c:x val="0"/>
          <c:y val="0.8994332994807811"/>
          <c:w val="0.93174795011089084"/>
          <c:h val="8.6608018218828201E-2"/>
        </c:manualLayout>
      </c:layout>
      <c:txPr>
        <a:bodyPr/>
        <a:lstStyle/>
        <a:p>
          <a:pPr>
            <a:defRPr sz="10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2688713910761154"/>
          <c:y val="3.7111628652052288E-2"/>
          <c:w val="0.87311278798483527"/>
          <c:h val="0.45806555430571178"/>
        </c:manualLayout>
      </c:layout>
      <c:bar3DChart>
        <c:barDir val="col"/>
        <c:grouping val="clustered"/>
        <c:ser>
          <c:idx val="0"/>
          <c:order val="0"/>
          <c:tx>
            <c:strRef>
              <c:f>Лист1!$B$1</c:f>
              <c:strCache>
                <c:ptCount val="1"/>
                <c:pt idx="0">
                  <c:v>I полугодие 2015 года</c:v>
                </c:pt>
              </c:strCache>
            </c:strRef>
          </c:tx>
          <c:spPr>
            <a:solidFill>
              <a:schemeClr val="accent5">
                <a:lumMod val="20000"/>
                <a:lumOff val="80000"/>
              </a:schemeClr>
            </a:solidFill>
          </c:spPr>
          <c:dLbls>
            <c:dLbl>
              <c:idx val="1"/>
              <c:layout>
                <c:manualLayout>
                  <c:x val="-2.2408963585434363E-3"/>
                  <c:y val="8.7145969498910701E-3"/>
                </c:manualLayout>
              </c:layout>
              <c:showVal val="1"/>
            </c:dLbl>
            <c:dLbl>
              <c:idx val="3"/>
              <c:layout>
                <c:manualLayout>
                  <c:x val="0"/>
                  <c:y val="3.1900914346491001E-3"/>
                </c:manualLayout>
              </c:layout>
              <c:showVal val="1"/>
            </c:dLbl>
            <c:dLbl>
              <c:idx val="4"/>
              <c:layout>
                <c:manualLayout>
                  <c:x val="0"/>
                  <c:y val="2.9046369203849609E-3"/>
                </c:manualLayout>
              </c:layout>
              <c:showVal val="1"/>
            </c:dLbl>
            <c:dLbl>
              <c:idx val="7"/>
              <c:layout>
                <c:manualLayout>
                  <c:x val="-4.4817927170868917E-3"/>
                  <c:y val="7.1583208961624898E-3"/>
                </c:manualLayout>
              </c:layout>
              <c:showVal val="1"/>
            </c:dLbl>
            <c:txPr>
              <a:bodyPr/>
              <a:lstStyle/>
              <a:p>
                <a:pPr>
                  <a:defRPr>
                    <a:latin typeface="Times New Roman" pitchFamily="18" charset="0"/>
                    <a:cs typeface="Times New Roman" pitchFamily="18" charset="0"/>
                  </a:defRPr>
                </a:pPr>
                <a:endParaRPr lang="ru-RU"/>
              </a:p>
            </c:txPr>
            <c:showVal val="1"/>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Операции с недвижимым имуществом</c:v>
                </c:pt>
                <c:pt idx="7">
                  <c:v>Здравоохранение и социальное обеспечение</c:v>
                </c:pt>
                <c:pt idx="8">
                  <c:v>Культура и искусство</c:v>
                </c:pt>
                <c:pt idx="9">
                  <c:v>Отдых и туризм</c:v>
                </c:pt>
              </c:strCache>
            </c:strRef>
          </c:cat>
          <c:val>
            <c:numRef>
              <c:f>Лист1!$B$2:$B$11</c:f>
              <c:numCache>
                <c:formatCode>#,##0.0</c:formatCode>
                <c:ptCount val="10"/>
                <c:pt idx="0">
                  <c:v>15.2</c:v>
                </c:pt>
                <c:pt idx="1">
                  <c:v>21.3</c:v>
                </c:pt>
                <c:pt idx="2">
                  <c:v>0.2</c:v>
                </c:pt>
                <c:pt idx="3">
                  <c:v>0.30000000000000032</c:v>
                </c:pt>
                <c:pt idx="4">
                  <c:v>6.6</c:v>
                </c:pt>
                <c:pt idx="5">
                  <c:v>25.6</c:v>
                </c:pt>
                <c:pt idx="6">
                  <c:v>18.8</c:v>
                </c:pt>
                <c:pt idx="7">
                  <c:v>0.4</c:v>
                </c:pt>
                <c:pt idx="8">
                  <c:v>0.5</c:v>
                </c:pt>
                <c:pt idx="9">
                  <c:v>0.1</c:v>
                </c:pt>
              </c:numCache>
            </c:numRef>
          </c:val>
        </c:ser>
        <c:ser>
          <c:idx val="1"/>
          <c:order val="1"/>
          <c:tx>
            <c:strRef>
              <c:f>Лист1!$C$1</c:f>
              <c:strCache>
                <c:ptCount val="1"/>
                <c:pt idx="0">
                  <c:v>I полугодие 2016 года</c:v>
                </c:pt>
              </c:strCache>
            </c:strRef>
          </c:tx>
          <c:spPr>
            <a:solidFill>
              <a:srgbClr val="00B0F0"/>
            </a:solidFill>
          </c:spPr>
          <c:dLbls>
            <c:dLbl>
              <c:idx val="0"/>
              <c:layout>
                <c:manualLayout>
                  <c:x val="1.5712682379349044E-2"/>
                  <c:y val="-3.9320927581827885E-7"/>
                </c:manualLayout>
              </c:layout>
              <c:showVal val="1"/>
            </c:dLbl>
            <c:dLbl>
              <c:idx val="1"/>
              <c:layout>
                <c:manualLayout>
                  <c:x val="1.3468013468013481E-2"/>
                  <c:y val="0"/>
                </c:manualLayout>
              </c:layout>
              <c:showVal val="1"/>
            </c:dLbl>
            <c:dLbl>
              <c:idx val="2"/>
              <c:layout>
                <c:manualLayout>
                  <c:x val="1.3467963563378109E-2"/>
                  <c:y val="2.9048656499636887E-3"/>
                </c:manualLayout>
              </c:layout>
              <c:showVal val="1"/>
            </c:dLbl>
            <c:dLbl>
              <c:idx val="3"/>
              <c:layout>
                <c:manualLayout>
                  <c:x val="1.8588686515195706E-2"/>
                  <c:y val="4.1019591652167123E-3"/>
                </c:manualLayout>
              </c:layout>
              <c:showVal val="1"/>
            </c:dLbl>
            <c:dLbl>
              <c:idx val="4"/>
              <c:layout>
                <c:manualLayout>
                  <c:x val="1.3888888888889454E-2"/>
                  <c:y val="0"/>
                </c:manualLayout>
              </c:layout>
              <c:showVal val="1"/>
            </c:dLbl>
            <c:dLbl>
              <c:idx val="5"/>
              <c:layout>
                <c:manualLayout>
                  <c:x val="1.5712682379349044E-2"/>
                  <c:y val="0"/>
                </c:manualLayout>
              </c:layout>
              <c:showVal val="1"/>
            </c:dLbl>
            <c:dLbl>
              <c:idx val="6"/>
              <c:layout>
                <c:manualLayout>
                  <c:x val="1.1574074074074075E-2"/>
                  <c:y val="3.968253968253981E-3"/>
                </c:manualLayout>
              </c:layout>
              <c:showVal val="1"/>
            </c:dLbl>
            <c:dLbl>
              <c:idx val="7"/>
              <c:layout>
                <c:manualLayout>
                  <c:x val="1.3888888888889454E-2"/>
                  <c:y val="0"/>
                </c:manualLayout>
              </c:layout>
              <c:showVal val="1"/>
            </c:dLbl>
            <c:dLbl>
              <c:idx val="8"/>
              <c:layout>
                <c:manualLayout>
                  <c:x val="1.5686274509803921E-2"/>
                  <c:y val="-2.9048656499636887E-3"/>
                </c:manualLayout>
              </c:layout>
              <c:showVal val="1"/>
            </c:dLbl>
            <c:dLbl>
              <c:idx val="9"/>
              <c:layout>
                <c:manualLayout>
                  <c:x val="1.3445378151260555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Операции с недвижимым имуществом</c:v>
                </c:pt>
                <c:pt idx="7">
                  <c:v>Здравоохранение и социальное обеспечение</c:v>
                </c:pt>
                <c:pt idx="8">
                  <c:v>Культура и искусство</c:v>
                </c:pt>
                <c:pt idx="9">
                  <c:v>Отдых и туризм</c:v>
                </c:pt>
              </c:strCache>
            </c:strRef>
          </c:cat>
          <c:val>
            <c:numRef>
              <c:f>Лист1!$C$2:$C$11</c:f>
              <c:numCache>
                <c:formatCode>#,##0.0</c:formatCode>
                <c:ptCount val="10"/>
                <c:pt idx="0">
                  <c:v>2.6</c:v>
                </c:pt>
                <c:pt idx="1">
                  <c:v>22.4</c:v>
                </c:pt>
                <c:pt idx="2" formatCode="#,##0.00">
                  <c:v>7.5999999999999998E-2</c:v>
                </c:pt>
                <c:pt idx="3" formatCode="#,##0.00">
                  <c:v>1.7999999999999999E-2</c:v>
                </c:pt>
                <c:pt idx="4">
                  <c:v>3.5</c:v>
                </c:pt>
                <c:pt idx="5">
                  <c:v>5.3</c:v>
                </c:pt>
                <c:pt idx="6">
                  <c:v>10.3</c:v>
                </c:pt>
                <c:pt idx="7">
                  <c:v>0.70000000000000062</c:v>
                </c:pt>
                <c:pt idx="8">
                  <c:v>0.9</c:v>
                </c:pt>
                <c:pt idx="9">
                  <c:v>0.5</c:v>
                </c:pt>
              </c:numCache>
            </c:numRef>
          </c:val>
        </c:ser>
        <c:shape val="cylinder"/>
        <c:axId val="108705664"/>
        <c:axId val="108707200"/>
        <c:axId val="0"/>
      </c:bar3DChart>
      <c:catAx>
        <c:axId val="108705664"/>
        <c:scaling>
          <c:orientation val="minMax"/>
        </c:scaling>
        <c:axPos val="b"/>
        <c:numFmt formatCode="General" sourceLinked="1"/>
        <c:tickLblPos val="low"/>
        <c:txPr>
          <a:bodyPr/>
          <a:lstStyle/>
          <a:p>
            <a:pPr>
              <a:defRPr b="1">
                <a:latin typeface="Times New Roman" pitchFamily="18" charset="0"/>
                <a:cs typeface="Times New Roman" pitchFamily="18" charset="0"/>
              </a:defRPr>
            </a:pPr>
            <a:endParaRPr lang="ru-RU"/>
          </a:p>
        </c:txPr>
        <c:crossAx val="108707200"/>
        <c:crosses val="autoZero"/>
        <c:auto val="1"/>
        <c:lblAlgn val="ctr"/>
        <c:lblOffset val="100"/>
      </c:catAx>
      <c:valAx>
        <c:axId val="108707200"/>
        <c:scaling>
          <c:orientation val="minMax"/>
          <c:max val="25"/>
          <c:min val="0"/>
        </c:scaling>
        <c:axPos val="l"/>
        <c:numFmt formatCode="#,##0.0" sourceLinked="1"/>
        <c:tickLblPos val="nextTo"/>
        <c:txPr>
          <a:bodyPr/>
          <a:lstStyle/>
          <a:p>
            <a:pPr>
              <a:defRPr b="1">
                <a:latin typeface="Times New Roman" pitchFamily="18" charset="0"/>
                <a:cs typeface="Times New Roman" pitchFamily="18" charset="0"/>
              </a:defRPr>
            </a:pPr>
            <a:endParaRPr lang="ru-RU"/>
          </a:p>
        </c:txPr>
        <c:crossAx val="108705664"/>
        <c:crosses val="autoZero"/>
        <c:crossBetween val="between"/>
        <c:majorUnit val="5"/>
      </c:valAx>
      <c:spPr>
        <a:noFill/>
        <a:ln w="25400">
          <a:noFill/>
        </a:ln>
      </c:spPr>
    </c:plotArea>
    <c:legend>
      <c:legendPos val="l"/>
      <c:layout>
        <c:manualLayout>
          <c:xMode val="edge"/>
          <c:yMode val="edge"/>
          <c:x val="4.6722865524162376E-2"/>
          <c:y val="0.86935499004653394"/>
          <c:w val="0.28205946859382308"/>
          <c:h val="9.4774558408957224E-2"/>
        </c:manualLayout>
      </c:layout>
      <c:txPr>
        <a:bodyPr/>
        <a:lstStyle/>
        <a:p>
          <a:pPr>
            <a:defRPr sz="90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en-US" sz="1100" b="1" i="0" baseline="0"/>
              <a:t>I</a:t>
            </a:r>
            <a:r>
              <a:rPr lang="ru-RU" sz="1100" b="1" i="0" baseline="0"/>
              <a:t> полугодие 2016 года</a:t>
            </a:r>
            <a:endParaRPr lang="ru-RU" sz="1100"/>
          </a:p>
        </c:rich>
      </c:tx>
      <c:layout>
        <c:manualLayout>
          <c:xMode val="edge"/>
          <c:yMode val="edge"/>
          <c:x val="0.20456837722870838"/>
          <c:y val="4.0508825285728176E-2"/>
        </c:manualLayout>
      </c:layout>
      <c:spPr>
        <a:noFill/>
        <a:ln w="25095">
          <a:noFill/>
        </a:ln>
      </c:spPr>
    </c:title>
    <c:view3D>
      <c:rotX val="30"/>
      <c:perspective val="30"/>
    </c:view3D>
    <c:plotArea>
      <c:layout>
        <c:manualLayout>
          <c:layoutTarget val="inner"/>
          <c:xMode val="edge"/>
          <c:yMode val="edge"/>
          <c:x val="0.13222398924272399"/>
          <c:y val="0.21898651040713163"/>
          <c:w val="0.50175788371281149"/>
          <c:h val="0.53996703900384568"/>
        </c:manualLayout>
      </c:layout>
      <c:pie3DChart>
        <c:varyColors val="1"/>
        <c:ser>
          <c:idx val="0"/>
          <c:order val="0"/>
          <c:tx>
            <c:strRef>
              <c:f>Лист1!$B$1</c:f>
              <c:strCache>
                <c:ptCount val="1"/>
                <c:pt idx="0">
                  <c:v>2016 год</c:v>
                </c:pt>
              </c:strCache>
            </c:strRef>
          </c:tx>
          <c:spPr>
            <a:solidFill>
              <a:srgbClr val="F79646">
                <a:lumMod val="75000"/>
              </a:srgbClr>
            </a:solidFill>
          </c:spPr>
          <c:explosion val="10"/>
          <c:dPt>
            <c:idx val="1"/>
            <c:spPr>
              <a:solidFill>
                <a:srgbClr val="9BBB59">
                  <a:lumMod val="50000"/>
                </a:srgbClr>
              </a:solidFill>
            </c:spPr>
          </c:dPt>
          <c:dLbls>
            <c:dLbl>
              <c:idx val="0"/>
              <c:layout>
                <c:manualLayout>
                  <c:x val="6.6890345603351289E-2"/>
                  <c:y val="-4.1416590368064464E-2"/>
                </c:manualLayout>
              </c:layout>
              <c:tx>
                <c:rich>
                  <a:bodyPr/>
                  <a:lstStyle/>
                  <a:p>
                    <a:r>
                      <a:rPr lang="ru-RU"/>
                      <a:t>5,4;</a:t>
                    </a:r>
                  </a:p>
                  <a:p>
                    <a:r>
                      <a:rPr lang="ru-RU"/>
                      <a:t>27,0%</a:t>
                    </a:r>
                    <a:endParaRPr lang="en-US"/>
                  </a:p>
                </c:rich>
              </c:tx>
              <c:dLblPos val="bestFit"/>
            </c:dLbl>
            <c:dLbl>
              <c:idx val="1"/>
              <c:layout>
                <c:manualLayout>
                  <c:x val="0.14054528296322749"/>
                  <c:y val="0.16871977049380471"/>
                </c:manualLayout>
              </c:layout>
              <c:tx>
                <c:rich>
                  <a:bodyPr/>
                  <a:lstStyle/>
                  <a:p>
                    <a:r>
                      <a:rPr lang="ru-RU"/>
                      <a:t>14,6;</a:t>
                    </a:r>
                  </a:p>
                  <a:p>
                    <a:r>
                      <a:rPr lang="ru-RU"/>
                      <a:t>73,0%</a:t>
                    </a:r>
                    <a:endParaRPr lang="en-US"/>
                  </a:p>
                </c:rich>
              </c:tx>
              <c:dLblPos val="bestFit"/>
            </c:dLbl>
            <c:txPr>
              <a:bodyPr/>
              <a:lstStyle/>
              <a:p>
                <a:pPr>
                  <a:defRPr b="1"/>
                </a:pPr>
                <a:endParaRPr lang="ru-RU"/>
              </a:p>
            </c:txPr>
            <c:dLblPos val="outEnd"/>
            <c:showVal val="1"/>
            <c:showLeaderLines val="1"/>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5.4</c:v>
                </c:pt>
                <c:pt idx="1">
                  <c:v>14.6</c:v>
                </c:pt>
              </c:numCache>
            </c:numRef>
          </c:val>
        </c:ser>
        <c:dLbls>
          <c:showVal val="1"/>
        </c:dLbls>
      </c:pie3DChart>
      <c:spPr>
        <a:noFill/>
        <a:ln w="25398">
          <a:noFill/>
        </a:ln>
      </c:spPr>
    </c:plotArea>
    <c:legend>
      <c:legendPos val="r"/>
      <c:layout>
        <c:manualLayout>
          <c:xMode val="edge"/>
          <c:yMode val="edge"/>
          <c:x val="0.70564938003439959"/>
          <c:y val="0.28228920222181536"/>
          <c:w val="0.29435061996561418"/>
          <c:h val="0.55104925837759855"/>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86"/>
              <a:t> </a:t>
            </a:r>
            <a:r>
              <a:rPr lang="en-US" sz="1100" b="1" i="0" baseline="0"/>
              <a:t>I</a:t>
            </a:r>
            <a:r>
              <a:rPr lang="ru-RU" sz="1100" b="1" i="0" baseline="0"/>
              <a:t> полугодие 2015 года</a:t>
            </a:r>
            <a:endParaRPr lang="ru-RU" sz="1100"/>
          </a:p>
        </c:rich>
      </c:tx>
      <c:layout>
        <c:manualLayout>
          <c:xMode val="edge"/>
          <c:yMode val="edge"/>
          <c:x val="0.18741913358391965"/>
          <c:y val="4.1026661141043308E-2"/>
        </c:manualLayout>
      </c:layout>
      <c:spPr>
        <a:noFill/>
        <a:ln w="25101">
          <a:noFill/>
        </a:ln>
      </c:spPr>
    </c:title>
    <c:view3D>
      <c:rotX val="30"/>
      <c:perspective val="30"/>
    </c:view3D>
    <c:plotArea>
      <c:layout>
        <c:manualLayout>
          <c:layoutTarget val="inner"/>
          <c:xMode val="edge"/>
          <c:yMode val="edge"/>
          <c:x val="3.4481627296587936E-2"/>
          <c:y val="4.8690312793469345E-2"/>
          <c:w val="0.83504311961004873"/>
          <c:h val="0.88799345035999511"/>
        </c:manualLayout>
      </c:layout>
      <c:pie3DChart>
        <c:varyColors val="1"/>
        <c:ser>
          <c:idx val="0"/>
          <c:order val="0"/>
          <c:tx>
            <c:strRef>
              <c:f>Лист1!$B$1</c:f>
              <c:strCache>
                <c:ptCount val="1"/>
                <c:pt idx="0">
                  <c:v>2015 год</c:v>
                </c:pt>
              </c:strCache>
            </c:strRef>
          </c:tx>
          <c:spPr>
            <a:solidFill>
              <a:srgbClr val="4BACC6">
                <a:lumMod val="75000"/>
              </a:srgbClr>
            </a:solidFill>
          </c:spPr>
          <c:explosion val="2"/>
          <c:dPt>
            <c:idx val="0"/>
            <c:explosion val="9"/>
            <c:spPr>
              <a:solidFill>
                <a:srgbClr val="F79646">
                  <a:lumMod val="75000"/>
                </a:srgbClr>
              </a:solidFill>
            </c:spPr>
          </c:dPt>
          <c:dPt>
            <c:idx val="1"/>
            <c:explosion val="6"/>
            <c:spPr>
              <a:solidFill>
                <a:srgbClr val="9BBB59">
                  <a:lumMod val="50000"/>
                </a:srgbClr>
              </a:solidFill>
            </c:spPr>
          </c:dPt>
          <c:dLbls>
            <c:dLbl>
              <c:idx val="0"/>
              <c:layout>
                <c:manualLayout>
                  <c:x val="0.13459385758598374"/>
                  <c:y val="-9.3469816272965887E-3"/>
                </c:manualLayout>
              </c:layout>
              <c:tx>
                <c:rich>
                  <a:bodyPr/>
                  <a:lstStyle/>
                  <a:p>
                    <a:pPr>
                      <a:defRPr b="1"/>
                    </a:pPr>
                    <a:r>
                      <a:rPr lang="ru-RU" b="1"/>
                      <a:t>6,3; 27,4%</a:t>
                    </a:r>
                    <a:endParaRPr lang="en-US" b="1"/>
                  </a:p>
                </c:rich>
              </c:tx>
              <c:spPr/>
              <c:dLblPos val="bestFit"/>
            </c:dLbl>
            <c:dLbl>
              <c:idx val="1"/>
              <c:layout>
                <c:manualLayout>
                  <c:x val="0.16391357330333708"/>
                  <c:y val="0.18844373811072018"/>
                </c:manualLayout>
              </c:layout>
              <c:tx>
                <c:rich>
                  <a:bodyPr/>
                  <a:lstStyle/>
                  <a:p>
                    <a:pPr>
                      <a:defRPr b="1"/>
                    </a:pPr>
                    <a:r>
                      <a:rPr lang="ru-RU" b="1"/>
                      <a:t>16,7; 72,6% </a:t>
                    </a:r>
                    <a:endParaRPr lang="en-US" b="1"/>
                  </a:p>
                </c:rich>
              </c:tx>
              <c:spPr/>
              <c:dLblPos val="bestFit"/>
            </c:dLbl>
            <c:dLblPos val="outEnd"/>
            <c:showVal val="1"/>
            <c:showLeaderLines val="1"/>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6.3</c:v>
                </c:pt>
                <c:pt idx="1">
                  <c:v>16.7</c:v>
                </c:pt>
              </c:numCache>
            </c:numRef>
          </c:val>
        </c:ser>
        <c:dLbls>
          <c:showVal val="1"/>
        </c:dLbls>
      </c:pie3DChart>
      <c:spPr>
        <a:noFill/>
        <a:ln w="25401">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pPr>
            <a:r>
              <a:rPr lang="ru-RU" sz="1200"/>
              <a:t>Величина среднемесячной заработной платы</a:t>
            </a:r>
          </a:p>
        </c:rich>
      </c:tx>
      <c:layout/>
      <c:overlay val="1"/>
    </c:title>
    <c:plotArea>
      <c:layout>
        <c:manualLayout>
          <c:layoutTarget val="inner"/>
          <c:xMode val="edge"/>
          <c:yMode val="edge"/>
          <c:x val="0.36019231392372247"/>
          <c:y val="0.13126079447322991"/>
          <c:w val="0.61359612758685544"/>
          <c:h val="0.43989773299063362"/>
        </c:manualLayout>
      </c:layout>
      <c:barChart>
        <c:barDir val="col"/>
        <c:grouping val="clustered"/>
        <c:ser>
          <c:idx val="0"/>
          <c:order val="0"/>
          <c:tx>
            <c:strRef>
              <c:f>Лист1!$B$2</c:f>
              <c:strCache>
                <c:ptCount val="1"/>
                <c:pt idx="0">
                  <c:v>Среднемесячная номинальная заработная плата в целом по республике</c:v>
                </c:pt>
              </c:strCache>
            </c:strRef>
          </c:tx>
          <c:spPr>
            <a:solidFill>
              <a:srgbClr val="F79646">
                <a:lumMod val="40000"/>
                <a:lumOff val="60000"/>
              </a:srgbClr>
            </a:solidFill>
          </c:spPr>
          <c:dLbls>
            <c:dLbl>
              <c:idx val="0"/>
              <c:layout>
                <c:manualLayout>
                  <c:x val="-6.1728395061728504E-3"/>
                  <c:y val="1.7590149516271039E-2"/>
                </c:manualLayout>
              </c:layout>
              <c:tx>
                <c:rich>
                  <a:bodyPr/>
                  <a:lstStyle/>
                  <a:p>
                    <a:r>
                      <a:rPr lang="ru-RU" b="1"/>
                      <a:t>-4,1*</a:t>
                    </a:r>
                    <a:endParaRPr lang="en-US" b="1"/>
                  </a:p>
                </c:rich>
              </c:tx>
              <c:showVal val="1"/>
            </c:dLbl>
            <c:dLbl>
              <c:idx val="1"/>
              <c:layout>
                <c:manualLayout>
                  <c:x val="-1.8518518518518861E-2"/>
                  <c:y val="1.4072119613016945E-2"/>
                </c:manualLayout>
              </c:layout>
              <c:tx>
                <c:rich>
                  <a:bodyPr/>
                  <a:lstStyle/>
                  <a:p>
                    <a:r>
                      <a:rPr lang="ru-RU" b="1"/>
                      <a:t>-4,4**</a:t>
                    </a:r>
                    <a:endParaRPr lang="en-US" b="1"/>
                  </a:p>
                </c:rich>
              </c:tx>
              <c:showVal val="1"/>
            </c:dLbl>
            <c:dLbl>
              <c:idx val="2"/>
              <c:layout>
                <c:manualLayout>
                  <c:x val="-1.2345679012345945E-2"/>
                  <c:y val="0"/>
                </c:manualLayout>
              </c:layout>
              <c:tx>
                <c:rich>
                  <a:bodyPr/>
                  <a:lstStyle/>
                  <a:p>
                    <a:r>
                      <a:rPr lang="ru-RU" b="1"/>
                      <a:t>-1,5*</a:t>
                    </a:r>
                    <a:endParaRPr lang="en-US" b="1"/>
                  </a:p>
                </c:rich>
              </c:tx>
              <c:showVal val="1"/>
            </c:dLbl>
            <c:dLbl>
              <c:idx val="3"/>
              <c:layout>
                <c:manualLayout>
                  <c:x val="-6.1728395061728504E-3"/>
                  <c:y val="1.7590149516271039E-2"/>
                </c:manualLayout>
              </c:layout>
              <c:tx>
                <c:rich>
                  <a:bodyPr/>
                  <a:lstStyle/>
                  <a:p>
                    <a:r>
                      <a:rPr lang="ru-RU" b="1"/>
                      <a:t>-2,3**</a:t>
                    </a:r>
                    <a:endParaRPr lang="en-US" b="1"/>
                  </a:p>
                </c:rich>
              </c:tx>
              <c:showVal val="1"/>
            </c:dLbl>
            <c:spPr>
              <a:solidFill>
                <a:sysClr val="window" lastClr="FFFFFF"/>
              </a:solidFill>
            </c:spPr>
            <c:txPr>
              <a:bodyPr/>
              <a:lstStyle/>
              <a:p>
                <a:pPr>
                  <a:defRPr b="1"/>
                </a:pPr>
                <a:endParaRPr lang="ru-RU"/>
              </a:p>
            </c:txPr>
            <c:showVal val="1"/>
          </c:dLbls>
          <c:cat>
            <c:strRef>
              <c:f>Лист1!$A$3:$A$6</c:f>
              <c:strCache>
                <c:ptCount val="4"/>
                <c:pt idx="0">
                  <c:v>руб. ПМР I полуг. 2015 года</c:v>
                </c:pt>
                <c:pt idx="1">
                  <c:v>дол. США</c:v>
                </c:pt>
                <c:pt idx="2">
                  <c:v>руб. ПМР I полуг. 2016 года</c:v>
                </c:pt>
                <c:pt idx="3">
                  <c:v>дол. США</c:v>
                </c:pt>
              </c:strCache>
            </c:strRef>
          </c:cat>
          <c:val>
            <c:numRef>
              <c:f>Лист1!$B$3:$B$6</c:f>
              <c:numCache>
                <c:formatCode>General</c:formatCode>
                <c:ptCount val="4"/>
                <c:pt idx="0">
                  <c:v>3842</c:v>
                </c:pt>
                <c:pt idx="1">
                  <c:v>346</c:v>
                </c:pt>
                <c:pt idx="2">
                  <c:v>3791</c:v>
                </c:pt>
                <c:pt idx="3">
                  <c:v>338</c:v>
                </c:pt>
              </c:numCache>
            </c:numRef>
          </c:val>
        </c:ser>
        <c:ser>
          <c:idx val="1"/>
          <c:order val="1"/>
          <c:tx>
            <c:strRef>
              <c:f>Лист1!$C$2</c:f>
              <c:strCache>
                <c:ptCount val="1"/>
                <c:pt idx="0">
                  <c:v>Среднемесячная номинальная заработная плата во внебюджетном секторе экономики</c:v>
                </c:pt>
              </c:strCache>
            </c:strRef>
          </c:tx>
          <c:spPr>
            <a:solidFill>
              <a:srgbClr val="EEECE1">
                <a:lumMod val="50000"/>
              </a:srgbClr>
            </a:solidFill>
          </c:spPr>
          <c:dLbls>
            <c:dLbl>
              <c:idx val="0"/>
              <c:layout>
                <c:manualLayout>
                  <c:x val="2.0576131687242852E-3"/>
                  <c:y val="1.4072119613016945E-2"/>
                </c:manualLayout>
              </c:layout>
              <c:tx>
                <c:rich>
                  <a:bodyPr/>
                  <a:lstStyle/>
                  <a:p>
                    <a:r>
                      <a:rPr lang="ru-RU" b="1"/>
                      <a:t>-4,6*</a:t>
                    </a:r>
                    <a:endParaRPr lang="en-US" b="1"/>
                  </a:p>
                </c:rich>
              </c:tx>
              <c:showVal val="1"/>
            </c:dLbl>
            <c:dLbl>
              <c:idx val="1"/>
              <c:layout>
                <c:manualLayout>
                  <c:x val="-6.1728395061728504E-3"/>
                  <c:y val="-2.110817941952628E-2"/>
                </c:manualLayout>
              </c:layout>
              <c:tx>
                <c:rich>
                  <a:bodyPr/>
                  <a:lstStyle/>
                  <a:p>
                    <a:r>
                      <a:rPr lang="ru-RU" b="1"/>
                      <a:t>-4,8**</a:t>
                    </a:r>
                    <a:endParaRPr lang="en-US" b="1"/>
                  </a:p>
                </c:rich>
              </c:tx>
              <c:showVal val="1"/>
            </c:dLbl>
            <c:dLbl>
              <c:idx val="2"/>
              <c:layout/>
              <c:tx>
                <c:rich>
                  <a:bodyPr/>
                  <a:lstStyle/>
                  <a:p>
                    <a:r>
                      <a:rPr lang="ru-RU" b="1"/>
                      <a:t>-1,4*</a:t>
                    </a:r>
                    <a:endParaRPr lang="en-US" b="1"/>
                  </a:p>
                </c:rich>
              </c:tx>
              <c:showVal val="1"/>
            </c:dLbl>
            <c:dLbl>
              <c:idx val="3"/>
              <c:layout>
                <c:manualLayout>
                  <c:x val="4.1152263374485704E-3"/>
                  <c:y val="-1.0554089709763128E-2"/>
                </c:manualLayout>
              </c:layout>
              <c:tx>
                <c:rich>
                  <a:bodyPr/>
                  <a:lstStyle/>
                  <a:p>
                    <a:r>
                      <a:rPr lang="ru-RU" b="1"/>
                      <a:t>-2,3**</a:t>
                    </a:r>
                    <a:endParaRPr lang="en-US" b="1"/>
                  </a:p>
                </c:rich>
              </c:tx>
              <c:showVal val="1"/>
            </c:dLbl>
            <c:spPr>
              <a:solidFill>
                <a:sysClr val="window" lastClr="FFFFFF"/>
              </a:solidFill>
            </c:spPr>
            <c:txPr>
              <a:bodyPr/>
              <a:lstStyle/>
              <a:p>
                <a:pPr>
                  <a:defRPr b="1"/>
                </a:pPr>
                <a:endParaRPr lang="ru-RU"/>
              </a:p>
            </c:txPr>
            <c:showVal val="1"/>
          </c:dLbls>
          <c:cat>
            <c:strRef>
              <c:f>Лист1!$A$3:$A$6</c:f>
              <c:strCache>
                <c:ptCount val="4"/>
                <c:pt idx="0">
                  <c:v>руб. ПМР I полуг. 2015 года</c:v>
                </c:pt>
                <c:pt idx="1">
                  <c:v>дол. США</c:v>
                </c:pt>
                <c:pt idx="2">
                  <c:v>руб. ПМР I полуг. 2016 года</c:v>
                </c:pt>
                <c:pt idx="3">
                  <c:v>дол. США</c:v>
                </c:pt>
              </c:strCache>
            </c:strRef>
          </c:cat>
          <c:val>
            <c:numRef>
              <c:f>Лист1!$C$3:$C$6</c:f>
              <c:numCache>
                <c:formatCode>General</c:formatCode>
                <c:ptCount val="4"/>
                <c:pt idx="0">
                  <c:v>4836</c:v>
                </c:pt>
                <c:pt idx="1">
                  <c:v>436</c:v>
                </c:pt>
                <c:pt idx="2">
                  <c:v>4777</c:v>
                </c:pt>
                <c:pt idx="3">
                  <c:v>426</c:v>
                </c:pt>
              </c:numCache>
            </c:numRef>
          </c:val>
        </c:ser>
        <c:ser>
          <c:idx val="2"/>
          <c:order val="2"/>
          <c:tx>
            <c:strRef>
              <c:f>Лист1!$D$2</c:f>
              <c:strCache>
                <c:ptCount val="1"/>
                <c:pt idx="0">
                  <c:v>Среднемесячная номинальная заработная плата в бюджетном секторе экономики</c:v>
                </c:pt>
              </c:strCache>
            </c:strRef>
          </c:tx>
          <c:spPr>
            <a:solidFill>
              <a:srgbClr val="F79646">
                <a:lumMod val="50000"/>
              </a:srgbClr>
            </a:solidFill>
          </c:spPr>
          <c:dLbls>
            <c:dLbl>
              <c:idx val="0"/>
              <c:layout>
                <c:manualLayout>
                  <c:x val="1.4403292181069918E-2"/>
                  <c:y val="1.05540553828466E-2"/>
                </c:manualLayout>
              </c:layout>
              <c:tx>
                <c:rich>
                  <a:bodyPr/>
                  <a:lstStyle/>
                  <a:p>
                    <a:r>
                      <a:rPr lang="ru-RU" b="1"/>
                      <a:t>-1,1*</a:t>
                    </a:r>
                    <a:endParaRPr lang="en-US" b="1"/>
                  </a:p>
                </c:rich>
              </c:tx>
              <c:showVal val="1"/>
            </c:dLbl>
            <c:dLbl>
              <c:idx val="1"/>
              <c:layout>
                <c:manualLayout>
                  <c:x val="1.0288065843621401E-2"/>
                  <c:y val="0"/>
                </c:manualLayout>
              </c:layout>
              <c:tx>
                <c:rich>
                  <a:bodyPr/>
                  <a:lstStyle/>
                  <a:p>
                    <a:r>
                      <a:rPr lang="ru-RU" b="1"/>
                      <a:t>-1,2**</a:t>
                    </a:r>
                    <a:endParaRPr lang="en-US" b="1"/>
                  </a:p>
                </c:rich>
              </c:tx>
              <c:showVal val="1"/>
            </c:dLbl>
            <c:dLbl>
              <c:idx val="2"/>
              <c:layout>
                <c:manualLayout>
                  <c:x val="1.2345679012345945E-2"/>
                  <c:y val="-7.0360598065084424E-3"/>
                </c:manualLayout>
              </c:layout>
              <c:tx>
                <c:rich>
                  <a:bodyPr/>
                  <a:lstStyle/>
                  <a:p>
                    <a:r>
                      <a:rPr lang="ru-RU" b="1"/>
                      <a:t>+0,2*</a:t>
                    </a:r>
                    <a:endParaRPr lang="en-US" b="1"/>
                  </a:p>
                </c:rich>
              </c:tx>
              <c:showVal val="1"/>
            </c:dLbl>
            <c:dLbl>
              <c:idx val="3"/>
              <c:layout>
                <c:manualLayout>
                  <c:x val="2.4691358024692002E-2"/>
                  <c:y val="1.0554089709763128E-2"/>
                </c:manualLayout>
              </c:layout>
              <c:tx>
                <c:rich>
                  <a:bodyPr/>
                  <a:lstStyle/>
                  <a:p>
                    <a:r>
                      <a:rPr lang="ru-RU" b="1"/>
                      <a:t>-0,8**</a:t>
                    </a:r>
                    <a:endParaRPr lang="en-US" b="1"/>
                  </a:p>
                </c:rich>
              </c:tx>
              <c:showVal val="1"/>
            </c:dLbl>
            <c:spPr>
              <a:solidFill>
                <a:sysClr val="window" lastClr="FFFFFF"/>
              </a:solidFill>
            </c:spPr>
            <c:txPr>
              <a:bodyPr/>
              <a:lstStyle/>
              <a:p>
                <a:pPr>
                  <a:defRPr b="1"/>
                </a:pPr>
                <a:endParaRPr lang="ru-RU"/>
              </a:p>
            </c:txPr>
            <c:showVal val="1"/>
          </c:dLbls>
          <c:cat>
            <c:strRef>
              <c:f>Лист1!$A$3:$A$6</c:f>
              <c:strCache>
                <c:ptCount val="4"/>
                <c:pt idx="0">
                  <c:v>руб. ПМР I полуг. 2015 года</c:v>
                </c:pt>
                <c:pt idx="1">
                  <c:v>дол. США</c:v>
                </c:pt>
                <c:pt idx="2">
                  <c:v>руб. ПМР I полуг. 2016 года</c:v>
                </c:pt>
                <c:pt idx="3">
                  <c:v>дол. США</c:v>
                </c:pt>
              </c:strCache>
            </c:strRef>
          </c:cat>
          <c:val>
            <c:numRef>
              <c:f>Лист1!$D$3:$D$6</c:f>
              <c:numCache>
                <c:formatCode>General</c:formatCode>
                <c:ptCount val="4"/>
                <c:pt idx="0">
                  <c:v>2682</c:v>
                </c:pt>
                <c:pt idx="1">
                  <c:v>242</c:v>
                </c:pt>
                <c:pt idx="2">
                  <c:v>2694</c:v>
                </c:pt>
                <c:pt idx="3">
                  <c:v>240</c:v>
                </c:pt>
              </c:numCache>
            </c:numRef>
          </c:val>
        </c:ser>
        <c:axId val="109043712"/>
        <c:axId val="109045248"/>
      </c:barChart>
      <c:catAx>
        <c:axId val="109043712"/>
        <c:scaling>
          <c:orientation val="minMax"/>
        </c:scaling>
        <c:axPos val="b"/>
        <c:numFmt formatCode="General" sourceLinked="1"/>
        <c:tickLblPos val="nextTo"/>
        <c:crossAx val="109045248"/>
        <c:crosses val="autoZero"/>
        <c:auto val="1"/>
        <c:lblAlgn val="ctr"/>
        <c:lblOffset val="100"/>
      </c:catAx>
      <c:valAx>
        <c:axId val="109045248"/>
        <c:scaling>
          <c:orientation val="minMax"/>
        </c:scaling>
        <c:axPos val="l"/>
        <c:title>
          <c:tx>
            <c:rich>
              <a:bodyPr rot="0" vert="horz"/>
              <a:lstStyle/>
              <a:p>
                <a:pPr>
                  <a:defRPr sz="900"/>
                </a:pPr>
                <a:r>
                  <a:rPr lang="ru-RU" sz="900"/>
                  <a:t>* - Прирост/спад реальной заработной платы</a:t>
                </a:r>
              </a:p>
              <a:p>
                <a:pPr>
                  <a:defRPr sz="900"/>
                </a:pPr>
                <a:r>
                  <a:rPr lang="ru-RU" sz="900"/>
                  <a:t>** - прирост/спад заработной платы в долларовом эквиваленте</a:t>
                </a:r>
              </a:p>
              <a:p>
                <a:pPr>
                  <a:defRPr sz="900"/>
                </a:pPr>
                <a:endParaRPr lang="ru-RU" sz="900"/>
              </a:p>
            </c:rich>
          </c:tx>
          <c:layout>
            <c:manualLayout>
              <c:xMode val="edge"/>
              <c:yMode val="edge"/>
              <c:x val="3.9248411705546202E-2"/>
              <c:y val="0.17392138121463141"/>
            </c:manualLayout>
          </c:layout>
        </c:title>
        <c:numFmt formatCode="General" sourceLinked="1"/>
        <c:tickLblPos val="nextTo"/>
        <c:txPr>
          <a:bodyPr/>
          <a:lstStyle/>
          <a:p>
            <a:pPr>
              <a:defRPr b="1"/>
            </a:pPr>
            <a:endParaRPr lang="ru-RU"/>
          </a:p>
        </c:txPr>
        <c:crossAx val="109043712"/>
        <c:crosses val="autoZero"/>
        <c:crossBetween val="between"/>
      </c:valAx>
      <c:dTable>
        <c:showHorzBorder val="1"/>
        <c:showVertBorder val="1"/>
        <c:showOutline val="1"/>
        <c:showKeys val="1"/>
        <c:txPr>
          <a:bodyPr/>
          <a:lstStyle/>
          <a:p>
            <a:pPr rtl="0">
              <a:defRPr sz="900" b="1"/>
            </a:pPr>
            <a:endParaRPr lang="ru-RU"/>
          </a:p>
        </c:txPr>
      </c:dTable>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endParaRPr lang="ru-RU" b="1">
              <a:solidFill>
                <a:srgbClr val="FF0000"/>
              </a:solidFill>
            </a:endParaRPr>
          </a:p>
        </c:rich>
      </c:tx>
      <c:layout>
        <c:manualLayout>
          <c:xMode val="edge"/>
          <c:yMode val="edge"/>
          <c:x val="0.17176795208291895"/>
          <c:y val="1.7827634559378708E-2"/>
        </c:manualLayout>
      </c:layout>
      <c:spPr>
        <a:solidFill>
          <a:sysClr val="window" lastClr="FFFFFF"/>
        </a:solidFill>
        <a:ln w="25176">
          <a:noFill/>
        </a:ln>
      </c:spPr>
    </c:title>
    <c:plotArea>
      <c:layout>
        <c:manualLayout>
          <c:layoutTarget val="inner"/>
          <c:xMode val="edge"/>
          <c:yMode val="edge"/>
          <c:x val="8.3313735970069525E-2"/>
          <c:y val="9.2626388991097972E-2"/>
          <c:w val="0.91585760517799353"/>
          <c:h val="0.32675283514090298"/>
        </c:manualLayout>
      </c:layout>
      <c:lineChart>
        <c:grouping val="standard"/>
        <c:ser>
          <c:idx val="0"/>
          <c:order val="0"/>
          <c:tx>
            <c:strRef>
              <c:f>Sheet1!$A$2</c:f>
              <c:strCache>
                <c:ptCount val="1"/>
                <c:pt idx="0">
                  <c:v>I полугодие 2015 года</c:v>
                </c:pt>
              </c:strCache>
            </c:strRef>
          </c:tx>
          <c:spPr>
            <a:ln w="24130">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3.4848348392581344E-2"/>
                  <c:y val="3.8121355701984452E-2"/>
                </c:manualLayout>
              </c:layout>
              <c:dLblPos val="t"/>
              <c:showVal val="1"/>
            </c:dLbl>
            <c:dLbl>
              <c:idx val="1"/>
              <c:layout>
                <c:manualLayout>
                  <c:x val="-2.5431008724124071E-2"/>
                  <c:y val="4.4684009990755336E-2"/>
                </c:manualLayout>
              </c:layout>
              <c:dLblPos val="t"/>
              <c:showVal val="1"/>
            </c:dLbl>
            <c:dLbl>
              <c:idx val="2"/>
              <c:layout>
                <c:manualLayout>
                  <c:x val="-2.1355374405030284E-3"/>
                  <c:y val="4.4886828842470534E-2"/>
                </c:manualLayout>
              </c:layout>
              <c:dLblPos val="t"/>
              <c:showVal val="1"/>
            </c:dLbl>
            <c:dLbl>
              <c:idx val="3"/>
              <c:layout>
                <c:manualLayout>
                  <c:x val="-2.5659611896455232E-2"/>
                  <c:y val="7.0387610829162756E-3"/>
                </c:manualLayout>
              </c:layout>
              <c:dLblPos val="t"/>
              <c:showVal val="1"/>
            </c:dLbl>
            <c:dLbl>
              <c:idx val="4"/>
              <c:layout>
                <c:manualLayout>
                  <c:x val="-2.9946510561113419E-2"/>
                  <c:y val="3.5614638015696115E-2"/>
                </c:manualLayout>
              </c:layout>
              <c:dLblPos val="t"/>
              <c:showVal val="1"/>
            </c:dLbl>
            <c:dLbl>
              <c:idx val="5"/>
              <c:layout>
                <c:manualLayout>
                  <c:x val="2.0328006834527769E-2"/>
                  <c:y val="1.270425576051804E-2"/>
                </c:manualLayout>
              </c:layout>
              <c:dLblPos val="t"/>
              <c:showVal val="1"/>
            </c:dLbl>
            <c:dLbl>
              <c:idx val="6"/>
              <c:layout>
                <c:manualLayout>
                  <c:x val="5.9792045225119531E-3"/>
                  <c:y val="4.1535723527516812E-2"/>
                </c:manualLayout>
              </c:layout>
              <c:dLblPos val="t"/>
              <c:showVal val="1"/>
            </c:dLbl>
            <c:dLbl>
              <c:idx val="7"/>
              <c:layout>
                <c:manualLayout>
                  <c:x val="-2.5806234402421138E-3"/>
                  <c:y val="6.8119386971762595E-3"/>
                </c:manualLayout>
              </c:layout>
              <c:dLblPos val="t"/>
              <c:showVal val="1"/>
            </c:dLbl>
            <c:dLbl>
              <c:idx val="8"/>
              <c:layout>
                <c:manualLayout>
                  <c:x val="2.1299822824125117E-3"/>
                  <c:y val="6.8927579355904014E-3"/>
                </c:manualLayout>
              </c:layout>
              <c:dLblPos val="t"/>
              <c:showVal val="1"/>
            </c:dLbl>
            <c:dLbl>
              <c:idx val="9"/>
              <c:layout>
                <c:manualLayout>
                  <c:x val="4.2734316147414134E-3"/>
                  <c:y val="1.3979305870647819E-2"/>
                </c:manualLayout>
              </c:layout>
              <c:dLblPos val="t"/>
              <c:showVal val="1"/>
            </c:dLbl>
            <c:dLbl>
              <c:idx val="10"/>
              <c:layout>
                <c:manualLayout>
                  <c:x val="6.1828909547717564E-3"/>
                  <c:y val="7.7322209787364024E-3"/>
                </c:manualLayout>
              </c:layout>
              <c:dLblPos val="t"/>
              <c:showVal val="1"/>
            </c:dLbl>
            <c:dLbl>
              <c:idx val="11"/>
              <c:layout>
                <c:manualLayout>
                  <c:x val="8.5515766969535226E-3"/>
                  <c:y val="9.9933979270637246E-4"/>
                </c:manualLayout>
              </c:layout>
              <c:dLblPos val="t"/>
              <c:showVal val="1"/>
            </c:dLbl>
            <c:dLbl>
              <c:idx val="12"/>
              <c:layout>
                <c:manualLayout>
                  <c:x val="-1.64545466023054E-2"/>
                  <c:y val="4.6093612020969794E-2"/>
                </c:manualLayout>
              </c:layout>
              <c:dLblPos val="t"/>
              <c:showVal val="1"/>
            </c:dLbl>
            <c:dLbl>
              <c:idx val="13"/>
              <c:layout>
                <c:manualLayout>
                  <c:x val="2.1365474692467278E-3"/>
                  <c:y val="2.4728044363816061E-3"/>
                </c:manualLayout>
              </c:layout>
              <c:dLblPos val="t"/>
              <c:showVal val="1"/>
            </c:dLbl>
            <c:dLbl>
              <c:idx val="14"/>
              <c:layout>
                <c:manualLayout>
                  <c:x val="2.3567337353808882E-6"/>
                  <c:y val="5.5389365949951974E-2"/>
                </c:manualLayout>
              </c:layout>
              <c:dLblPos val="t"/>
              <c:showVal val="1"/>
            </c:dLbl>
            <c:dLbl>
              <c:idx val="15"/>
              <c:layout>
                <c:manualLayout>
                  <c:x val="3.3129784485116803E-2"/>
                  <c:y val="2.1726501531161197E-2"/>
                </c:manualLayout>
              </c:layout>
              <c:dLblPos val="t"/>
              <c:showVal val="1"/>
            </c:dLbl>
            <c:dLbl>
              <c:idx val="16"/>
              <c:layout>
                <c:manualLayout>
                  <c:x val="-1.1129843403460201E-2"/>
                  <c:y val="1.5943287462898921E-2"/>
                </c:manualLayout>
              </c:layout>
              <c:dLblPos val="t"/>
              <c:showVal val="1"/>
            </c:dLbl>
            <c:dLbl>
              <c:idx val="17"/>
              <c:layout>
                <c:manualLayout>
                  <c:x val="-2.4767251501365644E-2"/>
                  <c:y val="3.8320210667346692E-2"/>
                </c:manualLayout>
              </c:layout>
              <c:dLblPos val="t"/>
              <c:showVal val="1"/>
            </c:dLbl>
            <c:dLbl>
              <c:idx val="18"/>
              <c:layout>
                <c:manualLayout>
                  <c:x val="-1.7094017094017103E-2"/>
                  <c:y val="4.7144169871847781E-2"/>
                </c:manualLayout>
              </c:layout>
              <c:dLblPos val="t"/>
              <c:showVal val="1"/>
            </c:dLbl>
            <c:dLblPos val="t"/>
            <c:showVal val="1"/>
          </c:dLbls>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Sheet1!$B$2:$S$2</c:f>
              <c:numCache>
                <c:formatCode>0</c:formatCode>
                <c:ptCount val="18"/>
                <c:pt idx="0" formatCode="General">
                  <c:v>4921</c:v>
                </c:pt>
                <c:pt idx="1">
                  <c:v>2956</c:v>
                </c:pt>
                <c:pt idx="2" formatCode="General">
                  <c:v>1910</c:v>
                </c:pt>
                <c:pt idx="3" formatCode="General">
                  <c:v>3968</c:v>
                </c:pt>
                <c:pt idx="4" formatCode="General">
                  <c:v>6701</c:v>
                </c:pt>
                <c:pt idx="5" formatCode="General">
                  <c:v>4671</c:v>
                </c:pt>
                <c:pt idx="6" formatCode="General">
                  <c:v>1988</c:v>
                </c:pt>
                <c:pt idx="7">
                  <c:v>4088</c:v>
                </c:pt>
                <c:pt idx="8">
                  <c:v>4460</c:v>
                </c:pt>
                <c:pt idx="9">
                  <c:v>4807</c:v>
                </c:pt>
                <c:pt idx="10">
                  <c:v>4816</c:v>
                </c:pt>
                <c:pt idx="11">
                  <c:v>4141</c:v>
                </c:pt>
                <c:pt idx="12">
                  <c:v>2662</c:v>
                </c:pt>
                <c:pt idx="13">
                  <c:v>2692</c:v>
                </c:pt>
                <c:pt idx="14">
                  <c:v>2391</c:v>
                </c:pt>
                <c:pt idx="15">
                  <c:v>3234</c:v>
                </c:pt>
                <c:pt idx="16">
                  <c:v>7703</c:v>
                </c:pt>
                <c:pt idx="17">
                  <c:v>6097</c:v>
                </c:pt>
              </c:numCache>
            </c:numRef>
          </c:val>
        </c:ser>
        <c:ser>
          <c:idx val="1"/>
          <c:order val="1"/>
          <c:tx>
            <c:strRef>
              <c:f>Sheet1!$A$3</c:f>
              <c:strCache>
                <c:ptCount val="1"/>
                <c:pt idx="0">
                  <c:v>I полугодие 2016 года</c:v>
                </c:pt>
              </c:strCache>
            </c:strRef>
          </c:tx>
          <c:spPr>
            <a:ln w="24130">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1.0870434354444344E-2"/>
                  <c:y val="9.5470202805638688E-3"/>
                </c:manualLayout>
              </c:layout>
              <c:dLblPos val="t"/>
              <c:showVal val="1"/>
            </c:dLbl>
            <c:dLbl>
              <c:idx val="1"/>
              <c:layout>
                <c:manualLayout>
                  <c:x val="1.474473627728656E-2"/>
                  <c:y val="6.2772544713739914E-3"/>
                </c:manualLayout>
              </c:layout>
              <c:dLblPos val="t"/>
              <c:showVal val="1"/>
            </c:dLbl>
            <c:dLbl>
              <c:idx val="2"/>
              <c:layout>
                <c:manualLayout>
                  <c:x val="-8.5492199632181184E-3"/>
                  <c:y val="3.9686870595406612E-2"/>
                </c:manualLayout>
              </c:layout>
              <c:dLblPos val="t"/>
              <c:showVal val="1"/>
            </c:dLbl>
            <c:dLbl>
              <c:idx val="3"/>
              <c:layout>
                <c:manualLayout>
                  <c:x val="3.2502051620885715E-2"/>
                  <c:y val="2.0624320909192199E-2"/>
                </c:manualLayout>
              </c:layout>
              <c:dLblPos val="t"/>
              <c:showVal val="1"/>
            </c:dLbl>
            <c:dLbl>
              <c:idx val="4"/>
              <c:layout>
                <c:manualLayout>
                  <c:x val="2.5662641982686425E-2"/>
                  <c:y val="1.6611987056589762E-2"/>
                </c:manualLayout>
              </c:layout>
              <c:dLblPos val="t"/>
              <c:showVal val="1"/>
            </c:dLbl>
            <c:dLbl>
              <c:idx val="5"/>
              <c:layout>
                <c:manualLayout>
                  <c:x val="-2.3522780806245373E-2"/>
                  <c:y val="2.5157232704402552E-2"/>
                </c:manualLayout>
              </c:layout>
              <c:dLblPos val="t"/>
              <c:showVal val="1"/>
            </c:dLbl>
            <c:dLbl>
              <c:idx val="6"/>
              <c:layout>
                <c:manualLayout>
                  <c:x val="-3.2051282051282055E-2"/>
                  <c:y val="1.8642103699302505E-2"/>
                </c:manualLayout>
              </c:layout>
              <c:dLblPos val="t"/>
              <c:showVal val="1"/>
            </c:dLbl>
            <c:dLbl>
              <c:idx val="7"/>
              <c:layout>
                <c:manualLayout>
                  <c:x val="-2.8227104963028739E-2"/>
                  <c:y val="2.1849822439913569E-2"/>
                </c:manualLayout>
              </c:layout>
              <c:dLblPos val="t"/>
              <c:showVal val="1"/>
            </c:dLbl>
            <c:dLbl>
              <c:idx val="8"/>
              <c:layout>
                <c:manualLayout>
                  <c:x val="8.5503983300858205E-3"/>
                  <c:y val="3.4509594586916804E-2"/>
                </c:manualLayout>
              </c:layout>
              <c:dLblPos val="t"/>
              <c:showVal val="1"/>
            </c:dLbl>
            <c:dLbl>
              <c:idx val="9"/>
              <c:layout>
                <c:manualLayout>
                  <c:x val="0"/>
                  <c:y val="5.3109713487071976E-2"/>
                </c:manualLayout>
              </c:layout>
              <c:dLblPos val="t"/>
              <c:showVal val="1"/>
            </c:dLbl>
            <c:dLbl>
              <c:idx val="10"/>
              <c:layout>
                <c:manualLayout>
                  <c:x val="-2.3361964842582767E-3"/>
                  <c:y val="4.4007066288071502E-2"/>
                </c:manualLayout>
              </c:layout>
              <c:dLblPos val="t"/>
              <c:showVal val="1"/>
            </c:dLbl>
            <c:dLbl>
              <c:idx val="11"/>
              <c:layout>
                <c:manualLayout>
                  <c:x val="2.1597949641650242E-2"/>
                  <c:y val="2.7804460605356011E-2"/>
                </c:manualLayout>
              </c:layout>
              <c:dLblPos val="t"/>
              <c:showVal val="1"/>
            </c:dLbl>
            <c:dLbl>
              <c:idx val="12"/>
              <c:layout>
                <c:manualLayout>
                  <c:x val="3.8239688237794436E-3"/>
                  <c:y val="5.5939245073439786E-3"/>
                </c:manualLayout>
              </c:layout>
              <c:dLblPos val="t"/>
              <c:showVal val="1"/>
            </c:dLbl>
            <c:dLbl>
              <c:idx val="13"/>
              <c:layout>
                <c:manualLayout>
                  <c:x val="-1.0683928931960429E-2"/>
                  <c:y val="4.8623890567138228E-2"/>
                </c:manualLayout>
              </c:layout>
              <c:dLblPos val="t"/>
              <c:showVal val="1"/>
            </c:dLbl>
            <c:dLbl>
              <c:idx val="14"/>
              <c:layout>
                <c:manualLayout>
                  <c:x val="1.178366867690464E-6"/>
                  <c:y val="8.3589554542856728E-3"/>
                </c:manualLayout>
              </c:layout>
              <c:dLblPos val="t"/>
              <c:showVal val="1"/>
            </c:dLbl>
            <c:dLbl>
              <c:idx val="15"/>
              <c:layout>
                <c:manualLayout>
                  <c:x val="1.0683760683761001E-2"/>
                  <c:y val="5.0314465408805104E-2"/>
                </c:manualLayout>
              </c:layout>
              <c:dLblPos val="t"/>
              <c:showVal val="1"/>
            </c:dLbl>
            <c:dLbl>
              <c:idx val="16"/>
              <c:layout>
                <c:manualLayout>
                  <c:x val="-3.5689365659865115E-2"/>
                  <c:y val="3.1800938912547441E-2"/>
                </c:manualLayout>
              </c:layout>
              <c:dLblPos val="t"/>
              <c:showVal val="1"/>
            </c:dLbl>
            <c:dLbl>
              <c:idx val="17"/>
              <c:layout>
                <c:manualLayout>
                  <c:x val="7.0281166751537125E-3"/>
                  <c:y val="8.3750312156053303E-3"/>
                </c:manualLayout>
              </c:layout>
              <c:dLblPos val="t"/>
              <c:showVal val="1"/>
            </c:dLbl>
            <c:dLbl>
              <c:idx val="18"/>
              <c:layout>
                <c:manualLayout>
                  <c:x val="5.7439935392691434E-3"/>
                  <c:y val="4.8113482670014723E-4"/>
                </c:manualLayout>
              </c:layout>
              <c:dLblPos val="t"/>
              <c:showVal val="1"/>
            </c:dLbl>
            <c:dLblPos val="t"/>
            <c:showVal val="1"/>
          </c:dLbls>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Sheet1!$B$3:$S$3</c:f>
              <c:numCache>
                <c:formatCode>0</c:formatCode>
                <c:ptCount val="18"/>
                <c:pt idx="0" formatCode="General">
                  <c:v>4968</c:v>
                </c:pt>
                <c:pt idx="1">
                  <c:v>2937</c:v>
                </c:pt>
                <c:pt idx="2" formatCode="General">
                  <c:v>2825</c:v>
                </c:pt>
                <c:pt idx="3" formatCode="General">
                  <c:v>3866</c:v>
                </c:pt>
                <c:pt idx="4" formatCode="General">
                  <c:v>6926</c:v>
                </c:pt>
                <c:pt idx="5" formatCode="General">
                  <c:v>4188</c:v>
                </c:pt>
                <c:pt idx="6" formatCode="General">
                  <c:v>2066</c:v>
                </c:pt>
                <c:pt idx="7">
                  <c:v>3848</c:v>
                </c:pt>
                <c:pt idx="8">
                  <c:v>4127</c:v>
                </c:pt>
                <c:pt idx="9">
                  <c:v>3329</c:v>
                </c:pt>
                <c:pt idx="10">
                  <c:v>4417</c:v>
                </c:pt>
                <c:pt idx="11">
                  <c:v>4128</c:v>
                </c:pt>
                <c:pt idx="12">
                  <c:v>2690</c:v>
                </c:pt>
                <c:pt idx="13">
                  <c:v>2661</c:v>
                </c:pt>
                <c:pt idx="14">
                  <c:v>2421</c:v>
                </c:pt>
                <c:pt idx="15">
                  <c:v>3229</c:v>
                </c:pt>
                <c:pt idx="16">
                  <c:v>6972</c:v>
                </c:pt>
                <c:pt idx="17">
                  <c:v>6535</c:v>
                </c:pt>
              </c:numCache>
            </c:numRef>
          </c:val>
        </c:ser>
        <c:ser>
          <c:idx val="2"/>
          <c:order val="2"/>
          <c:tx>
            <c:strRef>
              <c:f>Sheet1!$A$4</c:f>
              <c:strCache>
                <c:ptCount val="1"/>
                <c:pt idx="0">
                  <c:v>средняя заработная плата в целом по республике за  I полуг. 2016 года</c:v>
                </c:pt>
              </c:strCache>
            </c:strRef>
          </c:tx>
          <c:spPr>
            <a:ln w="24130">
              <a:solidFill>
                <a:srgbClr val="008080"/>
              </a:solidFill>
              <a:prstDash val="solid"/>
            </a:ln>
          </c:spPr>
          <c:marker>
            <c:symbol val="triangle"/>
            <c:size val="2"/>
            <c:spPr>
              <a:solidFill>
                <a:srgbClr val="008080"/>
              </a:solidFill>
              <a:ln>
                <a:solidFill>
                  <a:srgbClr val="008080"/>
                </a:solidFill>
                <a:prstDash val="solid"/>
              </a:ln>
            </c:spPr>
          </c:marker>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Sheet1!$B$4:$S$4</c:f>
              <c:numCache>
                <c:formatCode>General</c:formatCode>
                <c:ptCount val="18"/>
                <c:pt idx="0">
                  <c:v>3791</c:v>
                </c:pt>
                <c:pt idx="1">
                  <c:v>3791</c:v>
                </c:pt>
                <c:pt idx="2">
                  <c:v>3791</c:v>
                </c:pt>
                <c:pt idx="3">
                  <c:v>3791</c:v>
                </c:pt>
                <c:pt idx="4">
                  <c:v>3791</c:v>
                </c:pt>
                <c:pt idx="5">
                  <c:v>3791</c:v>
                </c:pt>
                <c:pt idx="6">
                  <c:v>3791</c:v>
                </c:pt>
                <c:pt idx="7">
                  <c:v>3791</c:v>
                </c:pt>
                <c:pt idx="8">
                  <c:v>3791</c:v>
                </c:pt>
                <c:pt idx="9">
                  <c:v>3791</c:v>
                </c:pt>
                <c:pt idx="10">
                  <c:v>3791</c:v>
                </c:pt>
                <c:pt idx="11">
                  <c:v>3791</c:v>
                </c:pt>
                <c:pt idx="12">
                  <c:v>3791</c:v>
                </c:pt>
                <c:pt idx="13">
                  <c:v>3791</c:v>
                </c:pt>
                <c:pt idx="14">
                  <c:v>3791</c:v>
                </c:pt>
                <c:pt idx="15">
                  <c:v>3791</c:v>
                </c:pt>
                <c:pt idx="16">
                  <c:v>3791</c:v>
                </c:pt>
                <c:pt idx="17">
                  <c:v>3791</c:v>
                </c:pt>
              </c:numCache>
            </c:numRef>
          </c:val>
        </c:ser>
        <c:marker val="1"/>
        <c:axId val="109310720"/>
        <c:axId val="109312640"/>
      </c:lineChart>
      <c:catAx>
        <c:axId val="109310720"/>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09312640"/>
        <c:crosses val="autoZero"/>
        <c:auto val="1"/>
        <c:lblAlgn val="ctr"/>
        <c:lblOffset val="200"/>
        <c:tickLblSkip val="1"/>
        <c:tickMarkSkip val="1"/>
      </c:catAx>
      <c:valAx>
        <c:axId val="109312640"/>
        <c:scaling>
          <c:orientation val="minMax"/>
          <c:max val="8000"/>
          <c:min val="1000"/>
        </c:scaling>
        <c:axPos val="l"/>
        <c:numFmt formatCode="General" sourceLinked="0"/>
        <c:tickLblPos val="nextTo"/>
        <c:spPr>
          <a:ln w="3016">
            <a:solidFill>
              <a:srgbClr val="000000"/>
            </a:solidFill>
            <a:prstDash val="solid"/>
          </a:ln>
        </c:spPr>
        <c:txPr>
          <a:bodyPr rot="0" vert="horz"/>
          <a:lstStyle/>
          <a:p>
            <a:pPr>
              <a:defRPr/>
            </a:pPr>
            <a:endParaRPr lang="ru-RU"/>
          </a:p>
        </c:txPr>
        <c:crossAx val="109310720"/>
        <c:crosses val="autoZero"/>
        <c:crossBetween val="between"/>
        <c:majorUnit val="500"/>
      </c:valAx>
    </c:plotArea>
    <c:legend>
      <c:legendPos val="r"/>
      <c:layout>
        <c:manualLayout>
          <c:xMode val="edge"/>
          <c:yMode val="edge"/>
          <c:x val="0"/>
          <c:y val="0.90441341498979289"/>
          <c:w val="1"/>
          <c:h val="9.5491163604549428E-2"/>
        </c:manualLayout>
      </c:layout>
      <c:spPr>
        <a:solidFill>
          <a:srgbClr val="FFFFFF"/>
        </a:solidFill>
        <a:ln w="3016">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sz="1200"/>
              <a:t>Динамика оплаты труда в организациях внебюджетного сектора, руб. ПМР</a:t>
            </a:r>
            <a:endParaRPr lang="ru-RU" sz="1200">
              <a:solidFill>
                <a:srgbClr val="FF0000"/>
              </a:solidFill>
            </a:endParaRPr>
          </a:p>
        </c:rich>
      </c:tx>
      <c:layout>
        <c:manualLayout>
          <c:xMode val="edge"/>
          <c:yMode val="edge"/>
          <c:x val="0.20669997981021604"/>
          <c:y val="5.695178513644702E-4"/>
        </c:manualLayout>
      </c:layout>
      <c:spPr>
        <a:solidFill>
          <a:sysClr val="window" lastClr="FFFFFF"/>
        </a:solidFill>
        <a:ln w="23940">
          <a:noFill/>
        </a:ln>
      </c:spPr>
    </c:title>
    <c:plotArea>
      <c:layout>
        <c:manualLayout>
          <c:layoutTarget val="inner"/>
          <c:xMode val="edge"/>
          <c:yMode val="edge"/>
          <c:x val="8.2768860623191345E-2"/>
          <c:y val="0.11535492994882489"/>
          <c:w val="0.88247863247865621"/>
          <c:h val="0.31059816153117847"/>
        </c:manualLayout>
      </c:layout>
      <c:lineChart>
        <c:grouping val="standard"/>
        <c:ser>
          <c:idx val="0"/>
          <c:order val="0"/>
          <c:tx>
            <c:strRef>
              <c:f>Sheet1!$A$2</c:f>
              <c:strCache>
                <c:ptCount val="1"/>
                <c:pt idx="0">
                  <c:v> I полугодие 2015 года</c:v>
                </c:pt>
              </c:strCache>
            </c:strRef>
          </c:tx>
          <c:spPr>
            <a:ln w="22946">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8.3006931825829727E-3"/>
                  <c:y val="-7.5063219837248002E-3"/>
                </c:manualLayout>
              </c:layout>
              <c:dLblPos val="r"/>
              <c:showVal val="1"/>
            </c:dLbl>
            <c:dLbl>
              <c:idx val="1"/>
              <c:layout>
                <c:manualLayout>
                  <c:x val="1.282034457231308E-2"/>
                  <c:y val="-5.3452941669962485E-2"/>
                </c:manualLayout>
              </c:layout>
              <c:dLblPos val="b"/>
              <c:showVal val="1"/>
            </c:dLbl>
            <c:dLbl>
              <c:idx val="2"/>
              <c:layout>
                <c:manualLayout>
                  <c:x val="2.5641025641026025E-2"/>
                  <c:y val="-3.7794077110224762E-2"/>
                </c:manualLayout>
              </c:layout>
              <c:dLblPos val="b"/>
              <c:showVal val="1"/>
            </c:dLbl>
            <c:dLbl>
              <c:idx val="3"/>
              <c:layout>
                <c:manualLayout>
                  <c:x val="-5.8099973080288039E-2"/>
                  <c:y val="-6.5305396147518138E-4"/>
                </c:manualLayout>
              </c:layout>
              <c:dLblPos val="r"/>
              <c:showVal val="1"/>
            </c:dLbl>
            <c:dLbl>
              <c:idx val="4"/>
              <c:layout>
                <c:manualLayout>
                  <c:x val="-4.3932969917222604E-3"/>
                  <c:y val="5.6719279953020832E-3"/>
                </c:manualLayout>
              </c:layout>
              <c:dLblPos val="r"/>
              <c:showVal val="1"/>
            </c:dLbl>
            <c:dLbl>
              <c:idx val="5"/>
              <c:layout>
                <c:manualLayout>
                  <c:x val="1.282051282051282E-2"/>
                  <c:y val="-5.0847457627118814E-2"/>
                </c:manualLayout>
              </c:layout>
              <c:dLblPos val="b"/>
              <c:showVal val="1"/>
            </c:dLbl>
            <c:dLbl>
              <c:idx val="6"/>
              <c:layout>
                <c:manualLayout>
                  <c:x val="-3.2051282051282055E-2"/>
                  <c:y val="-1.8427593811047603E-2"/>
                </c:manualLayout>
              </c:layout>
              <c:dLblPos val="r"/>
              <c:showVal val="1"/>
            </c:dLbl>
            <c:dLbl>
              <c:idx val="7"/>
              <c:layout>
                <c:manualLayout>
                  <c:x val="-2.136752136752137E-3"/>
                  <c:y val="-4.7610110380038102E-2"/>
                </c:manualLayout>
              </c:layout>
              <c:dLblPos val="b"/>
              <c:showVal val="1"/>
            </c:dLbl>
            <c:dLbl>
              <c:idx val="8"/>
              <c:layout>
                <c:manualLayout>
                  <c:x val="-3.9478935325392019E-2"/>
                  <c:y val="-2.9505626865135009E-2"/>
                </c:manualLayout>
              </c:layout>
              <c:dLblPos val="r"/>
              <c:showVal val="1"/>
            </c:dLbl>
            <c:dLbl>
              <c:idx val="9"/>
              <c:layout>
                <c:manualLayout>
                  <c:x val="-1.5220909886264221E-2"/>
                  <c:y val="-1.5064418317573321E-2"/>
                </c:manualLayout>
              </c:layout>
              <c:dLblPos val="r"/>
              <c:showVal val="1"/>
            </c:dLbl>
            <c:dLbl>
              <c:idx val="10"/>
              <c:layout>
                <c:manualLayout>
                  <c:x val="2.1365838885524422E-3"/>
                  <c:y val="-6.5629501791728093E-2"/>
                </c:manualLayout>
              </c:layout>
              <c:dLblPos val="b"/>
              <c:showVal val="1"/>
            </c:dLbl>
            <c:dLbl>
              <c:idx val="11"/>
              <c:layout>
                <c:manualLayout>
                  <c:x val="-2.3504273504273861E-2"/>
                  <c:y val="-3.282781433142775E-2"/>
                </c:manualLayout>
              </c:layout>
              <c:dLblPos val="b"/>
              <c:showVal val="1"/>
            </c:dLbl>
            <c:dLbl>
              <c:idx val="12"/>
              <c:layout>
                <c:manualLayout>
                  <c:x val="-1.6824819974427196E-7"/>
                  <c:y val="-4.8022598870056499E-2"/>
                </c:manualLayout>
              </c:layout>
              <c:dLblPos val="b"/>
              <c:showVal val="1"/>
            </c:dLbl>
            <c:dLbl>
              <c:idx val="13"/>
              <c:layout>
                <c:manualLayout>
                  <c:x val="-5.0396729254998052E-2"/>
                  <c:y val="8.0465969151117568E-3"/>
                </c:manualLayout>
              </c:layout>
              <c:dLblPos val="r"/>
              <c:showVal val="1"/>
            </c:dLbl>
            <c:dLbl>
              <c:idx val="14"/>
              <c:layout>
                <c:manualLayout>
                  <c:x val="-1.1259842519685041E-2"/>
                  <c:y val="8.6362492359688767E-3"/>
                </c:manualLayout>
              </c:layout>
              <c:dLblPos val="r"/>
              <c:showVal val="1"/>
            </c:dLbl>
            <c:dLbl>
              <c:idx val="15"/>
              <c:layout>
                <c:manualLayout>
                  <c:x val="-2.3504273504273875E-2"/>
                  <c:y val="-3.7600402689390425E-2"/>
                </c:manualLayout>
              </c:layout>
              <c:dLblPos val="b"/>
              <c:showVal val="1"/>
            </c:dLbl>
            <c:dLbl>
              <c:idx val="16"/>
              <c:layout>
                <c:manualLayout>
                  <c:x val="-3.2731004778248876E-2"/>
                  <c:y val="1.4115221898632541E-2"/>
                </c:manualLayout>
              </c:layout>
              <c:dLblPos val="r"/>
              <c:showVal val="1"/>
            </c:dLbl>
            <c:dLbl>
              <c:idx val="17"/>
              <c:layout>
                <c:manualLayout>
                  <c:x val="-5.4680833165085117E-2"/>
                  <c:y val="-9.0422171804795479E-3"/>
                </c:manualLayout>
              </c:layout>
              <c:dLblPos val="r"/>
              <c:showVal val="1"/>
            </c:dLbl>
            <c:dLbl>
              <c:idx val="18"/>
              <c:layout>
                <c:manualLayout>
                  <c:x val="-5.5555555555555455E-2"/>
                  <c:y val="-7.7683615819211715E-3"/>
                </c:manualLayout>
              </c:layout>
              <c:dLblPos val="r"/>
              <c:showVal val="1"/>
            </c:dLbl>
            <c:txPr>
              <a:bodyPr/>
              <a:lstStyle/>
              <a:p>
                <a:pPr>
                  <a:defRPr sz="800">
                    <a:latin typeface="Times New Roman" pitchFamily="18" charset="0"/>
                    <a:cs typeface="Times New Roman" pitchFamily="18" charset="0"/>
                  </a:defRPr>
                </a:pPr>
                <a:endParaRPr lang="ru-RU"/>
              </a:p>
            </c:txPr>
            <c:dLblPos val="b"/>
            <c:showVal val="1"/>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Заготовки</c:v>
                </c:pt>
                <c:pt idx="8">
                  <c:v>Операции с недвиж. Имуществом</c:v>
                </c:pt>
                <c:pt idx="9">
                  <c:v>ЖКХ</c:v>
                </c:pt>
                <c:pt idx="10">
                  <c:v>Бытовое обслуживание</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Sheet1!$B$2:$R$2</c:f>
              <c:numCache>
                <c:formatCode>0</c:formatCode>
                <c:ptCount val="17"/>
                <c:pt idx="0" formatCode="General">
                  <c:v>4921</c:v>
                </c:pt>
                <c:pt idx="1">
                  <c:v>3082</c:v>
                </c:pt>
                <c:pt idx="2" formatCode="General">
                  <c:v>1910</c:v>
                </c:pt>
                <c:pt idx="3" formatCode="General">
                  <c:v>3968</c:v>
                </c:pt>
                <c:pt idx="4" formatCode="General">
                  <c:v>6701</c:v>
                </c:pt>
                <c:pt idx="5" formatCode="General">
                  <c:v>4671</c:v>
                </c:pt>
                <c:pt idx="6">
                  <c:v>4189</c:v>
                </c:pt>
                <c:pt idx="7">
                  <c:v>4807</c:v>
                </c:pt>
                <c:pt idx="8">
                  <c:v>4816</c:v>
                </c:pt>
                <c:pt idx="9">
                  <c:v>4169</c:v>
                </c:pt>
                <c:pt idx="10">
                  <c:v>2462</c:v>
                </c:pt>
                <c:pt idx="11">
                  <c:v>4348</c:v>
                </c:pt>
                <c:pt idx="12">
                  <c:v>5279</c:v>
                </c:pt>
                <c:pt idx="13">
                  <c:v>2582</c:v>
                </c:pt>
                <c:pt idx="14">
                  <c:v>5475</c:v>
                </c:pt>
                <c:pt idx="15">
                  <c:v>7703</c:v>
                </c:pt>
                <c:pt idx="16">
                  <c:v>6097</c:v>
                </c:pt>
              </c:numCache>
            </c:numRef>
          </c:val>
        </c:ser>
        <c:ser>
          <c:idx val="1"/>
          <c:order val="1"/>
          <c:tx>
            <c:strRef>
              <c:f>Sheet1!$A$3</c:f>
              <c:strCache>
                <c:ptCount val="1"/>
                <c:pt idx="0">
                  <c:v> I полугодие 2016 года</c:v>
                </c:pt>
              </c:strCache>
            </c:strRef>
          </c:tx>
          <c:spPr>
            <a:ln w="22946">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3.4035264822666812E-2"/>
                  <c:y val="-2.7746497441244602E-2"/>
                </c:manualLayout>
              </c:layout>
              <c:dLblPos val="r"/>
              <c:showVal val="1"/>
            </c:dLbl>
            <c:dLbl>
              <c:idx val="1"/>
              <c:layout>
                <c:manualLayout>
                  <c:x val="-4.1316373914799122E-2"/>
                  <c:y val="1.6534713982669976E-2"/>
                </c:manualLayout>
              </c:layout>
              <c:dLblPos val="r"/>
              <c:showVal val="1"/>
            </c:dLbl>
            <c:dLbl>
              <c:idx val="2"/>
              <c:layout>
                <c:manualLayout>
                  <c:x val="2.136752136752137E-3"/>
                  <c:y val="1.1492707247210788E-2"/>
                </c:manualLayout>
              </c:layout>
              <c:dLblPos val="t"/>
              <c:showVal val="1"/>
            </c:dLbl>
            <c:dLbl>
              <c:idx val="3"/>
              <c:layout>
                <c:manualLayout>
                  <c:x val="-1.8835049464970725E-2"/>
                  <c:y val="1.5429956848614267E-2"/>
                </c:manualLayout>
              </c:layout>
              <c:dLblPos val="r"/>
              <c:showVal val="1"/>
            </c:dLbl>
            <c:dLbl>
              <c:idx val="4"/>
              <c:layout>
                <c:manualLayout>
                  <c:x val="-5.6513392556699703E-2"/>
                  <c:y val="2.1275422763935492E-3"/>
                </c:manualLayout>
              </c:layout>
              <c:dLblPos val="r"/>
              <c:showVal val="1"/>
            </c:dLbl>
            <c:dLbl>
              <c:idx val="5"/>
              <c:layout>
                <c:manualLayout>
                  <c:x val="-6.0601487314085739E-2"/>
                  <c:y val="-4.1946811443090181E-4"/>
                </c:manualLayout>
              </c:layout>
              <c:dLblPos val="r"/>
              <c:showVal val="1"/>
            </c:dLbl>
            <c:dLbl>
              <c:idx val="6"/>
              <c:layout>
                <c:manualLayout>
                  <c:x val="-3.8901844000269296E-2"/>
                  <c:y val="2.0288713910761192E-2"/>
                </c:manualLayout>
              </c:layout>
              <c:dLblPos val="r"/>
              <c:showVal val="1"/>
            </c:dLbl>
            <c:dLbl>
              <c:idx val="7"/>
              <c:layout>
                <c:manualLayout>
                  <c:x val="2.136752136752137E-3"/>
                  <c:y val="2.3864140270137466E-3"/>
                </c:manualLayout>
              </c:layout>
              <c:dLblPos val="t"/>
              <c:showVal val="1"/>
            </c:dLbl>
            <c:dLbl>
              <c:idx val="8"/>
              <c:layout>
                <c:manualLayout>
                  <c:x val="4.2735042735042739E-3"/>
                  <c:y val="5.3672316384180775E-2"/>
                </c:manualLayout>
              </c:layout>
              <c:dLblPos val="t"/>
              <c:showVal val="1"/>
            </c:dLbl>
            <c:dLbl>
              <c:idx val="9"/>
              <c:layout>
                <c:manualLayout>
                  <c:x val="-3.8876270273908081E-2"/>
                  <c:y val="2.3472956291422473E-2"/>
                </c:manualLayout>
              </c:layout>
              <c:dLblPos val="r"/>
              <c:showVal val="1"/>
            </c:dLbl>
            <c:dLbl>
              <c:idx val="10"/>
              <c:layout>
                <c:manualLayout>
                  <c:x val="-4.2736725217042927E-3"/>
                  <c:y val="4.1962720761599716E-2"/>
                </c:manualLayout>
              </c:layout>
              <c:dLblPos val="t"/>
              <c:showVal val="1"/>
            </c:dLbl>
            <c:dLbl>
              <c:idx val="11"/>
              <c:layout>
                <c:manualLayout>
                  <c:x val="2.1367521367521368E-2"/>
                  <c:y val="4.1302268723258907E-2"/>
                </c:manualLayout>
              </c:layout>
              <c:dLblPos val="t"/>
              <c:showVal val="1"/>
            </c:dLbl>
            <c:dLbl>
              <c:idx val="12"/>
              <c:layout>
                <c:manualLayout>
                  <c:x val="-2.1224510397738743E-3"/>
                  <c:y val="-5.8471458191013794E-3"/>
                </c:manualLayout>
              </c:layout>
              <c:dLblPos val="r"/>
              <c:showVal val="1"/>
            </c:dLbl>
            <c:dLbl>
              <c:idx val="13"/>
              <c:layout>
                <c:manualLayout>
                  <c:x val="2.9914529914529909E-2"/>
                  <c:y val="2.3040065197329811E-2"/>
                </c:manualLayout>
              </c:layout>
              <c:dLblPos val="t"/>
              <c:showVal val="1"/>
            </c:dLbl>
            <c:dLbl>
              <c:idx val="14"/>
              <c:layout>
                <c:manualLayout>
                  <c:x val="-1.4957264957264856E-2"/>
                  <c:y val="1.6046213401407015E-2"/>
                </c:manualLayout>
              </c:layout>
              <c:dLblPos val="t"/>
              <c:showVal val="1"/>
            </c:dLbl>
            <c:dLbl>
              <c:idx val="15"/>
              <c:layout>
                <c:manualLayout>
                  <c:x val="-2.5592065414900059E-2"/>
                  <c:y val="1.8030606343698619E-2"/>
                </c:manualLayout>
              </c:layout>
              <c:dLblPos val="r"/>
              <c:showVal val="1"/>
            </c:dLbl>
            <c:dLbl>
              <c:idx val="16"/>
              <c:layout>
                <c:manualLayout>
                  <c:x val="0"/>
                  <c:y val="5.4305540574551472E-3"/>
                </c:manualLayout>
              </c:layout>
              <c:dLblPos val="t"/>
              <c:showVal val="1"/>
            </c:dLbl>
            <c:dLbl>
              <c:idx val="17"/>
              <c:layout>
                <c:manualLayout>
                  <c:x val="-5.0789925297799313E-2"/>
                  <c:y val="3.1765203078430288E-3"/>
                </c:manualLayout>
              </c:layout>
              <c:dLblPos val="r"/>
              <c:showVal val="1"/>
            </c:dLbl>
            <c:dLbl>
              <c:idx val="18"/>
              <c:layout>
                <c:manualLayout>
                  <c:x val="-3.4188034188034191E-2"/>
                  <c:y val="-3.4193691890208593E-2"/>
                </c:manualLayout>
              </c:layout>
              <c:dLblPos val="r"/>
              <c:showVal val="1"/>
            </c:dLbl>
            <c:txPr>
              <a:bodyPr/>
              <a:lstStyle/>
              <a:p>
                <a:pPr>
                  <a:defRPr sz="800">
                    <a:latin typeface="Times New Roman" pitchFamily="18" charset="0"/>
                    <a:cs typeface="Times New Roman" pitchFamily="18" charset="0"/>
                  </a:defRPr>
                </a:pPr>
                <a:endParaRPr lang="ru-RU"/>
              </a:p>
            </c:txPr>
            <c:dLblPos val="t"/>
            <c:showVal val="1"/>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Заготовки</c:v>
                </c:pt>
                <c:pt idx="8">
                  <c:v>Операции с недвиж. Имуществом</c:v>
                </c:pt>
                <c:pt idx="9">
                  <c:v>ЖКХ</c:v>
                </c:pt>
                <c:pt idx="10">
                  <c:v>Бытовое обслуживание</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Sheet1!$B$3:$R$3</c:f>
              <c:numCache>
                <c:formatCode>0</c:formatCode>
                <c:ptCount val="17"/>
                <c:pt idx="0" formatCode="General">
                  <c:v>4968</c:v>
                </c:pt>
                <c:pt idx="1">
                  <c:v>3061</c:v>
                </c:pt>
                <c:pt idx="2" formatCode="General">
                  <c:v>2825</c:v>
                </c:pt>
                <c:pt idx="3" formatCode="General">
                  <c:v>3866</c:v>
                </c:pt>
                <c:pt idx="4" formatCode="General">
                  <c:v>6926</c:v>
                </c:pt>
                <c:pt idx="5" formatCode="General">
                  <c:v>4188</c:v>
                </c:pt>
                <c:pt idx="6">
                  <c:v>3945</c:v>
                </c:pt>
                <c:pt idx="7">
                  <c:v>3329</c:v>
                </c:pt>
                <c:pt idx="8">
                  <c:v>4417</c:v>
                </c:pt>
                <c:pt idx="9">
                  <c:v>4155</c:v>
                </c:pt>
                <c:pt idx="10">
                  <c:v>2394</c:v>
                </c:pt>
                <c:pt idx="11">
                  <c:v>4267</c:v>
                </c:pt>
                <c:pt idx="12">
                  <c:v>4974</c:v>
                </c:pt>
                <c:pt idx="13">
                  <c:v>2681</c:v>
                </c:pt>
                <c:pt idx="14">
                  <c:v>5629</c:v>
                </c:pt>
                <c:pt idx="15">
                  <c:v>6972</c:v>
                </c:pt>
                <c:pt idx="16">
                  <c:v>6535</c:v>
                </c:pt>
              </c:numCache>
            </c:numRef>
          </c:val>
        </c:ser>
        <c:ser>
          <c:idx val="2"/>
          <c:order val="2"/>
          <c:tx>
            <c:strRef>
              <c:f>Sheet1!$A$4</c:f>
              <c:strCache>
                <c:ptCount val="1"/>
                <c:pt idx="0">
                  <c:v>средняя зарплата во внебюджетном секторе республики  республике за I полугодие 2016 года</c:v>
                </c:pt>
              </c:strCache>
            </c:strRef>
          </c:tx>
          <c:spPr>
            <a:ln w="22946">
              <a:solidFill>
                <a:srgbClr val="008080"/>
              </a:solidFill>
              <a:prstDash val="solid"/>
            </a:ln>
          </c:spPr>
          <c:marker>
            <c:symbol val="triangle"/>
            <c:size val="2"/>
            <c:spPr>
              <a:solidFill>
                <a:srgbClr val="008080"/>
              </a:solidFill>
              <a:ln>
                <a:solidFill>
                  <a:srgbClr val="008080"/>
                </a:solidFill>
                <a:prstDash val="solid"/>
              </a:ln>
            </c:spPr>
          </c:marker>
          <c:dLbls>
            <c:delete val="1"/>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Заготовки</c:v>
                </c:pt>
                <c:pt idx="8">
                  <c:v>Операции с недвиж. Имуществом</c:v>
                </c:pt>
                <c:pt idx="9">
                  <c:v>ЖКХ</c:v>
                </c:pt>
                <c:pt idx="10">
                  <c:v>Бытовое обслуживание</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Sheet1!$B$4:$R$4</c:f>
              <c:numCache>
                <c:formatCode>General</c:formatCode>
                <c:ptCount val="17"/>
                <c:pt idx="0">
                  <c:v>4777</c:v>
                </c:pt>
                <c:pt idx="1">
                  <c:v>4777</c:v>
                </c:pt>
                <c:pt idx="2">
                  <c:v>4777</c:v>
                </c:pt>
                <c:pt idx="3">
                  <c:v>4777</c:v>
                </c:pt>
                <c:pt idx="4">
                  <c:v>4777</c:v>
                </c:pt>
                <c:pt idx="5">
                  <c:v>4777</c:v>
                </c:pt>
                <c:pt idx="6">
                  <c:v>4777</c:v>
                </c:pt>
                <c:pt idx="7">
                  <c:v>4777</c:v>
                </c:pt>
                <c:pt idx="8">
                  <c:v>4777</c:v>
                </c:pt>
                <c:pt idx="9">
                  <c:v>4777</c:v>
                </c:pt>
                <c:pt idx="10">
                  <c:v>4777</c:v>
                </c:pt>
                <c:pt idx="11">
                  <c:v>4777</c:v>
                </c:pt>
                <c:pt idx="12">
                  <c:v>4777</c:v>
                </c:pt>
                <c:pt idx="13">
                  <c:v>4777</c:v>
                </c:pt>
                <c:pt idx="14">
                  <c:v>4777</c:v>
                </c:pt>
                <c:pt idx="15">
                  <c:v>4777</c:v>
                </c:pt>
                <c:pt idx="16">
                  <c:v>4777</c:v>
                </c:pt>
              </c:numCache>
            </c:numRef>
          </c:val>
        </c:ser>
        <c:dLbls>
          <c:showVal val="1"/>
        </c:dLbls>
        <c:marker val="1"/>
        <c:axId val="109568384"/>
        <c:axId val="109570304"/>
      </c:lineChart>
      <c:catAx>
        <c:axId val="109568384"/>
        <c:scaling>
          <c:orientation val="minMax"/>
        </c:scaling>
        <c:axPos val="b"/>
        <c:numFmt formatCode="General" sourceLinked="1"/>
        <c:tickLblPos val="nextTo"/>
        <c:spPr>
          <a:ln w="286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09570304"/>
        <c:crosses val="autoZero"/>
        <c:auto val="1"/>
        <c:lblAlgn val="ctr"/>
        <c:lblOffset val="200"/>
        <c:tickLblSkip val="1"/>
        <c:tickMarkSkip val="1"/>
      </c:catAx>
      <c:valAx>
        <c:axId val="109570304"/>
        <c:scaling>
          <c:orientation val="minMax"/>
          <c:max val="8500"/>
          <c:min val="1500"/>
        </c:scaling>
        <c:axPos val="l"/>
        <c:numFmt formatCode="General" sourceLinked="0"/>
        <c:tickLblPos val="nextTo"/>
        <c:spPr>
          <a:ln w="286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9568384"/>
        <c:crosses val="autoZero"/>
        <c:crossBetween val="between"/>
        <c:majorUnit val="1000"/>
        <c:minorUnit val="500"/>
      </c:valAx>
      <c:spPr>
        <a:solidFill>
          <a:srgbClr val="FFFFFF"/>
        </a:solidFill>
        <a:ln w="2868">
          <a:noFill/>
          <a:prstDash val="solid"/>
        </a:ln>
      </c:spPr>
    </c:plotArea>
    <c:legend>
      <c:legendPos val="r"/>
      <c:layout>
        <c:manualLayout>
          <c:xMode val="edge"/>
          <c:yMode val="edge"/>
          <c:x val="1.4099703883168448E-2"/>
          <c:y val="0.89859849710566997"/>
          <c:w val="0.95616090653341801"/>
          <c:h val="0.10140150289432998"/>
        </c:manualLayout>
      </c:layout>
      <c:spPr>
        <a:solidFill>
          <a:srgbClr val="FFFFFF"/>
        </a:solidFill>
        <a:ln w="2868">
          <a:no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93" b="1" i="0" u="none" strike="noStrike" baseline="0">
          <a:solidFill>
            <a:srgbClr val="000000"/>
          </a:solidFill>
          <a:latin typeface="Arial Cyr"/>
          <a:ea typeface="Arial Cyr"/>
          <a:cs typeface="Arial Cyr"/>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39"/>
  <c:clrMapOvr bg1="lt1" tx1="dk1" bg2="lt2" tx2="dk2" accent1="accent1" accent2="accent2" accent3="accent3" accent4="accent4" accent5="accent5" accent6="accent6" hlink="hlink" folHlink="folHlink"/>
  <c:chart>
    <c:title>
      <c:tx>
        <c:rich>
          <a:bodyPr/>
          <a:lstStyle/>
          <a:p>
            <a:pPr>
              <a:defRPr sz="1200"/>
            </a:pPr>
            <a:r>
              <a:rPr lang="ru-RU" sz="1200"/>
              <a:t>Динамика среднемесячной номинальной заработной платы в разрезе подотраслей промышленности, %</a:t>
            </a:r>
            <a:endParaRPr lang="ru-RU" sz="1200">
              <a:solidFill>
                <a:srgbClr val="FF0000"/>
              </a:solidFill>
            </a:endParaRPr>
          </a:p>
        </c:rich>
      </c:tx>
      <c:layout>
        <c:manualLayout>
          <c:xMode val="edge"/>
          <c:yMode val="edge"/>
          <c:x val="0.16765366114377317"/>
          <c:y val="0"/>
        </c:manualLayout>
      </c:layout>
      <c:spPr>
        <a:solidFill>
          <a:sysClr val="window" lastClr="FFFFFF"/>
        </a:solidFill>
        <a:ln>
          <a:solidFill>
            <a:sysClr val="window" lastClr="FFFFFF"/>
          </a:solidFill>
        </a:ln>
      </c:spPr>
    </c:title>
    <c:view3D>
      <c:rotX val="10"/>
      <c:rotY val="0"/>
      <c:perspective val="30"/>
    </c:view3D>
    <c:plotArea>
      <c:layout>
        <c:manualLayout>
          <c:layoutTarget val="inner"/>
          <c:xMode val="edge"/>
          <c:yMode val="edge"/>
          <c:x val="9.4029502126188366E-2"/>
          <c:y val="0.11311784225170052"/>
          <c:w val="0.89139381014873265"/>
          <c:h val="0.36235170603674538"/>
        </c:manualLayout>
      </c:layout>
      <c:bar3DChart>
        <c:barDir val="col"/>
        <c:grouping val="clustered"/>
        <c:ser>
          <c:idx val="0"/>
          <c:order val="0"/>
          <c:tx>
            <c:strRef>
              <c:f>Лист1!$B$1</c:f>
              <c:strCache>
                <c:ptCount val="1"/>
                <c:pt idx="0">
                  <c:v>I полугодие 2015 года</c:v>
                </c:pt>
              </c:strCache>
            </c:strRef>
          </c:tx>
          <c:spPr>
            <a:solidFill>
              <a:srgbClr val="7030A0"/>
            </a:solidFill>
          </c:spPr>
          <c:dLbls>
            <c:delete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Лист1!$B$2:$B$12</c:f>
              <c:numCache>
                <c:formatCode>#,##0</c:formatCode>
                <c:ptCount val="11"/>
                <c:pt idx="0">
                  <c:v>6069</c:v>
                </c:pt>
                <c:pt idx="1">
                  <c:v>6244</c:v>
                </c:pt>
                <c:pt idx="2">
                  <c:v>4046</c:v>
                </c:pt>
                <c:pt idx="3">
                  <c:v>4917</c:v>
                </c:pt>
                <c:pt idx="4">
                  <c:v>4208</c:v>
                </c:pt>
                <c:pt idx="5">
                  <c:v>2817</c:v>
                </c:pt>
                <c:pt idx="6">
                  <c:v>4144</c:v>
                </c:pt>
                <c:pt idx="7">
                  <c:v>3731</c:v>
                </c:pt>
                <c:pt idx="8">
                  <c:v>4343</c:v>
                </c:pt>
                <c:pt idx="9">
                  <c:v>4138</c:v>
                </c:pt>
                <c:pt idx="10">
                  <c:v>4665</c:v>
                </c:pt>
              </c:numCache>
            </c:numRef>
          </c:val>
        </c:ser>
        <c:ser>
          <c:idx val="1"/>
          <c:order val="1"/>
          <c:tx>
            <c:strRef>
              <c:f>Лист1!$C$1</c:f>
              <c:strCache>
                <c:ptCount val="1"/>
                <c:pt idx="0">
                  <c:v>I полугодие 2016 года</c:v>
                </c:pt>
              </c:strCache>
            </c:strRef>
          </c:tx>
          <c:spPr>
            <a:solidFill>
              <a:srgbClr val="8064A2">
                <a:lumMod val="40000"/>
                <a:lumOff val="60000"/>
              </a:srgbClr>
            </a:solidFill>
          </c:spPr>
          <c:dLbls>
            <c:dLbl>
              <c:idx val="0"/>
              <c:layout>
                <c:manualLayout>
                  <c:x val="-3.0005086573480651E-3"/>
                  <c:y val="7.0127846922360508E-3"/>
                </c:manualLayout>
              </c:layout>
              <c:tx>
                <c:rich>
                  <a:bodyPr/>
                  <a:lstStyle/>
                  <a:p>
                    <a:r>
                      <a:rPr lang="ru-RU" sz="800" b="1"/>
                      <a:t>105,3*</a:t>
                    </a:r>
                    <a:endParaRPr lang="en-US" sz="800" b="1"/>
                  </a:p>
                </c:rich>
              </c:tx>
              <c:showVal val="1"/>
            </c:dLbl>
            <c:dLbl>
              <c:idx val="1"/>
              <c:layout>
                <c:manualLayout>
                  <c:x val="1.5105088608110371E-4"/>
                  <c:y val="-1.5305586801649793E-2"/>
                </c:manualLayout>
              </c:layout>
              <c:tx>
                <c:rich>
                  <a:bodyPr/>
                  <a:lstStyle/>
                  <a:p>
                    <a:r>
                      <a:rPr lang="ru-RU" sz="800" b="1"/>
                      <a:t>87,5*</a:t>
                    </a:r>
                    <a:endParaRPr lang="en-US" sz="800" b="1"/>
                  </a:p>
                </c:rich>
              </c:tx>
              <c:showVal val="1"/>
            </c:dLbl>
            <c:dLbl>
              <c:idx val="2"/>
              <c:layout>
                <c:manualLayout>
                  <c:x val="4.9498463854813935E-4"/>
                  <c:y val="-3.3633053932774692E-3"/>
                </c:manualLayout>
              </c:layout>
              <c:tx>
                <c:rich>
                  <a:bodyPr/>
                  <a:lstStyle/>
                  <a:p>
                    <a:r>
                      <a:rPr lang="ru-RU" sz="800" b="1"/>
                      <a:t>103,5*</a:t>
                    </a:r>
                    <a:endParaRPr lang="en-US" sz="800" b="1"/>
                  </a:p>
                </c:rich>
              </c:tx>
              <c:showVal val="1"/>
            </c:dLbl>
            <c:dLbl>
              <c:idx val="3"/>
              <c:layout>
                <c:manualLayout>
                  <c:x val="-1.8550936946835261E-3"/>
                  <c:y val="-1.2537465074930151E-3"/>
                </c:manualLayout>
              </c:layout>
              <c:tx>
                <c:rich>
                  <a:bodyPr/>
                  <a:lstStyle/>
                  <a:p>
                    <a:r>
                      <a:rPr lang="ru-RU" sz="800" b="1"/>
                      <a:t>102,5*</a:t>
                    </a:r>
                    <a:endParaRPr lang="en-US" sz="800" b="1"/>
                  </a:p>
                </c:rich>
              </c:tx>
              <c:showVal val="1"/>
            </c:dLbl>
            <c:dLbl>
              <c:idx val="4"/>
              <c:layout>
                <c:manualLayout>
                  <c:x val="-1.4877210116177341E-4"/>
                  <c:y val="-3.9888239776480006E-3"/>
                </c:manualLayout>
              </c:layout>
              <c:tx>
                <c:rich>
                  <a:bodyPr/>
                  <a:lstStyle/>
                  <a:p>
                    <a:r>
                      <a:rPr lang="ru-RU" sz="800" b="1"/>
                      <a:t>99,1*</a:t>
                    </a:r>
                    <a:endParaRPr lang="en-US" sz="800" b="1"/>
                  </a:p>
                </c:rich>
              </c:tx>
              <c:showVal val="1"/>
            </c:dLbl>
            <c:dLbl>
              <c:idx val="5"/>
              <c:layout>
                <c:manualLayout>
                  <c:x val="-3.8929784939673241E-3"/>
                  <c:y val="3.8946744560196452E-5"/>
                </c:manualLayout>
              </c:layout>
              <c:tx>
                <c:rich>
                  <a:bodyPr/>
                  <a:lstStyle/>
                  <a:p>
                    <a:r>
                      <a:rPr lang="ru-RU" sz="800" b="1"/>
                      <a:t>102,1*</a:t>
                    </a:r>
                    <a:endParaRPr lang="en-US" sz="800" b="1"/>
                  </a:p>
                </c:rich>
              </c:tx>
              <c:showVal val="1"/>
            </c:dLbl>
            <c:dLbl>
              <c:idx val="6"/>
              <c:layout>
                <c:manualLayout>
                  <c:x val="-1.5723615943355961E-3"/>
                  <c:y val="-1.686304063477265E-2"/>
                </c:manualLayout>
              </c:layout>
              <c:tx>
                <c:rich>
                  <a:bodyPr/>
                  <a:lstStyle/>
                  <a:p>
                    <a:r>
                      <a:rPr lang="ru-RU" sz="800" b="1"/>
                      <a:t>94,3*</a:t>
                    </a:r>
                    <a:endParaRPr lang="en-US" sz="800" b="1"/>
                  </a:p>
                </c:rich>
              </c:tx>
              <c:showVal val="1"/>
            </c:dLbl>
            <c:dLbl>
              <c:idx val="7"/>
              <c:layout>
                <c:manualLayout>
                  <c:x val="-3.8347067081731692E-3"/>
                  <c:y val="-8.5881344039915684E-3"/>
                </c:manualLayout>
              </c:layout>
              <c:tx>
                <c:rich>
                  <a:bodyPr/>
                  <a:lstStyle/>
                  <a:p>
                    <a:r>
                      <a:rPr lang="ru-RU" sz="800" b="1"/>
                      <a:t>102,8*</a:t>
                    </a:r>
                    <a:endParaRPr lang="en-US" sz="800" b="1"/>
                  </a:p>
                </c:rich>
              </c:tx>
              <c:showVal val="1"/>
            </c:dLbl>
            <c:dLbl>
              <c:idx val="8"/>
              <c:layout>
                <c:manualLayout>
                  <c:x val="-8.1810006307351107E-3"/>
                  <c:y val="-5.6034579835937534E-3"/>
                </c:manualLayout>
              </c:layout>
              <c:tx>
                <c:rich>
                  <a:bodyPr/>
                  <a:lstStyle/>
                  <a:p>
                    <a:r>
                      <a:rPr lang="ru-RU" sz="800" b="1"/>
                      <a:t>103,0*</a:t>
                    </a:r>
                    <a:endParaRPr lang="en-US" sz="800" b="1"/>
                  </a:p>
                </c:rich>
              </c:tx>
              <c:showVal val="1"/>
            </c:dLbl>
            <c:dLbl>
              <c:idx val="9"/>
              <c:layout>
                <c:manualLayout>
                  <c:x val="-1.0513988077071754E-2"/>
                  <c:y val="-8.2895605791215247E-3"/>
                </c:manualLayout>
              </c:layout>
              <c:tx>
                <c:rich>
                  <a:bodyPr/>
                  <a:lstStyle/>
                  <a:p>
                    <a:r>
                      <a:rPr lang="ru-RU" sz="800" b="1"/>
                      <a:t>93,0*</a:t>
                    </a:r>
                    <a:endParaRPr lang="en-US" sz="800" b="1"/>
                  </a:p>
                </c:rich>
              </c:tx>
              <c:showVal val="1"/>
            </c:dLbl>
            <c:dLbl>
              <c:idx val="10"/>
              <c:layout>
                <c:manualLayout>
                  <c:x val="-1.1978758469144845E-2"/>
                  <c:y val="-2.5806451612903236E-2"/>
                </c:manualLayout>
              </c:layout>
              <c:tx>
                <c:rich>
                  <a:bodyPr/>
                  <a:lstStyle/>
                  <a:p>
                    <a:r>
                      <a:rPr lang="ru-RU" sz="800" b="1"/>
                      <a:t>89,9*</a:t>
                    </a:r>
                    <a:endParaRPr lang="en-US" sz="800" b="1"/>
                  </a:p>
                </c:rich>
              </c:tx>
              <c:showVal val="1"/>
            </c:dLbl>
            <c:txPr>
              <a:bodyPr/>
              <a:lstStyle/>
              <a:p>
                <a:pPr>
                  <a:defRPr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Лист1!$C$2:$C$12</c:f>
              <c:numCache>
                <c:formatCode>#,##0</c:formatCode>
                <c:ptCount val="11"/>
                <c:pt idx="0">
                  <c:v>6393</c:v>
                </c:pt>
                <c:pt idx="1">
                  <c:v>5463</c:v>
                </c:pt>
                <c:pt idx="2">
                  <c:v>4186</c:v>
                </c:pt>
                <c:pt idx="3">
                  <c:v>5038</c:v>
                </c:pt>
                <c:pt idx="4">
                  <c:v>4171</c:v>
                </c:pt>
                <c:pt idx="5">
                  <c:v>2877</c:v>
                </c:pt>
                <c:pt idx="6">
                  <c:v>3909</c:v>
                </c:pt>
                <c:pt idx="7">
                  <c:v>3836</c:v>
                </c:pt>
                <c:pt idx="8">
                  <c:v>4472</c:v>
                </c:pt>
                <c:pt idx="9">
                  <c:v>3849</c:v>
                </c:pt>
                <c:pt idx="10">
                  <c:v>4192</c:v>
                </c:pt>
              </c:numCache>
            </c:numRef>
          </c:val>
        </c:ser>
        <c:dLbls>
          <c:showVal val="1"/>
        </c:dLbls>
        <c:shape val="cylinder"/>
        <c:axId val="109518208"/>
        <c:axId val="109667456"/>
        <c:axId val="0"/>
      </c:bar3DChart>
      <c:catAx>
        <c:axId val="109518208"/>
        <c:scaling>
          <c:orientation val="minMax"/>
        </c:scaling>
        <c:axPos val="b"/>
        <c:tickLblPos val="nextTo"/>
        <c:txPr>
          <a:bodyPr rot="-5400000" vert="horz"/>
          <a:lstStyle/>
          <a:p>
            <a:pPr>
              <a:defRPr sz="900" b="0"/>
            </a:pPr>
            <a:endParaRPr lang="ru-RU"/>
          </a:p>
        </c:txPr>
        <c:crossAx val="109667456"/>
        <c:crosses val="autoZero"/>
        <c:auto val="1"/>
        <c:lblAlgn val="ctr"/>
        <c:lblOffset val="100"/>
      </c:catAx>
      <c:valAx>
        <c:axId val="109667456"/>
        <c:scaling>
          <c:orientation val="minMax"/>
        </c:scaling>
        <c:axPos val="l"/>
        <c:title>
          <c:tx>
            <c:rich>
              <a:bodyPr rot="0" vert="horz"/>
              <a:lstStyle/>
              <a:p>
                <a:pPr>
                  <a:defRPr sz="900"/>
                </a:pPr>
                <a:r>
                  <a:rPr lang="ru-RU" sz="900"/>
                  <a:t>* - темп роста </a:t>
                </a:r>
                <a:r>
                  <a:rPr lang="en-US" sz="900"/>
                  <a:t>I</a:t>
                </a:r>
                <a:r>
                  <a:rPr lang="ru-RU" sz="900"/>
                  <a:t> полуг.</a:t>
                </a:r>
              </a:p>
              <a:p>
                <a:pPr>
                  <a:defRPr sz="900"/>
                </a:pPr>
                <a:r>
                  <a:rPr lang="ru-RU" sz="900"/>
                  <a:t>2016г. к                         </a:t>
                </a:r>
                <a:r>
                  <a:rPr lang="en-US" sz="900"/>
                  <a:t>I</a:t>
                </a:r>
                <a:r>
                  <a:rPr lang="ru-RU" sz="900"/>
                  <a:t> полуг. 2015., %</a:t>
                </a:r>
              </a:p>
            </c:rich>
          </c:tx>
          <c:layout>
            <c:manualLayout>
              <c:xMode val="edge"/>
              <c:yMode val="edge"/>
              <c:x val="4.1343669250646337E-2"/>
              <c:y val="0.84065009891781561"/>
            </c:manualLayout>
          </c:layout>
        </c:title>
        <c:numFmt formatCode="#,##0" sourceLinked="1"/>
        <c:tickLblPos val="nextTo"/>
        <c:crossAx val="109518208"/>
        <c:crosses val="autoZero"/>
        <c:crossBetween val="between"/>
        <c:majorUnit val="5000"/>
      </c:valAx>
      <c:dTable>
        <c:showHorzBorder val="1"/>
        <c:showVertBorder val="1"/>
        <c:showOutline val="1"/>
        <c:showKeys val="1"/>
      </c:dTable>
      <c:spPr>
        <a:noFill/>
      </c:spPr>
    </c:plotArea>
    <c:legend>
      <c:legendPos val="b"/>
      <c:layout>
        <c:manualLayout>
          <c:xMode val="edge"/>
          <c:yMode val="edge"/>
          <c:x val="0.37108042889987913"/>
          <c:y val="0.89491052254831782"/>
          <c:w val="0.52298488270361554"/>
          <c:h val="9.0280192248696225E-2"/>
        </c:manualLayout>
      </c:layout>
      <c:spPr>
        <a:ln>
          <a:noFill/>
        </a:ln>
      </c:sp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200"/>
              <a:t>Динамика оплаты труда в организациях бюджетного сектора,</a:t>
            </a:r>
          </a:p>
          <a:p>
            <a:pPr>
              <a:defRPr sz="1200"/>
            </a:pPr>
            <a:r>
              <a:rPr lang="ru-RU" sz="1200"/>
              <a:t> руб. ПМР</a:t>
            </a:r>
          </a:p>
        </c:rich>
      </c:tx>
      <c:layout>
        <c:manualLayout>
          <c:xMode val="edge"/>
          <c:yMode val="edge"/>
          <c:x val="0.17442713861394291"/>
          <c:y val="1.4262930737476431E-2"/>
        </c:manualLayout>
      </c:layout>
      <c:spPr>
        <a:solidFill>
          <a:schemeClr val="bg1"/>
        </a:solidFill>
      </c:spPr>
    </c:title>
    <c:plotArea>
      <c:layout>
        <c:manualLayout>
          <c:layoutTarget val="inner"/>
          <c:xMode val="edge"/>
          <c:yMode val="edge"/>
          <c:x val="7.4790419161677113E-2"/>
          <c:y val="0.11795567790354362"/>
          <c:w val="0.92520958083832339"/>
          <c:h val="0.41905860268537098"/>
        </c:manualLayout>
      </c:layout>
      <c:barChart>
        <c:barDir val="col"/>
        <c:grouping val="clustered"/>
        <c:ser>
          <c:idx val="0"/>
          <c:order val="0"/>
          <c:tx>
            <c:strRef>
              <c:f>Лист1!$B$1</c:f>
              <c:strCache>
                <c:ptCount val="1"/>
                <c:pt idx="0">
                  <c:v>I полугодие 2015 года</c:v>
                </c:pt>
              </c:strCache>
            </c:strRef>
          </c:tx>
          <c:spPr>
            <a:solidFill>
              <a:schemeClr val="accent6">
                <a:lumMod val="60000"/>
                <a:lumOff val="40000"/>
              </a:schemeClr>
            </a:solidFill>
          </c:spPr>
          <c:dLbls>
            <c:dLbl>
              <c:idx val="0"/>
              <c:layout>
                <c:manualLayout>
                  <c:x val="-1.8781334967859803E-4"/>
                  <c:y val="7.6940821850394114E-3"/>
                </c:manualLayout>
              </c:layout>
              <c:showVal val="1"/>
            </c:dLbl>
            <c:dLbl>
              <c:idx val="1"/>
              <c:layout>
                <c:manualLayout>
                  <c:x val="-9.8862118283118781E-3"/>
                  <c:y val="1.0465110318241469E-2"/>
                </c:manualLayout>
              </c:layout>
              <c:showVal val="1"/>
            </c:dLbl>
            <c:dLbl>
              <c:idx val="2"/>
              <c:layout>
                <c:manualLayout>
                  <c:x val="-1.148160372169048E-2"/>
                  <c:y val="1.0350537237532998E-2"/>
                </c:manualLayout>
              </c:layout>
              <c:showVal val="1"/>
            </c:dLbl>
            <c:dLbl>
              <c:idx val="3"/>
              <c:layout>
                <c:manualLayout>
                  <c:x val="-5.9881811180788665E-3"/>
                  <c:y val="6.8438832841208139E-3"/>
                </c:manualLayout>
              </c:layout>
              <c:showVal val="1"/>
            </c:dLbl>
            <c:dLbl>
              <c:idx val="4"/>
              <c:layout>
                <c:manualLayout>
                  <c:x val="-9.2041114621150989E-3"/>
                  <c:y val="1.776728592519685E-2"/>
                </c:manualLayout>
              </c:layout>
              <c:showVal val="1"/>
            </c:dLbl>
            <c:dLbl>
              <c:idx val="5"/>
              <c:layout>
                <c:manualLayout>
                  <c:x val="-2.3591242711427894E-2"/>
                  <c:y val="2.1503598671260164E-2"/>
                </c:manualLayout>
              </c:layout>
              <c:showVal val="1"/>
            </c:dLbl>
            <c:dLbl>
              <c:idx val="6"/>
              <c:layout>
                <c:manualLayout>
                  <c:x val="-6.4573215773178084E-3"/>
                  <c:y val="7.0527805118110239E-3"/>
                </c:manualLayout>
              </c:layout>
              <c:showVal val="1"/>
            </c:dLbl>
            <c:dLbl>
              <c:idx val="7"/>
              <c:layout>
                <c:manualLayout>
                  <c:x val="-2.9178650572870012E-2"/>
                  <c:y val="4.6902169455380567E-2"/>
                </c:manualLayout>
              </c:layout>
              <c:showVal val="1"/>
            </c:dLbl>
            <c:dLbl>
              <c:idx val="8"/>
              <c:layout>
                <c:manualLayout>
                  <c:x val="-3.5918713753595212E-3"/>
                  <c:y val="1.9766547736220677E-2"/>
                </c:manualLayout>
              </c:layout>
              <c:showVal val="1"/>
            </c:dLbl>
            <c:dLbl>
              <c:idx val="9"/>
              <c:layout>
                <c:manualLayout>
                  <c:x val="-1.5874235780407701E-2"/>
                  <c:y val="4.9620140255905512E-3"/>
                </c:manualLayout>
              </c:layout>
              <c:showVal val="1"/>
            </c:dLbl>
            <c:dLbl>
              <c:idx val="10"/>
              <c:layout>
                <c:manualLayout>
                  <c:x val="-8.0778600279755447E-3"/>
                  <c:y val="1.4523868110236223E-2"/>
                </c:manualLayout>
              </c:layout>
              <c:showVal val="1"/>
            </c:dLbl>
            <c:dLbl>
              <c:idx val="11"/>
              <c:layout>
                <c:manualLayout>
                  <c:x val="-5.9880239520958937E-3"/>
                  <c:y val="1.7733452263779526E-2"/>
                </c:manualLayout>
              </c:layout>
              <c:showVal val="1"/>
            </c:dLbl>
            <c:dLbl>
              <c:idx val="12"/>
              <c:layout>
                <c:manualLayout>
                  <c:x val="-1.3665407811484401E-2"/>
                  <c:y val="2.1956288876778231E-2"/>
                </c:manualLayout>
              </c:layout>
              <c:showVal val="1"/>
            </c:dLbl>
            <c:dLbl>
              <c:idx val="13"/>
              <c:layout>
                <c:manualLayout>
                  <c:x val="1.0449320794148381E-2"/>
                  <c:y val="6.790381606099713E-2"/>
                </c:manualLayout>
              </c:layout>
              <c:showVal val="1"/>
            </c:dLbl>
            <c:txPr>
              <a:bodyPr/>
              <a:lstStyle/>
              <a:p>
                <a:pPr>
                  <a:defRPr sz="800" b="0" i="0"/>
                </a:pPr>
                <a:endParaRPr lang="ru-RU"/>
              </a:p>
            </c:txPr>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Лист1!$B$2:$B$14</c:f>
              <c:numCache>
                <c:formatCode>#,##0</c:formatCode>
                <c:ptCount val="13"/>
                <c:pt idx="0">
                  <c:v>2160</c:v>
                </c:pt>
                <c:pt idx="1">
                  <c:v>1775</c:v>
                </c:pt>
                <c:pt idx="2">
                  <c:v>1988</c:v>
                </c:pt>
                <c:pt idx="3">
                  <c:v>2349</c:v>
                </c:pt>
                <c:pt idx="4">
                  <c:v>2060</c:v>
                </c:pt>
                <c:pt idx="5">
                  <c:v>2617</c:v>
                </c:pt>
                <c:pt idx="6">
                  <c:v>2659</c:v>
                </c:pt>
                <c:pt idx="7">
                  <c:v>3715</c:v>
                </c:pt>
                <c:pt idx="8">
                  <c:v>3180</c:v>
                </c:pt>
                <c:pt idx="9">
                  <c:v>2462</c:v>
                </c:pt>
                <c:pt idx="10">
                  <c:v>2331</c:v>
                </c:pt>
                <c:pt idx="11">
                  <c:v>2331</c:v>
                </c:pt>
                <c:pt idx="12">
                  <c:v>2882</c:v>
                </c:pt>
              </c:numCache>
            </c:numRef>
          </c:val>
        </c:ser>
        <c:ser>
          <c:idx val="1"/>
          <c:order val="1"/>
          <c:tx>
            <c:strRef>
              <c:f>Лист1!$C$1</c:f>
              <c:strCache>
                <c:ptCount val="1"/>
                <c:pt idx="0">
                  <c:v>I полугодие 2016 года</c:v>
                </c:pt>
              </c:strCache>
            </c:strRef>
          </c:tx>
          <c:dLbls>
            <c:dLbl>
              <c:idx val="0"/>
              <c:layout>
                <c:manualLayout>
                  <c:x val="2.4045923900231029E-2"/>
                  <c:y val="2.8443343996063849E-3"/>
                </c:manualLayout>
              </c:layout>
              <c:showVal val="1"/>
            </c:dLbl>
            <c:dLbl>
              <c:idx val="1"/>
              <c:layout>
                <c:manualLayout>
                  <c:x val="1.8996180866613449E-2"/>
                  <c:y val="1.6684352444225763E-2"/>
                </c:manualLayout>
              </c:layout>
              <c:showVal val="1"/>
            </c:dLbl>
            <c:dLbl>
              <c:idx val="2"/>
              <c:layout>
                <c:manualLayout>
                  <c:x val="1.6931648513995631E-2"/>
                  <c:y val="2.0589833497375726E-3"/>
                </c:manualLayout>
              </c:layout>
              <c:showVal val="1"/>
            </c:dLbl>
            <c:dLbl>
              <c:idx val="3"/>
              <c:layout>
                <c:manualLayout>
                  <c:x val="1.8284533295613845E-2"/>
                  <c:y val="1.3283300524934413E-2"/>
                </c:manualLayout>
              </c:layout>
              <c:showVal val="1"/>
            </c:dLbl>
            <c:dLbl>
              <c:idx val="4"/>
              <c:layout>
                <c:manualLayout>
                  <c:x val="1.4105489807786043E-2"/>
                  <c:y val="6.381233595800671E-3"/>
                </c:manualLayout>
              </c:layout>
              <c:showVal val="1"/>
            </c:dLbl>
            <c:dLbl>
              <c:idx val="5"/>
              <c:layout>
                <c:manualLayout>
                  <c:x val="2.2741917739325324E-4"/>
                  <c:y val="1.4118633120078531E-2"/>
                </c:manualLayout>
              </c:layout>
              <c:showVal val="1"/>
            </c:dLbl>
            <c:dLbl>
              <c:idx val="6"/>
              <c:layout>
                <c:manualLayout>
                  <c:x val="1.6061734798120512E-2"/>
                  <c:y val="1.7679369668635241E-2"/>
                </c:manualLayout>
              </c:layout>
              <c:showVal val="1"/>
            </c:dLbl>
            <c:dLbl>
              <c:idx val="7"/>
              <c:layout>
                <c:manualLayout>
                  <c:x val="3.0490747715862489E-2"/>
                  <c:y val="3.9474282132643881E-2"/>
                </c:manualLayout>
              </c:layout>
              <c:showVal val="1"/>
            </c:dLbl>
            <c:dLbl>
              <c:idx val="8"/>
              <c:layout>
                <c:manualLayout>
                  <c:x val="2.3204928725226812E-2"/>
                  <c:y val="1.757633079068242E-2"/>
                </c:manualLayout>
              </c:layout>
              <c:showVal val="1"/>
            </c:dLbl>
            <c:dLbl>
              <c:idx val="9"/>
              <c:layout>
                <c:manualLayout>
                  <c:x val="8.6659751363414896E-3"/>
                  <c:y val="1.1317359744094493E-2"/>
                </c:manualLayout>
              </c:layout>
              <c:showVal val="1"/>
            </c:dLbl>
            <c:dLbl>
              <c:idx val="10"/>
              <c:layout>
                <c:manualLayout>
                  <c:x val="1.3556980527134698E-2"/>
                  <c:y val="8.0747108759844418E-3"/>
                </c:manualLayout>
              </c:layout>
              <c:showVal val="1"/>
            </c:dLbl>
            <c:dLbl>
              <c:idx val="11"/>
              <c:layout>
                <c:manualLayout>
                  <c:x val="1.8512581136938946E-2"/>
                  <c:y val="1.7534807660761161E-2"/>
                </c:manualLayout>
              </c:layout>
              <c:showVal val="1"/>
            </c:dLbl>
            <c:dLbl>
              <c:idx val="12"/>
              <c:layout>
                <c:manualLayout>
                  <c:x val="1.0434721108963181E-2"/>
                  <c:y val="1.0145997375328078E-2"/>
                </c:manualLayout>
              </c:layout>
              <c:showVal val="1"/>
            </c:dLbl>
            <c:dLbl>
              <c:idx val="13"/>
              <c:layout>
                <c:manualLayout>
                  <c:x val="1.2539184952978056E-2"/>
                  <c:y val="9.5011876484560574E-3"/>
                </c:manualLayout>
              </c:layout>
              <c:showVal val="1"/>
            </c:dLbl>
            <c:txPr>
              <a:bodyPr/>
              <a:lstStyle/>
              <a:p>
                <a:pPr>
                  <a:defRPr sz="800" b="0" i="0"/>
                </a:pPr>
                <a:endParaRPr lang="ru-RU"/>
              </a:p>
            </c:txPr>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Лист1!$C$2:$C$14</c:f>
              <c:numCache>
                <c:formatCode>#,##0</c:formatCode>
                <c:ptCount val="13"/>
                <c:pt idx="0">
                  <c:v>2248</c:v>
                </c:pt>
                <c:pt idx="1">
                  <c:v>1724</c:v>
                </c:pt>
                <c:pt idx="2">
                  <c:v>2016</c:v>
                </c:pt>
                <c:pt idx="3">
                  <c:v>2345</c:v>
                </c:pt>
                <c:pt idx="4">
                  <c:v>2105</c:v>
                </c:pt>
                <c:pt idx="5">
                  <c:v>2646</c:v>
                </c:pt>
                <c:pt idx="6">
                  <c:v>2632</c:v>
                </c:pt>
                <c:pt idx="7">
                  <c:v>3608</c:v>
                </c:pt>
                <c:pt idx="8">
                  <c:v>3115</c:v>
                </c:pt>
                <c:pt idx="9">
                  <c:v>2451</c:v>
                </c:pt>
                <c:pt idx="10">
                  <c:v>2403</c:v>
                </c:pt>
                <c:pt idx="11">
                  <c:v>2330</c:v>
                </c:pt>
                <c:pt idx="12">
                  <c:v>3064</c:v>
                </c:pt>
              </c:numCache>
            </c:numRef>
          </c:val>
        </c:ser>
        <c:ser>
          <c:idx val="2"/>
          <c:order val="2"/>
          <c:tx>
            <c:strRef>
              <c:f>Лист1!$D$1</c:f>
              <c:strCache>
                <c:ptCount val="1"/>
                <c:pt idx="0">
                  <c:v>Средняя по республике</c:v>
                </c:pt>
              </c:strCache>
            </c:strRef>
          </c:tx>
          <c:spPr>
            <a:noFill/>
          </c:spPr>
          <c:dLbls>
            <c:delete val="1"/>
          </c:dLbls>
          <c:trendline>
            <c:spPr>
              <a:ln w="31750" cmpd="sng">
                <a:solidFill>
                  <a:srgbClr val="00B0F0">
                    <a:alpha val="91000"/>
                  </a:srgbClr>
                </a:solidFill>
              </a:ln>
              <a:effectLst>
                <a:outerShdw blurRad="50800" dist="38100" dir="6120000" sx="106000" sy="106000" algn="ctr" rotWithShape="0">
                  <a:schemeClr val="tx1">
                    <a:lumMod val="75000"/>
                    <a:lumOff val="25000"/>
                    <a:alpha val="92000"/>
                  </a:schemeClr>
                </a:outerShdw>
              </a:effectLst>
            </c:spPr>
            <c:trendlineType val="linear"/>
            <c:dispEq val="1"/>
            <c:trendlineLbl>
              <c:layout>
                <c:manualLayout>
                  <c:x val="-9.1155094122055583E-4"/>
                  <c:y val="-3.3317492516624012E-2"/>
                </c:manualLayout>
              </c:layout>
              <c:tx>
                <c:rich>
                  <a:bodyPr/>
                  <a:lstStyle/>
                  <a:p>
                    <a:pPr>
                      <a:defRPr sz="900" b="0" i="0"/>
                    </a:pPr>
                    <a:r>
                      <a:rPr lang="en-US"/>
                      <a:t>3791</a:t>
                    </a:r>
                  </a:p>
                </c:rich>
              </c:tx>
              <c:numFmt formatCode="General" sourceLinked="0"/>
            </c:trendlineLbl>
          </c:trendline>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Лист1!$D$2:$D$14</c:f>
              <c:numCache>
                <c:formatCode>#,##0</c:formatCode>
                <c:ptCount val="13"/>
                <c:pt idx="0">
                  <c:v>3791</c:v>
                </c:pt>
                <c:pt idx="1">
                  <c:v>3791</c:v>
                </c:pt>
                <c:pt idx="2">
                  <c:v>3791</c:v>
                </c:pt>
                <c:pt idx="3">
                  <c:v>3791</c:v>
                </c:pt>
                <c:pt idx="4">
                  <c:v>3791</c:v>
                </c:pt>
                <c:pt idx="5">
                  <c:v>3791</c:v>
                </c:pt>
                <c:pt idx="6">
                  <c:v>3791</c:v>
                </c:pt>
                <c:pt idx="7">
                  <c:v>3791</c:v>
                </c:pt>
                <c:pt idx="8">
                  <c:v>3791</c:v>
                </c:pt>
                <c:pt idx="9">
                  <c:v>3791</c:v>
                </c:pt>
                <c:pt idx="10">
                  <c:v>3791</c:v>
                </c:pt>
                <c:pt idx="11">
                  <c:v>3791</c:v>
                </c:pt>
                <c:pt idx="12">
                  <c:v>3791</c:v>
                </c:pt>
              </c:numCache>
            </c:numRef>
          </c:val>
        </c:ser>
        <c:dLbls>
          <c:showVal val="1"/>
        </c:dLbls>
        <c:axId val="109733760"/>
        <c:axId val="109735296"/>
      </c:barChart>
      <c:catAx>
        <c:axId val="109733760"/>
        <c:scaling>
          <c:orientation val="minMax"/>
        </c:scaling>
        <c:axPos val="b"/>
        <c:numFmt formatCode="General" sourceLinked="1"/>
        <c:tickLblPos val="nextTo"/>
        <c:txPr>
          <a:bodyPr rot="-5400000" vert="horz"/>
          <a:lstStyle/>
          <a:p>
            <a:pPr>
              <a:defRPr b="0" i="0"/>
            </a:pPr>
            <a:endParaRPr lang="ru-RU"/>
          </a:p>
        </c:txPr>
        <c:crossAx val="109735296"/>
        <c:crosses val="autoZero"/>
        <c:auto val="1"/>
        <c:lblAlgn val="ctr"/>
        <c:lblOffset val="100"/>
      </c:catAx>
      <c:valAx>
        <c:axId val="109735296"/>
        <c:scaling>
          <c:orientation val="minMax"/>
        </c:scaling>
        <c:axPos val="l"/>
        <c:numFmt formatCode="#,##0" sourceLinked="1"/>
        <c:tickLblPos val="nextTo"/>
        <c:txPr>
          <a:bodyPr/>
          <a:lstStyle/>
          <a:p>
            <a:pPr>
              <a:defRPr b="0"/>
            </a:pPr>
            <a:endParaRPr lang="ru-RU"/>
          </a:p>
        </c:txPr>
        <c:crossAx val="109733760"/>
        <c:crosses val="autoZero"/>
        <c:crossBetween val="between"/>
      </c:valAx>
    </c:plotArea>
    <c:legend>
      <c:legendPos val="b"/>
      <c:legendEntry>
        <c:idx val="2"/>
        <c:delete val="1"/>
      </c:legendEntry>
      <c:layout>
        <c:manualLayout>
          <c:xMode val="edge"/>
          <c:yMode val="edge"/>
          <c:x val="5.2089781880714024E-2"/>
          <c:y val="0.95578284649735945"/>
          <c:w val="0.89526456440405566"/>
          <c:h val="4.4217153502640404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средней назначенной пенсии и величины прожиточного минимума пенсионера</a:t>
            </a:r>
            <a:endParaRPr lang="ru-RU" sz="1200" b="0">
              <a:solidFill>
                <a:srgbClr val="FF0000"/>
              </a:solidFill>
              <a:latin typeface="Times New Roman" pitchFamily="18" charset="0"/>
              <a:cs typeface="Times New Roman" pitchFamily="18" charset="0"/>
            </a:endParaRPr>
          </a:p>
        </c:rich>
      </c:tx>
      <c:layout>
        <c:manualLayout>
          <c:xMode val="edge"/>
          <c:yMode val="edge"/>
          <c:x val="0.14581059390048154"/>
          <c:y val="0"/>
        </c:manualLayout>
      </c:layout>
      <c:spPr>
        <a:solidFill>
          <a:sysClr val="window" lastClr="FFFFFF"/>
        </a:solidFill>
      </c:spPr>
    </c:title>
    <c:plotArea>
      <c:layout/>
      <c:barChart>
        <c:barDir val="col"/>
        <c:grouping val="clustered"/>
        <c:ser>
          <c:idx val="0"/>
          <c:order val="0"/>
          <c:tx>
            <c:strRef>
              <c:f>Лист1!$B$1</c:f>
              <c:strCache>
                <c:ptCount val="1"/>
                <c:pt idx="0">
                  <c:v>Средний размер назначенных пенсий, руб. ПМР</c:v>
                </c:pt>
              </c:strCache>
            </c:strRef>
          </c:tx>
          <c:dLbls>
            <c:dLbl>
              <c:idx val="0"/>
              <c:layout>
                <c:manualLayout>
                  <c:x val="2.3148148148148147E-3"/>
                  <c:y val="-1.1904761904761921E-2"/>
                </c:manualLayout>
              </c:layout>
              <c:tx>
                <c:rich>
                  <a:bodyPr/>
                  <a:lstStyle/>
                  <a:p>
                    <a:r>
                      <a:rPr lang="ru-RU" b="1">
                        <a:latin typeface="Times New Roman" pitchFamily="18" charset="0"/>
                        <a:cs typeface="Times New Roman" pitchFamily="18" charset="0"/>
                      </a:rPr>
                      <a:t>-0,1%</a:t>
                    </a:r>
                    <a:r>
                      <a:rPr lang="ru-RU" b="1" baseline="0">
                        <a:latin typeface="Times New Roman" pitchFamily="18" charset="0"/>
                        <a:cs typeface="Times New Roman" pitchFamily="18" charset="0"/>
                      </a:rPr>
                      <a:t>*</a:t>
                    </a:r>
                    <a:endParaRPr lang="en-US" b="1">
                      <a:latin typeface="Times New Roman" pitchFamily="18" charset="0"/>
                      <a:cs typeface="Times New Roman" pitchFamily="18" charset="0"/>
                    </a:endParaRPr>
                  </a:p>
                </c:rich>
              </c:tx>
              <c:showVal val="1"/>
            </c:dLbl>
            <c:dLbl>
              <c:idx val="1"/>
              <c:layout/>
              <c:tx>
                <c:rich>
                  <a:bodyPr/>
                  <a:lstStyle/>
                  <a:p>
                    <a:r>
                      <a:rPr lang="ru-RU" b="1">
                        <a:latin typeface="Times New Roman" pitchFamily="18" charset="0"/>
                        <a:cs typeface="Times New Roman" pitchFamily="18" charset="0"/>
                      </a:rPr>
                      <a:t>+0,7%*</a:t>
                    </a:r>
                    <a:endParaRPr lang="en-US" b="1">
                      <a:latin typeface="Times New Roman" pitchFamily="18" charset="0"/>
                      <a:cs typeface="Times New Roman" pitchFamily="18" charset="0"/>
                    </a:endParaRPr>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I полугодие 2015 года</c:v>
                </c:pt>
                <c:pt idx="1">
                  <c:v>I полугодие 2016 года</c:v>
                </c:pt>
              </c:strCache>
            </c:strRef>
          </c:cat>
          <c:val>
            <c:numRef>
              <c:f>Лист1!$B$2:$B$3</c:f>
              <c:numCache>
                <c:formatCode>#,##0.00</c:formatCode>
                <c:ptCount val="2"/>
                <c:pt idx="0">
                  <c:v>1347.03</c:v>
                </c:pt>
                <c:pt idx="1">
                  <c:v>1355.93</c:v>
                </c:pt>
              </c:numCache>
            </c:numRef>
          </c:val>
        </c:ser>
        <c:ser>
          <c:idx val="1"/>
          <c:order val="1"/>
          <c:tx>
            <c:strRef>
              <c:f>Лист1!$C$1</c:f>
              <c:strCache>
                <c:ptCount val="1"/>
                <c:pt idx="0">
                  <c:v>Прожиточный минимум пенсионера, руб. ПМР</c:v>
                </c:pt>
              </c:strCache>
            </c:strRef>
          </c:tx>
          <c:dLbls>
            <c:dLbl>
              <c:idx val="0"/>
              <c:layout>
                <c:manualLayout>
                  <c:x val="6.9444444444446279E-3"/>
                  <c:y val="0"/>
                </c:manualLayout>
              </c:layout>
              <c:tx>
                <c:rich>
                  <a:bodyPr/>
                  <a:lstStyle/>
                  <a:p>
                    <a:r>
                      <a:rPr lang="ru-RU"/>
                      <a:t>-0,2%*</a:t>
                    </a:r>
                    <a:endParaRPr lang="en-US"/>
                  </a:p>
                </c:rich>
              </c:tx>
              <c:showVal val="1"/>
            </c:dLbl>
            <c:dLbl>
              <c:idx val="1"/>
              <c:layout/>
              <c:tx>
                <c:rich>
                  <a:bodyPr/>
                  <a:lstStyle/>
                  <a:p>
                    <a:r>
                      <a:rPr lang="ru-RU"/>
                      <a:t>-2,9%*</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I полугодие 2015 года</c:v>
                </c:pt>
                <c:pt idx="1">
                  <c:v>I полугодие 2016 года</c:v>
                </c:pt>
              </c:strCache>
            </c:strRef>
          </c:cat>
          <c:val>
            <c:numRef>
              <c:f>Лист1!$C$2:$C$3</c:f>
              <c:numCache>
                <c:formatCode>#,##0.00</c:formatCode>
                <c:ptCount val="2"/>
                <c:pt idx="0">
                  <c:v>1110.53</c:v>
                </c:pt>
                <c:pt idx="1">
                  <c:v>1078.43</c:v>
                </c:pt>
              </c:numCache>
            </c:numRef>
          </c:val>
        </c:ser>
        <c:axId val="110048384"/>
        <c:axId val="110049920"/>
      </c:barChart>
      <c:catAx>
        <c:axId val="110048384"/>
        <c:scaling>
          <c:orientation val="minMax"/>
        </c:scaling>
        <c:axPos val="b"/>
        <c:numFmt formatCode="#,##0.00" sourceLinked="1"/>
        <c:tickLblPos val="nextTo"/>
        <c:crossAx val="110049920"/>
        <c:crosses val="autoZero"/>
        <c:auto val="1"/>
        <c:lblAlgn val="ctr"/>
        <c:lblOffset val="100"/>
      </c:catAx>
      <c:valAx>
        <c:axId val="110049920"/>
        <c:scaling>
          <c:orientation val="minMax"/>
          <c:max val="1500"/>
          <c:min val="0"/>
        </c:scaling>
        <c:axPos val="l"/>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a:t>
                </a:r>
                <a:r>
                  <a:rPr lang="ru-RU" baseline="0">
                    <a:latin typeface="Times New Roman" pitchFamily="18" charset="0"/>
                    <a:cs typeface="Times New Roman" pitchFamily="18" charset="0"/>
                  </a:rPr>
                  <a:t> темп прироста</a:t>
                </a:r>
                <a:endParaRPr lang="ru-RU">
                  <a:latin typeface="Times New Roman" pitchFamily="18" charset="0"/>
                  <a:cs typeface="Times New Roman" pitchFamily="18" charset="0"/>
                </a:endParaRPr>
              </a:p>
            </c:rich>
          </c:tx>
          <c:layout>
            <c:manualLayout>
              <c:xMode val="edge"/>
              <c:yMode val="edge"/>
              <c:x val="3.9351851851851853E-2"/>
              <c:y val="0.50191326830414851"/>
            </c:manualLayout>
          </c:layout>
        </c:title>
        <c:numFmt formatCode="#,##0.00" sourceLinked="1"/>
        <c:tickLblPos val="nextTo"/>
        <c:txPr>
          <a:bodyPr/>
          <a:lstStyle/>
          <a:p>
            <a:pPr>
              <a:defRPr b="1">
                <a:latin typeface="Times New Roman" pitchFamily="18" charset="0"/>
                <a:cs typeface="Times New Roman" pitchFamily="18" charset="0"/>
              </a:defRPr>
            </a:pPr>
            <a:endParaRPr lang="ru-RU"/>
          </a:p>
        </c:txPr>
        <c:crossAx val="110048384"/>
        <c:crosses val="autoZero"/>
        <c:crossBetween val="between"/>
        <c:majorUnit val="3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197">
                <a:latin typeface="Times New Roman" pitchFamily="18" charset="0"/>
                <a:cs typeface="Times New Roman" pitchFamily="18" charset="0"/>
              </a:defRPr>
            </a:pPr>
            <a:r>
              <a:rPr lang="ru-RU" sz="1197">
                <a:latin typeface="Times New Roman" pitchFamily="18" charset="0"/>
                <a:cs typeface="Times New Roman" pitchFamily="18" charset="0"/>
              </a:rPr>
              <a:t>Импорт товаров в разрезе стран, тыс. долл. США</a:t>
            </a:r>
          </a:p>
        </c:rich>
      </c:tx>
      <c:layout>
        <c:manualLayout>
          <c:xMode val="edge"/>
          <c:yMode val="edge"/>
          <c:x val="0.35396053389668941"/>
          <c:y val="3.0838343788588069E-3"/>
        </c:manualLayout>
      </c:layout>
      <c:spPr>
        <a:noFill/>
        <a:ln w="25398">
          <a:noFill/>
        </a:ln>
      </c:spPr>
    </c:title>
    <c:plotArea>
      <c:layout>
        <c:manualLayout>
          <c:layoutTarget val="inner"/>
          <c:xMode val="edge"/>
          <c:yMode val="edge"/>
          <c:x val="0.22868419139915203"/>
          <c:y val="9.0047281995887712E-2"/>
          <c:w val="0.77650767058374504"/>
          <c:h val="0.47991202034326097"/>
        </c:manualLayout>
      </c:layout>
      <c:barChart>
        <c:barDir val="col"/>
        <c:grouping val="clustered"/>
        <c:ser>
          <c:idx val="0"/>
          <c:order val="0"/>
          <c:tx>
            <c:strRef>
              <c:f>Лист1!$B$1</c:f>
              <c:strCache>
                <c:ptCount val="1"/>
                <c:pt idx="0">
                  <c:v>январь - июнь 2015 г.</c:v>
                </c:pt>
              </c:strCache>
            </c:strRef>
          </c:tx>
          <c:dLbls>
            <c:dLbl>
              <c:idx val="0"/>
              <c:layout>
                <c:manualLayout>
                  <c:x val="-3.0228500849158561E-3"/>
                  <c:y val="4.2418869826703134E-3"/>
                </c:manualLayout>
              </c:layout>
              <c:tx>
                <c:rich>
                  <a:bodyPr/>
                  <a:lstStyle/>
                  <a:p>
                    <a:r>
                      <a:rPr lang="ru-RU" sz="898" b="1">
                        <a:latin typeface="Times New Roman" pitchFamily="18" charset="0"/>
                        <a:cs typeface="Times New Roman" pitchFamily="18" charset="0"/>
                      </a:rPr>
                      <a:t>58,4*</a:t>
                    </a:r>
                    <a:endParaRPr lang="en-US" sz="900" b="1">
                      <a:latin typeface="Times New Roman" pitchFamily="18" charset="0"/>
                      <a:cs typeface="Times New Roman" pitchFamily="18" charset="0"/>
                    </a:endParaRPr>
                  </a:p>
                </c:rich>
              </c:tx>
              <c:dLblPos val="outEnd"/>
            </c:dLbl>
            <c:dLbl>
              <c:idx val="1"/>
              <c:layout>
                <c:manualLayout>
                  <c:x val="-5.0532194114035617E-3"/>
                  <c:y val="9.7335560327690539E-3"/>
                </c:manualLayout>
              </c:layout>
              <c:tx>
                <c:rich>
                  <a:bodyPr/>
                  <a:lstStyle/>
                  <a:p>
                    <a:r>
                      <a:rPr lang="ru-RU" sz="898" b="1">
                        <a:latin typeface="Times New Roman" pitchFamily="18" charset="0"/>
                        <a:cs typeface="Times New Roman" pitchFamily="18" charset="0"/>
                      </a:rPr>
                      <a:t>11,0*</a:t>
                    </a:r>
                    <a:endParaRPr lang="en-US" sz="900" b="1">
                      <a:latin typeface="Times New Roman" pitchFamily="18" charset="0"/>
                      <a:cs typeface="Times New Roman" pitchFamily="18" charset="0"/>
                    </a:endParaRPr>
                  </a:p>
                </c:rich>
              </c:tx>
              <c:dLblPos val="outEnd"/>
            </c:dLbl>
            <c:dLbl>
              <c:idx val="2"/>
              <c:layout>
                <c:manualLayout>
                  <c:x val="-2.1241315423809908E-3"/>
                  <c:y val="1.3422676470077001E-2"/>
                </c:manualLayout>
              </c:layout>
              <c:tx>
                <c:rich>
                  <a:bodyPr/>
                  <a:lstStyle/>
                  <a:p>
                    <a:r>
                      <a:rPr lang="ru-RU" sz="898" b="1">
                        <a:latin typeface="Times New Roman" pitchFamily="18" charset="0"/>
                        <a:cs typeface="Times New Roman" pitchFamily="18" charset="0"/>
                      </a:rPr>
                      <a:t>6,7*</a:t>
                    </a:r>
                    <a:endParaRPr lang="en-US" sz="900" b="1">
                      <a:latin typeface="Times New Roman" pitchFamily="18" charset="0"/>
                      <a:cs typeface="Times New Roman" pitchFamily="18" charset="0"/>
                    </a:endParaRPr>
                  </a:p>
                </c:rich>
              </c:tx>
              <c:dLblPos val="outEnd"/>
            </c:dLbl>
            <c:dLbl>
              <c:idx val="3"/>
              <c:layout>
                <c:manualLayout>
                  <c:x val="-1.2527404662653091E-3"/>
                  <c:y val="1.8752672472232362E-2"/>
                </c:manualLayout>
              </c:layout>
              <c:tx>
                <c:rich>
                  <a:bodyPr/>
                  <a:lstStyle/>
                  <a:p>
                    <a:r>
                      <a:rPr lang="ru-RU" sz="898" b="1">
                        <a:latin typeface="Times New Roman" pitchFamily="18" charset="0"/>
                        <a:cs typeface="Times New Roman" pitchFamily="18" charset="0"/>
                      </a:rPr>
                      <a:t>3,7*</a:t>
                    </a:r>
                    <a:endParaRPr lang="en-US" sz="900" b="1">
                      <a:latin typeface="Times New Roman" pitchFamily="18" charset="0"/>
                      <a:cs typeface="Times New Roman" pitchFamily="18" charset="0"/>
                    </a:endParaRPr>
                  </a:p>
                </c:rich>
              </c:tx>
              <c:dLblPos val="outEnd"/>
            </c:dLbl>
            <c:dLbl>
              <c:idx val="4"/>
              <c:layout>
                <c:manualLayout>
                  <c:x val="-3.5208973683889351E-3"/>
                  <c:y val="1.3422708778503161E-2"/>
                </c:manualLayout>
              </c:layout>
              <c:tx>
                <c:rich>
                  <a:bodyPr/>
                  <a:lstStyle/>
                  <a:p>
                    <a:r>
                      <a:rPr lang="ru-RU" sz="898" b="1">
                        <a:latin typeface="Times New Roman" pitchFamily="18" charset="0"/>
                        <a:cs typeface="Times New Roman" pitchFamily="18" charset="0"/>
                      </a:rPr>
                      <a:t>3,9*</a:t>
                    </a:r>
                    <a:endParaRPr lang="en-US" sz="900" b="1">
                      <a:latin typeface="Times New Roman" pitchFamily="18" charset="0"/>
                      <a:cs typeface="Times New Roman" pitchFamily="18" charset="0"/>
                    </a:endParaRPr>
                  </a:p>
                </c:rich>
              </c:tx>
              <c:dLblPos val="outEnd"/>
            </c:dLbl>
            <c:dLbl>
              <c:idx val="5"/>
              <c:layout>
                <c:manualLayout>
                  <c:x val="-6.9444444444449411E-3"/>
                  <c:y val="0"/>
                </c:manualLayout>
              </c:layout>
              <c:tx>
                <c:rich>
                  <a:bodyPr/>
                  <a:lstStyle/>
                  <a:p>
                    <a:r>
                      <a:rPr lang="ru-RU" sz="898" b="1">
                        <a:latin typeface="Times New Roman" pitchFamily="18" charset="0"/>
                        <a:cs typeface="Times New Roman" pitchFamily="18" charset="0"/>
                      </a:rPr>
                      <a:t>2,2*</a:t>
                    </a:r>
                    <a:endParaRPr lang="en-US" sz="900" b="1">
                      <a:latin typeface="Times New Roman" pitchFamily="18" charset="0"/>
                      <a:cs typeface="Times New Roman" pitchFamily="18" charset="0"/>
                    </a:endParaRPr>
                  </a:p>
                </c:rich>
              </c:tx>
              <c:dLblPos val="outEnd"/>
            </c:dLbl>
            <c:dLbl>
              <c:idx val="6"/>
              <c:layout>
                <c:manualLayout>
                  <c:x val="-7.4268010433377434E-3"/>
                  <c:y val="1.4869888475836441E-2"/>
                </c:manualLayout>
              </c:layout>
              <c:tx>
                <c:rich>
                  <a:bodyPr/>
                  <a:lstStyle/>
                  <a:p>
                    <a:r>
                      <a:rPr lang="ru-RU" sz="898" b="1">
                        <a:latin typeface="Times New Roman" pitchFamily="18" charset="0"/>
                        <a:cs typeface="Times New Roman" pitchFamily="18" charset="0"/>
                      </a:rPr>
                      <a:t>1,4*</a:t>
                    </a:r>
                    <a:endParaRPr lang="en-US" sz="900" b="1">
                      <a:latin typeface="Times New Roman" pitchFamily="18" charset="0"/>
                      <a:cs typeface="Times New Roman" pitchFamily="18" charset="0"/>
                    </a:endParaRPr>
                  </a:p>
                </c:rich>
              </c:tx>
              <c:dLblPos val="outEnd"/>
            </c:dLbl>
            <c:dLbl>
              <c:idx val="7"/>
              <c:layout>
                <c:manualLayout>
                  <c:x val="-1.2636096958468426E-2"/>
                  <c:y val="8.9485668596065767E-3"/>
                </c:manualLayout>
              </c:layout>
              <c:tx>
                <c:rich>
                  <a:bodyPr/>
                  <a:lstStyle/>
                  <a:p>
                    <a:r>
                      <a:rPr lang="ru-RU" sz="898" b="1">
                        <a:latin typeface="Times New Roman" pitchFamily="18" charset="0"/>
                        <a:cs typeface="Times New Roman" pitchFamily="18" charset="0"/>
                      </a:rPr>
                      <a:t>12,7*</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Лист1!$B$2:$B$9</c:f>
              <c:numCache>
                <c:formatCode>#,##0.0</c:formatCode>
                <c:ptCount val="8"/>
                <c:pt idx="0">
                  <c:v>360551.5</c:v>
                </c:pt>
                <c:pt idx="1">
                  <c:v>68009.8</c:v>
                </c:pt>
                <c:pt idx="2">
                  <c:v>41421</c:v>
                </c:pt>
                <c:pt idx="3">
                  <c:v>22578.400000000001</c:v>
                </c:pt>
                <c:pt idx="4">
                  <c:v>24025.7</c:v>
                </c:pt>
                <c:pt idx="5">
                  <c:v>13492.6</c:v>
                </c:pt>
                <c:pt idx="6">
                  <c:v>8519</c:v>
                </c:pt>
                <c:pt idx="7">
                  <c:v>78279.600000000035</c:v>
                </c:pt>
              </c:numCache>
            </c:numRef>
          </c:val>
        </c:ser>
        <c:ser>
          <c:idx val="1"/>
          <c:order val="1"/>
          <c:tx>
            <c:strRef>
              <c:f>Лист1!$C$1</c:f>
              <c:strCache>
                <c:ptCount val="1"/>
                <c:pt idx="0">
                  <c:v>январь - июнь 2016 г.</c:v>
                </c:pt>
              </c:strCache>
            </c:strRef>
          </c:tx>
          <c:dLbls>
            <c:dLbl>
              <c:idx val="0"/>
              <c:layout>
                <c:manualLayout>
                  <c:x val="1.8424116103134169E-2"/>
                  <c:y val="0"/>
                </c:manualLayout>
              </c:layout>
              <c:tx>
                <c:rich>
                  <a:bodyPr/>
                  <a:lstStyle/>
                  <a:p>
                    <a:r>
                      <a:rPr lang="ru-RU" sz="898" b="1">
                        <a:latin typeface="Times New Roman" pitchFamily="18" charset="0"/>
                        <a:cs typeface="Times New Roman" pitchFamily="18" charset="0"/>
                      </a:rPr>
                      <a:t>53,4*</a:t>
                    </a:r>
                    <a:endParaRPr lang="en-US" sz="900" b="1">
                      <a:latin typeface="Times New Roman" pitchFamily="18" charset="0"/>
                      <a:cs typeface="Times New Roman" pitchFamily="18" charset="0"/>
                    </a:endParaRPr>
                  </a:p>
                </c:rich>
              </c:tx>
              <c:dLblPos val="outEnd"/>
            </c:dLbl>
            <c:dLbl>
              <c:idx val="1"/>
              <c:layout>
                <c:manualLayout>
                  <c:x val="1.1864597807626987E-2"/>
                  <c:y val="6.5359545288627002E-3"/>
                </c:manualLayout>
              </c:layout>
              <c:tx>
                <c:rich>
                  <a:bodyPr/>
                  <a:lstStyle/>
                  <a:p>
                    <a:r>
                      <a:rPr lang="ru-RU" sz="898" b="1">
                        <a:latin typeface="Times New Roman" pitchFamily="18" charset="0"/>
                        <a:cs typeface="Times New Roman" pitchFamily="18" charset="0"/>
                      </a:rPr>
                      <a:t>9,3*</a:t>
                    </a:r>
                    <a:endParaRPr lang="en-US" sz="900" b="1">
                      <a:latin typeface="Times New Roman" pitchFamily="18" charset="0"/>
                      <a:cs typeface="Times New Roman" pitchFamily="18" charset="0"/>
                    </a:endParaRPr>
                  </a:p>
                </c:rich>
              </c:tx>
              <c:dLblPos val="outEnd"/>
            </c:dLbl>
            <c:dLbl>
              <c:idx val="2"/>
              <c:layout>
                <c:manualLayout>
                  <c:x val="1.7099319337738322E-2"/>
                  <c:y val="1.3130901740730701E-2"/>
                </c:manualLayout>
              </c:layout>
              <c:tx>
                <c:rich>
                  <a:bodyPr/>
                  <a:lstStyle/>
                  <a:p>
                    <a:r>
                      <a:rPr lang="ru-RU" sz="898" b="1">
                        <a:latin typeface="Times New Roman" pitchFamily="18" charset="0"/>
                        <a:cs typeface="Times New Roman" pitchFamily="18" charset="0"/>
                      </a:rPr>
                      <a:t>7,5*</a:t>
                    </a:r>
                    <a:endParaRPr lang="en-US" sz="900" b="1">
                      <a:latin typeface="Times New Roman" pitchFamily="18" charset="0"/>
                      <a:cs typeface="Times New Roman" pitchFamily="18" charset="0"/>
                    </a:endParaRPr>
                  </a:p>
                </c:rich>
              </c:tx>
              <c:dLblPos val="outEnd"/>
            </c:dLbl>
            <c:dLbl>
              <c:idx val="3"/>
              <c:layout>
                <c:manualLayout>
                  <c:x val="7.8794323698917132E-3"/>
                  <c:y val="2.1432407156002052E-2"/>
                </c:manualLayout>
              </c:layout>
              <c:tx>
                <c:rich>
                  <a:bodyPr/>
                  <a:lstStyle/>
                  <a:p>
                    <a:r>
                      <a:rPr lang="ru-RU" sz="898" b="1">
                        <a:latin typeface="Times New Roman" pitchFamily="18" charset="0"/>
                        <a:cs typeface="Times New Roman" pitchFamily="18" charset="0"/>
                      </a:rPr>
                      <a:t>3,0*</a:t>
                    </a:r>
                    <a:endParaRPr lang="en-US" sz="900" b="1">
                      <a:latin typeface="Times New Roman" pitchFamily="18" charset="0"/>
                      <a:cs typeface="Times New Roman" pitchFamily="18" charset="0"/>
                    </a:endParaRPr>
                  </a:p>
                </c:rich>
              </c:tx>
              <c:dLblPos val="outEnd"/>
            </c:dLbl>
            <c:dLbl>
              <c:idx val="4"/>
              <c:layout>
                <c:manualLayout>
                  <c:x val="1.0321290721012817E-2"/>
                  <c:y val="8.8296744363908167E-3"/>
                </c:manualLayout>
              </c:layout>
              <c:tx>
                <c:rich>
                  <a:bodyPr/>
                  <a:lstStyle/>
                  <a:p>
                    <a:r>
                      <a:rPr lang="ru-RU" sz="898" b="1">
                        <a:latin typeface="Times New Roman" pitchFamily="18" charset="0"/>
                        <a:cs typeface="Times New Roman" pitchFamily="18" charset="0"/>
                      </a:rPr>
                      <a:t>4,0*</a:t>
                    </a:r>
                    <a:endParaRPr lang="en-US" sz="900" b="1">
                      <a:latin typeface="Times New Roman" pitchFamily="18" charset="0"/>
                      <a:cs typeface="Times New Roman" pitchFamily="18" charset="0"/>
                    </a:endParaRPr>
                  </a:p>
                </c:rich>
              </c:tx>
              <c:dLblPos val="outEnd"/>
            </c:dLbl>
            <c:dLbl>
              <c:idx val="5"/>
              <c:layout>
                <c:manualLayout>
                  <c:x val="9.9672687972827047E-3"/>
                  <c:y val="-1.7764335749423138E-4"/>
                </c:manualLayout>
              </c:layout>
              <c:tx>
                <c:rich>
                  <a:bodyPr/>
                  <a:lstStyle/>
                  <a:p>
                    <a:r>
                      <a:rPr lang="ru-RU" sz="898" b="1">
                        <a:latin typeface="Times New Roman" pitchFamily="18" charset="0"/>
                        <a:cs typeface="Times New Roman" pitchFamily="18" charset="0"/>
                      </a:rPr>
                      <a:t>2,2*</a:t>
                    </a:r>
                    <a:endParaRPr lang="en-US" sz="900" b="1">
                      <a:latin typeface="Times New Roman" pitchFamily="18" charset="0"/>
                      <a:cs typeface="Times New Roman" pitchFamily="18" charset="0"/>
                    </a:endParaRPr>
                  </a:p>
                </c:rich>
              </c:tx>
              <c:dLblPos val="outEnd"/>
            </c:dLbl>
            <c:dLbl>
              <c:idx val="6"/>
              <c:layout>
                <c:manualLayout>
                  <c:x val="1.1574002944753857E-2"/>
                  <c:y val="9.4562647754137547E-3"/>
                </c:manualLayout>
              </c:layout>
              <c:tx>
                <c:rich>
                  <a:bodyPr/>
                  <a:lstStyle/>
                  <a:p>
                    <a:r>
                      <a:rPr lang="ru-RU" sz="898" b="1">
                        <a:latin typeface="Times New Roman" pitchFamily="18" charset="0"/>
                        <a:cs typeface="Times New Roman" pitchFamily="18" charset="0"/>
                      </a:rPr>
                      <a:t>1,9*</a:t>
                    </a:r>
                    <a:endParaRPr lang="en-US" sz="900" b="1">
                      <a:latin typeface="Times New Roman" pitchFamily="18" charset="0"/>
                      <a:cs typeface="Times New Roman" pitchFamily="18" charset="0"/>
                    </a:endParaRPr>
                  </a:p>
                </c:rich>
              </c:tx>
              <c:dLblPos val="outEnd"/>
            </c:dLbl>
            <c:dLbl>
              <c:idx val="7"/>
              <c:layout>
                <c:manualLayout>
                  <c:x val="1.0951763651494778E-2"/>
                  <c:y val="7.5461489299654023E-3"/>
                </c:manualLayout>
              </c:layout>
              <c:tx>
                <c:rich>
                  <a:bodyPr/>
                  <a:lstStyle/>
                  <a:p>
                    <a:r>
                      <a:rPr lang="ru-RU" sz="898" b="1">
                        <a:latin typeface="Times New Roman" pitchFamily="18" charset="0"/>
                        <a:cs typeface="Times New Roman" pitchFamily="18" charset="0"/>
                      </a:rPr>
                      <a:t>18,7*</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Лист1!$C$2:$C$9</c:f>
              <c:numCache>
                <c:formatCode>#,##0.0</c:formatCode>
                <c:ptCount val="8"/>
                <c:pt idx="0">
                  <c:v>225826.2</c:v>
                </c:pt>
                <c:pt idx="1">
                  <c:v>39400.6</c:v>
                </c:pt>
                <c:pt idx="2">
                  <c:v>31841.5</c:v>
                </c:pt>
                <c:pt idx="3">
                  <c:v>12595.5</c:v>
                </c:pt>
                <c:pt idx="4">
                  <c:v>17073.3</c:v>
                </c:pt>
                <c:pt idx="5">
                  <c:v>9163.4</c:v>
                </c:pt>
                <c:pt idx="6">
                  <c:v>8123.5</c:v>
                </c:pt>
                <c:pt idx="7">
                  <c:v>79222.599999999977</c:v>
                </c:pt>
              </c:numCache>
            </c:numRef>
          </c:val>
        </c:ser>
        <c:dLbls>
          <c:showVal val="1"/>
        </c:dLbls>
        <c:axId val="96988160"/>
        <c:axId val="97133312"/>
      </c:barChart>
      <c:catAx>
        <c:axId val="96988160"/>
        <c:scaling>
          <c:orientation val="minMax"/>
        </c:scaling>
        <c:axPos val="b"/>
        <c:numFmt formatCode="General" sourceLinked="1"/>
        <c:tickLblPos val="nextTo"/>
        <c:crossAx val="97133312"/>
        <c:crosses val="autoZero"/>
        <c:auto val="1"/>
        <c:lblAlgn val="ctr"/>
        <c:lblOffset val="100"/>
      </c:catAx>
      <c:valAx>
        <c:axId val="97133312"/>
        <c:scaling>
          <c:orientation val="minMax"/>
        </c:scaling>
        <c:axPos val="l"/>
        <c:title>
          <c:tx>
            <c:rich>
              <a:bodyPr rot="0" vert="horz"/>
              <a:lstStyle/>
              <a:p>
                <a:pPr algn="ctr">
                  <a:defRPr sz="895" b="0" i="0" u="none" strike="noStrike" baseline="0">
                    <a:solidFill>
                      <a:srgbClr val="000000"/>
                    </a:solidFill>
                    <a:latin typeface="Times New Roman"/>
                    <a:ea typeface="Times New Roman"/>
                    <a:cs typeface="Times New Roman"/>
                  </a:defRPr>
                </a:pPr>
                <a:r>
                  <a:rPr lang="ru-RU" b="1"/>
                  <a:t>*- удельный вес страны в общем импорте,%</a:t>
                </a:r>
              </a:p>
            </c:rich>
          </c:tx>
          <c:layout>
            <c:manualLayout>
              <c:xMode val="edge"/>
              <c:yMode val="edge"/>
              <c:x val="0.77609662711290173"/>
              <c:y val="0.11262249258553872"/>
            </c:manualLayout>
          </c:layout>
          <c:spPr>
            <a:noFill/>
            <a:ln w="25398">
              <a:noFill/>
            </a:ln>
          </c:spPr>
        </c:title>
        <c:numFmt formatCode="#,##0.0" sourceLinked="1"/>
        <c:tickLblPos val="nextTo"/>
        <c:txPr>
          <a:bodyPr/>
          <a:lstStyle/>
          <a:p>
            <a:pPr>
              <a:defRPr sz="900" b="1">
                <a:latin typeface="Times New Roman" pitchFamily="18" charset="0"/>
                <a:cs typeface="Times New Roman" pitchFamily="18" charset="0"/>
              </a:defRPr>
            </a:pPr>
            <a:endParaRPr lang="ru-RU"/>
          </a:p>
        </c:txPr>
        <c:crossAx val="96988160"/>
        <c:crosses val="autoZero"/>
        <c:crossBetween val="between"/>
        <c:dispUnits>
          <c:builtInUnit val="thousands"/>
        </c:dispUnits>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legend>
      <c:legendPos val="r"/>
      <c:layout>
        <c:manualLayout>
          <c:xMode val="edge"/>
          <c:yMode val="edge"/>
          <c:x val="0.2371560221638962"/>
          <c:y val="0.92405940843932965"/>
          <c:w val="0.5148166034801207"/>
          <c:h val="5.2080052493438313E-2"/>
        </c:manualLayout>
      </c:layout>
      <c:txPr>
        <a:bodyPr/>
        <a:lstStyle/>
        <a:p>
          <a:pPr>
            <a:defRPr sz="898">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200"/>
            </a:pPr>
            <a:r>
              <a:rPr lang="ru-RU" sz="1200"/>
              <a:t>Структура прожиточного минимума, руб.</a:t>
            </a:r>
          </a:p>
        </c:rich>
      </c:tx>
      <c:layout>
        <c:manualLayout>
          <c:xMode val="edge"/>
          <c:yMode val="edge"/>
          <c:x val="0.25523731408573536"/>
          <c:y val="0"/>
        </c:manualLayout>
      </c:layout>
      <c:overlay val="1"/>
      <c:spPr>
        <a:solidFill>
          <a:schemeClr val="bg1"/>
        </a:solidFill>
      </c:spPr>
    </c:title>
    <c:plotArea>
      <c:layout>
        <c:manualLayout>
          <c:layoutTarget val="inner"/>
          <c:xMode val="edge"/>
          <c:yMode val="edge"/>
          <c:x val="9.8694043452903321E-2"/>
          <c:y val="0.16549831271091256"/>
          <c:w val="0.57758019830854479"/>
          <c:h val="0.6904472655203816"/>
        </c:manualLayout>
      </c:layout>
      <c:barChart>
        <c:barDir val="col"/>
        <c:grouping val="percentStacked"/>
        <c:ser>
          <c:idx val="0"/>
          <c:order val="0"/>
          <c:tx>
            <c:strRef>
              <c:f>Лист1!$B$1</c:f>
              <c:strCache>
                <c:ptCount val="1"/>
                <c:pt idx="0">
                  <c:v>питание</c:v>
                </c:pt>
              </c:strCache>
            </c:strRef>
          </c:tx>
          <c:spPr>
            <a:solidFill>
              <a:schemeClr val="accent5">
                <a:lumMod val="75000"/>
              </a:schemeClr>
            </a:solidFill>
          </c:spPr>
          <c:dLbls>
            <c:dLbl>
              <c:idx val="0"/>
              <c:layout/>
              <c:tx>
                <c:rich>
                  <a:bodyPr/>
                  <a:lstStyle/>
                  <a:p>
                    <a:r>
                      <a:rPr lang="ru-RU" b="1"/>
                      <a:t>605,0;</a:t>
                    </a:r>
                  </a:p>
                  <a:p>
                    <a:r>
                      <a:rPr lang="en-US" b="1"/>
                      <a:t>45,8</a:t>
                    </a:r>
                    <a:r>
                      <a:rPr lang="ru-RU" b="1"/>
                      <a:t>%</a:t>
                    </a:r>
                    <a:endParaRPr lang="en-US" b="1"/>
                  </a:p>
                </c:rich>
              </c:tx>
              <c:showVal val="1"/>
            </c:dLbl>
            <c:dLbl>
              <c:idx val="1"/>
              <c:layout/>
              <c:tx>
                <c:rich>
                  <a:bodyPr/>
                  <a:lstStyle/>
                  <a:p>
                    <a:r>
                      <a:rPr lang="ru-RU" b="1"/>
                      <a:t>563,7;</a:t>
                    </a:r>
                  </a:p>
                  <a:p>
                    <a:r>
                      <a:rPr lang="en-US" b="1"/>
                      <a:t>44,0</a:t>
                    </a:r>
                    <a:r>
                      <a:rPr lang="ru-RU" b="1"/>
                      <a:t>%</a:t>
                    </a:r>
                    <a:endParaRPr lang="en-US" b="1"/>
                  </a:p>
                </c:rich>
              </c:tx>
              <c:showVal val="1"/>
            </c:dLbl>
            <c:txPr>
              <a:bodyPr/>
              <a:lstStyle/>
              <a:p>
                <a:pPr>
                  <a:defRPr sz="1000" b="1"/>
                </a:pPr>
                <a:endParaRPr lang="ru-RU"/>
              </a:p>
            </c:txPr>
            <c:showVal val="1"/>
          </c:dLbls>
          <c:cat>
            <c:strRef>
              <c:f>Лист1!$A$2:$A$3</c:f>
              <c:strCache>
                <c:ptCount val="2"/>
                <c:pt idx="0">
                  <c:v>I полугодие 2015 года</c:v>
                </c:pt>
                <c:pt idx="1">
                  <c:v>I полугодие 2016 года</c:v>
                </c:pt>
              </c:strCache>
            </c:strRef>
          </c:cat>
          <c:val>
            <c:numRef>
              <c:f>Лист1!$B$2:$B$3</c:f>
              <c:numCache>
                <c:formatCode>0.0</c:formatCode>
                <c:ptCount val="2"/>
                <c:pt idx="0" formatCode="General">
                  <c:v>45.8</c:v>
                </c:pt>
                <c:pt idx="1">
                  <c:v>44</c:v>
                </c:pt>
              </c:numCache>
            </c:numRef>
          </c:val>
        </c:ser>
        <c:ser>
          <c:idx val="1"/>
          <c:order val="1"/>
          <c:tx>
            <c:strRef>
              <c:f>Лист1!$C$1</c:f>
              <c:strCache>
                <c:ptCount val="1"/>
                <c:pt idx="0">
                  <c:v>непродовольственные товары</c:v>
                </c:pt>
              </c:strCache>
            </c:strRef>
          </c:tx>
          <c:spPr>
            <a:solidFill>
              <a:schemeClr val="accent5">
                <a:lumMod val="60000"/>
                <a:lumOff val="40000"/>
              </a:schemeClr>
            </a:solidFill>
          </c:spPr>
          <c:dLbls>
            <c:dLbl>
              <c:idx val="0"/>
              <c:layout/>
              <c:tx>
                <c:rich>
                  <a:bodyPr/>
                  <a:lstStyle/>
                  <a:p>
                    <a:r>
                      <a:rPr lang="ru-RU" b="1"/>
                      <a:t>265,7;</a:t>
                    </a:r>
                  </a:p>
                  <a:p>
                    <a:r>
                      <a:rPr lang="en-US" b="1"/>
                      <a:t>20,1</a:t>
                    </a:r>
                    <a:r>
                      <a:rPr lang="ru-RU" b="1"/>
                      <a:t>%</a:t>
                    </a:r>
                    <a:endParaRPr lang="en-US" b="1"/>
                  </a:p>
                </c:rich>
              </c:tx>
              <c:showVal val="1"/>
            </c:dLbl>
            <c:dLbl>
              <c:idx val="1"/>
              <c:layout/>
              <c:tx>
                <c:rich>
                  <a:bodyPr/>
                  <a:lstStyle/>
                  <a:p>
                    <a:r>
                      <a:rPr lang="ru-RU" b="1"/>
                      <a:t>268,8;</a:t>
                    </a:r>
                  </a:p>
                  <a:p>
                    <a:r>
                      <a:rPr lang="en-US" b="1"/>
                      <a:t>21,0</a:t>
                    </a:r>
                    <a:r>
                      <a:rPr lang="ru-RU" b="1"/>
                      <a:t>%</a:t>
                    </a:r>
                    <a:endParaRPr lang="en-US" b="1"/>
                  </a:p>
                </c:rich>
              </c:tx>
              <c:showVal val="1"/>
            </c:dLbl>
            <c:txPr>
              <a:bodyPr/>
              <a:lstStyle/>
              <a:p>
                <a:pPr>
                  <a:defRPr sz="1000" b="1"/>
                </a:pPr>
                <a:endParaRPr lang="ru-RU"/>
              </a:p>
            </c:txPr>
            <c:showVal val="1"/>
          </c:dLbls>
          <c:cat>
            <c:strRef>
              <c:f>Лист1!$A$2:$A$3</c:f>
              <c:strCache>
                <c:ptCount val="2"/>
                <c:pt idx="0">
                  <c:v>I полугодие 2015 года</c:v>
                </c:pt>
                <c:pt idx="1">
                  <c:v>I полугодие 2016 года</c:v>
                </c:pt>
              </c:strCache>
            </c:strRef>
          </c:cat>
          <c:val>
            <c:numRef>
              <c:f>Лист1!$C$2:$C$3</c:f>
              <c:numCache>
                <c:formatCode>0.0</c:formatCode>
                <c:ptCount val="2"/>
                <c:pt idx="0" formatCode="General">
                  <c:v>20.100000000000001</c:v>
                </c:pt>
                <c:pt idx="1">
                  <c:v>21</c:v>
                </c:pt>
              </c:numCache>
            </c:numRef>
          </c:val>
        </c:ser>
        <c:ser>
          <c:idx val="2"/>
          <c:order val="2"/>
          <c:tx>
            <c:strRef>
              <c:f>Лист1!$D$1</c:f>
              <c:strCache>
                <c:ptCount val="1"/>
                <c:pt idx="0">
                  <c:v>услуги</c:v>
                </c:pt>
              </c:strCache>
            </c:strRef>
          </c:tx>
          <c:spPr>
            <a:solidFill>
              <a:schemeClr val="accent5">
                <a:lumMod val="40000"/>
                <a:lumOff val="60000"/>
              </a:schemeClr>
            </a:solidFill>
          </c:spPr>
          <c:dLbls>
            <c:dLbl>
              <c:idx val="0"/>
              <c:layout>
                <c:manualLayout>
                  <c:x val="2.3148148148148147E-3"/>
                  <c:y val="2.1030494216614092E-2"/>
                </c:manualLayout>
              </c:layout>
              <c:tx>
                <c:rich>
                  <a:bodyPr/>
                  <a:lstStyle/>
                  <a:p>
                    <a:r>
                      <a:rPr lang="ru-RU" b="1"/>
                      <a:t>424,7;</a:t>
                    </a:r>
                  </a:p>
                  <a:p>
                    <a:r>
                      <a:rPr lang="en-US" b="1"/>
                      <a:t>32,2</a:t>
                    </a:r>
                    <a:r>
                      <a:rPr lang="ru-RU" b="1"/>
                      <a:t>%</a:t>
                    </a:r>
                    <a:endParaRPr lang="en-US" b="1"/>
                  </a:p>
                </c:rich>
              </c:tx>
              <c:showVal val="1"/>
            </c:dLbl>
            <c:dLbl>
              <c:idx val="1"/>
              <c:layout>
                <c:manualLayout>
                  <c:x val="0"/>
                  <c:y val="2.0278833967046894E-2"/>
                </c:manualLayout>
              </c:layout>
              <c:tx>
                <c:rich>
                  <a:bodyPr/>
                  <a:lstStyle/>
                  <a:p>
                    <a:r>
                      <a:rPr lang="ru-RU" b="1"/>
                      <a:t>424,4;</a:t>
                    </a:r>
                  </a:p>
                  <a:p>
                    <a:r>
                      <a:rPr lang="en-US" b="1"/>
                      <a:t>33,1</a:t>
                    </a:r>
                    <a:r>
                      <a:rPr lang="ru-RU" b="1"/>
                      <a:t>%</a:t>
                    </a:r>
                    <a:endParaRPr lang="en-US" b="1"/>
                  </a:p>
                </c:rich>
              </c:tx>
              <c:showVal val="1"/>
            </c:dLbl>
            <c:txPr>
              <a:bodyPr/>
              <a:lstStyle/>
              <a:p>
                <a:pPr>
                  <a:defRPr sz="1000" b="1"/>
                </a:pPr>
                <a:endParaRPr lang="ru-RU"/>
              </a:p>
            </c:txPr>
            <c:showVal val="1"/>
          </c:dLbls>
          <c:cat>
            <c:strRef>
              <c:f>Лист1!$A$2:$A$3</c:f>
              <c:strCache>
                <c:ptCount val="2"/>
                <c:pt idx="0">
                  <c:v>I полугодие 2015 года</c:v>
                </c:pt>
                <c:pt idx="1">
                  <c:v>I полугодие 2016 года</c:v>
                </c:pt>
              </c:strCache>
            </c:strRef>
          </c:cat>
          <c:val>
            <c:numRef>
              <c:f>Лист1!$D$2:$D$3</c:f>
              <c:numCache>
                <c:formatCode>0.0</c:formatCode>
                <c:ptCount val="2"/>
                <c:pt idx="0" formatCode="General">
                  <c:v>32.200000000000003</c:v>
                </c:pt>
                <c:pt idx="1">
                  <c:v>33.1</c:v>
                </c:pt>
              </c:numCache>
            </c:numRef>
          </c:val>
        </c:ser>
        <c:ser>
          <c:idx val="3"/>
          <c:order val="3"/>
          <c:tx>
            <c:strRef>
              <c:f>Лист1!$E$1</c:f>
              <c:strCache>
                <c:ptCount val="1"/>
                <c:pt idx="0">
                  <c:v>обязательные платежи и сборы</c:v>
                </c:pt>
              </c:strCache>
            </c:strRef>
          </c:tx>
          <c:spPr>
            <a:solidFill>
              <a:schemeClr val="accent6">
                <a:lumMod val="20000"/>
                <a:lumOff val="80000"/>
              </a:schemeClr>
            </a:solidFill>
          </c:spPr>
          <c:dLbls>
            <c:dLbl>
              <c:idx val="0"/>
              <c:layout>
                <c:manualLayout>
                  <c:x val="2.3146325459317612E-3"/>
                  <c:y val="-2.5236593059936911E-2"/>
                </c:manualLayout>
              </c:layout>
              <c:tx>
                <c:rich>
                  <a:bodyPr/>
                  <a:lstStyle/>
                  <a:p>
                    <a:r>
                      <a:rPr lang="ru-RU" b="1"/>
                      <a:t>24,5;</a:t>
                    </a:r>
                  </a:p>
                  <a:p>
                    <a:r>
                      <a:rPr lang="en-US" b="1"/>
                      <a:t>1,9</a:t>
                    </a:r>
                    <a:r>
                      <a:rPr lang="ru-RU" b="1"/>
                      <a:t>%</a:t>
                    </a:r>
                    <a:endParaRPr lang="en-US" b="1"/>
                  </a:p>
                </c:rich>
              </c:tx>
              <c:showVal val="1"/>
            </c:dLbl>
            <c:dLbl>
              <c:idx val="1"/>
              <c:layout>
                <c:manualLayout>
                  <c:x val="-2.3148148148148147E-3"/>
                  <c:y val="-2.5236593059936911E-2"/>
                </c:manualLayout>
              </c:layout>
              <c:tx>
                <c:rich>
                  <a:bodyPr/>
                  <a:lstStyle/>
                  <a:p>
                    <a:r>
                      <a:rPr lang="ru-RU" b="1"/>
                      <a:t>23,5;</a:t>
                    </a:r>
                  </a:p>
                  <a:p>
                    <a:r>
                      <a:rPr lang="en-US" b="1"/>
                      <a:t>1,8</a:t>
                    </a:r>
                    <a:r>
                      <a:rPr lang="ru-RU" b="1"/>
                      <a:t>%</a:t>
                    </a:r>
                    <a:endParaRPr lang="en-US" b="1"/>
                  </a:p>
                </c:rich>
              </c:tx>
              <c:showVal val="1"/>
            </c:dLbl>
            <c:txPr>
              <a:bodyPr/>
              <a:lstStyle/>
              <a:p>
                <a:pPr>
                  <a:defRPr sz="1000" b="1"/>
                </a:pPr>
                <a:endParaRPr lang="ru-RU"/>
              </a:p>
            </c:txPr>
            <c:showVal val="1"/>
          </c:dLbls>
          <c:cat>
            <c:strRef>
              <c:f>Лист1!$A$2:$A$3</c:f>
              <c:strCache>
                <c:ptCount val="2"/>
                <c:pt idx="0">
                  <c:v>I полугодие 2015 года</c:v>
                </c:pt>
                <c:pt idx="1">
                  <c:v>I полугодие 2016 года</c:v>
                </c:pt>
              </c:strCache>
            </c:strRef>
          </c:cat>
          <c:val>
            <c:numRef>
              <c:f>Лист1!$E$2:$E$3</c:f>
              <c:numCache>
                <c:formatCode>0.0</c:formatCode>
                <c:ptCount val="2"/>
                <c:pt idx="0" formatCode="General">
                  <c:v>1.9000000000000001</c:v>
                </c:pt>
                <c:pt idx="1">
                  <c:v>1.8</c:v>
                </c:pt>
              </c:numCache>
            </c:numRef>
          </c:val>
        </c:ser>
        <c:overlap val="100"/>
        <c:axId val="109998080"/>
        <c:axId val="109999616"/>
      </c:barChart>
      <c:catAx>
        <c:axId val="109998080"/>
        <c:scaling>
          <c:orientation val="minMax"/>
        </c:scaling>
        <c:axPos val="b"/>
        <c:tickLblPos val="nextTo"/>
        <c:txPr>
          <a:bodyPr/>
          <a:lstStyle/>
          <a:p>
            <a:pPr>
              <a:defRPr sz="1000" b="1"/>
            </a:pPr>
            <a:endParaRPr lang="ru-RU"/>
          </a:p>
        </c:txPr>
        <c:crossAx val="109999616"/>
        <c:crosses val="autoZero"/>
        <c:auto val="1"/>
        <c:lblAlgn val="ctr"/>
        <c:lblOffset val="100"/>
      </c:catAx>
      <c:valAx>
        <c:axId val="109999616"/>
        <c:scaling>
          <c:orientation val="minMax"/>
        </c:scaling>
        <c:axPos val="l"/>
        <c:numFmt formatCode="0%" sourceLinked="1"/>
        <c:tickLblPos val="nextTo"/>
        <c:txPr>
          <a:bodyPr/>
          <a:lstStyle/>
          <a:p>
            <a:pPr>
              <a:defRPr sz="1000"/>
            </a:pPr>
            <a:endParaRPr lang="ru-RU"/>
          </a:p>
        </c:txPr>
        <c:crossAx val="109998080"/>
        <c:crosses val="autoZero"/>
        <c:crossBetween val="between"/>
      </c:valAx>
    </c:plotArea>
    <c:legend>
      <c:legendPos val="r"/>
      <c:layout>
        <c:manualLayout>
          <c:xMode val="edge"/>
          <c:yMode val="edge"/>
          <c:x val="0.69016313065033541"/>
          <c:y val="0.26058867641545197"/>
          <c:w val="0.29594798046077581"/>
          <c:h val="0.47882264716910894"/>
        </c:manualLayout>
      </c:layout>
      <c:txPr>
        <a:bodyPr/>
        <a:lstStyle/>
        <a:p>
          <a:pPr>
            <a:defRPr sz="1000" i="1"/>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050"/>
            </a:pPr>
            <a:r>
              <a:rPr lang="ru-RU" sz="1050">
                <a:latin typeface="Times New Roman" pitchFamily="18" charset="0"/>
                <a:cs typeface="Times New Roman" pitchFamily="18" charset="0"/>
              </a:rPr>
              <a:t>Динамика численности граждан зарегистрированных в службе занятости (чел.) </a:t>
            </a:r>
          </a:p>
        </c:rich>
      </c:tx>
      <c:layout>
        <c:manualLayout>
          <c:xMode val="edge"/>
          <c:yMode val="edge"/>
          <c:x val="0.16013649926729792"/>
          <c:y val="2.1645243062566419E-2"/>
        </c:manualLayout>
      </c:layout>
      <c:spPr>
        <a:noFill/>
        <a:ln w="24908">
          <a:noFill/>
        </a:ln>
      </c:spPr>
    </c:title>
    <c:plotArea>
      <c:layout>
        <c:manualLayout>
          <c:layoutTarget val="inner"/>
          <c:xMode val="edge"/>
          <c:yMode val="edge"/>
          <c:x val="7.2514256091239584E-2"/>
          <c:y val="0.27012653269087838"/>
          <c:w val="0.9188128155831341"/>
          <c:h val="0.31570564374640336"/>
        </c:manualLayout>
      </c:layout>
      <c:barChart>
        <c:barDir val="col"/>
        <c:grouping val="clustered"/>
        <c:ser>
          <c:idx val="0"/>
          <c:order val="0"/>
          <c:tx>
            <c:strRef>
              <c:f>Лист1!$B$1</c:f>
              <c:strCache>
                <c:ptCount val="1"/>
                <c:pt idx="0">
                  <c:v>I полугодие 2015 года</c:v>
                </c:pt>
              </c:strCache>
            </c:strRef>
          </c:tx>
          <c:spPr>
            <a:solidFill>
              <a:srgbClr val="C0504D">
                <a:alpha val="70000"/>
              </a:srgbClr>
            </a:solidFill>
          </c:spPr>
          <c:dLbls>
            <c:dLbl>
              <c:idx val="0"/>
              <c:layout>
                <c:manualLayout>
                  <c:x val="-6.2208398133748923E-3"/>
                  <c:y val="1.5564000445890383E-2"/>
                </c:manualLayout>
              </c:layout>
              <c:dLblPos val="outEnd"/>
              <c:showVal val="1"/>
            </c:dLbl>
            <c:dLbl>
              <c:idx val="1"/>
              <c:layout>
                <c:manualLayout>
                  <c:x val="-1.0368229632260592E-2"/>
                  <c:y val="1.5358496854559834E-2"/>
                </c:manualLayout>
              </c:layout>
              <c:dLblPos val="outEnd"/>
              <c:showVal val="1"/>
            </c:dLbl>
            <c:dLbl>
              <c:idx val="2"/>
              <c:layout>
                <c:manualLayout>
                  <c:x val="-6.944444444444758E-3"/>
                  <c:y val="0"/>
                </c:manualLayout>
              </c:layout>
              <c:dLblPos val="outEnd"/>
              <c:showVal val="1"/>
            </c:dLbl>
            <c:dLbl>
              <c:idx val="3"/>
              <c:layout>
                <c:manualLayout>
                  <c:x val="0"/>
                  <c:y val="1.5564405800626405E-2"/>
                </c:manualLayout>
              </c:layout>
              <c:dLblPos val="outEnd"/>
              <c:showVal val="1"/>
            </c:dLbl>
            <c:dLbl>
              <c:idx val="4"/>
              <c:layout>
                <c:manualLayout>
                  <c:x val="-6.4619994040405106E-3"/>
                  <c:y val="1.5358496854559834E-2"/>
                </c:manualLayout>
              </c:layout>
              <c:dLblPos val="outEnd"/>
              <c:showVal val="1"/>
            </c:dLbl>
            <c:dLbl>
              <c:idx val="5"/>
              <c:layout>
                <c:manualLayout>
                  <c:x val="-2.0736132711249955E-3"/>
                  <c:y val="1.0455720062019403E-2"/>
                </c:manualLayout>
              </c:layout>
              <c:dLblPos val="outEnd"/>
              <c:showVal val="1"/>
            </c:dLbl>
            <c:dLbl>
              <c:idx val="6"/>
              <c:layout>
                <c:manualLayout>
                  <c:x val="7.6031608284292224E-17"/>
                  <c:y val="1.5564405800626381E-2"/>
                </c:manualLayout>
              </c:layout>
              <c:dLblPos val="outEnd"/>
              <c:showVal val="1"/>
            </c:dLbl>
            <c:dLbl>
              <c:idx val="7"/>
              <c:layout>
                <c:manualLayout>
                  <c:x val="-2.0737765477605386E-3"/>
                  <c:y val="1.5604535919496771E-2"/>
                </c:manualLayout>
              </c:layout>
              <c:dLblPos val="outEnd"/>
              <c:showVal val="1"/>
            </c:dLbl>
            <c:dLbl>
              <c:idx val="8"/>
              <c:layout>
                <c:manualLayout>
                  <c:x val="-4.1472265422497941E-3"/>
                  <c:y val="1.0273299170936938E-2"/>
                </c:manualLayout>
              </c:layout>
              <c:dLblPos val="outEnd"/>
              <c:showVal val="1"/>
            </c:dLbl>
            <c:dLbl>
              <c:idx val="9"/>
              <c:layout>
                <c:manualLayout>
                  <c:x val="-4.1472265422498704E-3"/>
                  <c:y val="5.3085256234862536E-3"/>
                </c:manualLayout>
              </c:layout>
              <c:dLblPos val="outEnd"/>
              <c:showVal val="1"/>
            </c:dLbl>
            <c:dLbl>
              <c:idx val="10"/>
              <c:layout>
                <c:manualLayout>
                  <c:x val="-3.0384149104224147E-3"/>
                  <c:y val="4.9595151957357534E-3"/>
                </c:manualLayout>
              </c:layout>
              <c:dLblPos val="outEnd"/>
              <c:showVal val="1"/>
            </c:dLbl>
            <c:dLbl>
              <c:idx val="11"/>
              <c:layout>
                <c:manualLayout>
                  <c:x val="-9.6480163929742267E-4"/>
                  <c:y val="-5.3364951002747747E-3"/>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Лист1!$B$2:$B$7</c:f>
              <c:numCache>
                <c:formatCode>General</c:formatCode>
                <c:ptCount val="6"/>
                <c:pt idx="0">
                  <c:v>1083</c:v>
                </c:pt>
                <c:pt idx="1">
                  <c:v>1070</c:v>
                </c:pt>
                <c:pt idx="2">
                  <c:v>733</c:v>
                </c:pt>
                <c:pt idx="3">
                  <c:v>437</c:v>
                </c:pt>
                <c:pt idx="4">
                  <c:v>388</c:v>
                </c:pt>
                <c:pt idx="5">
                  <c:v>465</c:v>
                </c:pt>
              </c:numCache>
            </c:numRef>
          </c:val>
        </c:ser>
        <c:ser>
          <c:idx val="1"/>
          <c:order val="1"/>
          <c:tx>
            <c:strRef>
              <c:f>Лист1!$C$1</c:f>
              <c:strCache>
                <c:ptCount val="1"/>
                <c:pt idx="0">
                  <c:v>I полугодие 2016 года</c:v>
                </c:pt>
              </c:strCache>
            </c:strRef>
          </c:tx>
          <c:spPr>
            <a:solidFill>
              <a:srgbClr val="4BACC6">
                <a:lumMod val="75000"/>
                <a:alpha val="68000"/>
              </a:srgbClr>
            </a:solidFill>
          </c:spPr>
          <c:dLbls>
            <c:dLbl>
              <c:idx val="0"/>
              <c:layout>
                <c:manualLayout>
                  <c:x val="3.2795745010878868E-3"/>
                  <c:y val="-1.7094017094017165E-2"/>
                </c:manualLayout>
              </c:layout>
              <c:dLblPos val="outEnd"/>
              <c:showVal val="1"/>
            </c:dLbl>
            <c:dLbl>
              <c:idx val="1"/>
              <c:layout>
                <c:manualLayout>
                  <c:x val="6.9444818620067496E-3"/>
                  <c:y val="-5.6984543598716806E-3"/>
                </c:manualLayout>
              </c:layout>
              <c:dLblPos val="outEnd"/>
              <c:showVal val="1"/>
            </c:dLbl>
            <c:dLbl>
              <c:idx val="2"/>
              <c:layout>
                <c:manualLayout>
                  <c:x val="6.944444444444758E-3"/>
                  <c:y val="0"/>
                </c:manualLayout>
              </c:layout>
              <c:dLblPos val="outEnd"/>
              <c:showVal val="1"/>
            </c:dLbl>
            <c:dLbl>
              <c:idx val="3"/>
              <c:layout>
                <c:manualLayout>
                  <c:x val="6.944444444444758E-3"/>
                  <c:y val="1.5564202334630461E-2"/>
                </c:manualLayout>
              </c:layout>
              <c:dLblPos val="outEnd"/>
              <c:showVal val="1"/>
            </c:dLbl>
            <c:dLbl>
              <c:idx val="4"/>
              <c:layout>
                <c:manualLayout>
                  <c:x val="6.944444444444758E-3"/>
                  <c:y val="1.0376134889753573E-2"/>
                </c:manualLayout>
              </c:layout>
              <c:dLblPos val="outEnd"/>
              <c:showVal val="1"/>
            </c:dLbl>
            <c:dLbl>
              <c:idx val="5"/>
              <c:layout>
                <c:manualLayout>
                  <c:x val="1.4472840972638917E-3"/>
                  <c:y val="-3.0871141107362857E-4"/>
                </c:manualLayout>
              </c:layout>
              <c:dLblPos val="outEnd"/>
              <c:showVal val="1"/>
            </c:dLbl>
            <c:dLbl>
              <c:idx val="6"/>
              <c:layout>
                <c:manualLayout>
                  <c:x val="6.9444818620068415E-3"/>
                  <c:y val="1.5255593050868661E-2"/>
                </c:manualLayout>
              </c:layout>
              <c:dLblPos val="outEnd"/>
              <c:showVal val="1"/>
            </c:dLbl>
            <c:dLbl>
              <c:idx val="7"/>
              <c:layout>
                <c:manualLayout>
                  <c:x val="5.3531877722127804E-3"/>
                  <c:y val="1.5564000445890383E-2"/>
                </c:manualLayout>
              </c:layout>
              <c:dLblPos val="outEnd"/>
              <c:showVal val="1"/>
            </c:dLbl>
            <c:dLbl>
              <c:idx val="8"/>
              <c:layout>
                <c:manualLayout>
                  <c:x val="6.9444818620067496E-3"/>
                  <c:y val="1.539861571357634E-2"/>
                </c:manualLayout>
              </c:layout>
              <c:dLblPos val="outEnd"/>
              <c:showVal val="1"/>
            </c:dLbl>
            <c:dLbl>
              <c:idx val="9"/>
              <c:layout>
                <c:manualLayout>
                  <c:x val="6.9444818620067496E-3"/>
                  <c:y val="1.5564405800626421E-2"/>
                </c:manualLayout>
              </c:layout>
              <c:dLblPos val="outEnd"/>
              <c:showVal val="1"/>
            </c:dLbl>
            <c:dLbl>
              <c:idx val="10"/>
              <c:layout>
                <c:manualLayout>
                  <c:x val="7.6681239106387179E-3"/>
                  <c:y val="4.7361647361647934E-3"/>
                </c:manualLayout>
              </c:layout>
              <c:dLblPos val="outEnd"/>
              <c:showVal val="1"/>
            </c:dLbl>
            <c:dLbl>
              <c:idx val="11"/>
              <c:layout>
                <c:manualLayout>
                  <c:x val="6.9444818620067496E-3"/>
                  <c:y val="-5.2736651161849769E-3"/>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Лист1!$C$2:$C$7</c:f>
              <c:numCache>
                <c:formatCode>General</c:formatCode>
                <c:ptCount val="6"/>
                <c:pt idx="0">
                  <c:v>791</c:v>
                </c:pt>
                <c:pt idx="1">
                  <c:v>900</c:v>
                </c:pt>
                <c:pt idx="2">
                  <c:v>911</c:v>
                </c:pt>
                <c:pt idx="3">
                  <c:v>578</c:v>
                </c:pt>
                <c:pt idx="4">
                  <c:v>561</c:v>
                </c:pt>
                <c:pt idx="5">
                  <c:v>618</c:v>
                </c:pt>
              </c:numCache>
            </c:numRef>
          </c:val>
        </c:ser>
        <c:dLbls>
          <c:showVal val="1"/>
        </c:dLbls>
        <c:axId val="110205568"/>
        <c:axId val="107909504"/>
      </c:barChart>
      <c:catAx>
        <c:axId val="110205568"/>
        <c:scaling>
          <c:orientation val="minMax"/>
        </c:scaling>
        <c:axPos val="b"/>
        <c:numFmt formatCode="General" sourceLinked="1"/>
        <c:tickLblPos val="nextTo"/>
        <c:txPr>
          <a:bodyPr rot="-5400000" vert="horz"/>
          <a:lstStyle/>
          <a:p>
            <a:pPr>
              <a:defRPr>
                <a:latin typeface="Times New Roman" pitchFamily="18" charset="0"/>
                <a:cs typeface="Times New Roman" pitchFamily="18" charset="0"/>
              </a:defRPr>
            </a:pPr>
            <a:endParaRPr lang="ru-RU"/>
          </a:p>
        </c:txPr>
        <c:crossAx val="107909504"/>
        <c:crosses val="autoZero"/>
        <c:auto val="1"/>
        <c:lblAlgn val="ctr"/>
        <c:lblOffset val="100"/>
      </c:catAx>
      <c:valAx>
        <c:axId val="10790950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10205568"/>
        <c:crosses val="autoZero"/>
        <c:crossBetween val="between"/>
      </c:valAx>
    </c:plotArea>
    <c:legend>
      <c:legendPos val="r"/>
      <c:layout>
        <c:manualLayout>
          <c:xMode val="edge"/>
          <c:yMode val="edge"/>
          <c:x val="0.15415975802402621"/>
          <c:y val="0.89898974892289452"/>
          <c:w val="0.64974336994811965"/>
          <c:h val="0.10101029038036913"/>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pPr>
            <a:r>
              <a:rPr lang="ru-RU" sz="1200"/>
              <a:t>Уровень регистрируемой безработицы, %</a:t>
            </a:r>
          </a:p>
        </c:rich>
      </c:tx>
      <c:layout>
        <c:manualLayout>
          <c:xMode val="edge"/>
          <c:yMode val="edge"/>
          <c:x val="0.22968197879858113"/>
          <c:y val="2.0689655172414684E-2"/>
        </c:manualLayout>
      </c:layout>
      <c:spPr>
        <a:noFill/>
        <a:ln w="25399">
          <a:noFill/>
        </a:ln>
      </c:spPr>
    </c:title>
    <c:view3D>
      <c:rotX val="0"/>
      <c:rotY val="40"/>
      <c:depthPercent val="100"/>
      <c:rAngAx val="1"/>
    </c:view3D>
    <c:plotArea>
      <c:layout>
        <c:manualLayout>
          <c:layoutTarget val="inner"/>
          <c:xMode val="edge"/>
          <c:yMode val="edge"/>
          <c:x val="0.26017331022530327"/>
          <c:y val="0.10603363006924027"/>
          <c:w val="0.51600813329876261"/>
          <c:h val="0.85044510385756678"/>
        </c:manualLayout>
      </c:layout>
      <c:bar3DChart>
        <c:barDir val="bar"/>
        <c:grouping val="clustered"/>
        <c:ser>
          <c:idx val="0"/>
          <c:order val="0"/>
          <c:tx>
            <c:strRef>
              <c:f>Лист1!$B$1</c:f>
              <c:strCache>
                <c:ptCount val="1"/>
                <c:pt idx="0">
                  <c:v>на 1.07.2016г.</c:v>
                </c:pt>
              </c:strCache>
            </c:strRef>
          </c:tx>
          <c:spPr>
            <a:solidFill>
              <a:srgbClr val="8064A2">
                <a:lumMod val="60000"/>
                <a:lumOff val="40000"/>
              </a:srgbClr>
            </a:solidFill>
          </c:spPr>
          <c:dLbls>
            <c:dLbl>
              <c:idx val="0"/>
              <c:layout>
                <c:manualLayout>
                  <c:x val="0"/>
                  <c:y val="7.9129574678536412E-3"/>
                </c:manualLayout>
              </c:layout>
              <c:tx>
                <c:rich>
                  <a:bodyPr/>
                  <a:lstStyle/>
                  <a:p>
                    <a:r>
                      <a:rPr lang="ru-RU"/>
                      <a:t>3,43</a:t>
                    </a:r>
                    <a:endParaRPr lang="en-US"/>
                  </a:p>
                </c:rich>
              </c:tx>
              <c:showVal val="1"/>
            </c:dLbl>
            <c:dLbl>
              <c:idx val="1"/>
              <c:layout>
                <c:manualLayout>
                  <c:x val="0"/>
                  <c:y val="7.9129574678536412E-3"/>
                </c:manualLayout>
              </c:layout>
              <c:tx>
                <c:rich>
                  <a:bodyPr/>
                  <a:lstStyle/>
                  <a:p>
                    <a:r>
                      <a:rPr lang="ru-RU"/>
                      <a:t>4,30</a:t>
                    </a:r>
                    <a:endParaRPr lang="en-US"/>
                  </a:p>
                </c:rich>
              </c:tx>
              <c:showVal val="1"/>
            </c:dLbl>
            <c:dLbl>
              <c:idx val="2"/>
              <c:layout>
                <c:manualLayout>
                  <c:x val="2.3108030040439047E-3"/>
                  <c:y val="1.1869436201780567E-2"/>
                </c:manualLayout>
              </c:layout>
              <c:showVal val="1"/>
            </c:dLbl>
            <c:dLbl>
              <c:idx val="3"/>
              <c:layout>
                <c:manualLayout>
                  <c:x val="0"/>
                  <c:y val="1.1869436201780567E-2"/>
                </c:manualLayout>
              </c:layout>
              <c:showVal val="1"/>
            </c:dLbl>
            <c:dLbl>
              <c:idx val="4"/>
              <c:layout>
                <c:manualLayout>
                  <c:x val="-2.3148148148148147E-3"/>
                  <c:y val="1.1904761904761921E-2"/>
                </c:manualLayout>
              </c:layout>
              <c:showVal val="1"/>
            </c:dLbl>
            <c:dLbl>
              <c:idx val="5"/>
              <c:layout>
                <c:manualLayout>
                  <c:x val="2.3108030040439047E-3"/>
                  <c:y val="7.9129574678536412E-3"/>
                </c:manualLayout>
              </c:layout>
              <c:showVal val="1"/>
            </c:dLbl>
            <c:dLbl>
              <c:idx val="6"/>
              <c:layout>
                <c:manualLayout>
                  <c:x val="2.3108030040439047E-3"/>
                  <c:y val="7.9129574678536412E-3"/>
                </c:manualLayout>
              </c:layout>
              <c:showVal val="1"/>
            </c:dLbl>
            <c:dLbl>
              <c:idx val="7"/>
              <c:layout>
                <c:manualLayout>
                  <c:x val="-4.2364232345580473E-17"/>
                  <c:y val="7.9129574678536412E-3"/>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Лист1!$B$2:$B$9</c:f>
              <c:numCache>
                <c:formatCode>0.00</c:formatCode>
                <c:ptCount val="8"/>
                <c:pt idx="0">
                  <c:v>3.4299999999999997</c:v>
                </c:pt>
                <c:pt idx="1">
                  <c:v>4.3</c:v>
                </c:pt>
                <c:pt idx="2" formatCode="General">
                  <c:v>6.67</c:v>
                </c:pt>
                <c:pt idx="3">
                  <c:v>8.24</c:v>
                </c:pt>
                <c:pt idx="4" formatCode="General">
                  <c:v>0.67000000000000715</c:v>
                </c:pt>
                <c:pt idx="5" formatCode="General">
                  <c:v>6.29</c:v>
                </c:pt>
                <c:pt idx="6">
                  <c:v>2.2000000000000002</c:v>
                </c:pt>
                <c:pt idx="7" formatCode="General">
                  <c:v>1.6400000000000001</c:v>
                </c:pt>
              </c:numCache>
            </c:numRef>
          </c:val>
        </c:ser>
        <c:ser>
          <c:idx val="1"/>
          <c:order val="1"/>
          <c:tx>
            <c:strRef>
              <c:f>Лист1!$C$1</c:f>
              <c:strCache>
                <c:ptCount val="1"/>
                <c:pt idx="0">
                  <c:v>на 1 07.2015 г.</c:v>
                </c:pt>
              </c:strCache>
            </c:strRef>
          </c:tx>
          <c:spPr>
            <a:solidFill>
              <a:srgbClr val="F79646">
                <a:lumMod val="60000"/>
                <a:lumOff val="40000"/>
              </a:srgbClr>
            </a:solidFill>
          </c:spPr>
          <c:dLbls>
            <c:dLbl>
              <c:idx val="0"/>
              <c:layout>
                <c:manualLayout>
                  <c:x val="6.9324090121318143E-3"/>
                  <c:y val="-8.1282272950302572E-3"/>
                </c:manualLayout>
              </c:layout>
              <c:tx>
                <c:rich>
                  <a:bodyPr/>
                  <a:lstStyle/>
                  <a:p>
                    <a:r>
                      <a:rPr lang="ru-RU"/>
                      <a:t>2,69</a:t>
                    </a:r>
                    <a:endParaRPr lang="en-US"/>
                  </a:p>
                </c:rich>
              </c:tx>
              <c:showVal val="1"/>
            </c:dLbl>
            <c:dLbl>
              <c:idx val="1"/>
              <c:layout>
                <c:manualLayout>
                  <c:x val="2.3108030040439047E-3"/>
                  <c:y val="-1.2084592145015121E-2"/>
                </c:manualLayout>
              </c:layout>
              <c:showVal val="1"/>
            </c:dLbl>
            <c:dLbl>
              <c:idx val="2"/>
              <c:layout>
                <c:manualLayout>
                  <c:x val="2.3108030040439047E-3"/>
                  <c:y val="-8.0562629967990268E-3"/>
                </c:manualLayout>
              </c:layout>
              <c:showVal val="1"/>
            </c:dLbl>
            <c:dLbl>
              <c:idx val="3"/>
              <c:layout>
                <c:manualLayout>
                  <c:x val="6.9324090121318143E-3"/>
                  <c:y val="-1.2084706028957063E-2"/>
                </c:manualLayout>
              </c:layout>
              <c:showVal val="1"/>
            </c:dLbl>
            <c:dLbl>
              <c:idx val="4"/>
              <c:layout>
                <c:manualLayout>
                  <c:x val="0"/>
                  <c:y val="-8.0563947633434246E-3"/>
                </c:manualLayout>
              </c:layout>
              <c:showVal val="1"/>
            </c:dLbl>
            <c:dLbl>
              <c:idx val="5"/>
              <c:layout>
                <c:manualLayout>
                  <c:x val="4.6216060080878103E-3"/>
                  <c:y val="-1.1869436201780551E-2"/>
                </c:manualLayout>
              </c:layout>
              <c:showVal val="1"/>
            </c:dLbl>
            <c:dLbl>
              <c:idx val="6"/>
              <c:layout>
                <c:manualLayout>
                  <c:x val="2.3108030040439047E-3"/>
                  <c:y val="-8.0563947633434246E-3"/>
                </c:manualLayout>
              </c:layout>
              <c:showVal val="1"/>
            </c:dLbl>
            <c:dLbl>
              <c:idx val="7"/>
              <c:layout>
                <c:manualLayout>
                  <c:x val="-1.2008897501330541E-5"/>
                  <c:y val="-7.7566588164394894E-3"/>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Лист1!$C$2:$C$9</c:f>
              <c:numCache>
                <c:formatCode>General</c:formatCode>
                <c:ptCount val="8"/>
                <c:pt idx="0" formatCode="0.00">
                  <c:v>2.69</c:v>
                </c:pt>
                <c:pt idx="1">
                  <c:v>3.82</c:v>
                </c:pt>
                <c:pt idx="2">
                  <c:v>5.63</c:v>
                </c:pt>
                <c:pt idx="3" formatCode="0.00">
                  <c:v>6.9700000000000024</c:v>
                </c:pt>
                <c:pt idx="4" formatCode="0.00">
                  <c:v>0.8</c:v>
                </c:pt>
                <c:pt idx="5">
                  <c:v>4.05</c:v>
                </c:pt>
                <c:pt idx="6">
                  <c:v>1.6500000000000001</c:v>
                </c:pt>
                <c:pt idx="7">
                  <c:v>1.3900000000000001</c:v>
                </c:pt>
              </c:numCache>
            </c:numRef>
          </c:val>
        </c:ser>
        <c:shape val="cylinder"/>
        <c:axId val="110323584"/>
        <c:axId val="110325120"/>
        <c:axId val="0"/>
      </c:bar3DChart>
      <c:catAx>
        <c:axId val="110323584"/>
        <c:scaling>
          <c:orientation val="minMax"/>
        </c:scaling>
        <c:axPos val="l"/>
        <c:numFmt formatCode="General" sourceLinked="1"/>
        <c:tickLblPos val="nextTo"/>
        <c:txPr>
          <a:bodyPr/>
          <a:lstStyle/>
          <a:p>
            <a:pPr>
              <a:defRPr b="1"/>
            </a:pPr>
            <a:endParaRPr lang="ru-RU"/>
          </a:p>
        </c:txPr>
        <c:crossAx val="110325120"/>
        <c:crosses val="autoZero"/>
        <c:auto val="1"/>
        <c:lblAlgn val="ctr"/>
        <c:lblOffset val="100"/>
      </c:catAx>
      <c:valAx>
        <c:axId val="110325120"/>
        <c:scaling>
          <c:orientation val="minMax"/>
        </c:scaling>
        <c:delete val="1"/>
        <c:axPos val="b"/>
        <c:numFmt formatCode="0.00" sourceLinked="1"/>
        <c:tickLblPos val="none"/>
        <c:crossAx val="110323584"/>
        <c:crosses val="autoZero"/>
        <c:crossBetween val="between"/>
      </c:valAx>
      <c:spPr>
        <a:noFill/>
        <a:ln w="25399">
          <a:noFill/>
        </a:ln>
      </c:spPr>
    </c:plotArea>
    <c:legend>
      <c:legendPos val="r"/>
      <c:layout>
        <c:manualLayout>
          <c:xMode val="edge"/>
          <c:yMode val="edge"/>
          <c:x val="0.28064411359325331"/>
          <c:y val="0.9203259244493176"/>
          <c:w val="0.41900244271892356"/>
          <c:h val="6.5153659590019619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sz="1100"/>
            </a:pPr>
            <a:r>
              <a:rPr lang="ru-RU" sz="1100"/>
              <a:t>Динамика численности вакантных рабочих мест (должнотей) и безработных граждан, зарегистрированных в службе занятости</a:t>
            </a:r>
          </a:p>
        </c:rich>
      </c:tx>
      <c:layout>
        <c:manualLayout>
          <c:xMode val="edge"/>
          <c:yMode val="edge"/>
          <c:x val="0.12574078546930531"/>
          <c:y val="4.0874735790769445E-2"/>
        </c:manualLayout>
      </c:layout>
    </c:title>
    <c:plotArea>
      <c:layout>
        <c:manualLayout>
          <c:layoutTarget val="inner"/>
          <c:xMode val="edge"/>
          <c:yMode val="edge"/>
          <c:x val="3.7453067633408096E-2"/>
          <c:y val="0.31300387062512131"/>
          <c:w val="0.96182757214000514"/>
          <c:h val="0.31619432784909984"/>
        </c:manualLayout>
      </c:layout>
      <c:lineChart>
        <c:grouping val="standard"/>
        <c:ser>
          <c:idx val="0"/>
          <c:order val="0"/>
          <c:tx>
            <c:strRef>
              <c:f>Лист1!$B$1</c:f>
              <c:strCache>
                <c:ptCount val="1"/>
                <c:pt idx="0">
                  <c:v>Количество граждан состоявших на учете в службе занятости</c:v>
                </c:pt>
              </c:strCache>
            </c:strRef>
          </c:tx>
          <c:spPr>
            <a:ln>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c:spPr>
          <c:marker>
            <c:spPr>
              <a:ln>
                <a:gradFill>
                  <a:gsLst>
                    <a:gs pos="0">
                      <a:srgbClr val="8488C4"/>
                    </a:gs>
                    <a:gs pos="53000">
                      <a:srgbClr val="D4DEFF"/>
                    </a:gs>
                    <a:gs pos="83000">
                      <a:srgbClr val="D4DEFF"/>
                    </a:gs>
                    <a:gs pos="100000">
                      <a:srgbClr val="96AB94"/>
                    </a:gs>
                  </a:gsLst>
                  <a:lin ang="5400000" scaled="0"/>
                </a:gradFill>
              </a:ln>
            </c:spPr>
          </c:marker>
          <c:dLbls>
            <c:txPr>
              <a:bodyPr/>
              <a:lstStyle/>
              <a:p>
                <a:pPr>
                  <a:defRPr sz="950"/>
                </a:pPr>
                <a:endParaRPr lang="ru-RU"/>
              </a:p>
            </c:txPr>
            <c:dLblPos val="t"/>
            <c:showVal val="1"/>
          </c:dLbls>
          <c:cat>
            <c:numRef>
              <c:f>Лист1!$A$2:$A$8</c:f>
              <c:numCache>
                <c:formatCode>dd/mm/yyyy</c:formatCode>
                <c:ptCount val="7"/>
                <c:pt idx="0">
                  <c:v>42370</c:v>
                </c:pt>
                <c:pt idx="1">
                  <c:v>42401</c:v>
                </c:pt>
                <c:pt idx="2">
                  <c:v>42430</c:v>
                </c:pt>
                <c:pt idx="3">
                  <c:v>42461</c:v>
                </c:pt>
                <c:pt idx="4">
                  <c:v>42491</c:v>
                </c:pt>
                <c:pt idx="5">
                  <c:v>42522</c:v>
                </c:pt>
                <c:pt idx="6">
                  <c:v>42552</c:v>
                </c:pt>
              </c:numCache>
            </c:numRef>
          </c:cat>
          <c:val>
            <c:numRef>
              <c:f>Лист1!$B$2:$B$8</c:f>
              <c:numCache>
                <c:formatCode>General</c:formatCode>
                <c:ptCount val="7"/>
                <c:pt idx="0">
                  <c:v>3591</c:v>
                </c:pt>
                <c:pt idx="1">
                  <c:v>3969</c:v>
                </c:pt>
                <c:pt idx="2">
                  <c:v>4350</c:v>
                </c:pt>
                <c:pt idx="3">
                  <c:v>4699</c:v>
                </c:pt>
                <c:pt idx="4">
                  <c:v>4662</c:v>
                </c:pt>
                <c:pt idx="5">
                  <c:v>4601</c:v>
                </c:pt>
                <c:pt idx="6">
                  <c:v>4591</c:v>
                </c:pt>
              </c:numCache>
            </c:numRef>
          </c:val>
        </c:ser>
        <c:ser>
          <c:idx val="1"/>
          <c:order val="1"/>
          <c:tx>
            <c:strRef>
              <c:f>Лист1!$C$1</c:f>
              <c:strCache>
                <c:ptCount val="1"/>
                <c:pt idx="0">
                  <c:v>Наличие вакансий в базе данных службы занятости</c:v>
                </c:pt>
              </c:strCache>
            </c:strRef>
          </c:tx>
          <c:spPr>
            <a:ln>
              <a:solidFill>
                <a:schemeClr val="accent2">
                  <a:lumMod val="60000"/>
                  <a:lumOff val="40000"/>
                </a:schemeClr>
              </a:solidFill>
            </a:ln>
          </c:spPr>
          <c:marker>
            <c:spPr>
              <a:ln>
                <a:solidFill>
                  <a:schemeClr val="accent2">
                    <a:lumMod val="60000"/>
                    <a:lumOff val="40000"/>
                  </a:schemeClr>
                </a:solidFill>
                <a:bevel/>
              </a:ln>
            </c:spPr>
          </c:marker>
          <c:dLbls>
            <c:txPr>
              <a:bodyPr/>
              <a:lstStyle/>
              <a:p>
                <a:pPr>
                  <a:defRPr sz="950"/>
                </a:pPr>
                <a:endParaRPr lang="ru-RU"/>
              </a:p>
            </c:txPr>
            <c:dLblPos val="b"/>
            <c:showVal val="1"/>
          </c:dLbls>
          <c:cat>
            <c:numRef>
              <c:f>Лист1!$A$2:$A$8</c:f>
              <c:numCache>
                <c:formatCode>dd/mm/yyyy</c:formatCode>
                <c:ptCount val="7"/>
                <c:pt idx="0">
                  <c:v>42370</c:v>
                </c:pt>
                <c:pt idx="1">
                  <c:v>42401</c:v>
                </c:pt>
                <c:pt idx="2">
                  <c:v>42430</c:v>
                </c:pt>
                <c:pt idx="3">
                  <c:v>42461</c:v>
                </c:pt>
                <c:pt idx="4">
                  <c:v>42491</c:v>
                </c:pt>
                <c:pt idx="5">
                  <c:v>42522</c:v>
                </c:pt>
                <c:pt idx="6">
                  <c:v>42552</c:v>
                </c:pt>
              </c:numCache>
            </c:numRef>
          </c:cat>
          <c:val>
            <c:numRef>
              <c:f>Лист1!$C$2:$C$8</c:f>
              <c:numCache>
                <c:formatCode>General</c:formatCode>
                <c:ptCount val="7"/>
                <c:pt idx="0">
                  <c:v>908</c:v>
                </c:pt>
                <c:pt idx="1">
                  <c:v>791</c:v>
                </c:pt>
                <c:pt idx="2">
                  <c:v>736</c:v>
                </c:pt>
                <c:pt idx="3">
                  <c:v>748</c:v>
                </c:pt>
                <c:pt idx="4">
                  <c:v>809</c:v>
                </c:pt>
                <c:pt idx="5">
                  <c:v>821</c:v>
                </c:pt>
                <c:pt idx="6">
                  <c:v>957</c:v>
                </c:pt>
              </c:numCache>
            </c:numRef>
          </c:val>
        </c:ser>
        <c:marker val="1"/>
        <c:axId val="110629632"/>
        <c:axId val="110631168"/>
      </c:lineChart>
      <c:dateAx>
        <c:axId val="110629632"/>
        <c:scaling>
          <c:orientation val="minMax"/>
        </c:scaling>
        <c:axPos val="b"/>
        <c:numFmt formatCode="dd/mm/yyyy" sourceLinked="1"/>
        <c:tickLblPos val="nextTo"/>
        <c:txPr>
          <a:bodyPr/>
          <a:lstStyle/>
          <a:p>
            <a:pPr>
              <a:defRPr sz="950"/>
            </a:pPr>
            <a:endParaRPr lang="ru-RU"/>
          </a:p>
        </c:txPr>
        <c:crossAx val="110631168"/>
        <c:crosses val="autoZero"/>
        <c:auto val="1"/>
        <c:lblOffset val="100"/>
        <c:baseTimeUnit val="months"/>
      </c:dateAx>
      <c:valAx>
        <c:axId val="110631168"/>
        <c:scaling>
          <c:orientation val="minMax"/>
        </c:scaling>
        <c:delete val="1"/>
        <c:axPos val="l"/>
        <c:numFmt formatCode="General" sourceLinked="1"/>
        <c:tickLblPos val="none"/>
        <c:crossAx val="110629632"/>
        <c:crosses val="autoZero"/>
        <c:crossBetween val="between"/>
      </c:valAx>
    </c:plotArea>
    <c:legend>
      <c:legendPos val="b"/>
      <c:layout>
        <c:manualLayout>
          <c:xMode val="edge"/>
          <c:yMode val="edge"/>
          <c:x val="3.9576671014282722E-2"/>
          <c:y val="0.8058686195694188"/>
          <c:w val="0.92424066783320002"/>
          <c:h val="0.19413138043059341"/>
        </c:manualLayout>
      </c:layout>
      <c:txPr>
        <a:bodyPr/>
        <a:lstStyle/>
        <a:p>
          <a:pPr>
            <a:defRPr sz="105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915">
                <a:solidFill>
                  <a:srgbClr val="FF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Динамика инвестиций в основной капитал</a:t>
            </a:r>
          </a:p>
          <a:p>
            <a:pPr>
              <a:defRPr sz="915">
                <a:solidFill>
                  <a:srgbClr val="FF0000"/>
                </a:solidFill>
                <a:latin typeface="Times New Roman" pitchFamily="18" charset="0"/>
                <a:cs typeface="Times New Roman" pitchFamily="18" charset="0"/>
              </a:defRPr>
            </a:pPr>
            <a:r>
              <a:rPr lang="ru-RU" sz="1048">
                <a:solidFill>
                  <a:sysClr val="windowText" lastClr="000000"/>
                </a:solidFill>
                <a:latin typeface="Times New Roman" pitchFamily="18" charset="0"/>
                <a:cs typeface="Times New Roman" pitchFamily="18" charset="0"/>
              </a:rPr>
              <a:t> </a:t>
            </a:r>
            <a:r>
              <a:rPr lang="ru-RU" sz="873" b="0">
                <a:solidFill>
                  <a:sysClr val="windowText" lastClr="000000"/>
                </a:solidFill>
                <a:latin typeface="Times New Roman" pitchFamily="18" charset="0"/>
                <a:cs typeface="Times New Roman" pitchFamily="18" charset="0"/>
              </a:rPr>
              <a:t>(в части новых и приобретенных по импорту основных средств) по организациям всех форм собственности (кроме субъектов предпринимательства)</a:t>
            </a:r>
            <a:endParaRPr lang="ru-RU" sz="1000">
              <a:solidFill>
                <a:sysClr val="windowText" lastClr="000000"/>
              </a:solidFill>
              <a:latin typeface="Times New Roman" pitchFamily="18" charset="0"/>
              <a:cs typeface="Times New Roman" pitchFamily="18" charset="0"/>
            </a:endParaRPr>
          </a:p>
        </c:rich>
      </c:tx>
      <c:layout>
        <c:manualLayout>
          <c:xMode val="edge"/>
          <c:yMode val="edge"/>
          <c:x val="0.18287619585011194"/>
          <c:y val="3.1745709205704152E-2"/>
        </c:manualLayout>
      </c:layout>
    </c:title>
    <c:plotArea>
      <c:layout>
        <c:manualLayout>
          <c:layoutTarget val="inner"/>
          <c:xMode val="edge"/>
          <c:yMode val="edge"/>
          <c:x val="0.27305555555555555"/>
          <c:y val="0.30281660679369554"/>
          <c:w val="0.6700881620566661"/>
          <c:h val="0.33264289936793229"/>
        </c:manualLayout>
      </c:layout>
      <c:barChart>
        <c:barDir val="col"/>
        <c:grouping val="clustered"/>
        <c:ser>
          <c:idx val="0"/>
          <c:order val="0"/>
          <c:tx>
            <c:strRef>
              <c:f>Лист1!$B$1</c:f>
              <c:strCache>
                <c:ptCount val="1"/>
                <c:pt idx="0">
                  <c:v>Инвестиции в основной капитал, млн. руб.</c:v>
                </c:pt>
              </c:strCache>
            </c:strRef>
          </c:tx>
          <c:dLbls>
            <c:dLbl>
              <c:idx val="0"/>
              <c:layout>
                <c:manualLayout>
                  <c:x val="0"/>
                  <c:y val="1.195814648729447E-2"/>
                </c:manualLayout>
              </c:layout>
              <c:tx>
                <c:rich>
                  <a:bodyPr/>
                  <a:lstStyle/>
                  <a:p>
                    <a:r>
                      <a:rPr lang="ru-RU" sz="786" b="1">
                        <a:latin typeface="Times New Roman" pitchFamily="18" charset="0"/>
                        <a:cs typeface="Times New Roman" pitchFamily="18" charset="0"/>
                      </a:rPr>
                      <a:t>-36,3*</a:t>
                    </a:r>
                    <a:endParaRPr lang="en-US" sz="900" b="1">
                      <a:latin typeface="Times New Roman" pitchFamily="18" charset="0"/>
                      <a:cs typeface="Times New Roman" pitchFamily="18" charset="0"/>
                    </a:endParaRPr>
                  </a:p>
                </c:rich>
              </c:tx>
              <c:dLblPos val="outEnd"/>
            </c:dLbl>
            <c:dLbl>
              <c:idx val="1"/>
              <c:layout>
                <c:manualLayout>
                  <c:x val="2.136752136752137E-3"/>
                  <c:y val="7.2379741769947013E-3"/>
                </c:manualLayout>
              </c:layout>
              <c:tx>
                <c:rich>
                  <a:bodyPr/>
                  <a:lstStyle/>
                  <a:p>
                    <a:r>
                      <a:rPr lang="ru-RU" sz="786" b="1">
                        <a:latin typeface="Times New Roman" pitchFamily="18" charset="0"/>
                        <a:cs typeface="Times New Roman" pitchFamily="18" charset="0"/>
                      </a:rPr>
                      <a:t>-14,3*</a:t>
                    </a:r>
                    <a:endParaRPr lang="en-US" sz="900" b="1">
                      <a:latin typeface="Times New Roman" pitchFamily="18" charset="0"/>
                      <a:cs typeface="Times New Roman" pitchFamily="18" charset="0"/>
                    </a:endParaRPr>
                  </a:p>
                </c:rich>
              </c:tx>
              <c:dLblPos val="outEnd"/>
            </c:dLbl>
            <c:txPr>
              <a:bodyPr/>
              <a:lstStyle/>
              <a:p>
                <a:pPr>
                  <a:defRPr sz="786" b="1">
                    <a:latin typeface="Times New Roman" pitchFamily="18" charset="0"/>
                    <a:cs typeface="Times New Roman" pitchFamily="18" charset="0"/>
                  </a:defRPr>
                </a:pPr>
                <a:endParaRPr lang="ru-RU"/>
              </a:p>
            </c:txPr>
            <c:dLblPos val="outEnd"/>
            <c:showVal val="1"/>
          </c:dLbls>
          <c:cat>
            <c:strRef>
              <c:f>Лист1!$A$2:$A$3</c:f>
              <c:strCache>
                <c:ptCount val="2"/>
                <c:pt idx="0">
                  <c:v>январь-июнь 2015 года</c:v>
                </c:pt>
                <c:pt idx="1">
                  <c:v>январь-июнь 2016 года</c:v>
                </c:pt>
              </c:strCache>
            </c:strRef>
          </c:cat>
          <c:val>
            <c:numRef>
              <c:f>Лист1!$B$2:$B$3</c:f>
              <c:numCache>
                <c:formatCode>#,##0.0</c:formatCode>
                <c:ptCount val="2"/>
                <c:pt idx="0">
                  <c:v>400.7</c:v>
                </c:pt>
                <c:pt idx="1">
                  <c:v>371.3</c:v>
                </c:pt>
              </c:numCache>
            </c:numRef>
          </c:val>
        </c:ser>
        <c:dLbls>
          <c:showVal val="1"/>
        </c:dLbls>
        <c:axId val="97197056"/>
        <c:axId val="97547008"/>
      </c:barChart>
      <c:catAx>
        <c:axId val="97197056"/>
        <c:scaling>
          <c:orientation val="minMax"/>
        </c:scaling>
        <c:axPos val="b"/>
        <c:numFmt formatCode="General" sourceLinked="1"/>
        <c:tickLblPos val="nextTo"/>
        <c:crossAx val="97547008"/>
        <c:crosses val="autoZero"/>
        <c:auto val="1"/>
        <c:lblAlgn val="ctr"/>
        <c:lblOffset val="100"/>
      </c:catAx>
      <c:valAx>
        <c:axId val="97547008"/>
        <c:scaling>
          <c:orientation val="minMax"/>
          <c:min val="100"/>
        </c:scaling>
        <c:axPos val="l"/>
        <c:title>
          <c:tx>
            <c:rich>
              <a:bodyPr rot="0" vert="horz"/>
              <a:lstStyle/>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темп прироста (спада),%</a:t>
                </a:r>
              </a:p>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(в сопоставимых ценах) </a:t>
                </a:r>
              </a:p>
            </c:rich>
          </c:tx>
          <c:layout>
            <c:manualLayout>
              <c:xMode val="edge"/>
              <c:yMode val="edge"/>
              <c:x val="1.4269221289678281E-3"/>
              <c:y val="0.30121224484245501"/>
            </c:manualLayout>
          </c:layout>
        </c:title>
        <c:numFmt formatCode="#,##0" sourceLinked="0"/>
        <c:tickLblPos val="nextTo"/>
        <c:txPr>
          <a:bodyPr/>
          <a:lstStyle/>
          <a:p>
            <a:pPr>
              <a:defRPr b="1">
                <a:latin typeface="Times New Roman" pitchFamily="18" charset="0"/>
                <a:cs typeface="Times New Roman" pitchFamily="18" charset="0"/>
              </a:defRPr>
            </a:pPr>
            <a:endParaRPr lang="ru-RU"/>
          </a:p>
        </c:txPr>
        <c:crossAx val="97197056"/>
        <c:crosses val="autoZero"/>
        <c:crossBetween val="between"/>
        <c:majorUnit val="100"/>
        <c:minorUnit val="50"/>
      </c:valAx>
      <c:dTable>
        <c:showHorzBorder val="1"/>
        <c:showVertBorder val="1"/>
        <c:showOutline val="1"/>
        <c:txPr>
          <a:bodyPr/>
          <a:lstStyle/>
          <a:p>
            <a:pPr rtl="0">
              <a:defRPr sz="85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a:pPr>
            <a:r>
              <a:rPr lang="ru-RU" sz="1100"/>
              <a:t>Отраслевая структура инвестиций в основной капитал, млн. руб.</a:t>
            </a:r>
          </a:p>
        </c:rich>
      </c:tx>
      <c:layout>
        <c:manualLayout>
          <c:xMode val="edge"/>
          <c:yMode val="edge"/>
          <c:x val="0.23032410608730591"/>
          <c:y val="3.017960254968129E-2"/>
        </c:manualLayout>
      </c:layout>
      <c:spPr>
        <a:noFill/>
        <a:ln w="24876">
          <a:noFill/>
        </a:ln>
      </c:spPr>
    </c:title>
    <c:plotArea>
      <c:layout>
        <c:manualLayout>
          <c:layoutTarget val="inner"/>
          <c:xMode val="edge"/>
          <c:yMode val="edge"/>
          <c:x val="9.1226529376135707E-2"/>
          <c:y val="9.9067231980617843E-2"/>
          <c:w val="0.87885897407302749"/>
          <c:h val="0.45001633537067387"/>
        </c:manualLayout>
      </c:layout>
      <c:barChart>
        <c:barDir val="col"/>
        <c:grouping val="clustered"/>
        <c:ser>
          <c:idx val="0"/>
          <c:order val="0"/>
          <c:tx>
            <c:strRef>
              <c:f>Лист1!$B$1</c:f>
              <c:strCache>
                <c:ptCount val="1"/>
                <c:pt idx="0">
                  <c:v>январь-июнь 2015 года</c:v>
                </c:pt>
              </c:strCache>
            </c:strRef>
          </c:tx>
          <c:spPr>
            <a:solidFill>
              <a:schemeClr val="accent6">
                <a:lumMod val="75000"/>
              </a:schemeClr>
            </a:solidFill>
          </c:spPr>
          <c:dLbls>
            <c:dLbl>
              <c:idx val="0"/>
              <c:layout>
                <c:manualLayout>
                  <c:x val="-4.2735042735042739E-3"/>
                  <c:y val="0"/>
                </c:manualLayout>
              </c:layout>
              <c:tx>
                <c:rich>
                  <a:bodyPr/>
                  <a:lstStyle/>
                  <a:p>
                    <a:r>
                      <a:rPr lang="ru-RU" b="1"/>
                      <a:t>37,7*</a:t>
                    </a:r>
                    <a:endParaRPr lang="en-US" b="1"/>
                  </a:p>
                </c:rich>
              </c:tx>
              <c:dLblPos val="outEnd"/>
              <c:showVal val="1"/>
            </c:dLbl>
            <c:dLbl>
              <c:idx val="1"/>
              <c:layout>
                <c:manualLayout>
                  <c:x val="-6.4102564102564447E-3"/>
                  <c:y val="1.1250481801663017E-2"/>
                </c:manualLayout>
              </c:layout>
              <c:tx>
                <c:rich>
                  <a:bodyPr/>
                  <a:lstStyle/>
                  <a:p>
                    <a:r>
                      <a:rPr lang="ru-RU" b="1"/>
                      <a:t>18,2*</a:t>
                    </a:r>
                    <a:endParaRPr lang="en-US" b="1"/>
                  </a:p>
                </c:rich>
              </c:tx>
              <c:dLblPos val="outEnd"/>
              <c:showVal val="1"/>
            </c:dLbl>
            <c:dLbl>
              <c:idx val="2"/>
              <c:layout>
                <c:manualLayout>
                  <c:x val="0"/>
                  <c:y val="-4.2060988433229134E-3"/>
                </c:manualLayout>
              </c:layout>
              <c:tx>
                <c:rich>
                  <a:bodyPr/>
                  <a:lstStyle/>
                  <a:p>
                    <a:r>
                      <a:rPr lang="ru-RU" b="1"/>
                      <a:t>4,0*</a:t>
                    </a:r>
                    <a:endParaRPr lang="en-US" b="1"/>
                  </a:p>
                </c:rich>
              </c:tx>
              <c:dLblPos val="outEnd"/>
              <c:showVal val="1"/>
            </c:dLbl>
            <c:dLbl>
              <c:idx val="3"/>
              <c:layout>
                <c:manualLayout>
                  <c:x val="-8.5470085470085496E-3"/>
                  <c:y val="1.1250481801663017E-2"/>
                </c:manualLayout>
              </c:layout>
              <c:tx>
                <c:rich>
                  <a:bodyPr/>
                  <a:lstStyle/>
                  <a:p>
                    <a:r>
                      <a:rPr lang="ru-RU" b="1"/>
                      <a:t>6,7*</a:t>
                    </a:r>
                    <a:endParaRPr lang="en-US" b="1"/>
                  </a:p>
                </c:rich>
              </c:tx>
              <c:dLblPos val="outEnd"/>
              <c:showVal val="1"/>
            </c:dLbl>
            <c:dLbl>
              <c:idx val="4"/>
              <c:layout>
                <c:manualLayout>
                  <c:x val="-6.4102564102564447E-3"/>
                  <c:y val="4.2060826312794834E-3"/>
                </c:manualLayout>
              </c:layout>
              <c:tx>
                <c:rich>
                  <a:bodyPr/>
                  <a:lstStyle/>
                  <a:p>
                    <a:r>
                      <a:rPr lang="ru-RU" b="1"/>
                      <a:t>1,0*</a:t>
                    </a:r>
                    <a:endParaRPr lang="en-US" b="1"/>
                  </a:p>
                </c:rich>
              </c:tx>
              <c:dLblPos val="outEnd"/>
              <c:showVal val="1"/>
            </c:dLbl>
            <c:dLbl>
              <c:idx val="5"/>
              <c:layout>
                <c:manualLayout>
                  <c:x val="-6.4102564102564534E-3"/>
                  <c:y val="1.2618296529968416E-2"/>
                </c:manualLayout>
              </c:layout>
              <c:tx>
                <c:rich>
                  <a:bodyPr/>
                  <a:lstStyle/>
                  <a:p>
                    <a:r>
                      <a:rPr lang="ru-RU" b="1"/>
                      <a:t>10,3*</a:t>
                    </a:r>
                    <a:endParaRPr lang="en-US" b="1"/>
                  </a:p>
                </c:rich>
              </c:tx>
              <c:dLblPos val="outEnd"/>
              <c:showVal val="1"/>
            </c:dLbl>
            <c:dLbl>
              <c:idx val="6"/>
              <c:layout>
                <c:manualLayout>
                  <c:x val="-1.68248199744265E-7"/>
                  <c:y val="0"/>
                </c:manualLayout>
              </c:layout>
              <c:tx>
                <c:rich>
                  <a:bodyPr/>
                  <a:lstStyle/>
                  <a:p>
                    <a:r>
                      <a:rPr lang="ru-RU" b="1"/>
                      <a:t>0,6*</a:t>
                    </a:r>
                    <a:endParaRPr lang="en-US" b="1"/>
                  </a:p>
                </c:rich>
              </c:tx>
              <c:dLblPos val="outEnd"/>
              <c:showVal val="1"/>
            </c:dLbl>
            <c:dLbl>
              <c:idx val="7"/>
              <c:layout>
                <c:manualLayout>
                  <c:x val="-6.4102564102564534E-3"/>
                  <c:y val="1.6824395373291275E-2"/>
                </c:manualLayout>
              </c:layout>
              <c:tx>
                <c:rich>
                  <a:bodyPr/>
                  <a:lstStyle/>
                  <a:p>
                    <a:r>
                      <a:rPr lang="ru-RU" b="1"/>
                      <a:t>1,5*</a:t>
                    </a:r>
                    <a:endParaRPr lang="en-US" b="1"/>
                  </a:p>
                </c:rich>
              </c:tx>
              <c:dLblPos val="outEnd"/>
              <c:showVal val="1"/>
            </c:dLbl>
            <c:dLbl>
              <c:idx val="8"/>
              <c:layout>
                <c:manualLayout>
                  <c:x val="0"/>
                  <c:y val="2.1030494216614092E-2"/>
                </c:manualLayout>
              </c:layout>
              <c:tx>
                <c:rich>
                  <a:bodyPr/>
                  <a:lstStyle/>
                  <a:p>
                    <a:r>
                      <a:rPr lang="ru-RU" b="1"/>
                      <a:t>3,2*</a:t>
                    </a:r>
                    <a:endParaRPr lang="en-US" b="1"/>
                  </a:p>
                </c:rich>
              </c:tx>
              <c:dLblPos val="outEnd"/>
              <c:showVal val="1"/>
            </c:dLbl>
            <c:dLbl>
              <c:idx val="9"/>
              <c:layout>
                <c:manualLayout>
                  <c:x val="-8.5470085470085496E-3"/>
                  <c:y val="1.9607843137254981E-2"/>
                </c:manualLayout>
              </c:layout>
              <c:tx>
                <c:rich>
                  <a:bodyPr/>
                  <a:lstStyle/>
                  <a:p>
                    <a:r>
                      <a:rPr lang="ru-RU" b="1"/>
                      <a:t>0,5*</a:t>
                    </a:r>
                    <a:endParaRPr lang="en-US" b="1"/>
                  </a:p>
                </c:rich>
              </c:tx>
              <c:dLblPos val="outEnd"/>
              <c:showVal val="1"/>
            </c:dLbl>
            <c:dLbl>
              <c:idx val="10"/>
              <c:layout>
                <c:manualLayout>
                  <c:x val="2.136752136752137E-3"/>
                  <c:y val="1.4205532000807593E-2"/>
                </c:manualLayout>
              </c:layout>
              <c:tx>
                <c:rich>
                  <a:bodyPr/>
                  <a:lstStyle/>
                  <a:p>
                    <a:r>
                      <a:rPr lang="ru-RU" b="1"/>
                      <a:t>13,3*</a:t>
                    </a:r>
                    <a:endParaRPr lang="en-US" b="1"/>
                  </a:p>
                </c:rich>
              </c:tx>
              <c:dLblPos val="outEnd"/>
              <c:showVal val="1"/>
            </c:dLbl>
            <c:txPr>
              <a:bodyPr/>
              <a:lstStyle/>
              <a:p>
                <a:pPr>
                  <a:defRPr b="1"/>
                </a:pPr>
                <a:endParaRPr lang="ru-RU"/>
              </a:p>
            </c:txPr>
            <c:dLblPos val="outEnd"/>
            <c:showVal val="1"/>
          </c:dLbls>
          <c:cat>
            <c:strRef>
              <c:f>Лист1!$A$2:$A$12</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строительство</c:v>
                </c:pt>
                <c:pt idx="7">
                  <c:v>Коммунальное хозяйство</c:v>
                </c:pt>
                <c:pt idx="8">
                  <c:v>Здравоохранение и соц.обеспечение</c:v>
                </c:pt>
                <c:pt idx="9">
                  <c:v>Образование</c:v>
                </c:pt>
                <c:pt idx="10">
                  <c:v>Прочие</c:v>
                </c:pt>
              </c:strCache>
            </c:strRef>
          </c:cat>
          <c:val>
            <c:numRef>
              <c:f>Лист1!$B$2:$B$12</c:f>
              <c:numCache>
                <c:formatCode>#,##0.0</c:formatCode>
                <c:ptCount val="11"/>
                <c:pt idx="0">
                  <c:v>151.1</c:v>
                </c:pt>
                <c:pt idx="1">
                  <c:v>73</c:v>
                </c:pt>
                <c:pt idx="2">
                  <c:v>16.100000000000001</c:v>
                </c:pt>
                <c:pt idx="3">
                  <c:v>26.7</c:v>
                </c:pt>
                <c:pt idx="4">
                  <c:v>3.9</c:v>
                </c:pt>
                <c:pt idx="5">
                  <c:v>41.2</c:v>
                </c:pt>
                <c:pt idx="6">
                  <c:v>2.4</c:v>
                </c:pt>
                <c:pt idx="7">
                  <c:v>6.2</c:v>
                </c:pt>
                <c:pt idx="8">
                  <c:v>13</c:v>
                </c:pt>
                <c:pt idx="9">
                  <c:v>1.8</c:v>
                </c:pt>
                <c:pt idx="10">
                  <c:v>65.3</c:v>
                </c:pt>
              </c:numCache>
            </c:numRef>
          </c:val>
        </c:ser>
        <c:ser>
          <c:idx val="1"/>
          <c:order val="1"/>
          <c:tx>
            <c:strRef>
              <c:f>Лист1!$C$1</c:f>
              <c:strCache>
                <c:ptCount val="1"/>
                <c:pt idx="0">
                  <c:v>январь-июнь 2016 года</c:v>
                </c:pt>
              </c:strCache>
            </c:strRef>
          </c:tx>
          <c:spPr>
            <a:solidFill>
              <a:srgbClr val="0070C0"/>
            </a:solidFill>
          </c:spPr>
          <c:dLbls>
            <c:dLbl>
              <c:idx val="0"/>
              <c:tx>
                <c:rich>
                  <a:bodyPr/>
                  <a:lstStyle/>
                  <a:p>
                    <a:pPr>
                      <a:defRPr/>
                    </a:pPr>
                    <a:r>
                      <a:rPr lang="ru-RU" sz="784" b="1"/>
                      <a:t>48,8*</a:t>
                    </a:r>
                    <a:endParaRPr lang="en-US" sz="800" b="1"/>
                  </a:p>
                </c:rich>
              </c:tx>
              <c:spPr>
                <a:noFill/>
                <a:ln w="24876">
                  <a:noFill/>
                </a:ln>
              </c:spPr>
              <c:dLblPos val="outEnd"/>
            </c:dLbl>
            <c:dLbl>
              <c:idx val="1"/>
              <c:layout>
                <c:manualLayout>
                  <c:x val="8.5470085470085496E-3"/>
                  <c:y val="1.6824395373291275E-2"/>
                </c:manualLayout>
              </c:layout>
              <c:tx>
                <c:rich>
                  <a:bodyPr/>
                  <a:lstStyle/>
                  <a:p>
                    <a:pPr>
                      <a:defRPr/>
                    </a:pPr>
                    <a:r>
                      <a:rPr lang="ru-RU" sz="784" b="1"/>
                      <a:t>8,8*</a:t>
                    </a:r>
                    <a:endParaRPr lang="en-US" sz="800" b="1"/>
                  </a:p>
                </c:rich>
              </c:tx>
              <c:spPr>
                <a:noFill/>
                <a:ln w="24876">
                  <a:noFill/>
                </a:ln>
              </c:spPr>
              <c:dLblPos val="outEnd"/>
            </c:dLbl>
            <c:dLbl>
              <c:idx val="2"/>
              <c:layout>
                <c:manualLayout>
                  <c:x val="6.4102564102564534E-3"/>
                  <c:y val="8.4121976866457747E-3"/>
                </c:manualLayout>
              </c:layout>
              <c:tx>
                <c:rich>
                  <a:bodyPr/>
                  <a:lstStyle/>
                  <a:p>
                    <a:pPr>
                      <a:defRPr/>
                    </a:pPr>
                    <a:r>
                      <a:rPr lang="ru-RU" sz="784" b="1"/>
                      <a:t>2,8*</a:t>
                    </a:r>
                    <a:endParaRPr lang="en-US" sz="800" b="1"/>
                  </a:p>
                </c:rich>
              </c:tx>
              <c:spPr>
                <a:noFill/>
                <a:ln w="24876">
                  <a:noFill/>
                </a:ln>
              </c:spPr>
              <c:dLblPos val="outEnd"/>
            </c:dLbl>
            <c:dLbl>
              <c:idx val="3"/>
              <c:layout>
                <c:manualLayout>
                  <c:x val="6.4102564102564534E-3"/>
                  <c:y val="1.2618296529968416E-2"/>
                </c:manualLayout>
              </c:layout>
              <c:tx>
                <c:rich>
                  <a:bodyPr/>
                  <a:lstStyle/>
                  <a:p>
                    <a:pPr>
                      <a:defRPr/>
                    </a:pPr>
                    <a:r>
                      <a:rPr lang="ru-RU" sz="784" b="1"/>
                      <a:t>9,1*</a:t>
                    </a:r>
                    <a:endParaRPr lang="en-US" sz="800" b="1"/>
                  </a:p>
                </c:rich>
              </c:tx>
              <c:spPr>
                <a:noFill/>
                <a:ln w="24876">
                  <a:noFill/>
                </a:ln>
              </c:spPr>
              <c:dLblPos val="outEnd"/>
            </c:dLbl>
            <c:dLbl>
              <c:idx val="4"/>
              <c:layout>
                <c:manualLayout>
                  <c:x val="6.4102564102564534E-3"/>
                  <c:y val="8.4121976866457747E-3"/>
                </c:manualLayout>
              </c:layout>
              <c:tx>
                <c:rich>
                  <a:bodyPr/>
                  <a:lstStyle/>
                  <a:p>
                    <a:pPr>
                      <a:defRPr/>
                    </a:pPr>
                    <a:r>
                      <a:rPr lang="ru-RU" sz="784" b="1"/>
                      <a:t>0,6*</a:t>
                    </a:r>
                    <a:endParaRPr lang="en-US" sz="800" b="1"/>
                  </a:p>
                </c:rich>
              </c:tx>
              <c:spPr>
                <a:noFill/>
                <a:ln w="24876">
                  <a:noFill/>
                </a:ln>
              </c:spPr>
              <c:dLblPos val="outEnd"/>
            </c:dLbl>
            <c:dLbl>
              <c:idx val="5"/>
              <c:layout>
                <c:manualLayout>
                  <c:x val="1.0683760683760785E-2"/>
                  <c:y val="1.6824330525117961E-2"/>
                </c:manualLayout>
              </c:layout>
              <c:tx>
                <c:rich>
                  <a:bodyPr/>
                  <a:lstStyle/>
                  <a:p>
                    <a:pPr>
                      <a:defRPr/>
                    </a:pPr>
                    <a:r>
                      <a:rPr lang="ru-RU" sz="784" b="1"/>
                      <a:t>8,0*</a:t>
                    </a:r>
                    <a:endParaRPr lang="en-US" sz="800" b="1"/>
                  </a:p>
                </c:rich>
              </c:tx>
              <c:spPr>
                <a:noFill/>
                <a:ln w="24876">
                  <a:noFill/>
                </a:ln>
              </c:spPr>
              <c:dLblPos val="outEnd"/>
            </c:dLbl>
            <c:dLbl>
              <c:idx val="6"/>
              <c:layout>
                <c:manualLayout>
                  <c:x val="1.282051282051282E-2"/>
                  <c:y val="1.2618296529968416E-2"/>
                </c:manualLayout>
              </c:layout>
              <c:tx>
                <c:rich>
                  <a:bodyPr/>
                  <a:lstStyle/>
                  <a:p>
                    <a:pPr>
                      <a:defRPr/>
                    </a:pPr>
                    <a:r>
                      <a:rPr lang="ru-RU" sz="784" b="1"/>
                      <a:t>0,5*</a:t>
                    </a:r>
                    <a:endParaRPr lang="en-US" sz="800" b="1"/>
                  </a:p>
                </c:rich>
              </c:tx>
              <c:spPr>
                <a:noFill/>
                <a:ln w="24876">
                  <a:noFill/>
                </a:ln>
              </c:spPr>
              <c:dLblPos val="outEnd"/>
            </c:dLbl>
            <c:dLbl>
              <c:idx val="7"/>
              <c:layout>
                <c:manualLayout>
                  <c:x val="1.0683760683760904E-2"/>
                  <c:y val="8.4121976866457747E-3"/>
                </c:manualLayout>
              </c:layout>
              <c:tx>
                <c:rich>
                  <a:bodyPr/>
                  <a:lstStyle/>
                  <a:p>
                    <a:pPr>
                      <a:defRPr/>
                    </a:pPr>
                    <a:r>
                      <a:rPr lang="ru-RU" sz="784" b="1"/>
                      <a:t>2,5*</a:t>
                    </a:r>
                    <a:endParaRPr lang="en-US" sz="800" b="1"/>
                  </a:p>
                </c:rich>
              </c:tx>
              <c:spPr>
                <a:noFill/>
                <a:ln w="24876">
                  <a:noFill/>
                </a:ln>
              </c:spPr>
              <c:dLblPos val="outEnd"/>
            </c:dLbl>
            <c:dLbl>
              <c:idx val="8"/>
              <c:layout>
                <c:manualLayout>
                  <c:x val="1.0683760683760785E-2"/>
                  <c:y val="-4.662004662004662E-3"/>
                </c:manualLayout>
              </c:layout>
              <c:tx>
                <c:rich>
                  <a:bodyPr/>
                  <a:lstStyle/>
                  <a:p>
                    <a:pPr>
                      <a:defRPr/>
                    </a:pPr>
                    <a:r>
                      <a:rPr lang="ru-RU" sz="784" b="1"/>
                      <a:t>4,0*</a:t>
                    </a:r>
                    <a:endParaRPr lang="en-US" sz="800" b="1"/>
                  </a:p>
                </c:rich>
              </c:tx>
              <c:spPr>
                <a:noFill/>
                <a:ln w="24876">
                  <a:noFill/>
                </a:ln>
              </c:spPr>
              <c:dLblPos val="outEnd"/>
            </c:dLbl>
            <c:dLbl>
              <c:idx val="9"/>
              <c:layout>
                <c:manualLayout>
                  <c:x val="2.136752136752137E-3"/>
                  <c:y val="1.1764705882353189E-2"/>
                </c:manualLayout>
              </c:layout>
              <c:tx>
                <c:rich>
                  <a:bodyPr/>
                  <a:lstStyle/>
                  <a:p>
                    <a:pPr>
                      <a:defRPr/>
                    </a:pPr>
                    <a:r>
                      <a:rPr lang="ru-RU" sz="784" b="1"/>
                      <a:t>2,9*</a:t>
                    </a:r>
                    <a:endParaRPr lang="en-US" sz="800" b="1"/>
                  </a:p>
                </c:rich>
              </c:tx>
              <c:spPr>
                <a:noFill/>
                <a:ln w="24876">
                  <a:noFill/>
                </a:ln>
              </c:spPr>
              <c:dLblPos val="outEnd"/>
            </c:dLbl>
            <c:dLbl>
              <c:idx val="10"/>
              <c:layout>
                <c:manualLayout>
                  <c:x val="1.282051282051282E-2"/>
                  <c:y val="1.1764770662408643E-2"/>
                </c:manualLayout>
              </c:layout>
              <c:tx>
                <c:rich>
                  <a:bodyPr/>
                  <a:lstStyle/>
                  <a:p>
                    <a:pPr>
                      <a:defRPr/>
                    </a:pPr>
                    <a:r>
                      <a:rPr lang="ru-RU" sz="784" b="1"/>
                      <a:t>12,0*</a:t>
                    </a:r>
                    <a:endParaRPr lang="en-US" sz="800" b="1"/>
                  </a:p>
                </c:rich>
              </c:tx>
              <c:spPr>
                <a:noFill/>
                <a:ln w="24876">
                  <a:noFill/>
                </a:ln>
              </c:spPr>
              <c:dLblPos val="outEnd"/>
            </c:dLbl>
            <c:spPr>
              <a:noFill/>
              <a:ln w="24876">
                <a:noFill/>
              </a:ln>
            </c:spPr>
            <c:dLblPos val="outEnd"/>
            <c:showVal val="1"/>
          </c:dLbls>
          <c:cat>
            <c:strRef>
              <c:f>Лист1!$A$2:$A$12</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строительство</c:v>
                </c:pt>
                <c:pt idx="7">
                  <c:v>Коммунальное хозяйство</c:v>
                </c:pt>
                <c:pt idx="8">
                  <c:v>Здравоохранение и соц.обеспечение</c:v>
                </c:pt>
                <c:pt idx="9">
                  <c:v>Образование</c:v>
                </c:pt>
                <c:pt idx="10">
                  <c:v>Прочие</c:v>
                </c:pt>
              </c:strCache>
            </c:strRef>
          </c:cat>
          <c:val>
            <c:numRef>
              <c:f>Лист1!$C$2:$C$12</c:f>
              <c:numCache>
                <c:formatCode>#,##0.0</c:formatCode>
                <c:ptCount val="11"/>
                <c:pt idx="0">
                  <c:v>181.2</c:v>
                </c:pt>
                <c:pt idx="1">
                  <c:v>32.6</c:v>
                </c:pt>
                <c:pt idx="2">
                  <c:v>10.3</c:v>
                </c:pt>
                <c:pt idx="3">
                  <c:v>33.700000000000003</c:v>
                </c:pt>
                <c:pt idx="4">
                  <c:v>2.2999999999999998</c:v>
                </c:pt>
                <c:pt idx="5">
                  <c:v>29.8</c:v>
                </c:pt>
                <c:pt idx="6">
                  <c:v>1.9000000000000001</c:v>
                </c:pt>
                <c:pt idx="7">
                  <c:v>9.5</c:v>
                </c:pt>
                <c:pt idx="8">
                  <c:v>14.7</c:v>
                </c:pt>
                <c:pt idx="9">
                  <c:v>10.6</c:v>
                </c:pt>
                <c:pt idx="10">
                  <c:v>44.6</c:v>
                </c:pt>
              </c:numCache>
            </c:numRef>
          </c:val>
        </c:ser>
        <c:dLbls>
          <c:showVal val="1"/>
        </c:dLbls>
        <c:axId val="97841536"/>
        <c:axId val="97843072"/>
      </c:barChart>
      <c:catAx>
        <c:axId val="97841536"/>
        <c:scaling>
          <c:orientation val="minMax"/>
        </c:scaling>
        <c:axPos val="b"/>
        <c:numFmt formatCode="@" sourceLinked="0"/>
        <c:tickLblPos val="low"/>
        <c:txPr>
          <a:bodyPr rot="5400000" vert="horz" anchor="ctr" anchorCtr="0"/>
          <a:lstStyle/>
          <a:p>
            <a:pPr>
              <a:defRPr b="1"/>
            </a:pPr>
            <a:endParaRPr lang="ru-RU"/>
          </a:p>
        </c:txPr>
        <c:crossAx val="97843072"/>
        <c:crosses val="autoZero"/>
        <c:lblAlgn val="ctr"/>
        <c:lblOffset val="100"/>
      </c:catAx>
      <c:valAx>
        <c:axId val="97843072"/>
        <c:scaling>
          <c:orientation val="minMax"/>
          <c:max val="200"/>
          <c:min val="0"/>
        </c:scaling>
        <c:axPos val="l"/>
        <c:title>
          <c:tx>
            <c:rich>
              <a:bodyPr rot="0" vert="horz"/>
              <a:lstStyle/>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 уд. вес в</a:t>
                </a:r>
              </a:p>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общем объеме инвестиций, % </a:t>
                </a:r>
              </a:p>
            </c:rich>
          </c:tx>
          <c:layout>
            <c:manualLayout>
              <c:xMode val="edge"/>
              <c:yMode val="edge"/>
              <c:x val="0.85711167123941034"/>
              <c:y val="0.15486417856304546"/>
            </c:manualLayout>
          </c:layout>
          <c:spPr>
            <a:noFill/>
            <a:ln w="24876">
              <a:noFill/>
            </a:ln>
          </c:spPr>
        </c:title>
        <c:numFmt formatCode="#,##0" sourceLinked="0"/>
        <c:tickLblPos val="nextTo"/>
        <c:txPr>
          <a:bodyPr/>
          <a:lstStyle/>
          <a:p>
            <a:pPr>
              <a:defRPr b="1"/>
            </a:pPr>
            <a:endParaRPr lang="ru-RU"/>
          </a:p>
        </c:txPr>
        <c:crossAx val="97841536"/>
        <c:crosses val="autoZero"/>
        <c:crossBetween val="between"/>
        <c:majorUnit val="50"/>
      </c:valAx>
    </c:plotArea>
    <c:legend>
      <c:legendPos val="b"/>
      <c:layout>
        <c:manualLayout>
          <c:xMode val="edge"/>
          <c:yMode val="edge"/>
          <c:x val="0.20301113803082352"/>
          <c:y val="0.92574160747389433"/>
          <c:w val="0.51491772663032498"/>
          <c:h val="5.1723041662045784E-2"/>
        </c:manualLayout>
      </c:layout>
      <c:txPr>
        <a:bodyPr/>
        <a:lstStyle/>
        <a:p>
          <a:pPr>
            <a:defRPr sz="900" b="1"/>
          </a:pPr>
          <a:endParaRPr lang="ru-RU"/>
        </a:p>
      </c:txPr>
    </c:legend>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0.00899</cdr:x>
      <cdr:y>0.27342</cdr:y>
    </cdr:from>
    <cdr:to>
      <cdr:x>0.13607</cdr:x>
      <cdr:y>0.57722</cdr:y>
    </cdr:to>
    <cdr:sp macro="" textlink="">
      <cdr:nvSpPr>
        <cdr:cNvPr id="2" name="TextBox 1"/>
        <cdr:cNvSpPr txBox="1"/>
      </cdr:nvSpPr>
      <cdr:spPr>
        <a:xfrm xmlns:a="http://schemas.openxmlformats.org/drawingml/2006/main">
          <a:off x="53340" y="822960"/>
          <a:ext cx="75438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0.01412</cdr:x>
      <cdr:y>0.25316</cdr:y>
    </cdr:from>
    <cdr:to>
      <cdr:x>0.14763</cdr:x>
      <cdr:y>0.72911</cdr:y>
    </cdr:to>
    <cdr:sp macro="" textlink="">
      <cdr:nvSpPr>
        <cdr:cNvPr id="3" name="TextBox 2"/>
        <cdr:cNvSpPr txBox="1"/>
      </cdr:nvSpPr>
      <cdr:spPr>
        <a:xfrm xmlns:a="http://schemas.openxmlformats.org/drawingml/2006/main">
          <a:off x="83820" y="762000"/>
          <a:ext cx="792480" cy="1432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0.2557</cdr:y>
    </cdr:from>
    <cdr:to>
      <cdr:x>0.14249</cdr:x>
      <cdr:y>0.53418</cdr:y>
    </cdr:to>
    <cdr:sp macro="" textlink="">
      <cdr:nvSpPr>
        <cdr:cNvPr id="4" name="TextBox 3"/>
        <cdr:cNvSpPr txBox="1"/>
      </cdr:nvSpPr>
      <cdr:spPr>
        <a:xfrm xmlns:a="http://schemas.openxmlformats.org/drawingml/2006/main">
          <a:off x="0" y="769620"/>
          <a:ext cx="845818" cy="838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a:latin typeface="Times New Roman" pitchFamily="18" charset="0"/>
              <a:cs typeface="Times New Roman" pitchFamily="18" charset="0"/>
            </a:rPr>
            <a:t>*-темп роста</a:t>
          </a:r>
        </a:p>
        <a:p xmlns:a="http://schemas.openxmlformats.org/drawingml/2006/main">
          <a:pPr algn="ctr"/>
          <a:r>
            <a:rPr lang="ru-RU" sz="900" b="1">
              <a:latin typeface="Times New Roman" pitchFamily="18" charset="0"/>
              <a:cs typeface="Times New Roman" pitchFamily="18" charset="0"/>
            </a:rPr>
            <a:t> (спада) к</a:t>
          </a:r>
        </a:p>
        <a:p xmlns:a="http://schemas.openxmlformats.org/drawingml/2006/main">
          <a:pPr algn="ctr"/>
          <a:r>
            <a:rPr lang="ru-RU" sz="900" b="1">
              <a:latin typeface="Times New Roman" pitchFamily="18" charset="0"/>
              <a:cs typeface="Times New Roman" pitchFamily="18" charset="0"/>
            </a:rPr>
            <a:t> предыдущему</a:t>
          </a:r>
        </a:p>
        <a:p xmlns:a="http://schemas.openxmlformats.org/drawingml/2006/main">
          <a:pPr algn="ctr"/>
          <a:r>
            <a:rPr lang="ru-RU" sz="900" b="1">
              <a:latin typeface="Times New Roman" pitchFamily="18" charset="0"/>
              <a:cs typeface="Times New Roman" pitchFamily="18" charset="0"/>
            </a:rPr>
            <a:t> периоду </a:t>
          </a:r>
        </a:p>
        <a:p xmlns:a="http://schemas.openxmlformats.org/drawingml/2006/main">
          <a:pPr algn="ctr"/>
          <a:r>
            <a:rPr lang="ru-RU" sz="900" b="1">
              <a:latin typeface="Times New Roman" pitchFamily="18" charset="0"/>
              <a:cs typeface="Times New Roman" pitchFamily="18" charset="0"/>
            </a:rPr>
            <a:t>2015 года,%</a:t>
          </a:r>
        </a:p>
      </cdr:txBody>
    </cdr:sp>
  </cdr:relSizeAnchor>
</c:userShapes>
</file>

<file path=word/drawings/drawing2.xml><?xml version="1.0" encoding="utf-8"?>
<c:userShapes xmlns:c="http://schemas.openxmlformats.org/drawingml/2006/chart">
  <cdr:relSizeAnchor xmlns:cdr="http://schemas.openxmlformats.org/drawingml/2006/chartDrawing">
    <cdr:from>
      <cdr:x>0.03138</cdr:x>
      <cdr:y>0.47512</cdr:y>
    </cdr:from>
    <cdr:to>
      <cdr:x>0.2933</cdr:x>
      <cdr:y>0.66079</cdr:y>
    </cdr:to>
    <cdr:sp macro="" textlink="">
      <cdr:nvSpPr>
        <cdr:cNvPr id="2" name="TextBox 1"/>
        <cdr:cNvSpPr txBox="1"/>
      </cdr:nvSpPr>
      <cdr:spPr>
        <a:xfrm xmlns:a="http://schemas.openxmlformats.org/drawingml/2006/main">
          <a:off x="193388" y="1316932"/>
          <a:ext cx="1614147" cy="5146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50" b="1">
              <a:latin typeface="Times New Roman" pitchFamily="18" charset="0"/>
              <a:cs typeface="Times New Roman" pitchFamily="18" charset="0"/>
            </a:rPr>
            <a:t>*- Удельный вес в общем объеме инвестиций, %</a:t>
          </a:r>
        </a:p>
      </cdr:txBody>
    </cdr:sp>
  </cdr:relSizeAnchor>
</c:userShapes>
</file>

<file path=word/drawings/drawing3.xml><?xml version="1.0" encoding="utf-8"?>
<c:userShapes xmlns:c="http://schemas.openxmlformats.org/drawingml/2006/chart">
  <cdr:relSizeAnchor xmlns:cdr="http://schemas.openxmlformats.org/drawingml/2006/chartDrawing">
    <cdr:from>
      <cdr:x>0.01898</cdr:x>
      <cdr:y>0.58164</cdr:y>
    </cdr:from>
    <cdr:to>
      <cdr:x>0.26292</cdr:x>
      <cdr:y>0.76731</cdr:y>
    </cdr:to>
    <cdr:sp macro="" textlink="">
      <cdr:nvSpPr>
        <cdr:cNvPr id="2" name="TextBox 1"/>
        <cdr:cNvSpPr txBox="1"/>
      </cdr:nvSpPr>
      <cdr:spPr>
        <a:xfrm xmlns:a="http://schemas.openxmlformats.org/drawingml/2006/main">
          <a:off x="123825" y="1457042"/>
          <a:ext cx="1591598" cy="4651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50" b="1">
              <a:latin typeface="Times New Roman" pitchFamily="18" charset="0"/>
              <a:cs typeface="Times New Roman" pitchFamily="18" charset="0"/>
            </a:rPr>
            <a:t>*- Удельный вес в общем объеме инвестиций, %</a:t>
          </a:r>
        </a:p>
      </cdr:txBody>
    </cdr:sp>
  </cdr:relSizeAnchor>
</c:userShapes>
</file>

<file path=word/drawings/drawing4.xml><?xml version="1.0" encoding="utf-8"?>
<c:userShapes xmlns:c="http://schemas.openxmlformats.org/drawingml/2006/chart">
  <cdr:relSizeAnchor xmlns:cdr="http://schemas.openxmlformats.org/drawingml/2006/chartDrawing">
    <cdr:from>
      <cdr:x>0.13389</cdr:x>
      <cdr:y>0.43506</cdr:y>
    </cdr:from>
    <cdr:to>
      <cdr:x>0.26778</cdr:x>
      <cdr:y>0.74675</cdr:y>
    </cdr:to>
    <cdr:sp macro="" textlink="">
      <cdr:nvSpPr>
        <cdr:cNvPr id="2" name="TextBox 1"/>
        <cdr:cNvSpPr txBox="1"/>
      </cdr:nvSpPr>
      <cdr:spPr>
        <a:xfrm xmlns:a="http://schemas.openxmlformats.org/drawingml/2006/main">
          <a:off x="914400" y="1276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0.08683</cdr:x>
      <cdr:y>0.20573</cdr:y>
    </cdr:from>
    <cdr:to>
      <cdr:x>0.24482</cdr:x>
      <cdr:y>0.50443</cdr:y>
    </cdr:to>
    <cdr:sp macro="" textlink="">
      <cdr:nvSpPr>
        <cdr:cNvPr id="3" name="TextBox 2"/>
        <cdr:cNvSpPr txBox="1"/>
      </cdr:nvSpPr>
      <cdr:spPr>
        <a:xfrm xmlns:a="http://schemas.openxmlformats.org/drawingml/2006/main">
          <a:off x="609561" y="589836"/>
          <a:ext cx="1109078" cy="8563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i="0">
              <a:latin typeface="Times New Roman" pitchFamily="18" charset="0"/>
              <a:cs typeface="Times New Roman" pitchFamily="18" charset="0"/>
            </a:rPr>
            <a:t>*- Удельный вес в общем объеме</a:t>
          </a:r>
          <a:r>
            <a:rPr lang="ru-RU" sz="1000" b="0" i="0" baseline="0">
              <a:latin typeface="Times New Roman" pitchFamily="18" charset="0"/>
              <a:cs typeface="Times New Roman" pitchFamily="18" charset="0"/>
            </a:rPr>
            <a:t> </a:t>
          </a:r>
          <a:r>
            <a:rPr lang="ru-RU" sz="1000" b="0" i="0">
              <a:latin typeface="Times New Roman" pitchFamily="18" charset="0"/>
              <a:cs typeface="Times New Roman" pitchFamily="18" charset="0"/>
            </a:rPr>
            <a:t> доходов, %</a:t>
          </a:r>
        </a:p>
      </cdr:txBody>
    </cdr:sp>
  </cdr:relSizeAnchor>
  <cdr:relSizeAnchor xmlns:cdr="http://schemas.openxmlformats.org/drawingml/2006/chartDrawing">
    <cdr:from>
      <cdr:x>0.48614</cdr:x>
      <cdr:y>0.53329</cdr:y>
    </cdr:from>
    <cdr:to>
      <cdr:x>0.56988</cdr:x>
      <cdr:y>0.63729</cdr:y>
    </cdr:to>
    <cdr:sp macro="" textlink="">
      <cdr:nvSpPr>
        <cdr:cNvPr id="4" name="TextBox 3"/>
        <cdr:cNvSpPr txBox="1"/>
      </cdr:nvSpPr>
      <cdr:spPr>
        <a:xfrm xmlns:a="http://schemas.openxmlformats.org/drawingml/2006/main">
          <a:off x="3412700" y="1528953"/>
          <a:ext cx="587800" cy="2981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i="0">
              <a:latin typeface="Times New Roman" pitchFamily="18" charset="0"/>
              <a:cs typeface="Times New Roman" pitchFamily="18" charset="0"/>
            </a:rPr>
            <a:t>*24,9</a:t>
          </a:r>
        </a:p>
      </cdr:txBody>
    </cdr:sp>
  </cdr:relSizeAnchor>
  <cdr:relSizeAnchor xmlns:cdr="http://schemas.openxmlformats.org/drawingml/2006/chartDrawing">
    <cdr:from>
      <cdr:x>0.4863</cdr:x>
      <cdr:y>0.41729</cdr:y>
    </cdr:from>
    <cdr:to>
      <cdr:x>0.56579</cdr:x>
      <cdr:y>0.50529</cdr:y>
    </cdr:to>
    <cdr:sp macro="" textlink="">
      <cdr:nvSpPr>
        <cdr:cNvPr id="5" name="TextBox 4"/>
        <cdr:cNvSpPr txBox="1"/>
      </cdr:nvSpPr>
      <cdr:spPr>
        <a:xfrm xmlns:a="http://schemas.openxmlformats.org/drawingml/2006/main">
          <a:off x="3413763" y="1196379"/>
          <a:ext cx="558069" cy="2522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*36,7</a:t>
          </a:r>
        </a:p>
      </cdr:txBody>
    </cdr:sp>
  </cdr:relSizeAnchor>
  <cdr:relSizeAnchor xmlns:cdr="http://schemas.openxmlformats.org/drawingml/2006/chartDrawing">
    <cdr:from>
      <cdr:x>0.47838</cdr:x>
      <cdr:y>0.284</cdr:y>
    </cdr:from>
    <cdr:to>
      <cdr:x>0.55091</cdr:x>
      <cdr:y>0.376</cdr:y>
    </cdr:to>
    <cdr:sp macro="" textlink="">
      <cdr:nvSpPr>
        <cdr:cNvPr id="6" name="TextBox 5"/>
        <cdr:cNvSpPr txBox="1"/>
      </cdr:nvSpPr>
      <cdr:spPr>
        <a:xfrm xmlns:a="http://schemas.openxmlformats.org/drawingml/2006/main">
          <a:off x="3267075" y="676275"/>
          <a:ext cx="495300"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0.4849</cdr:x>
      <cdr:y>0.30529</cdr:y>
    </cdr:from>
    <cdr:to>
      <cdr:x>0.56998</cdr:x>
      <cdr:y>0.39729</cdr:y>
    </cdr:to>
    <cdr:sp macro="" textlink="">
      <cdr:nvSpPr>
        <cdr:cNvPr id="7" name="TextBox 6"/>
        <cdr:cNvSpPr txBox="1"/>
      </cdr:nvSpPr>
      <cdr:spPr>
        <a:xfrm xmlns:a="http://schemas.openxmlformats.org/drawingml/2006/main">
          <a:off x="3403972" y="875271"/>
          <a:ext cx="597232" cy="2637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*26,1</a:t>
          </a:r>
        </a:p>
      </cdr:txBody>
    </cdr:sp>
  </cdr:relSizeAnchor>
  <cdr:relSizeAnchor xmlns:cdr="http://schemas.openxmlformats.org/drawingml/2006/chartDrawing">
    <cdr:from>
      <cdr:x>0.48909</cdr:x>
      <cdr:y>0.23397</cdr:y>
    </cdr:from>
    <cdr:to>
      <cdr:x>0.5644</cdr:x>
      <cdr:y>0.33397</cdr:y>
    </cdr:to>
    <cdr:sp macro="" textlink="">
      <cdr:nvSpPr>
        <cdr:cNvPr id="8" name="TextBox 7"/>
        <cdr:cNvSpPr txBox="1"/>
      </cdr:nvSpPr>
      <cdr:spPr>
        <a:xfrm xmlns:a="http://schemas.openxmlformats.org/drawingml/2006/main">
          <a:off x="3433344" y="670789"/>
          <a:ext cx="528697" cy="2867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*8,2</a:t>
          </a:r>
        </a:p>
      </cdr:txBody>
    </cdr:sp>
  </cdr:relSizeAnchor>
  <cdr:relSizeAnchor xmlns:cdr="http://schemas.openxmlformats.org/drawingml/2006/chartDrawing">
    <cdr:from>
      <cdr:x>0.49044</cdr:x>
      <cdr:y>0.16997</cdr:y>
    </cdr:from>
    <cdr:to>
      <cdr:x>0.56018</cdr:x>
      <cdr:y>0.26597</cdr:y>
    </cdr:to>
    <cdr:sp macro="" textlink="">
      <cdr:nvSpPr>
        <cdr:cNvPr id="9" name="TextBox 8"/>
        <cdr:cNvSpPr txBox="1"/>
      </cdr:nvSpPr>
      <cdr:spPr>
        <a:xfrm xmlns:a="http://schemas.openxmlformats.org/drawingml/2006/main">
          <a:off x="3442868" y="487299"/>
          <a:ext cx="489536" cy="2752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*3,8</a:t>
          </a:r>
        </a:p>
      </cdr:txBody>
    </cdr:sp>
  </cdr:relSizeAnchor>
  <cdr:relSizeAnchor xmlns:cdr="http://schemas.openxmlformats.org/drawingml/2006/chartDrawing">
    <cdr:from>
      <cdr:x>0.78697</cdr:x>
      <cdr:y>0.53488</cdr:y>
    </cdr:from>
    <cdr:to>
      <cdr:x>0.86296</cdr:x>
      <cdr:y>0.60465</cdr:y>
    </cdr:to>
    <cdr:sp macro="" textlink="">
      <cdr:nvSpPr>
        <cdr:cNvPr id="10" name="TextBox 9"/>
        <cdr:cNvSpPr txBox="1"/>
      </cdr:nvSpPr>
      <cdr:spPr>
        <a:xfrm xmlns:a="http://schemas.openxmlformats.org/drawingml/2006/main">
          <a:off x="5524500" y="1533524"/>
          <a:ext cx="5334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*23,2</a:t>
          </a:r>
        </a:p>
      </cdr:txBody>
    </cdr:sp>
  </cdr:relSizeAnchor>
  <cdr:relSizeAnchor xmlns:cdr="http://schemas.openxmlformats.org/drawingml/2006/chartDrawing">
    <cdr:from>
      <cdr:x>0.78562</cdr:x>
      <cdr:y>0.43522</cdr:y>
    </cdr:from>
    <cdr:to>
      <cdr:x>0.87246</cdr:x>
      <cdr:y>0.51827</cdr:y>
    </cdr:to>
    <cdr:sp macro="" textlink="">
      <cdr:nvSpPr>
        <cdr:cNvPr id="11" name="TextBox 10"/>
        <cdr:cNvSpPr txBox="1"/>
      </cdr:nvSpPr>
      <cdr:spPr>
        <a:xfrm xmlns:a="http://schemas.openxmlformats.org/drawingml/2006/main">
          <a:off x="5514975" y="1247775"/>
          <a:ext cx="609600"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*36,9</a:t>
          </a:r>
        </a:p>
      </cdr:txBody>
    </cdr:sp>
  </cdr:relSizeAnchor>
  <cdr:relSizeAnchor xmlns:cdr="http://schemas.openxmlformats.org/drawingml/2006/chartDrawing">
    <cdr:from>
      <cdr:x>0.78969</cdr:x>
      <cdr:y>0.32226</cdr:y>
    </cdr:from>
    <cdr:to>
      <cdr:x>0.86703</cdr:x>
      <cdr:y>0.39203</cdr:y>
    </cdr:to>
    <cdr:sp macro="" textlink="">
      <cdr:nvSpPr>
        <cdr:cNvPr id="12" name="TextBox 11"/>
        <cdr:cNvSpPr txBox="1"/>
      </cdr:nvSpPr>
      <cdr:spPr>
        <a:xfrm xmlns:a="http://schemas.openxmlformats.org/drawingml/2006/main">
          <a:off x="5543550" y="923925"/>
          <a:ext cx="5429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*27,2</a:t>
          </a:r>
        </a:p>
      </cdr:txBody>
    </cdr:sp>
  </cdr:relSizeAnchor>
  <cdr:relSizeAnchor xmlns:cdr="http://schemas.openxmlformats.org/drawingml/2006/chartDrawing">
    <cdr:from>
      <cdr:x>0.79104</cdr:x>
      <cdr:y>0.24252</cdr:y>
    </cdr:from>
    <cdr:to>
      <cdr:x>0.8616</cdr:x>
      <cdr:y>0.32226</cdr:y>
    </cdr:to>
    <cdr:sp macro="" textlink="">
      <cdr:nvSpPr>
        <cdr:cNvPr id="13" name="TextBox 12"/>
        <cdr:cNvSpPr txBox="1"/>
      </cdr:nvSpPr>
      <cdr:spPr>
        <a:xfrm xmlns:a="http://schemas.openxmlformats.org/drawingml/2006/main">
          <a:off x="5553074" y="695324"/>
          <a:ext cx="495301" cy="2286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*8,5</a:t>
          </a:r>
        </a:p>
      </cdr:txBody>
    </cdr:sp>
  </cdr:relSizeAnchor>
  <cdr:relSizeAnchor xmlns:cdr="http://schemas.openxmlformats.org/drawingml/2006/chartDrawing">
    <cdr:from>
      <cdr:x>0.78969</cdr:x>
      <cdr:y>0.18605</cdr:y>
    </cdr:from>
    <cdr:to>
      <cdr:x>0.86431</cdr:x>
      <cdr:y>0.27243</cdr:y>
    </cdr:to>
    <cdr:sp macro="" textlink="">
      <cdr:nvSpPr>
        <cdr:cNvPr id="14" name="TextBox 13"/>
        <cdr:cNvSpPr txBox="1"/>
      </cdr:nvSpPr>
      <cdr:spPr>
        <a:xfrm xmlns:a="http://schemas.openxmlformats.org/drawingml/2006/main">
          <a:off x="5543550" y="533401"/>
          <a:ext cx="523875"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*3,9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ADB6F-65BF-4A77-97B1-A18A0D28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79</Pages>
  <Words>29008</Words>
  <Characters>165351</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grecha-m</dc:creator>
  <cp:keywords/>
  <dc:description/>
  <cp:lastModifiedBy>kovalenko-k</cp:lastModifiedBy>
  <cp:revision>43</cp:revision>
  <cp:lastPrinted>2016-09-05T08:27:00Z</cp:lastPrinted>
  <dcterms:created xsi:type="dcterms:W3CDTF">2016-08-29T11:57:00Z</dcterms:created>
  <dcterms:modified xsi:type="dcterms:W3CDTF">2016-09-30T05:46:00Z</dcterms:modified>
</cp:coreProperties>
</file>