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D" w:rsidRDefault="00E6295D" w:rsidP="00966CAD">
      <w:pPr>
        <w:pStyle w:val="1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793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январе-</w:t>
      </w:r>
      <w:r w:rsidR="00416A2B" w:rsidRPr="00061793">
        <w:rPr>
          <w:rFonts w:ascii="Times New Roman" w:hAnsi="Times New Roman" w:cs="Times New Roman"/>
          <w:sz w:val="24"/>
          <w:szCs w:val="24"/>
        </w:rPr>
        <w:t>ию</w:t>
      </w:r>
      <w:r w:rsidR="001D4CEE" w:rsidRPr="00061793">
        <w:rPr>
          <w:rFonts w:ascii="Times New Roman" w:hAnsi="Times New Roman" w:cs="Times New Roman"/>
          <w:sz w:val="24"/>
          <w:szCs w:val="24"/>
        </w:rPr>
        <w:t>л</w:t>
      </w:r>
      <w:r w:rsidR="00416A2B" w:rsidRPr="00061793">
        <w:rPr>
          <w:rFonts w:ascii="Times New Roman" w:hAnsi="Times New Roman" w:cs="Times New Roman"/>
          <w:sz w:val="24"/>
          <w:szCs w:val="24"/>
        </w:rPr>
        <w:t>е</w:t>
      </w:r>
      <w:r w:rsidR="00966CAD" w:rsidRPr="00061793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:rsidR="00C05B5D" w:rsidRPr="00C05B5D" w:rsidRDefault="00C05B5D" w:rsidP="00C05B5D">
      <w:pPr>
        <w:spacing w:after="0"/>
      </w:pPr>
    </w:p>
    <w:p w:rsidR="008B04C2" w:rsidRPr="00061793" w:rsidRDefault="008B04C2" w:rsidP="00C05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B4A53" w:rsidRPr="00061793">
        <w:rPr>
          <w:rFonts w:ascii="Times New Roman" w:hAnsi="Times New Roman" w:cs="Times New Roman"/>
          <w:sz w:val="24"/>
          <w:szCs w:val="24"/>
        </w:rPr>
        <w:t>янва</w:t>
      </w:r>
      <w:r w:rsidR="004B4A53" w:rsidRPr="00BA7046">
        <w:rPr>
          <w:rFonts w:ascii="Times New Roman" w:hAnsi="Times New Roman" w:cs="Times New Roman"/>
          <w:sz w:val="24"/>
          <w:szCs w:val="24"/>
        </w:rPr>
        <w:t>ре-июле</w:t>
      </w:r>
      <w:r w:rsidRPr="00BA7046"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BA7046" w:rsidRPr="00BA7046">
        <w:rPr>
          <w:rFonts w:ascii="Times New Roman" w:hAnsi="Times New Roman" w:cs="Times New Roman"/>
          <w:sz w:val="24"/>
          <w:szCs w:val="24"/>
        </w:rPr>
        <w:t>сдержанные</w:t>
      </w:r>
      <w:r w:rsidR="00C60233" w:rsidRPr="00BA7046">
        <w:rPr>
          <w:rFonts w:ascii="Times New Roman" w:hAnsi="Times New Roman" w:cs="Times New Roman"/>
          <w:sz w:val="24"/>
          <w:szCs w:val="24"/>
        </w:rPr>
        <w:t xml:space="preserve"> темпы развития экономик основных стран партнеров Приднес</w:t>
      </w:r>
      <w:r w:rsidR="00BA7046" w:rsidRPr="00BA7046">
        <w:rPr>
          <w:rFonts w:ascii="Times New Roman" w:hAnsi="Times New Roman" w:cs="Times New Roman"/>
          <w:sz w:val="24"/>
          <w:szCs w:val="24"/>
        </w:rPr>
        <w:t>т</w:t>
      </w:r>
      <w:r w:rsidR="00C60233" w:rsidRPr="00BA7046">
        <w:rPr>
          <w:rFonts w:ascii="Times New Roman" w:hAnsi="Times New Roman" w:cs="Times New Roman"/>
          <w:sz w:val="24"/>
          <w:szCs w:val="24"/>
        </w:rPr>
        <w:t>ровской Молдавской Республики</w:t>
      </w:r>
      <w:r w:rsidR="00BA7046" w:rsidRPr="00BA7046">
        <w:rPr>
          <w:rFonts w:ascii="Times New Roman" w:hAnsi="Times New Roman" w:cs="Times New Roman"/>
          <w:sz w:val="24"/>
          <w:szCs w:val="24"/>
        </w:rPr>
        <w:t>, а также региональные тенденции развития, которые оказывают свое влияние</w:t>
      </w:r>
      <w:r w:rsidRPr="00BA7046">
        <w:rPr>
          <w:rFonts w:ascii="Times New Roman" w:hAnsi="Times New Roman" w:cs="Times New Roman"/>
          <w:sz w:val="24"/>
          <w:szCs w:val="24"/>
        </w:rPr>
        <w:t xml:space="preserve">, в </w:t>
      </w:r>
      <w:r w:rsidR="00966CAD" w:rsidRPr="00BA7046">
        <w:rPr>
          <w:rFonts w:ascii="Times New Roman" w:hAnsi="Times New Roman" w:cs="Times New Roman"/>
          <w:sz w:val="24"/>
          <w:szCs w:val="24"/>
        </w:rPr>
        <w:t xml:space="preserve">совокупности с внутренними </w:t>
      </w:r>
      <w:r w:rsidR="00BA7046" w:rsidRPr="00BA7046">
        <w:rPr>
          <w:rFonts w:ascii="Times New Roman" w:hAnsi="Times New Roman" w:cs="Times New Roman"/>
          <w:sz w:val="24"/>
          <w:szCs w:val="24"/>
        </w:rPr>
        <w:t>сложностями</w:t>
      </w:r>
      <w:r w:rsidR="00966CAD" w:rsidRPr="00BA7046">
        <w:rPr>
          <w:rFonts w:ascii="Times New Roman" w:hAnsi="Times New Roman" w:cs="Times New Roman"/>
          <w:sz w:val="24"/>
          <w:szCs w:val="24"/>
        </w:rPr>
        <w:t xml:space="preserve"> в </w:t>
      </w:r>
      <w:r w:rsidRPr="00BA7046">
        <w:rPr>
          <w:rFonts w:ascii="Times New Roman" w:hAnsi="Times New Roman" w:cs="Times New Roman"/>
          <w:sz w:val="24"/>
          <w:szCs w:val="24"/>
        </w:rPr>
        <w:t xml:space="preserve">экономике </w:t>
      </w:r>
      <w:r w:rsidR="00966CAD" w:rsidRPr="00BA7046">
        <w:rPr>
          <w:rFonts w:ascii="Times New Roman" w:hAnsi="Times New Roman" w:cs="Times New Roman"/>
          <w:sz w:val="24"/>
          <w:szCs w:val="24"/>
        </w:rPr>
        <w:t>обусловили</w:t>
      </w:r>
      <w:r w:rsidRPr="00BA7046">
        <w:rPr>
          <w:rFonts w:ascii="Times New Roman" w:eastAsia="Times New Roman" w:hAnsi="Times New Roman" w:cs="Times New Roman"/>
          <w:sz w:val="24"/>
          <w:szCs w:val="24"/>
        </w:rPr>
        <w:t xml:space="preserve"> неустойчив</w:t>
      </w:r>
      <w:r w:rsidR="00966CAD" w:rsidRPr="00BA704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A7046">
        <w:rPr>
          <w:rFonts w:ascii="Times New Roman" w:eastAsia="Times New Roman" w:hAnsi="Times New Roman" w:cs="Times New Roman"/>
          <w:sz w:val="24"/>
          <w:szCs w:val="24"/>
        </w:rPr>
        <w:t xml:space="preserve"> макроэкономическ</w:t>
      </w:r>
      <w:r w:rsidR="00966CAD" w:rsidRPr="00BA7046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BA7046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66CAD" w:rsidRPr="00BA704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A70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A7046" w:rsidRPr="00BA7046">
        <w:rPr>
          <w:rFonts w:ascii="Times New Roman" w:eastAsia="Times New Roman" w:hAnsi="Times New Roman" w:cs="Times New Roman"/>
          <w:sz w:val="24"/>
          <w:szCs w:val="24"/>
        </w:rPr>
        <w:t>отразившуюся на</w:t>
      </w:r>
      <w:r w:rsidRPr="00BA7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046" w:rsidRPr="00BA7046">
        <w:rPr>
          <w:rFonts w:ascii="Times New Roman" w:hAnsi="Times New Roman" w:cs="Times New Roman"/>
          <w:sz w:val="24"/>
          <w:szCs w:val="24"/>
        </w:rPr>
        <w:t>динамике</w:t>
      </w:r>
      <w:r w:rsidRPr="00BA7046">
        <w:rPr>
          <w:rFonts w:ascii="Times New Roman" w:hAnsi="Times New Roman" w:cs="Times New Roman"/>
          <w:sz w:val="24"/>
          <w:szCs w:val="24"/>
        </w:rPr>
        <w:t xml:space="preserve"> основных макроэкономических показателей.</w:t>
      </w:r>
    </w:p>
    <w:p w:rsidR="008B04C2" w:rsidRPr="0073158C" w:rsidRDefault="008B04C2" w:rsidP="00966C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6295D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315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3D7D52" w:rsidRPr="004F7E99" w:rsidRDefault="003D7D52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5964" w:rsidRPr="004F7E99" w:rsidRDefault="00E6295D" w:rsidP="00416A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E99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</w:t>
      </w:r>
      <w:r w:rsidR="00BA7046" w:rsidRPr="004F7E99">
        <w:rPr>
          <w:rFonts w:ascii="Times New Roman" w:eastAsia="Times New Roman" w:hAnsi="Times New Roman" w:cs="Times New Roman"/>
          <w:sz w:val="24"/>
          <w:szCs w:val="24"/>
        </w:rPr>
        <w:t>в условиях продолжающегося во</w:t>
      </w:r>
      <w:r w:rsidR="00CA07DD" w:rsidRPr="004F7E99">
        <w:rPr>
          <w:rFonts w:ascii="Times New Roman" w:eastAsia="Times New Roman" w:hAnsi="Times New Roman" w:cs="Times New Roman"/>
          <w:sz w:val="24"/>
          <w:szCs w:val="24"/>
        </w:rPr>
        <w:t>здействи</w:t>
      </w:r>
      <w:r w:rsidR="00BA7046" w:rsidRPr="004F7E9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7E99">
        <w:rPr>
          <w:rFonts w:ascii="Times New Roman" w:eastAsia="Times New Roman" w:hAnsi="Times New Roman" w:cs="Times New Roman"/>
          <w:sz w:val="24"/>
          <w:szCs w:val="24"/>
        </w:rPr>
        <w:t xml:space="preserve"> ограничительных </w:t>
      </w:r>
      <w:r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барьеров в отношении </w:t>
      </w:r>
      <w:r w:rsidR="000B437C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хозяйствующих субъектов </w:t>
      </w:r>
      <w:r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со стороны соседних государств, </w:t>
      </w:r>
      <w:r w:rsidR="00BA7046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совокупности с трудностями </w:t>
      </w:r>
      <w:r w:rsidR="0073158C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3158C" w:rsidRPr="004F7E99">
        <w:rPr>
          <w:rFonts w:ascii="Times New Roman" w:hAnsi="Times New Roman" w:cs="Times New Roman"/>
          <w:sz w:val="24"/>
          <w:szCs w:val="24"/>
        </w:rPr>
        <w:t>привлечении заемных ресурсов, двойным таможенным оформлением экспорта и импорта, а также</w:t>
      </w:r>
      <w:r w:rsidR="0073158C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7046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</w:t>
      </w:r>
      <w:r w:rsidR="0073158C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ей</w:t>
      </w:r>
      <w:r w:rsidR="00BA7046" w:rsidRPr="004F7E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продукции на внешних рынках, в условиях жесткой конкуренции, обусловленных в значительной степени проведенной в сопредельных странах девальвацией</w:t>
      </w:r>
      <w:r w:rsidR="00D15964" w:rsidRPr="004F7E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295D" w:rsidRPr="00061793" w:rsidRDefault="00E6295D" w:rsidP="00416A2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99">
        <w:rPr>
          <w:rFonts w:ascii="Times New Roman" w:eastAsia="Times New Roman" w:hAnsi="Times New Roman" w:cs="Times New Roman"/>
          <w:sz w:val="24"/>
          <w:szCs w:val="24"/>
        </w:rPr>
        <w:t>Объем п</w:t>
      </w:r>
      <w:r w:rsidRPr="004F7E99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4F7E99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январе-</w:t>
      </w:r>
      <w:r w:rsidR="00652C27" w:rsidRPr="004F7E99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1D4CEE" w:rsidRPr="004F7E99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52C27" w:rsidRPr="004F7E9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5964" w:rsidRPr="004F7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E9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2016 года </w:t>
      </w:r>
      <w:r w:rsidRPr="004F7E99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Pr="007315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4CEE" w:rsidRPr="007315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D15964" w:rsidRPr="0073158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4CEE" w:rsidRPr="0073158C">
        <w:rPr>
          <w:rFonts w:ascii="Times New Roman" w:eastAsia="Times New Roman" w:hAnsi="Times New Roman" w:cs="Times New Roman"/>
          <w:sz w:val="24"/>
          <w:szCs w:val="24"/>
        </w:rPr>
        <w:t>004</w:t>
      </w:r>
      <w:r w:rsidR="00D15964" w:rsidRPr="007315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CEE" w:rsidRPr="0073158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3158C">
        <w:rPr>
          <w:rFonts w:ascii="Times New Roman" w:eastAsia="Times New Roman" w:hAnsi="Times New Roman" w:cs="Times New Roman"/>
          <w:sz w:val="24"/>
          <w:szCs w:val="24"/>
        </w:rPr>
        <w:t xml:space="preserve"> млн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. руб. (в сопоставимых ценах), 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снизившись по отношению к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аналогично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показател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5964" w:rsidRPr="00061793">
        <w:rPr>
          <w:rFonts w:ascii="Times New Roman" w:eastAsia="Times New Roman" w:hAnsi="Times New Roman" w:cs="Times New Roman"/>
          <w:sz w:val="24"/>
          <w:szCs w:val="24"/>
        </w:rPr>
        <w:t>минувшего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652C27" w:rsidRPr="000617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94</w:t>
      </w:r>
      <w:r w:rsidR="00D15964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87,5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% к уровню показателя 2015 года. Доход от реализации </w:t>
      </w:r>
      <w:r w:rsidR="00A76A04">
        <w:rPr>
          <w:rFonts w:ascii="Times New Roman" w:eastAsia="Times New Roman" w:hAnsi="Times New Roman" w:cs="Times New Roman"/>
          <w:sz w:val="24"/>
          <w:szCs w:val="24"/>
        </w:rPr>
        <w:t xml:space="preserve">промышленной продукции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в рассматриваемом периоде сложился ниже показателя 2015 года на 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12,8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%, составив 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101F5" w:rsidRPr="000617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492</w:t>
      </w:r>
      <w:r w:rsidR="00C101F5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4CEE" w:rsidRPr="0006179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E832AF" w:rsidRPr="00061793">
        <w:rPr>
          <w:rFonts w:ascii="Times New Roman" w:eastAsia="Times New Roman" w:hAnsi="Times New Roman" w:cs="Times New Roman"/>
          <w:sz w:val="24"/>
          <w:szCs w:val="24"/>
        </w:rPr>
        <w:t>400,0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млн. долл. Доля экспорта в общем объеме промышленного производства сократилась до </w:t>
      </w:r>
      <w:r w:rsidR="00813052" w:rsidRPr="00061793">
        <w:rPr>
          <w:rFonts w:ascii="Times New Roman" w:eastAsia="Times New Roman" w:hAnsi="Times New Roman" w:cs="Times New Roman"/>
          <w:sz w:val="24"/>
          <w:szCs w:val="24"/>
        </w:rPr>
        <w:t>65,</w:t>
      </w:r>
      <w:r w:rsidR="00F85787" w:rsidRPr="000617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%, против 75,</w:t>
      </w:r>
      <w:r w:rsidR="00F85787" w:rsidRPr="0006179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 в базовом периоде 2015 года.</w:t>
      </w:r>
    </w:p>
    <w:p w:rsidR="00E6295D" w:rsidRPr="00061793" w:rsidRDefault="00E832AF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368300</wp:posOffset>
            </wp:positionV>
            <wp:extent cx="2390775" cy="1905000"/>
            <wp:effectExtent l="19050" t="0" r="0" b="0"/>
            <wp:wrapTight wrapText="bothSides">
              <wp:wrapPolygon edited="0">
                <wp:start x="-172" y="0"/>
                <wp:lineTo x="-172" y="21384"/>
                <wp:lineTo x="21514" y="21384"/>
                <wp:lineTo x="21514" y="0"/>
                <wp:lineTo x="-172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06179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367665</wp:posOffset>
            </wp:positionV>
            <wp:extent cx="3448050" cy="1952625"/>
            <wp:effectExtent l="19050" t="0" r="0" b="0"/>
            <wp:wrapTight wrapText="bothSides">
              <wp:wrapPolygon edited="0">
                <wp:start x="-119" y="0"/>
                <wp:lineTo x="-119" y="21284"/>
                <wp:lineTo x="21600" y="21284"/>
                <wp:lineTo x="21600" y="0"/>
                <wp:lineTo x="-119" y="0"/>
              </wp:wrapPolygon>
            </wp:wrapTight>
            <wp:docPr id="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в </w:t>
      </w:r>
      <w:r w:rsidR="00D84ADA" w:rsidRPr="00061793">
        <w:rPr>
          <w:rFonts w:ascii="Times New Roman" w:eastAsia="Times New Roman" w:hAnsi="Times New Roman" w:cs="Times New Roman"/>
          <w:sz w:val="24"/>
          <w:szCs w:val="24"/>
        </w:rPr>
        <w:t>январе-июле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выглядела следующим образом:</w:t>
      </w:r>
    </w:p>
    <w:p w:rsidR="007413D3" w:rsidRPr="00061793" w:rsidRDefault="007413D3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061793" w:rsidRDefault="00081D04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периоде, н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есмотря на </w:t>
      </w:r>
      <w:r w:rsidR="0021585C" w:rsidRPr="00061793">
        <w:rPr>
          <w:rFonts w:ascii="Times New Roman" w:eastAsia="Times New Roman" w:hAnsi="Times New Roman" w:cs="Times New Roman"/>
          <w:sz w:val="24"/>
          <w:szCs w:val="24"/>
        </w:rPr>
        <w:t>сокращение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в электроэнергетике («-»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4,7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%) предприятиям отрасли удалось сохранить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лидирующую позицию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в структуре выпуска – 3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 xml:space="preserve">однако достигнутое </w:t>
      </w:r>
      <w:r w:rsidR="00A76A04">
        <w:rPr>
          <w:rFonts w:ascii="Times New Roman" w:eastAsia="Times New Roman" w:hAnsi="Times New Roman" w:cs="Times New Roman"/>
          <w:sz w:val="24"/>
          <w:szCs w:val="24"/>
        </w:rPr>
        <w:t xml:space="preserve">долевое участие предприятий отрасли в общереспубликанском выпуске промышленного производства 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в январе-июле 2016 года уступил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 xml:space="preserve"> аналогичному 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>показателю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2015 года 0,7 процентных пункта.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металлургию в результате 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январе-</w:t>
      </w:r>
      <w:r w:rsidR="00CA093E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A093E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соответствующему периоду 2015 года, в рассматриваемом периоде приходилось 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F97BBC" w:rsidRPr="00061793">
        <w:rPr>
          <w:rFonts w:ascii="Times New Roman" w:eastAsia="Times New Roman" w:hAnsi="Times New Roman" w:cs="Times New Roman"/>
          <w:sz w:val="24"/>
          <w:szCs w:val="24"/>
        </w:rPr>
        <w:t>январе-июле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Увеличение объема промышленного производства п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редприятия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 xml:space="preserve"> на 9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,8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CA093E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обеспечило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 xml:space="preserve"> расширение долевого участия в совокупном объеме производства до 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13,3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% («+»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1,6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>процентных</w:t>
      </w:r>
      <w:proofErr w:type="gramEnd"/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пункта). Предприятия пищевой 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промышленности при увеличении товарного выпуска на 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377E0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сформировали 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1AEC" w:rsidRPr="00061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151AEC" w:rsidRPr="000617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5035B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в целом по </w:t>
      </w:r>
      <w:r w:rsidR="00151AEC" w:rsidRPr="00061793">
        <w:rPr>
          <w:rFonts w:ascii="Times New Roman" w:eastAsia="Times New Roman" w:hAnsi="Times New Roman" w:cs="Times New Roman"/>
          <w:sz w:val="24"/>
          <w:szCs w:val="24"/>
        </w:rPr>
        <w:t>индустрии,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против </w:t>
      </w:r>
      <w:r w:rsidR="00CF27EC" w:rsidRPr="00061793">
        <w:rPr>
          <w:rFonts w:ascii="Times New Roman" w:eastAsia="Times New Roman" w:hAnsi="Times New Roman" w:cs="Times New Roman"/>
          <w:sz w:val="24"/>
          <w:szCs w:val="24"/>
        </w:rPr>
        <w:t>10,9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 в аналогичном периоде 2015 года.</w:t>
      </w:r>
    </w:p>
    <w:p w:rsidR="004769DC" w:rsidRPr="00061793" w:rsidRDefault="0095035B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производства, на фоне неустойчивой рыночной конъюнктуры</w:t>
      </w:r>
      <w:r w:rsidR="004769DC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9DC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начиная с апреля месяца 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года, </w:t>
      </w:r>
      <w:r w:rsidR="004769DC" w:rsidRPr="00061793">
        <w:rPr>
          <w:rFonts w:ascii="Times New Roman" w:eastAsia="Times New Roman" w:hAnsi="Times New Roman" w:cs="Times New Roman"/>
          <w:sz w:val="24"/>
          <w:szCs w:val="24"/>
        </w:rPr>
        <w:t>демонстрирует отрицательную динамику относительно аналогичного периода 2015 года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 xml:space="preserve"> с тенденцией углубления снижения показателя</w:t>
      </w:r>
      <w:r w:rsidR="004769DC" w:rsidRPr="00061793">
        <w:rPr>
          <w:rFonts w:ascii="Times New Roman" w:eastAsia="Times New Roman" w:hAnsi="Times New Roman" w:cs="Times New Roman"/>
          <w:sz w:val="24"/>
          <w:szCs w:val="24"/>
        </w:rPr>
        <w:t xml:space="preserve">, так в апреле отмечается 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>падение</w:t>
      </w:r>
      <w:r w:rsidR="004769DC" w:rsidRPr="00061793">
        <w:rPr>
          <w:rFonts w:ascii="Times New Roman" w:eastAsia="Times New Roman" w:hAnsi="Times New Roman" w:cs="Times New Roman"/>
          <w:sz w:val="24"/>
          <w:szCs w:val="24"/>
        </w:rPr>
        <w:t xml:space="preserve"> на 0,1%, в мае – на 6,0%, июне – на 18,4%, а в июле - на 29,4%.</w:t>
      </w: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E6295D" w:rsidRPr="00061793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79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81700" cy="1466850"/>
            <wp:effectExtent l="0" t="0" r="0" b="0"/>
            <wp:docPr id="10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95D" w:rsidRPr="00061793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061793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r w:rsidR="00975C18" w:rsidRPr="00061793">
        <w:rPr>
          <w:rFonts w:ascii="Times New Roman" w:eastAsia="Times New Roman" w:hAnsi="Times New Roman" w:cs="Times New Roman"/>
          <w:sz w:val="24"/>
          <w:szCs w:val="24"/>
        </w:rPr>
        <w:t xml:space="preserve">отраслей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динамика промышленного производства в </w:t>
      </w:r>
      <w:r w:rsidR="00BE295F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0E280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E295F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базовому показателю 2015 года свидетельствует о </w:t>
      </w:r>
      <w:proofErr w:type="spellStart"/>
      <w:r w:rsidR="00975C18" w:rsidRPr="00061793">
        <w:rPr>
          <w:rFonts w:ascii="Times New Roman" w:eastAsia="Times New Roman" w:hAnsi="Times New Roman" w:cs="Times New Roman"/>
          <w:sz w:val="24"/>
          <w:szCs w:val="24"/>
        </w:rPr>
        <w:t>разновекторной</w:t>
      </w:r>
      <w:proofErr w:type="spellEnd"/>
      <w:r w:rsidR="00975C18" w:rsidRPr="00061793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и выглядит следующим образом:</w:t>
      </w:r>
    </w:p>
    <w:p w:rsidR="00ED5783" w:rsidRPr="00061793" w:rsidRDefault="00ED5783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061793" w:rsidRDefault="00E6295D" w:rsidP="00E629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подотраслей</w:t>
      </w:r>
      <w:proofErr w:type="spellEnd"/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E6295D" w:rsidRPr="00061793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6179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29622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промышленного производства </w:t>
      </w:r>
      <w:r w:rsidRPr="00061793">
        <w:rPr>
          <w:rFonts w:ascii="Times New Roman" w:hAnsi="Times New Roman"/>
          <w:sz w:val="24"/>
          <w:szCs w:val="24"/>
        </w:rPr>
        <w:t xml:space="preserve">по итогам </w:t>
      </w:r>
      <w:r w:rsidR="0037290E" w:rsidRPr="00061793">
        <w:rPr>
          <w:rFonts w:ascii="Times New Roman" w:hAnsi="Times New Roman"/>
          <w:sz w:val="24"/>
          <w:szCs w:val="24"/>
        </w:rPr>
        <w:t xml:space="preserve">января-июля </w:t>
      </w:r>
      <w:r w:rsidRPr="00061793">
        <w:rPr>
          <w:rFonts w:ascii="Times New Roman" w:hAnsi="Times New Roman"/>
          <w:sz w:val="24"/>
          <w:szCs w:val="24"/>
        </w:rPr>
        <w:t xml:space="preserve">2016 года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аналогичному периоду 2015 года зафиксировано в </w:t>
      </w: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93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813DE2" w:rsidRPr="00061793" w:rsidRDefault="004616D9" w:rsidP="00394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6295D" w:rsidRPr="00061793">
        <w:rPr>
          <w:rFonts w:ascii="Times New Roman" w:hAnsi="Times New Roman"/>
          <w:b/>
          <w:sz w:val="24"/>
          <w:szCs w:val="24"/>
        </w:rPr>
        <w:t xml:space="preserve">в химической промышленности </w:t>
      </w:r>
      <w:r w:rsidR="000E280E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813DE2" w:rsidRPr="00061793">
        <w:rPr>
          <w:rFonts w:ascii="Times New Roman" w:hAnsi="Times New Roman"/>
          <w:sz w:val="24"/>
          <w:szCs w:val="24"/>
        </w:rPr>
        <w:t xml:space="preserve">увеличение </w:t>
      </w:r>
      <w:r w:rsidR="0066346E" w:rsidRPr="00061793">
        <w:rPr>
          <w:rFonts w:ascii="Times New Roman" w:hAnsi="Times New Roman"/>
          <w:sz w:val="24"/>
          <w:szCs w:val="24"/>
        </w:rPr>
        <w:t>выпуска синтетических смол и пластмасс на 39,0%, а также лаков в 6,7 раз обусловило расширение товарного выпуска отрасли на 25,9%. Также следует отметить, что на</w:t>
      </w:r>
      <w:r w:rsidR="00813DE2" w:rsidRPr="00061793">
        <w:rPr>
          <w:rFonts w:ascii="Times New Roman" w:hAnsi="Times New Roman"/>
          <w:sz w:val="24"/>
          <w:szCs w:val="24"/>
        </w:rPr>
        <w:t xml:space="preserve"> крупнейше</w:t>
      </w:r>
      <w:r w:rsidR="0066346E" w:rsidRPr="00061793">
        <w:rPr>
          <w:rFonts w:ascii="Times New Roman" w:hAnsi="Times New Roman"/>
          <w:sz w:val="24"/>
          <w:szCs w:val="24"/>
        </w:rPr>
        <w:t>м</w:t>
      </w:r>
      <w:r w:rsidR="00813DE2" w:rsidRPr="00061793">
        <w:rPr>
          <w:rFonts w:ascii="Times New Roman" w:hAnsi="Times New Roman"/>
          <w:sz w:val="24"/>
          <w:szCs w:val="24"/>
        </w:rPr>
        <w:t xml:space="preserve"> предприяти</w:t>
      </w:r>
      <w:r w:rsidR="0066346E" w:rsidRPr="00061793">
        <w:rPr>
          <w:rFonts w:ascii="Times New Roman" w:hAnsi="Times New Roman"/>
          <w:sz w:val="24"/>
          <w:szCs w:val="24"/>
        </w:rPr>
        <w:t>и</w:t>
      </w:r>
      <w:r w:rsidR="00813DE2" w:rsidRPr="00061793">
        <w:rPr>
          <w:rFonts w:ascii="Times New Roman" w:hAnsi="Times New Roman"/>
          <w:sz w:val="24"/>
          <w:szCs w:val="24"/>
        </w:rPr>
        <w:t xml:space="preserve"> отрасли ЗАО «Завод «</w:t>
      </w:r>
      <w:proofErr w:type="spellStart"/>
      <w:r w:rsidR="00813DE2" w:rsidRPr="00061793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="00813DE2" w:rsidRPr="00061793">
        <w:rPr>
          <w:rFonts w:ascii="Times New Roman" w:hAnsi="Times New Roman"/>
          <w:sz w:val="24"/>
          <w:szCs w:val="24"/>
        </w:rPr>
        <w:t>»</w:t>
      </w:r>
      <w:r w:rsidR="0066346E" w:rsidRPr="00061793">
        <w:rPr>
          <w:rFonts w:ascii="Times New Roman" w:hAnsi="Times New Roman"/>
          <w:sz w:val="24"/>
          <w:szCs w:val="24"/>
        </w:rPr>
        <w:t>,</w:t>
      </w:r>
      <w:r w:rsidR="00813DE2" w:rsidRPr="00061793">
        <w:rPr>
          <w:rFonts w:ascii="Times New Roman" w:hAnsi="Times New Roman"/>
          <w:sz w:val="24"/>
          <w:szCs w:val="24"/>
        </w:rPr>
        <w:t xml:space="preserve"> </w:t>
      </w:r>
      <w:r w:rsidR="000E09F9" w:rsidRPr="00061793">
        <w:rPr>
          <w:rFonts w:ascii="Times New Roman" w:eastAsia="Times New Roman" w:hAnsi="Times New Roman" w:cs="Times New Roman"/>
          <w:sz w:val="24"/>
          <w:szCs w:val="24"/>
        </w:rPr>
        <w:t>на фоне о</w:t>
      </w:r>
      <w:r w:rsidR="00394E6B" w:rsidRPr="00061793">
        <w:rPr>
          <w:rFonts w:ascii="Times New Roman" w:eastAsia="Times New Roman" w:hAnsi="Times New Roman" w:cs="Times New Roman"/>
          <w:sz w:val="24"/>
          <w:szCs w:val="24"/>
        </w:rPr>
        <w:t>казани</w:t>
      </w:r>
      <w:r w:rsidR="000E09F9" w:rsidRPr="000617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4E6B" w:rsidRPr="0006179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поддержки в виде льготных тарифов на энергоносители и льгот по налогу на доходы</w:t>
      </w:r>
      <w:r w:rsidR="0066346E" w:rsidRPr="00061793">
        <w:rPr>
          <w:rFonts w:ascii="Times New Roman" w:eastAsia="Times New Roman" w:hAnsi="Times New Roman" w:cs="Times New Roman"/>
          <w:sz w:val="24"/>
          <w:szCs w:val="24"/>
        </w:rPr>
        <w:t>, увеличение объема производства в</w:t>
      </w:r>
      <w:proofErr w:type="gramEnd"/>
      <w:r w:rsidR="0066346E" w:rsidRPr="0006179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</w:t>
      </w:r>
      <w:proofErr w:type="gramStart"/>
      <w:r w:rsidR="0066346E" w:rsidRPr="00061793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="0066346E" w:rsidRPr="00061793">
        <w:rPr>
          <w:rFonts w:ascii="Times New Roman" w:eastAsia="Times New Roman" w:hAnsi="Times New Roman" w:cs="Times New Roman"/>
          <w:sz w:val="24"/>
          <w:szCs w:val="24"/>
        </w:rPr>
        <w:t xml:space="preserve"> составило 27,9%</w:t>
      </w:r>
      <w:r w:rsidR="00394E6B"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061793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061793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</w:t>
      </w:r>
      <w:r w:rsidR="00395172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95172" w:rsidRPr="000617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="009722ED" w:rsidRPr="00061793">
        <w:rPr>
          <w:rFonts w:ascii="Times New Roman" w:eastAsia="Times New Roman" w:hAnsi="Times New Roman" w:cs="Times New Roman"/>
          <w:sz w:val="24"/>
          <w:szCs w:val="24"/>
        </w:rPr>
        <w:t>, несмотря на конкуренцию с более дешевыми импортными товарами,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зафиксирован прирост производственных показателей в целом по отрасли на 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23,2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395172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77</w:t>
      </w:r>
      <w:r w:rsidR="00395172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млн. руб. Данная динамика </w:t>
      </w:r>
      <w:r w:rsidR="0053494D" w:rsidRPr="00061793">
        <w:rPr>
          <w:rFonts w:ascii="Times New Roman" w:eastAsia="Times New Roman" w:hAnsi="Times New Roman" w:cs="Times New Roman"/>
          <w:sz w:val="24"/>
          <w:szCs w:val="24"/>
        </w:rPr>
        <w:t xml:space="preserve">достигнута в результате осуществления мероприятий, направленных на </w:t>
      </w:r>
      <w:r w:rsidR="00E6295D" w:rsidRPr="00061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снижение себестоимости продукции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на крупнейшем предприятии отрасли - </w:t>
      </w:r>
      <w:r w:rsidR="00DC2C70" w:rsidRPr="00061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</w:t>
      </w:r>
      <w:r w:rsidR="00E6295D" w:rsidRPr="00061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увеличивший объем производства на </w:t>
      </w:r>
      <w:r w:rsidR="0036301F" w:rsidRPr="00061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34,2</w:t>
      </w:r>
      <w:r w:rsidR="00E6295D" w:rsidRPr="000617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% и обеспечивший 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83,4</w:t>
      </w:r>
      <w:proofErr w:type="gram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 обще</w:t>
      </w:r>
      <w:r w:rsidR="00391389" w:rsidRPr="00061793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выпуска в отрасли.</w:t>
      </w:r>
    </w:p>
    <w:p w:rsidR="00E6295D" w:rsidRPr="00061793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hAnsi="Times New Roman"/>
          <w:sz w:val="24"/>
          <w:szCs w:val="24"/>
        </w:rPr>
        <w:t>в</w:t>
      </w:r>
      <w:r w:rsidR="00E6295D" w:rsidRPr="00061793">
        <w:rPr>
          <w:rFonts w:ascii="Times New Roman" w:hAnsi="Times New Roman"/>
          <w:sz w:val="24"/>
          <w:szCs w:val="24"/>
        </w:rPr>
        <w:t>)</w:t>
      </w:r>
      <w:r w:rsidR="00E6295D" w:rsidRPr="00061793">
        <w:rPr>
          <w:rFonts w:ascii="Times New Roman" w:hAnsi="Times New Roman"/>
          <w:b/>
          <w:sz w:val="24"/>
          <w:szCs w:val="24"/>
        </w:rPr>
        <w:t xml:space="preserve"> </w:t>
      </w:r>
      <w:r w:rsidR="000909D1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предприятиях </w:t>
      </w:r>
      <w:r w:rsidR="000909D1" w:rsidRPr="00061793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="000909D1" w:rsidRPr="000617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январ</w:t>
      </w:r>
      <w:r w:rsidR="000909D1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увеличение производства швейных изделий на 15,9%,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 xml:space="preserve"> курток на 32,2%,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 xml:space="preserve"> детских платьев в 4,5 раза</w:t>
      </w:r>
      <w:r w:rsidR="00CF1D2F">
        <w:rPr>
          <w:rFonts w:ascii="Times New Roman" w:eastAsia="Times New Roman" w:hAnsi="Times New Roman" w:cs="Times New Roman"/>
          <w:sz w:val="24"/>
          <w:szCs w:val="24"/>
        </w:rPr>
        <w:t xml:space="preserve"> обусловило расширение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 </w:t>
      </w:r>
      <w:r w:rsidR="000909D1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6301F" w:rsidRPr="00061793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0909D1" w:rsidRPr="0006179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в сопоставимых ценах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относительно показателя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2015 года.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определяющее влияние на отраслевой показатель оказывает работа крупнейшего предприятия отрасли ЗАО «</w:t>
      </w:r>
      <w:proofErr w:type="spellStart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9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увеличившего товарный выпуск за рассматриваемый период на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29,8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%. Также увеличение товарного выпуска отмечено на ЗАО «Швейная фирма «</w:t>
      </w:r>
      <w:proofErr w:type="spellStart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45,7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ПФ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Интерцентр</w:t>
      </w:r>
      <w:proofErr w:type="spellEnd"/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 xml:space="preserve"> Люкс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976210" w:rsidRPr="00061793">
        <w:rPr>
          <w:rFonts w:ascii="Times New Roman" w:eastAsia="Times New Roman" w:hAnsi="Times New Roman" w:cs="Times New Roman"/>
          <w:sz w:val="24"/>
          <w:szCs w:val="24"/>
        </w:rPr>
        <w:t>39,5</w:t>
      </w:r>
      <w:r w:rsidR="001440EC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394E6B"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Положительные результаты в деятельности </w:t>
      </w:r>
      <w:r w:rsidR="000D23C3" w:rsidRPr="00061793">
        <w:rPr>
          <w:rFonts w:ascii="Times New Roman" w:eastAsia="Times New Roman" w:hAnsi="Times New Roman" w:cs="Times New Roman"/>
          <w:sz w:val="24"/>
          <w:szCs w:val="24"/>
        </w:rPr>
        <w:t>экономических агентов отрасли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обусловлены в значительной мере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оказанием государственной поддержки 4 предприятиям легкой промышленности (ЗАО «</w:t>
      </w:r>
      <w:proofErr w:type="spellStart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») в виде льготных тарифов на энергоносители и льгот по налогу на доходы, что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в совокупности с поиском новых рынков сбыта</w:t>
      </w:r>
      <w:r w:rsidR="00CF1D2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5091" w:rsidRPr="00061793">
        <w:rPr>
          <w:rFonts w:ascii="Times New Roman" w:eastAsia="Times New Roman" w:hAnsi="Times New Roman" w:cs="Times New Roman"/>
          <w:sz w:val="24"/>
          <w:szCs w:val="24"/>
        </w:rPr>
        <w:t>обеспечивает загрузку производственных мощностей предприяти</w:t>
      </w:r>
      <w:r w:rsidR="00CF1D2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75091" w:rsidRPr="00061793">
        <w:rPr>
          <w:rFonts w:ascii="Times New Roman" w:eastAsia="Times New Roman" w:hAnsi="Times New Roman" w:cs="Times New Roman"/>
          <w:sz w:val="24"/>
          <w:szCs w:val="24"/>
        </w:rPr>
        <w:t xml:space="preserve"> и как следствие 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="00875091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 ве</w:t>
      </w:r>
      <w:r w:rsidR="00875091" w:rsidRPr="00061793">
        <w:rPr>
          <w:rFonts w:ascii="Times New Roman" w:eastAsia="Times New Roman" w:hAnsi="Times New Roman" w:cs="Times New Roman"/>
          <w:sz w:val="24"/>
          <w:szCs w:val="24"/>
        </w:rPr>
        <w:t>дение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 xml:space="preserve"> финансово-хозяйственн</w:t>
      </w:r>
      <w:r w:rsidR="00875091" w:rsidRPr="00061793">
        <w:rPr>
          <w:rFonts w:ascii="Times New Roman" w:eastAsia="Times New Roman" w:hAnsi="Times New Roman" w:cs="Times New Roman"/>
          <w:sz w:val="24"/>
          <w:szCs w:val="24"/>
        </w:rPr>
        <w:t>ой деятельности</w:t>
      </w:r>
      <w:r w:rsidR="00DE009C"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061793" w:rsidRDefault="00875091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>Между тем, 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июл</w:t>
      </w:r>
      <w:r w:rsidR="00394E6B" w:rsidRPr="0006179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2016 года по отношению к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июню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на фоне неустойчивой конъюнктуры внешних рынков, на которые в основном ориентированы предприятия отрасли, спад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составил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061793" w:rsidRDefault="00E6295D" w:rsidP="00E62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695450"/>
            <wp:effectExtent l="0" t="0" r="0" b="0"/>
            <wp:docPr id="12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009C" w:rsidRPr="00061793" w:rsidRDefault="00DE009C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022" w:rsidRPr="00061793" w:rsidRDefault="004616D9" w:rsidP="00540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06179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E6295D" w:rsidRPr="00061793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E6295D" w:rsidRPr="00061793">
        <w:rPr>
          <w:rFonts w:ascii="Times New Roman" w:eastAsia="Times New Roman" w:hAnsi="Times New Roman" w:cs="Times New Roman"/>
          <w:snapToGrid w:val="0"/>
          <w:sz w:val="24"/>
          <w:szCs w:val="24"/>
        </w:rPr>
        <w:t>фиксируется увеличение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1,9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расширением объемов производства на </w:t>
      </w:r>
      <w:r w:rsidR="003A3A1C" w:rsidRPr="00061793">
        <w:rPr>
          <w:rFonts w:ascii="Times New Roman" w:eastAsia="Times New Roman" w:hAnsi="Times New Roman" w:cs="Times New Roman"/>
          <w:sz w:val="24"/>
          <w:szCs w:val="24"/>
        </w:rPr>
        <w:t>ЗАО «Тираспольский винно-коньячный завод «KVINT» («+»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3,1</w:t>
      </w:r>
      <w:r w:rsidR="003A3A1C" w:rsidRPr="00061793">
        <w:rPr>
          <w:rFonts w:ascii="Times New Roman" w:eastAsia="Times New Roman" w:hAnsi="Times New Roman" w:cs="Times New Roman"/>
          <w:sz w:val="24"/>
          <w:szCs w:val="24"/>
        </w:rPr>
        <w:t>%)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ГУП «</w:t>
      </w:r>
      <w:proofErr w:type="spellStart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Биохим</w:t>
      </w:r>
      <w:proofErr w:type="spell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>(«+»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56,8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>%),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 xml:space="preserve">ЗАО «Завод консервов детского питания («+»99,8%),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Положительная динамика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отрасли </w:t>
      </w:r>
      <w:r w:rsidR="00C91C6D" w:rsidRPr="00061793">
        <w:rPr>
          <w:rFonts w:ascii="Times New Roman" w:hAnsi="Times New Roman" w:cs="Times New Roman"/>
          <w:sz w:val="24"/>
          <w:szCs w:val="24"/>
        </w:rPr>
        <w:t>в значительной степени обусловлена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расширением выпуска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 xml:space="preserve">масла растительного («+»77,8%), 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>спирта этилового (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>«+»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54,9</w:t>
      </w:r>
      <w:r w:rsidR="00C91C6D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)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вин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виноградных</w:t>
      </w:r>
      <w:proofErr w:type="gramEnd"/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48,1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>%)</w:t>
      </w:r>
      <w:r w:rsidR="003775C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 Вместе с этим по ряду товарных позиций отмечалось сокращение: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 xml:space="preserve">безалкогольных напитков и минеральных вод (в среднем на 3,5%), </w:t>
      </w:r>
      <w:r w:rsidR="003775CD" w:rsidRPr="00061793">
        <w:rPr>
          <w:rFonts w:ascii="Times New Roman" w:eastAsia="Times New Roman" w:hAnsi="Times New Roman" w:cs="Times New Roman"/>
          <w:sz w:val="24"/>
          <w:szCs w:val="24"/>
        </w:rPr>
        <w:t>консервов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 xml:space="preserve"> (на </w:t>
      </w:r>
      <w:r w:rsidR="003775CD" w:rsidRPr="000617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75CD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6%)</w:t>
      </w:r>
      <w:r w:rsidR="001B0022" w:rsidRPr="00061793">
        <w:rPr>
          <w:rFonts w:ascii="Times New Roman" w:eastAsia="Times New Roman" w:hAnsi="Times New Roman" w:cs="Times New Roman"/>
          <w:sz w:val="24"/>
          <w:szCs w:val="24"/>
        </w:rPr>
        <w:t>, животных масел (</w:t>
      </w:r>
      <w:r w:rsidR="00BD6BCB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39,3</w:t>
      </w:r>
      <w:r w:rsidR="003775CD" w:rsidRPr="00061793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6295D" w:rsidRPr="00061793" w:rsidRDefault="003775C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июн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в пищевой промышленности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 xml:space="preserve"> конкуренции с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 xml:space="preserve">более дешевыми </w:t>
      </w:r>
      <w:r w:rsidR="00F41560" w:rsidRPr="00061793">
        <w:rPr>
          <w:rFonts w:ascii="Times New Roman" w:eastAsia="Times New Roman" w:hAnsi="Times New Roman" w:cs="Times New Roman"/>
          <w:sz w:val="24"/>
          <w:szCs w:val="24"/>
        </w:rPr>
        <w:t>импортными товарами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зафиксирован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BD6BCB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объема промышленного производства на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Спад промышленного производства в 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2015 году наблюдается в </w:t>
      </w: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1793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E6295D" w:rsidRPr="00061793" w:rsidRDefault="00E6295D" w:rsidP="00E62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в результате снижения потребности в электроэнергии со стороны ключевых потребителей, как на внешн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, так и на внутренн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 рынк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в январе-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отмечается снижение выработки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электроэнергии в натуральном выражении в целом по отрасли на 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62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755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 тыс. кВт/ч 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br/>
        <w:t>(«-»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5,6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 сравнению с соответствующим периодом 2015 года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 xml:space="preserve">отпуска 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 xml:space="preserve">тепловой энергии на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7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 тыс. Гкал</w:t>
      </w:r>
      <w:proofErr w:type="gramEnd"/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 («-»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>0,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 xml:space="preserve">что обусловило снижение </w:t>
      </w:r>
      <w:r w:rsidR="006769F4" w:rsidRPr="00061793">
        <w:rPr>
          <w:rFonts w:ascii="Times New Roman" w:eastAsia="Times New Roman" w:hAnsi="Times New Roman" w:cs="Times New Roman"/>
          <w:sz w:val="24"/>
          <w:szCs w:val="24"/>
        </w:rPr>
        <w:t>товарн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 xml:space="preserve">ого выпуска в электроэнергетическом комплексе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в стоимостном выражении на 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</w:t>
      </w:r>
      <w:r w:rsidR="00222865" w:rsidRPr="0006179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При этом, в 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3B638E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2016 года на фоне </w:t>
      </w:r>
      <w:r w:rsidR="00EE418E" w:rsidRPr="00061793">
        <w:rPr>
          <w:rFonts w:ascii="Times New Roman" w:eastAsia="Times New Roman" w:hAnsi="Times New Roman" w:cs="Times New Roman"/>
          <w:sz w:val="24"/>
          <w:szCs w:val="24"/>
        </w:rPr>
        <w:t>роста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06B"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электроэнергии у некоторых категорий потребителей,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</w:t>
      </w:r>
      <w:r w:rsidR="009C306B" w:rsidRPr="00061793">
        <w:rPr>
          <w:rFonts w:ascii="Times New Roman" w:eastAsia="Times New Roman" w:hAnsi="Times New Roman" w:cs="Times New Roman"/>
          <w:sz w:val="24"/>
          <w:szCs w:val="24"/>
        </w:rPr>
        <w:t>отрасли вырос по отношению к июню текущего года на 9,4%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95D" w:rsidRPr="00061793" w:rsidRDefault="00E6295D" w:rsidP="00E6295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1793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2066925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16D9" w:rsidRPr="00061793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б) в </w:t>
      </w: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951371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фоне продолжающегося воздействия кризисных явлений и высокой конкуренции на внешних рынках, </w:t>
      </w:r>
      <w:r w:rsidRPr="00061793">
        <w:rPr>
          <w:rFonts w:ascii="Times New Roman" w:hAnsi="Times New Roman"/>
          <w:sz w:val="24"/>
          <w:szCs w:val="24"/>
        </w:rPr>
        <w:t xml:space="preserve">объем промышленного производства </w:t>
      </w:r>
      <w:r w:rsidR="00CF1D2F">
        <w:rPr>
          <w:rFonts w:ascii="Times New Roman" w:hAnsi="Times New Roman"/>
          <w:sz w:val="24"/>
          <w:szCs w:val="24"/>
        </w:rPr>
        <w:t xml:space="preserve">в </w:t>
      </w:r>
      <w:r w:rsidR="00951371" w:rsidRPr="00061793">
        <w:rPr>
          <w:rFonts w:ascii="Times New Roman" w:hAnsi="Times New Roman"/>
          <w:sz w:val="24"/>
          <w:szCs w:val="24"/>
        </w:rPr>
        <w:t xml:space="preserve">стоимостном выражении </w:t>
      </w:r>
      <w:r w:rsidRPr="00061793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51371" w:rsidRPr="00061793">
        <w:rPr>
          <w:rFonts w:ascii="Times New Roman" w:hAnsi="Times New Roman"/>
          <w:sz w:val="24"/>
          <w:szCs w:val="24"/>
        </w:rPr>
        <w:t>сократ</w:t>
      </w:r>
      <w:r w:rsidRPr="00061793">
        <w:rPr>
          <w:rFonts w:ascii="Times New Roman" w:hAnsi="Times New Roman"/>
          <w:sz w:val="24"/>
          <w:szCs w:val="24"/>
        </w:rPr>
        <w:t xml:space="preserve">ился по отношению к базовому показателю </w:t>
      </w:r>
      <w:r w:rsidRPr="00061793">
        <w:rPr>
          <w:rFonts w:ascii="Times New Roman" w:hAnsi="Times New Roman" w:cs="Times New Roman"/>
          <w:sz w:val="24"/>
          <w:szCs w:val="24"/>
        </w:rPr>
        <w:t xml:space="preserve">2015 года на </w:t>
      </w:r>
      <w:r w:rsidR="00951371" w:rsidRPr="00061793">
        <w:rPr>
          <w:rFonts w:ascii="Times New Roman" w:hAnsi="Times New Roman" w:cs="Times New Roman"/>
          <w:sz w:val="24"/>
          <w:szCs w:val="24"/>
        </w:rPr>
        <w:t>11,5</w:t>
      </w:r>
      <w:r w:rsidRPr="00061793">
        <w:rPr>
          <w:rFonts w:ascii="Times New Roman" w:hAnsi="Times New Roman" w:cs="Times New Roman"/>
          <w:sz w:val="24"/>
          <w:szCs w:val="24"/>
        </w:rPr>
        <w:t>% (в сопоставимых ценах) до 1</w:t>
      </w:r>
      <w:r w:rsidR="00951371" w:rsidRPr="00061793">
        <w:rPr>
          <w:rFonts w:ascii="Times New Roman" w:hAnsi="Times New Roman" w:cs="Times New Roman"/>
          <w:sz w:val="24"/>
          <w:szCs w:val="24"/>
        </w:rPr>
        <w:t> 159,6</w:t>
      </w:r>
      <w:r w:rsidRPr="00061793">
        <w:rPr>
          <w:rFonts w:ascii="Times New Roman" w:hAnsi="Times New Roman" w:cs="Times New Roman"/>
          <w:sz w:val="24"/>
          <w:szCs w:val="24"/>
        </w:rPr>
        <w:t xml:space="preserve"> млн. руб., однако учитывая значительное падение отпускных цен, выпуск продукции отрасли в текущих ценах сократился на</w:t>
      </w:r>
      <w:r w:rsidRPr="00061793">
        <w:rPr>
          <w:rFonts w:ascii="Times New Roman" w:hAnsi="Times New Roman"/>
          <w:sz w:val="24"/>
          <w:szCs w:val="24"/>
        </w:rPr>
        <w:t xml:space="preserve"> </w:t>
      </w:r>
      <w:r w:rsidR="00951371" w:rsidRPr="00061793">
        <w:rPr>
          <w:rFonts w:ascii="Times New Roman" w:hAnsi="Times New Roman"/>
          <w:sz w:val="24"/>
          <w:szCs w:val="24"/>
        </w:rPr>
        <w:t>32,8</w:t>
      </w:r>
      <w:r w:rsidRPr="00061793">
        <w:rPr>
          <w:rFonts w:ascii="Times New Roman" w:hAnsi="Times New Roman"/>
          <w:sz w:val="24"/>
          <w:szCs w:val="24"/>
        </w:rPr>
        <w:t>%. Нестабильная работа</w:t>
      </w:r>
      <w:proofErr w:type="gramEnd"/>
      <w:r w:rsidRPr="00061793">
        <w:rPr>
          <w:rFonts w:ascii="Times New Roman" w:hAnsi="Times New Roman"/>
          <w:sz w:val="24"/>
          <w:szCs w:val="24"/>
        </w:rPr>
        <w:t xml:space="preserve"> ОАО «Молдавский металлургический завод», на фоне неопределенности ситуации на рынке черных металлов, обусловила падение объема промышленного производства отрасли в ию</w:t>
      </w:r>
      <w:r w:rsidR="000219A4" w:rsidRPr="00061793">
        <w:rPr>
          <w:rFonts w:ascii="Times New Roman" w:hAnsi="Times New Roman"/>
          <w:sz w:val="24"/>
          <w:szCs w:val="24"/>
        </w:rPr>
        <w:t>л</w:t>
      </w:r>
      <w:r w:rsidRPr="00061793">
        <w:rPr>
          <w:rFonts w:ascii="Times New Roman" w:hAnsi="Times New Roman"/>
          <w:sz w:val="24"/>
          <w:szCs w:val="24"/>
        </w:rPr>
        <w:t xml:space="preserve">е 2016 года по отношению к аналогичному периоду 2015 года на </w:t>
      </w:r>
      <w:r w:rsidR="000219A4" w:rsidRPr="00061793">
        <w:rPr>
          <w:rFonts w:ascii="Times New Roman" w:hAnsi="Times New Roman"/>
          <w:sz w:val="24"/>
          <w:szCs w:val="24"/>
        </w:rPr>
        <w:t>78,5</w:t>
      </w:r>
      <w:r w:rsidRPr="00061793">
        <w:rPr>
          <w:rFonts w:ascii="Times New Roman" w:hAnsi="Times New Roman"/>
          <w:sz w:val="24"/>
          <w:szCs w:val="24"/>
        </w:rPr>
        <w:t xml:space="preserve">%, а по отношению к </w:t>
      </w:r>
      <w:r w:rsidR="000219A4" w:rsidRPr="00061793">
        <w:rPr>
          <w:rFonts w:ascii="Times New Roman" w:hAnsi="Times New Roman"/>
          <w:sz w:val="24"/>
          <w:szCs w:val="24"/>
        </w:rPr>
        <w:t>июн</w:t>
      </w:r>
      <w:r w:rsidRPr="00061793">
        <w:rPr>
          <w:rFonts w:ascii="Times New Roman" w:hAnsi="Times New Roman"/>
          <w:sz w:val="24"/>
          <w:szCs w:val="24"/>
        </w:rPr>
        <w:t xml:space="preserve">ю текущего года снижение товарного выпуска составило </w:t>
      </w:r>
      <w:r w:rsidR="000219A4" w:rsidRPr="00061793">
        <w:rPr>
          <w:rFonts w:ascii="Times New Roman" w:hAnsi="Times New Roman"/>
          <w:sz w:val="24"/>
          <w:szCs w:val="24"/>
        </w:rPr>
        <w:t>41,4</w:t>
      </w:r>
      <w:r w:rsidRPr="00061793">
        <w:rPr>
          <w:rFonts w:ascii="Times New Roman" w:hAnsi="Times New Roman"/>
          <w:sz w:val="24"/>
          <w:szCs w:val="24"/>
        </w:rPr>
        <w:t>%.</w:t>
      </w:r>
    </w:p>
    <w:p w:rsidR="004616D9" w:rsidRPr="00061793" w:rsidRDefault="004616D9" w:rsidP="00461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793">
        <w:rPr>
          <w:rFonts w:ascii="Times New Roman" w:hAnsi="Times New Roman"/>
          <w:sz w:val="24"/>
          <w:szCs w:val="24"/>
        </w:rPr>
        <w:t>В январе-ию</w:t>
      </w:r>
      <w:r w:rsidR="000219A4" w:rsidRPr="00061793">
        <w:rPr>
          <w:rFonts w:ascii="Times New Roman" w:hAnsi="Times New Roman"/>
          <w:sz w:val="24"/>
          <w:szCs w:val="24"/>
        </w:rPr>
        <w:t>л</w:t>
      </w:r>
      <w:r w:rsidRPr="00061793">
        <w:rPr>
          <w:rFonts w:ascii="Times New Roman" w:hAnsi="Times New Roman"/>
          <w:sz w:val="24"/>
          <w:szCs w:val="24"/>
        </w:rPr>
        <w:t xml:space="preserve">е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Pr="00061793">
        <w:rPr>
          <w:rFonts w:ascii="Times New Roman" w:hAnsi="Times New Roman"/>
          <w:sz w:val="24"/>
          <w:szCs w:val="24"/>
        </w:rPr>
        <w:t xml:space="preserve">в черной металлургии отмечено </w:t>
      </w:r>
      <w:r w:rsidR="000219A4" w:rsidRPr="00061793">
        <w:rPr>
          <w:rFonts w:ascii="Times New Roman" w:hAnsi="Times New Roman"/>
          <w:sz w:val="24"/>
          <w:szCs w:val="24"/>
        </w:rPr>
        <w:t>сниже</w:t>
      </w:r>
      <w:r w:rsidRPr="00061793">
        <w:rPr>
          <w:rFonts w:ascii="Times New Roman" w:hAnsi="Times New Roman"/>
          <w:sz w:val="24"/>
          <w:szCs w:val="24"/>
        </w:rPr>
        <w:t xml:space="preserve">ние производства проката черных металлов </w:t>
      </w:r>
      <w:r w:rsidR="000219A4" w:rsidRPr="00061793">
        <w:rPr>
          <w:rFonts w:ascii="Times New Roman" w:hAnsi="Times New Roman"/>
          <w:sz w:val="24"/>
          <w:szCs w:val="24"/>
        </w:rPr>
        <w:t xml:space="preserve">- </w:t>
      </w:r>
      <w:r w:rsidRPr="00061793">
        <w:rPr>
          <w:rFonts w:ascii="Times New Roman" w:hAnsi="Times New Roman"/>
          <w:sz w:val="24"/>
          <w:szCs w:val="24"/>
        </w:rPr>
        <w:t xml:space="preserve">на </w:t>
      </w:r>
      <w:r w:rsidR="000219A4" w:rsidRPr="00061793">
        <w:rPr>
          <w:rFonts w:ascii="Times New Roman" w:hAnsi="Times New Roman"/>
          <w:sz w:val="24"/>
          <w:szCs w:val="24"/>
        </w:rPr>
        <w:t>11,6</w:t>
      </w:r>
      <w:r w:rsidRPr="00061793">
        <w:rPr>
          <w:rFonts w:ascii="Times New Roman" w:hAnsi="Times New Roman"/>
          <w:sz w:val="24"/>
          <w:szCs w:val="24"/>
        </w:rPr>
        <w:t xml:space="preserve">%, </w:t>
      </w:r>
      <w:r w:rsidR="000219A4" w:rsidRPr="00061793">
        <w:rPr>
          <w:rFonts w:ascii="Times New Roman" w:hAnsi="Times New Roman"/>
          <w:sz w:val="24"/>
          <w:szCs w:val="24"/>
        </w:rPr>
        <w:t>стали</w:t>
      </w:r>
      <w:r w:rsidRPr="00061793">
        <w:rPr>
          <w:rFonts w:ascii="Times New Roman" w:hAnsi="Times New Roman"/>
          <w:sz w:val="24"/>
          <w:szCs w:val="24"/>
        </w:rPr>
        <w:t xml:space="preserve"> - на </w:t>
      </w:r>
      <w:r w:rsidR="000219A4" w:rsidRPr="00061793">
        <w:rPr>
          <w:rFonts w:ascii="Times New Roman" w:hAnsi="Times New Roman"/>
          <w:sz w:val="24"/>
          <w:szCs w:val="24"/>
        </w:rPr>
        <w:t>72,0</w:t>
      </w:r>
      <w:r w:rsidRPr="00061793">
        <w:rPr>
          <w:rFonts w:ascii="Times New Roman" w:hAnsi="Times New Roman"/>
          <w:sz w:val="24"/>
          <w:szCs w:val="24"/>
        </w:rPr>
        <w:t>%.</w:t>
      </w: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hAnsi="Times New Roman"/>
          <w:sz w:val="24"/>
          <w:szCs w:val="24"/>
        </w:rPr>
        <w:t xml:space="preserve">в)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предприятия </w:t>
      </w: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 итогам января-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             2016 года 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 xml:space="preserve">продолжали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демонстрир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>овать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снижение объема производства 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>(«-»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9,7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базовым параметрам 2015 года. Данная динамика показателя вызвана снижением объема производства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 xml:space="preserve">ЗАО «Российское предприятие «БМЗ» («-»1,0%), </w:t>
      </w:r>
      <w:r w:rsidR="00CF1D2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>ф-л</w:t>
      </w:r>
      <w:proofErr w:type="spellEnd"/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405C5" w:rsidRPr="0006179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50798" w:rsidRPr="00061793">
        <w:rPr>
          <w:rFonts w:ascii="Times New Roman" w:eastAsia="Times New Roman" w:hAnsi="Times New Roman" w:cs="Times New Roman"/>
          <w:sz w:val="24"/>
          <w:szCs w:val="24"/>
        </w:rPr>
        <w:t>авод «Прибор»</w:t>
      </w:r>
      <w:r w:rsidR="000405C5" w:rsidRPr="00061793">
        <w:rPr>
          <w:rFonts w:ascii="Times New Roman" w:eastAsia="Times New Roman" w:hAnsi="Times New Roman" w:cs="Times New Roman"/>
          <w:sz w:val="24"/>
          <w:szCs w:val="24"/>
        </w:rPr>
        <w:t xml:space="preserve"> («-»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10,7</w:t>
      </w:r>
      <w:r w:rsidR="000405C5" w:rsidRPr="00061793"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061793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061793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,5</w:t>
      </w:r>
      <w:r w:rsidR="00CF1D2F">
        <w:rPr>
          <w:rFonts w:ascii="Times New Roman" w:eastAsia="Times New Roman" w:hAnsi="Times New Roman" w:cs="Times New Roman"/>
          <w:sz w:val="24"/>
          <w:szCs w:val="24"/>
        </w:rPr>
        <w:t>%). При этом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июн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 товарный выпуск в целом по отрасли</w:t>
      </w:r>
      <w:r w:rsidR="005935BB" w:rsidRPr="00061793">
        <w:rPr>
          <w:rFonts w:ascii="Times New Roman" w:eastAsia="Times New Roman" w:hAnsi="Times New Roman" w:cs="Times New Roman"/>
          <w:sz w:val="24"/>
          <w:szCs w:val="24"/>
        </w:rPr>
        <w:t>, на фоне поиска новых рынков сбыта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105,1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061793" w:rsidRDefault="00E6295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г) в</w:t>
      </w:r>
      <w:r w:rsidRPr="00061793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электротехнической промышленности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на фоне прироста товарного выпуска в сопоставимой оценке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17,1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% на НП ЗАО «</w:t>
      </w:r>
      <w:proofErr w:type="spellStart"/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69,4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% отраслевого выпуска) по отношению к аналогичному периоду 2015 года в совокупности со снижение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объем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на 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%, на втором ведущем предприятии отрасли ЗАО «</w:t>
      </w:r>
      <w:proofErr w:type="spellStart"/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27,6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по итогам января-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отмечен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 понижающий вектор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отраслевого выпуска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 xml:space="preserve"> («-»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6B2DA7" w:rsidRPr="00061793">
        <w:rPr>
          <w:rFonts w:ascii="Times New Roman" w:eastAsia="Times New Roman" w:hAnsi="Times New Roman" w:cs="Times New Roman"/>
          <w:sz w:val="24"/>
          <w:szCs w:val="24"/>
        </w:rPr>
        <w:t>%)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При этом</w:t>
      </w:r>
      <w:proofErr w:type="gramStart"/>
      <w:r w:rsidR="005F204F" w:rsidRPr="000617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если рассматривать показатели отрасли в 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 по отношению к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июню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 2016 года, то отрасль демонстрирует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8A501A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объема промышленного производства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33,1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DF6CED" w:rsidRPr="00061793" w:rsidRDefault="004616D9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6179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E6295D" w:rsidRPr="00061793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7A3CF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в рассматриваемом периоде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отмечается снижение выпуска готовой продукции в сопоставимых ценах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21,0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ЗАО «Тираспольский комбинат хлебопродуктов»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4,2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D444AF" w:rsidRPr="00061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D444AF" w:rsidRPr="00061793">
        <w:rPr>
          <w:rFonts w:ascii="Times New Roman" w:eastAsia="Times New Roman" w:hAnsi="Times New Roman" w:cs="Times New Roman"/>
          <w:sz w:val="24"/>
          <w:szCs w:val="24"/>
        </w:rPr>
        <w:t xml:space="preserve">ЗАО «Бендерский комбинат хлебопродуктов» на </w:t>
      </w:r>
      <w:r w:rsidR="00DF6CED" w:rsidRPr="00061793">
        <w:rPr>
          <w:rFonts w:ascii="Times New Roman" w:eastAsia="Times New Roman" w:hAnsi="Times New Roman" w:cs="Times New Roman"/>
          <w:sz w:val="24"/>
          <w:szCs w:val="24"/>
        </w:rPr>
        <w:t>52,5</w:t>
      </w:r>
      <w:r w:rsidR="00D444AF" w:rsidRPr="00061793">
        <w:rPr>
          <w:rFonts w:ascii="Times New Roman" w:eastAsia="Times New Roman" w:hAnsi="Times New Roman" w:cs="Times New Roman"/>
          <w:sz w:val="24"/>
          <w:szCs w:val="24"/>
        </w:rPr>
        <w:t>%,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 xml:space="preserve"> ввиду </w:t>
      </w:r>
      <w:r w:rsidR="00E6295D" w:rsidRPr="00061793">
        <w:rPr>
          <w:rFonts w:ascii="Times New Roman" w:hAnsi="Times New Roman"/>
          <w:sz w:val="24"/>
          <w:szCs w:val="24"/>
        </w:rPr>
        <w:t xml:space="preserve">жесткой конкуренции на </w:t>
      </w:r>
      <w:r w:rsidR="00E6295D" w:rsidRPr="00061793">
        <w:rPr>
          <w:rFonts w:ascii="Times New Roman" w:hAnsi="Times New Roman"/>
          <w:sz w:val="24"/>
          <w:szCs w:val="24"/>
        </w:rPr>
        <w:lastRenderedPageBreak/>
        <w:t xml:space="preserve">отраслевом рынке, из-за </w:t>
      </w:r>
      <w:r w:rsidR="00E6295D" w:rsidRPr="00061793">
        <w:rPr>
          <w:rFonts w:ascii="Times New Roman" w:hAnsi="Times New Roman"/>
          <w:color w:val="262626"/>
          <w:sz w:val="24"/>
          <w:szCs w:val="24"/>
        </w:rPr>
        <w:t>импорта товаров по более низким ценам из сопредельных государств</w:t>
      </w:r>
      <w:r w:rsidR="00E6295D" w:rsidRPr="0006179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A3CFD" w:rsidRPr="00061793" w:rsidRDefault="007A3CFD" w:rsidP="00E6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анализируемом периоде отмечается снижение производства круп на </w:t>
      </w:r>
      <w:r w:rsidR="00A7366B" w:rsidRPr="00061793">
        <w:rPr>
          <w:rFonts w:ascii="Times New Roman" w:eastAsia="Times New Roman" w:hAnsi="Times New Roman" w:cs="Times New Roman"/>
          <w:sz w:val="24"/>
          <w:szCs w:val="24"/>
        </w:rPr>
        <w:t>21,0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 xml:space="preserve">% и муки на </w:t>
      </w:r>
      <w:r w:rsidR="00A7366B" w:rsidRPr="00061793">
        <w:rPr>
          <w:rFonts w:ascii="Times New Roman" w:eastAsia="Times New Roman" w:hAnsi="Times New Roman" w:cs="Times New Roman"/>
          <w:sz w:val="24"/>
          <w:szCs w:val="24"/>
        </w:rPr>
        <w:t>20,2</w:t>
      </w:r>
      <w:r w:rsidRPr="00061793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6295D" w:rsidRPr="0073158C" w:rsidRDefault="004616D9" w:rsidP="00E629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61793">
        <w:rPr>
          <w:rFonts w:ascii="Times New Roman" w:hAnsi="Times New Roman"/>
          <w:color w:val="000000"/>
          <w:sz w:val="24"/>
          <w:szCs w:val="24"/>
        </w:rPr>
        <w:t>е</w:t>
      </w:r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) в </w:t>
      </w:r>
      <w:r w:rsidR="00E6295D" w:rsidRPr="00061793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 падение объема производства в </w:t>
      </w:r>
      <w:r w:rsidR="00D444AF" w:rsidRPr="00061793">
        <w:rPr>
          <w:rFonts w:ascii="Times New Roman" w:hAnsi="Times New Roman"/>
          <w:color w:val="000000"/>
          <w:sz w:val="24"/>
          <w:szCs w:val="24"/>
        </w:rPr>
        <w:t>рассматриваемом периоде</w:t>
      </w:r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 на ГУИП Типография «Полиграфист» (</w:t>
      </w:r>
      <w:r w:rsidR="00A66695" w:rsidRPr="00061793">
        <w:rPr>
          <w:rFonts w:ascii="Times New Roman" w:hAnsi="Times New Roman"/>
          <w:color w:val="000000"/>
          <w:sz w:val="24"/>
          <w:szCs w:val="24"/>
        </w:rPr>
        <w:t>67,3</w:t>
      </w:r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% общего объема производства по </w:t>
      </w:r>
      <w:proofErr w:type="spellStart"/>
      <w:r w:rsidR="00E6295D" w:rsidRPr="00061793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A66695" w:rsidRPr="00061793">
        <w:rPr>
          <w:rFonts w:ascii="Times New Roman" w:hAnsi="Times New Roman"/>
          <w:color w:val="000000"/>
          <w:sz w:val="24"/>
          <w:szCs w:val="24"/>
        </w:rPr>
        <w:t>на 61,6</w:t>
      </w:r>
      <w:r w:rsidR="00F93B94" w:rsidRPr="00061793">
        <w:rPr>
          <w:rFonts w:ascii="Times New Roman" w:hAnsi="Times New Roman"/>
          <w:color w:val="000000"/>
          <w:sz w:val="24"/>
          <w:szCs w:val="24"/>
        </w:rPr>
        <w:t>% относительно соответствующего периода прошлого года</w:t>
      </w:r>
      <w:r w:rsidR="007A3CFD" w:rsidRPr="00061793">
        <w:rPr>
          <w:rFonts w:ascii="Times New Roman" w:hAnsi="Times New Roman"/>
          <w:color w:val="000000"/>
          <w:sz w:val="24"/>
          <w:szCs w:val="24"/>
        </w:rPr>
        <w:t>,</w:t>
      </w:r>
      <w:r w:rsidR="00F93B94" w:rsidRPr="00061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295D" w:rsidRPr="00061793">
        <w:rPr>
          <w:rFonts w:ascii="Times New Roman" w:hAnsi="Times New Roman"/>
          <w:color w:val="000000"/>
          <w:sz w:val="24"/>
          <w:szCs w:val="24"/>
        </w:rPr>
        <w:t xml:space="preserve">в результате </w:t>
      </w:r>
      <w:r w:rsidR="007A3CFD" w:rsidRPr="00061793">
        <w:rPr>
          <w:rFonts w:ascii="Times New Roman" w:hAnsi="Times New Roman"/>
          <w:color w:val="000000"/>
          <w:sz w:val="24"/>
          <w:szCs w:val="24"/>
        </w:rPr>
        <w:t xml:space="preserve">выполнения договорных обязательств по печати учебной литературы и </w:t>
      </w:r>
      <w:r w:rsidR="00D444AF" w:rsidRPr="00061793">
        <w:rPr>
          <w:rFonts w:ascii="Times New Roman" w:hAnsi="Times New Roman"/>
          <w:color w:val="000000"/>
          <w:sz w:val="24"/>
          <w:szCs w:val="24"/>
        </w:rPr>
        <w:t xml:space="preserve">отсутствия </w:t>
      </w:r>
      <w:r w:rsidR="007A3CFD" w:rsidRPr="0073158C">
        <w:rPr>
          <w:rFonts w:ascii="Times New Roman" w:hAnsi="Times New Roman"/>
          <w:color w:val="000000"/>
          <w:sz w:val="24"/>
          <w:szCs w:val="24"/>
        </w:rPr>
        <w:t xml:space="preserve">новых </w:t>
      </w:r>
      <w:r w:rsidR="00D444AF" w:rsidRPr="0073158C">
        <w:rPr>
          <w:rFonts w:ascii="Times New Roman" w:hAnsi="Times New Roman"/>
          <w:color w:val="000000"/>
          <w:sz w:val="24"/>
          <w:szCs w:val="24"/>
        </w:rPr>
        <w:t>масштабных</w:t>
      </w:r>
      <w:r w:rsidR="00F93B94" w:rsidRPr="0073158C">
        <w:rPr>
          <w:rFonts w:ascii="Times New Roman" w:hAnsi="Times New Roman"/>
          <w:color w:val="000000"/>
          <w:sz w:val="24"/>
          <w:szCs w:val="24"/>
        </w:rPr>
        <w:t xml:space="preserve"> заказов</w:t>
      </w:r>
      <w:r w:rsidR="00E6295D" w:rsidRPr="0073158C">
        <w:rPr>
          <w:rFonts w:ascii="Times New Roman" w:hAnsi="Times New Roman"/>
          <w:color w:val="000000"/>
          <w:sz w:val="24"/>
          <w:szCs w:val="24"/>
        </w:rPr>
        <w:t>, предопределило с</w:t>
      </w:r>
      <w:r w:rsidR="00A52E23" w:rsidRPr="0073158C">
        <w:rPr>
          <w:rFonts w:ascii="Times New Roman" w:hAnsi="Times New Roman"/>
          <w:color w:val="000000"/>
          <w:sz w:val="24"/>
          <w:szCs w:val="24"/>
        </w:rPr>
        <w:t xml:space="preserve">окращение совокупной стоимости </w:t>
      </w:r>
      <w:r w:rsidR="00E6295D" w:rsidRPr="0073158C">
        <w:rPr>
          <w:rFonts w:ascii="Times New Roman" w:hAnsi="Times New Roman"/>
          <w:color w:val="000000"/>
          <w:sz w:val="24"/>
          <w:szCs w:val="24"/>
        </w:rPr>
        <w:t xml:space="preserve">товарного выпуска отрасли на </w:t>
      </w:r>
      <w:r w:rsidR="00A66695" w:rsidRPr="0073158C">
        <w:rPr>
          <w:rFonts w:ascii="Times New Roman" w:hAnsi="Times New Roman"/>
          <w:color w:val="000000"/>
          <w:sz w:val="24"/>
          <w:szCs w:val="24"/>
        </w:rPr>
        <w:t>53,1</w:t>
      </w:r>
      <w:r w:rsidR="00E6295D" w:rsidRPr="0073158C">
        <w:rPr>
          <w:rFonts w:ascii="Times New Roman" w:hAnsi="Times New Roman"/>
          <w:color w:val="000000"/>
          <w:sz w:val="24"/>
          <w:szCs w:val="24"/>
        </w:rPr>
        <w:t>%.</w:t>
      </w:r>
    </w:p>
    <w:p w:rsidR="00AF09A4" w:rsidRDefault="00E6295D" w:rsidP="000C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58C">
        <w:rPr>
          <w:rFonts w:ascii="Times New Roman" w:eastAsia="Times New Roman" w:hAnsi="Times New Roman" w:cs="Times New Roman"/>
          <w:sz w:val="24"/>
          <w:szCs w:val="24"/>
        </w:rPr>
        <w:t>Таким образом, достигнутые значения показателей промышленного производства свидетельствуют о нестабильной ситуации на предприятиях индустрии.</w:t>
      </w:r>
      <w:r w:rsidR="009248E8" w:rsidRPr="007315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48E8" w:rsidRPr="0073158C">
        <w:rPr>
          <w:rFonts w:ascii="Times New Roman" w:hAnsi="Times New Roman" w:cs="Times New Roman"/>
          <w:sz w:val="24"/>
          <w:szCs w:val="24"/>
        </w:rPr>
        <w:t>Не</w:t>
      </w:r>
      <w:r w:rsidR="0073158C" w:rsidRPr="0073158C">
        <w:rPr>
          <w:rFonts w:ascii="Times New Roman" w:hAnsi="Times New Roman" w:cs="Times New Roman"/>
          <w:sz w:val="24"/>
          <w:szCs w:val="24"/>
        </w:rPr>
        <w:t xml:space="preserve">однозначная </w:t>
      </w:r>
      <w:r w:rsidR="009248E8" w:rsidRPr="0073158C">
        <w:rPr>
          <w:rFonts w:ascii="Times New Roman" w:hAnsi="Times New Roman" w:cs="Times New Roman"/>
          <w:sz w:val="24"/>
          <w:szCs w:val="24"/>
        </w:rPr>
        <w:t>ценовая ситуация на мировых товарных рынках, удешевление энергоносителей</w:t>
      </w:r>
      <w:r w:rsidR="0073158C" w:rsidRPr="0073158C">
        <w:rPr>
          <w:rFonts w:ascii="Times New Roman" w:hAnsi="Times New Roman" w:cs="Times New Roman"/>
          <w:sz w:val="24"/>
          <w:szCs w:val="24"/>
        </w:rPr>
        <w:t>, в совокупности с меняющимся на них спросом</w:t>
      </w:r>
      <w:r w:rsidR="009248E8" w:rsidRPr="0073158C">
        <w:rPr>
          <w:rFonts w:ascii="Times New Roman" w:hAnsi="Times New Roman" w:cs="Times New Roman"/>
          <w:sz w:val="24"/>
          <w:szCs w:val="24"/>
        </w:rPr>
        <w:t xml:space="preserve">, </w:t>
      </w:r>
      <w:r w:rsidR="0073158C" w:rsidRPr="0073158C">
        <w:rPr>
          <w:rFonts w:ascii="Times New Roman" w:hAnsi="Times New Roman" w:cs="Times New Roman"/>
          <w:sz w:val="24"/>
          <w:szCs w:val="24"/>
        </w:rPr>
        <w:t xml:space="preserve">понижательная динамика цен на </w:t>
      </w:r>
      <w:r w:rsidR="009248E8" w:rsidRPr="0073158C">
        <w:rPr>
          <w:rFonts w:ascii="Times New Roman" w:hAnsi="Times New Roman" w:cs="Times New Roman"/>
          <w:sz w:val="24"/>
          <w:szCs w:val="24"/>
        </w:rPr>
        <w:t>металл</w:t>
      </w:r>
      <w:r w:rsidR="0073158C" w:rsidRPr="0073158C">
        <w:rPr>
          <w:rFonts w:ascii="Times New Roman" w:hAnsi="Times New Roman" w:cs="Times New Roman"/>
          <w:sz w:val="24"/>
          <w:szCs w:val="24"/>
        </w:rPr>
        <w:t>ы</w:t>
      </w:r>
      <w:r w:rsidR="009248E8" w:rsidRPr="0073158C">
        <w:rPr>
          <w:rFonts w:ascii="Times New Roman" w:hAnsi="Times New Roman" w:cs="Times New Roman"/>
          <w:sz w:val="24"/>
          <w:szCs w:val="24"/>
        </w:rPr>
        <w:t xml:space="preserve"> и </w:t>
      </w:r>
      <w:r w:rsidR="00AD0632">
        <w:rPr>
          <w:rFonts w:ascii="Times New Roman" w:hAnsi="Times New Roman" w:cs="Times New Roman"/>
          <w:sz w:val="24"/>
          <w:szCs w:val="24"/>
        </w:rPr>
        <w:t xml:space="preserve">некоторые группы </w:t>
      </w:r>
      <w:r w:rsidR="009248E8" w:rsidRPr="0073158C">
        <w:rPr>
          <w:rFonts w:ascii="Times New Roman" w:hAnsi="Times New Roman" w:cs="Times New Roman"/>
          <w:sz w:val="24"/>
          <w:szCs w:val="24"/>
        </w:rPr>
        <w:t>продовольств</w:t>
      </w:r>
      <w:r w:rsidR="00AD0632">
        <w:rPr>
          <w:rFonts w:ascii="Times New Roman" w:hAnsi="Times New Roman" w:cs="Times New Roman"/>
          <w:sz w:val="24"/>
          <w:szCs w:val="24"/>
        </w:rPr>
        <w:t>енных товаров</w:t>
      </w:r>
      <w:r w:rsidRPr="0073158C">
        <w:rPr>
          <w:rFonts w:ascii="Times New Roman" w:eastAsia="Times New Roman" w:hAnsi="Times New Roman" w:cs="Times New Roman"/>
          <w:sz w:val="24"/>
          <w:szCs w:val="24"/>
        </w:rPr>
        <w:t>, в совокупности с влиянием внутренних факторов (</w:t>
      </w:r>
      <w:r w:rsidRPr="0073158C">
        <w:rPr>
          <w:rFonts w:ascii="Times New Roman" w:hAnsi="Times New Roman" w:cs="Times New Roman"/>
          <w:sz w:val="24"/>
          <w:szCs w:val="24"/>
        </w:rPr>
        <w:t>з</w:t>
      </w:r>
      <w:r w:rsidRPr="0073158C">
        <w:rPr>
          <w:rFonts w:ascii="Times New Roman" w:eastAsia="MS Mincho" w:hAnsi="Times New Roman" w:cs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73158C">
        <w:rPr>
          <w:rFonts w:ascii="Times New Roman" w:hAnsi="Times New Roman" w:cs="Times New Roman"/>
          <w:sz w:val="24"/>
          <w:szCs w:val="24"/>
        </w:rPr>
        <w:t>невысокая доля в выпуске наукоемкой, высокотехнологичной продукции, техническое и технологическое</w:t>
      </w:r>
      <w:r w:rsidRPr="0073158C">
        <w:rPr>
          <w:rFonts w:ascii="Times New Roman" w:hAnsi="Times New Roman"/>
          <w:sz w:val="24"/>
          <w:szCs w:val="24"/>
        </w:rPr>
        <w:t xml:space="preserve"> отставание отечественных предприятий от мирового уровня и др.) </w:t>
      </w:r>
      <w:r w:rsidRPr="0073158C">
        <w:rPr>
          <w:rFonts w:ascii="Times New Roman" w:eastAsia="Times New Roman" w:hAnsi="Times New Roman" w:cs="Times New Roman"/>
          <w:sz w:val="24"/>
          <w:szCs w:val="24"/>
        </w:rPr>
        <w:t>продолжали оказывать дестабилизирующее</w:t>
      </w:r>
      <w:proofErr w:type="gramEnd"/>
      <w:r w:rsidRPr="0073158C">
        <w:rPr>
          <w:rFonts w:ascii="Times New Roman" w:eastAsia="Times New Roman" w:hAnsi="Times New Roman" w:cs="Times New Roman"/>
          <w:sz w:val="24"/>
          <w:szCs w:val="24"/>
        </w:rPr>
        <w:t xml:space="preserve"> воздействие на результаты деятельности предприятий индустрии.</w:t>
      </w:r>
    </w:p>
    <w:p w:rsidR="00507776" w:rsidRDefault="00507776" w:rsidP="000C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462E">
        <w:rPr>
          <w:rFonts w:ascii="Times New Roman" w:hAnsi="Times New Roman"/>
          <w:b/>
          <w:sz w:val="24"/>
          <w:szCs w:val="24"/>
          <w:u w:val="single"/>
        </w:rPr>
        <w:t>В</w:t>
      </w:r>
      <w:r w:rsidRPr="0071462E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 протяжении января-июля 2016 года</w:t>
      </w:r>
      <w:r w:rsidRPr="00C4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экономические агенты </w:t>
      </w:r>
      <w:r w:rsidRPr="008D1638">
        <w:rPr>
          <w:rFonts w:ascii="Times New Roman" w:hAnsi="Times New Roman"/>
          <w:sz w:val="24"/>
          <w:szCs w:val="24"/>
        </w:rPr>
        <w:t>Приднестровской Молдавской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AD0632">
        <w:rPr>
          <w:rFonts w:ascii="Times New Roman" w:hAnsi="Times New Roman"/>
          <w:sz w:val="24"/>
          <w:szCs w:val="24"/>
        </w:rPr>
        <w:t xml:space="preserve">продолжали </w:t>
      </w:r>
      <w:r>
        <w:rPr>
          <w:rFonts w:ascii="Times New Roman" w:hAnsi="Times New Roman"/>
          <w:sz w:val="24"/>
          <w:szCs w:val="24"/>
        </w:rPr>
        <w:t>сталкива</w:t>
      </w:r>
      <w:r w:rsidR="00AD0632">
        <w:rPr>
          <w:rFonts w:ascii="Times New Roman" w:hAnsi="Times New Roman"/>
          <w:sz w:val="24"/>
          <w:szCs w:val="24"/>
        </w:rPr>
        <w:t>ться</w:t>
      </w:r>
      <w:r>
        <w:rPr>
          <w:rFonts w:ascii="Times New Roman" w:hAnsi="Times New Roman"/>
          <w:sz w:val="24"/>
          <w:szCs w:val="24"/>
        </w:rPr>
        <w:t xml:space="preserve"> с н</w:t>
      </w:r>
      <w:r w:rsidRPr="008D1638">
        <w:rPr>
          <w:rFonts w:ascii="Times New Roman" w:hAnsi="Times New Roman"/>
          <w:sz w:val="24"/>
          <w:szCs w:val="24"/>
        </w:rPr>
        <w:t>еблагоприятн</w:t>
      </w:r>
      <w:r>
        <w:rPr>
          <w:rFonts w:ascii="Times New Roman" w:hAnsi="Times New Roman"/>
          <w:sz w:val="24"/>
          <w:szCs w:val="24"/>
        </w:rPr>
        <w:t>ой</w:t>
      </w:r>
      <w:r w:rsidRPr="008D1638">
        <w:rPr>
          <w:rFonts w:ascii="Times New Roman" w:hAnsi="Times New Roman"/>
          <w:sz w:val="24"/>
          <w:szCs w:val="24"/>
        </w:rPr>
        <w:t xml:space="preserve"> ценов</w:t>
      </w:r>
      <w:r>
        <w:rPr>
          <w:rFonts w:ascii="Times New Roman" w:hAnsi="Times New Roman"/>
          <w:sz w:val="24"/>
          <w:szCs w:val="24"/>
        </w:rPr>
        <w:t>ой</w:t>
      </w:r>
      <w:r w:rsidRPr="008D1638">
        <w:rPr>
          <w:rFonts w:ascii="Times New Roman" w:hAnsi="Times New Roman"/>
          <w:sz w:val="24"/>
          <w:szCs w:val="24"/>
        </w:rPr>
        <w:t xml:space="preserve"> конъюнктур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D1638">
        <w:rPr>
          <w:rFonts w:ascii="Times New Roman" w:hAnsi="Times New Roman"/>
          <w:sz w:val="24"/>
          <w:szCs w:val="24"/>
        </w:rPr>
        <w:t>мировых рынк</w:t>
      </w:r>
      <w:r>
        <w:rPr>
          <w:rFonts w:ascii="Times New Roman" w:hAnsi="Times New Roman"/>
          <w:sz w:val="24"/>
          <w:szCs w:val="24"/>
        </w:rPr>
        <w:t>ов, снижением спроса на производимую отечественную продукцию,</w:t>
      </w:r>
      <w:r w:rsidRPr="00C44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рядом трудностей в сфере таможенного оформления грузов и транспортной логистики</w:t>
      </w:r>
      <w:r w:rsidR="00AD06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Кроме того, в июле 2016 года </w:t>
      </w:r>
      <w:r w:rsidRPr="00E62DF9">
        <w:rPr>
          <w:rFonts w:ascii="Times New Roman" w:hAnsi="Times New Roman"/>
          <w:sz w:val="24"/>
          <w:szCs w:val="24"/>
        </w:rPr>
        <w:t xml:space="preserve">руководством железных дорог Украины и Молдовы </w:t>
      </w:r>
      <w:r>
        <w:rPr>
          <w:rFonts w:ascii="Times New Roman" w:hAnsi="Times New Roman"/>
          <w:sz w:val="24"/>
          <w:szCs w:val="24"/>
        </w:rPr>
        <w:t xml:space="preserve">было принято решение о </w:t>
      </w:r>
      <w:r w:rsidRPr="00E62DF9">
        <w:rPr>
          <w:rFonts w:ascii="Times New Roman" w:hAnsi="Times New Roman"/>
          <w:sz w:val="24"/>
          <w:szCs w:val="24"/>
        </w:rPr>
        <w:t>блокирован</w:t>
      </w:r>
      <w:r>
        <w:rPr>
          <w:rFonts w:ascii="Times New Roman" w:hAnsi="Times New Roman"/>
          <w:sz w:val="24"/>
          <w:szCs w:val="24"/>
        </w:rPr>
        <w:t>и</w:t>
      </w:r>
      <w:r w:rsidR="00AD0632">
        <w:rPr>
          <w:rFonts w:ascii="Times New Roman" w:hAnsi="Times New Roman"/>
          <w:sz w:val="24"/>
          <w:szCs w:val="24"/>
        </w:rPr>
        <w:t>и</w:t>
      </w:r>
      <w:r w:rsidRPr="00E62DF9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я</w:t>
      </w:r>
      <w:r w:rsidRPr="00E62DF9">
        <w:rPr>
          <w:rFonts w:ascii="Times New Roman" w:hAnsi="Times New Roman"/>
          <w:sz w:val="24"/>
          <w:szCs w:val="24"/>
        </w:rPr>
        <w:t xml:space="preserve"> импортных грузов с использованием станций «</w:t>
      </w:r>
      <w:proofErr w:type="spellStart"/>
      <w:r w:rsidRPr="00E62DF9">
        <w:rPr>
          <w:rFonts w:ascii="Times New Roman" w:hAnsi="Times New Roman"/>
          <w:sz w:val="24"/>
          <w:szCs w:val="24"/>
        </w:rPr>
        <w:t>Кучурган-экспорт</w:t>
      </w:r>
      <w:proofErr w:type="spellEnd"/>
      <w:r w:rsidRPr="00E62DF9">
        <w:rPr>
          <w:rFonts w:ascii="Times New Roman" w:hAnsi="Times New Roman"/>
          <w:sz w:val="24"/>
          <w:szCs w:val="24"/>
        </w:rPr>
        <w:t>» и «Слободка-экспорт»</w:t>
      </w:r>
      <w:r>
        <w:rPr>
          <w:rFonts w:ascii="Times New Roman" w:hAnsi="Times New Roman"/>
          <w:sz w:val="24"/>
          <w:szCs w:val="24"/>
        </w:rPr>
        <w:t xml:space="preserve"> в связи, с чем приостановились </w:t>
      </w:r>
      <w:r w:rsidRPr="00E62DF9">
        <w:rPr>
          <w:rFonts w:ascii="Times New Roman" w:hAnsi="Times New Roman"/>
          <w:sz w:val="24"/>
          <w:szCs w:val="24"/>
        </w:rPr>
        <w:t>поставк</w:t>
      </w:r>
      <w:r>
        <w:rPr>
          <w:rFonts w:ascii="Times New Roman" w:hAnsi="Times New Roman"/>
          <w:sz w:val="24"/>
          <w:szCs w:val="24"/>
        </w:rPr>
        <w:t>и</w:t>
      </w:r>
      <w:r w:rsidRPr="00E62DF9">
        <w:rPr>
          <w:rFonts w:ascii="Times New Roman" w:hAnsi="Times New Roman"/>
          <w:sz w:val="24"/>
          <w:szCs w:val="24"/>
        </w:rPr>
        <w:t xml:space="preserve"> ряда социально-значимых товаров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62DF9">
        <w:rPr>
          <w:rFonts w:ascii="Times New Roman" w:hAnsi="Times New Roman"/>
          <w:sz w:val="24"/>
          <w:szCs w:val="24"/>
        </w:rPr>
        <w:t xml:space="preserve"> горюче-смазочных материалов </w:t>
      </w:r>
      <w:r>
        <w:rPr>
          <w:rFonts w:ascii="Times New Roman" w:hAnsi="Times New Roman"/>
          <w:sz w:val="24"/>
          <w:szCs w:val="24"/>
        </w:rPr>
        <w:t>на территорию</w:t>
      </w:r>
      <w:r w:rsidRPr="00E62DF9">
        <w:rPr>
          <w:rFonts w:ascii="Times New Roman" w:hAnsi="Times New Roman"/>
          <w:sz w:val="24"/>
          <w:szCs w:val="24"/>
        </w:rPr>
        <w:t xml:space="preserve"> Приднестровь</w:t>
      </w:r>
      <w:r>
        <w:rPr>
          <w:rFonts w:ascii="Times New Roman" w:hAnsi="Times New Roman"/>
          <w:sz w:val="24"/>
          <w:szCs w:val="24"/>
        </w:rPr>
        <w:t>я.</w:t>
      </w: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чего с</w:t>
      </w:r>
      <w:r w:rsidRPr="00722D15">
        <w:rPr>
          <w:rFonts w:ascii="Times New Roman" w:hAnsi="Times New Roman"/>
          <w:sz w:val="24"/>
          <w:szCs w:val="24"/>
        </w:rPr>
        <w:t>овокупный внешнеторгов</w:t>
      </w:r>
      <w:r>
        <w:rPr>
          <w:rFonts w:ascii="Times New Roman" w:hAnsi="Times New Roman"/>
          <w:sz w:val="24"/>
          <w:szCs w:val="24"/>
        </w:rPr>
        <w:t>ый</w:t>
      </w:r>
      <w:r w:rsidRPr="00722D15">
        <w:rPr>
          <w:rFonts w:ascii="Times New Roman" w:hAnsi="Times New Roman"/>
          <w:sz w:val="24"/>
          <w:szCs w:val="24"/>
        </w:rPr>
        <w:t xml:space="preserve"> оборот республики </w:t>
      </w:r>
      <w:r>
        <w:rPr>
          <w:rFonts w:ascii="Times New Roman" w:hAnsi="Times New Roman"/>
          <w:sz w:val="24"/>
          <w:szCs w:val="24"/>
        </w:rPr>
        <w:t>в анализируемом периоде</w:t>
      </w:r>
      <w:r w:rsidRPr="00722D15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ократился</w:t>
      </w:r>
      <w:r w:rsidRPr="00722D1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26,8</w:t>
      </w:r>
      <w:r w:rsidRPr="00722D15">
        <w:rPr>
          <w:rFonts w:ascii="Times New Roman" w:hAnsi="Times New Roman"/>
          <w:sz w:val="24"/>
          <w:szCs w:val="24"/>
        </w:rPr>
        <w:t xml:space="preserve">% до </w:t>
      </w:r>
      <w:r>
        <w:rPr>
          <w:rFonts w:ascii="Times New Roman" w:hAnsi="Times New Roman"/>
          <w:sz w:val="24"/>
          <w:szCs w:val="24"/>
        </w:rPr>
        <w:t>783,4, </w:t>
      </w:r>
      <w:r w:rsidRPr="00722D15">
        <w:rPr>
          <w:rFonts w:ascii="Times New Roman" w:hAnsi="Times New Roman"/>
          <w:sz w:val="24"/>
          <w:szCs w:val="24"/>
        </w:rPr>
        <w:t>млн.</w:t>
      </w:r>
      <w:r>
        <w:t> </w:t>
      </w:r>
      <w:r w:rsidRPr="00722D15">
        <w:rPr>
          <w:rFonts w:ascii="Times New Roman" w:hAnsi="Times New Roman"/>
          <w:sz w:val="24"/>
          <w:szCs w:val="24"/>
        </w:rPr>
        <w:t>долл</w:t>
      </w:r>
      <w:r w:rsidRPr="004B448E">
        <w:rPr>
          <w:rFonts w:ascii="Times New Roman" w:hAnsi="Times New Roman"/>
          <w:sz w:val="24"/>
          <w:szCs w:val="24"/>
        </w:rPr>
        <w:t>. к</w:t>
      </w:r>
      <w:r w:rsidRPr="00A62C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уровню семи месяцев 2015 года</w:t>
      </w:r>
      <w:r w:rsidRPr="00722D15">
        <w:rPr>
          <w:rFonts w:ascii="Times New Roman" w:hAnsi="Times New Roman"/>
          <w:sz w:val="24"/>
          <w:szCs w:val="24"/>
        </w:rPr>
        <w:t xml:space="preserve">, объем экспортных и импортных поставок </w:t>
      </w:r>
      <w:r>
        <w:rPr>
          <w:rFonts w:ascii="Times New Roman" w:hAnsi="Times New Roman"/>
          <w:sz w:val="24"/>
          <w:szCs w:val="24"/>
        </w:rPr>
        <w:t>составил 293,7</w:t>
      </w:r>
      <w:r w:rsidRPr="004B448E">
        <w:rPr>
          <w:rFonts w:ascii="Times New Roman" w:hAnsi="Times New Roman"/>
          <w:sz w:val="24"/>
          <w:szCs w:val="24"/>
        </w:rPr>
        <w:t xml:space="preserve"> </w:t>
      </w:r>
      <w:r w:rsidRPr="00722D15">
        <w:rPr>
          <w:rFonts w:ascii="Times New Roman" w:hAnsi="Times New Roman"/>
          <w:sz w:val="24"/>
          <w:szCs w:val="24"/>
        </w:rPr>
        <w:t>млн. долл.</w:t>
      </w:r>
      <w:r>
        <w:rPr>
          <w:rFonts w:ascii="Times New Roman" w:hAnsi="Times New Roman"/>
          <w:sz w:val="24"/>
          <w:szCs w:val="24"/>
        </w:rPr>
        <w:t xml:space="preserve"> и 489,6 </w:t>
      </w:r>
      <w:r w:rsidRPr="00722D15">
        <w:rPr>
          <w:rFonts w:ascii="Times New Roman" w:hAnsi="Times New Roman"/>
          <w:sz w:val="24"/>
          <w:szCs w:val="24"/>
        </w:rPr>
        <w:t>млн. долл.</w:t>
      </w:r>
      <w:r>
        <w:rPr>
          <w:rFonts w:ascii="Times New Roman" w:hAnsi="Times New Roman"/>
          <w:sz w:val="24"/>
          <w:szCs w:val="24"/>
        </w:rPr>
        <w:t>, что на 16,8% и 31,7% соответственно меньше уровня прошлого года. С</w:t>
      </w:r>
      <w:r w:rsidRPr="00722D15">
        <w:rPr>
          <w:rFonts w:ascii="Times New Roman" w:hAnsi="Times New Roman"/>
          <w:sz w:val="24"/>
          <w:szCs w:val="24"/>
        </w:rPr>
        <w:t xml:space="preserve">альдо внешнеторгового оборота </w:t>
      </w:r>
      <w:r>
        <w:rPr>
          <w:rFonts w:ascii="Times New Roman" w:hAnsi="Times New Roman"/>
          <w:sz w:val="24"/>
          <w:szCs w:val="24"/>
        </w:rPr>
        <w:t>сложилось в размере</w:t>
      </w:r>
      <w:r w:rsidRPr="00722D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«-»195,9 </w:t>
      </w:r>
      <w:r w:rsidRPr="00722D15">
        <w:rPr>
          <w:rFonts w:ascii="Times New Roman" w:hAnsi="Times New Roman"/>
          <w:sz w:val="24"/>
          <w:szCs w:val="24"/>
        </w:rPr>
        <w:t xml:space="preserve">млн. долл., против </w:t>
      </w:r>
      <w:r>
        <w:rPr>
          <w:rFonts w:ascii="Times New Roman" w:hAnsi="Times New Roman"/>
          <w:sz w:val="24"/>
          <w:szCs w:val="24"/>
        </w:rPr>
        <w:br/>
        <w:t>«-»363,4 </w:t>
      </w:r>
      <w:r w:rsidRPr="00722D15">
        <w:rPr>
          <w:rFonts w:ascii="Times New Roman" w:hAnsi="Times New Roman"/>
          <w:sz w:val="24"/>
          <w:szCs w:val="24"/>
        </w:rPr>
        <w:t xml:space="preserve">млн. долл. в </w:t>
      </w:r>
      <w:r>
        <w:rPr>
          <w:rFonts w:ascii="Times New Roman" w:hAnsi="Times New Roman"/>
          <w:sz w:val="24"/>
          <w:szCs w:val="24"/>
        </w:rPr>
        <w:t xml:space="preserve">январе-июле 2015 </w:t>
      </w:r>
      <w:r w:rsidRPr="00722D15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722D15">
        <w:rPr>
          <w:rFonts w:ascii="Times New Roman" w:hAnsi="Times New Roman"/>
          <w:sz w:val="24"/>
          <w:szCs w:val="24"/>
        </w:rPr>
        <w:t>.</w:t>
      </w:r>
    </w:p>
    <w:p w:rsidR="00507776" w:rsidRP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4"/>
          <w:szCs w:val="14"/>
        </w:rPr>
      </w:pPr>
    </w:p>
    <w:p w:rsidR="00507776" w:rsidRDefault="00507776" w:rsidP="00507776">
      <w:pPr>
        <w:pStyle w:val="a5"/>
        <w:tabs>
          <w:tab w:val="left" w:pos="7920"/>
        </w:tabs>
        <w:jc w:val="center"/>
        <w:rPr>
          <w:b/>
          <w:szCs w:val="24"/>
        </w:rPr>
      </w:pPr>
      <w:r w:rsidRPr="0071462E">
        <w:rPr>
          <w:b/>
          <w:szCs w:val="24"/>
        </w:rPr>
        <w:t>Динамика внешнеторгового оборота в январе-</w:t>
      </w:r>
      <w:r>
        <w:rPr>
          <w:b/>
          <w:szCs w:val="24"/>
        </w:rPr>
        <w:t xml:space="preserve">июле </w:t>
      </w:r>
      <w:r w:rsidRPr="0071462E">
        <w:rPr>
          <w:b/>
          <w:szCs w:val="24"/>
        </w:rPr>
        <w:t>201</w:t>
      </w:r>
      <w:r>
        <w:rPr>
          <w:b/>
          <w:szCs w:val="24"/>
        </w:rPr>
        <w:t>5</w:t>
      </w:r>
      <w:r w:rsidRPr="0071462E">
        <w:rPr>
          <w:b/>
          <w:szCs w:val="24"/>
        </w:rPr>
        <w:t xml:space="preserve"> - 201</w:t>
      </w:r>
      <w:r>
        <w:rPr>
          <w:b/>
          <w:szCs w:val="24"/>
        </w:rPr>
        <w:t>6</w:t>
      </w:r>
      <w:r w:rsidRPr="0071462E">
        <w:rPr>
          <w:b/>
          <w:szCs w:val="24"/>
        </w:rPr>
        <w:t xml:space="preserve"> г.г.</w:t>
      </w:r>
      <w:r>
        <w:rPr>
          <w:b/>
          <w:szCs w:val="24"/>
        </w:rPr>
        <w:t>,</w:t>
      </w:r>
    </w:p>
    <w:p w:rsidR="00507776" w:rsidRDefault="00507776" w:rsidP="00507776">
      <w:pPr>
        <w:pStyle w:val="a5"/>
        <w:tabs>
          <w:tab w:val="left" w:pos="7920"/>
        </w:tabs>
        <w:jc w:val="center"/>
        <w:rPr>
          <w:b/>
          <w:szCs w:val="24"/>
        </w:rPr>
      </w:pPr>
      <w:r>
        <w:rPr>
          <w:b/>
          <w:szCs w:val="24"/>
        </w:rPr>
        <w:t>млн. долл. США</w:t>
      </w:r>
      <w:r w:rsidRPr="0071462E">
        <w:rPr>
          <w:b/>
          <w:noProof/>
          <w:szCs w:val="24"/>
        </w:rPr>
        <w:drawing>
          <wp:inline distT="0" distB="0" distL="0" distR="0">
            <wp:extent cx="5940425" cy="1992384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Анализ помесячной динамики внешней торговли в июле 2016 года по отношению к июню характеризуется понижательной тенденцией, так величина </w:t>
      </w:r>
      <w:r w:rsidRPr="000A384B">
        <w:rPr>
          <w:rFonts w:ascii="Times New Roman" w:hAnsi="Times New Roman"/>
          <w:sz w:val="24"/>
          <w:szCs w:val="24"/>
        </w:rPr>
        <w:t>совокупн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внешнеторгов</w:t>
      </w:r>
      <w:r>
        <w:rPr>
          <w:rFonts w:ascii="Times New Roman" w:hAnsi="Times New Roman"/>
          <w:sz w:val="24"/>
          <w:szCs w:val="24"/>
        </w:rPr>
        <w:t>ого</w:t>
      </w:r>
      <w:r w:rsidRPr="000A384B">
        <w:rPr>
          <w:rFonts w:ascii="Times New Roman" w:hAnsi="Times New Roman"/>
          <w:sz w:val="24"/>
          <w:szCs w:val="24"/>
        </w:rPr>
        <w:t xml:space="preserve"> оборот</w:t>
      </w:r>
      <w:r>
        <w:rPr>
          <w:rFonts w:ascii="Times New Roman" w:hAnsi="Times New Roman"/>
          <w:sz w:val="24"/>
          <w:szCs w:val="24"/>
        </w:rPr>
        <w:t>а Республики сократилась на 3,9%,</w:t>
      </w:r>
      <w:r w:rsidRPr="007939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импортные поставки снизились на 4,9%, а экспортные поставки уменьшились на 2,2%.</w:t>
      </w:r>
    </w:p>
    <w:p w:rsidR="00507776" w:rsidRDefault="00EB3345" w:rsidP="00507776">
      <w:pPr>
        <w:pStyle w:val="a5"/>
      </w:pPr>
      <w:r>
        <w:t>Крупнейшей статьей</w:t>
      </w:r>
      <w:r w:rsidR="00507776">
        <w:t xml:space="preserve"> в</w:t>
      </w:r>
      <w:r w:rsidR="00507776" w:rsidRPr="000A384B">
        <w:t xml:space="preserve"> товарной структуре экспорт</w:t>
      </w:r>
      <w:r w:rsidR="00507776">
        <w:t>ных поставок</w:t>
      </w:r>
      <w:r w:rsidR="00507776" w:rsidRPr="000A384B">
        <w:t xml:space="preserve"> </w:t>
      </w:r>
      <w:r w:rsidR="00507776">
        <w:t xml:space="preserve">на протяжении семи месяцев 2016 года, </w:t>
      </w:r>
      <w:r w:rsidR="00507776" w:rsidRPr="000A384B">
        <w:t xml:space="preserve">при сокращении объема поставок на </w:t>
      </w:r>
      <w:r w:rsidR="00507776">
        <w:t>16,7</w:t>
      </w:r>
      <w:r w:rsidR="00507776" w:rsidRPr="000A384B">
        <w:t>%</w:t>
      </w:r>
      <w:r w:rsidR="00507776">
        <w:t>,</w:t>
      </w:r>
      <w:r w:rsidR="00507776" w:rsidRPr="000A384B">
        <w:t xml:space="preserve"> </w:t>
      </w:r>
      <w:r>
        <w:t>остаются</w:t>
      </w:r>
      <w:r w:rsidR="00507776" w:rsidRPr="000A384B">
        <w:t xml:space="preserve"> топливно-энергетические товары, </w:t>
      </w:r>
      <w:r w:rsidR="00507776">
        <w:t xml:space="preserve">на </w:t>
      </w:r>
      <w:r w:rsidR="00507776" w:rsidRPr="000A384B">
        <w:t>дол</w:t>
      </w:r>
      <w:r w:rsidR="00507776">
        <w:t>ю</w:t>
      </w:r>
      <w:r w:rsidR="00507776" w:rsidRPr="000A384B">
        <w:t xml:space="preserve"> </w:t>
      </w:r>
      <w:r w:rsidR="00507776">
        <w:t>которых пришлось</w:t>
      </w:r>
      <w:r w:rsidR="00507776" w:rsidRPr="000A384B">
        <w:t xml:space="preserve"> </w:t>
      </w:r>
      <w:r w:rsidR="00507776">
        <w:t>35,7</w:t>
      </w:r>
      <w:r w:rsidR="00507776" w:rsidRPr="000A384B">
        <w:t>%</w:t>
      </w:r>
      <w:r>
        <w:t xml:space="preserve"> общего экспорта</w:t>
      </w:r>
      <w:r w:rsidR="00507776">
        <w:t>, что соответствует уровню аналогичного периода минувшего года.</w:t>
      </w:r>
      <w:r w:rsidR="00507776" w:rsidRPr="000A384B">
        <w:t xml:space="preserve"> </w:t>
      </w:r>
    </w:p>
    <w:p w:rsidR="00507776" w:rsidRDefault="00507776" w:rsidP="00507776">
      <w:pPr>
        <w:pStyle w:val="a5"/>
      </w:pPr>
      <w:r>
        <w:t xml:space="preserve">Одну из ключевых позиций экспортных операций Республики занимают поставки </w:t>
      </w:r>
      <w:r w:rsidRPr="000A384B">
        <w:t>товаров легкой промышленности (текстильные материалы, одежда, текстильные изделия, обувь)</w:t>
      </w:r>
      <w:r>
        <w:t xml:space="preserve"> при снижении </w:t>
      </w:r>
      <w:r w:rsidRPr="000A384B">
        <w:t xml:space="preserve">объема </w:t>
      </w:r>
      <w:r>
        <w:t>их</w:t>
      </w:r>
      <w:r w:rsidRPr="000A384B">
        <w:t xml:space="preserve"> реализации за рубеж на </w:t>
      </w:r>
      <w:r>
        <w:t>1,2</w:t>
      </w:r>
      <w:r w:rsidRPr="000A384B">
        <w:t>%</w:t>
      </w:r>
      <w:r>
        <w:t>,</w:t>
      </w:r>
      <w:r w:rsidRPr="000A384B">
        <w:t xml:space="preserve"> </w:t>
      </w:r>
      <w:r>
        <w:t>долевое представительство данной товарной категории в структуре экспорта расширилось</w:t>
      </w:r>
      <w:r w:rsidRPr="000A384B">
        <w:t xml:space="preserve"> на </w:t>
      </w:r>
      <w:r>
        <w:t xml:space="preserve">3,3 </w:t>
      </w:r>
      <w:r w:rsidRPr="000A384B">
        <w:t xml:space="preserve">процентных пункта до </w:t>
      </w:r>
      <w:r>
        <w:t>20,6</w:t>
      </w:r>
      <w:r w:rsidRPr="000A384B">
        <w:t xml:space="preserve">%. </w:t>
      </w:r>
    </w:p>
    <w:p w:rsidR="00507776" w:rsidRDefault="00507776" w:rsidP="00507776">
      <w:pPr>
        <w:pStyle w:val="a3"/>
        <w:spacing w:before="0" w:beforeAutospacing="0" w:after="0" w:afterAutospacing="0"/>
        <w:jc w:val="center"/>
        <w:rPr>
          <w:b/>
        </w:rPr>
      </w:pPr>
      <w:r w:rsidRPr="0071462E">
        <w:rPr>
          <w:b/>
        </w:rPr>
        <w:t>Товарная структура экспорта, млн. долл. США</w:t>
      </w:r>
    </w:p>
    <w:p w:rsidR="00507776" w:rsidRPr="00DC243E" w:rsidRDefault="00507776" w:rsidP="00507776">
      <w:pPr>
        <w:pStyle w:val="a3"/>
        <w:spacing w:before="0" w:beforeAutospacing="0" w:after="0" w:afterAutospacing="0"/>
        <w:jc w:val="center"/>
        <w:rPr>
          <w:noProof/>
        </w:rPr>
      </w:pPr>
      <w:r w:rsidRPr="0095531D">
        <w:rPr>
          <w:b/>
          <w:noProof/>
        </w:rPr>
        <w:drawing>
          <wp:inline distT="0" distB="0" distL="0" distR="0">
            <wp:extent cx="6057900" cy="2724150"/>
            <wp:effectExtent l="0" t="0" r="0" b="0"/>
            <wp:docPr id="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7776" w:rsidRDefault="00507776" w:rsidP="00507776">
      <w:pPr>
        <w:pStyle w:val="a5"/>
      </w:pPr>
      <w:r>
        <w:t>М</w:t>
      </w:r>
      <w:r w:rsidRPr="00950176">
        <w:t>еталлы и изделия из них</w:t>
      </w:r>
      <w:r>
        <w:t xml:space="preserve"> сузили свое представительство </w:t>
      </w:r>
      <w:r w:rsidR="00EB3345">
        <w:t xml:space="preserve">в товарной структуре экспорта </w:t>
      </w:r>
      <w:r>
        <w:t>на 3,4</w:t>
      </w:r>
      <w:r w:rsidRPr="006C71D2">
        <w:t xml:space="preserve"> </w:t>
      </w:r>
      <w:r>
        <w:t>процентных пункта до 19,9%, в абсолютном выражении их величина сократилась на 28,9% к уровню января - июля 2015 года.</w:t>
      </w:r>
    </w:p>
    <w:p w:rsidR="00507776" w:rsidRDefault="00507776" w:rsidP="00507776">
      <w:pPr>
        <w:pStyle w:val="a5"/>
      </w:pPr>
      <w:r>
        <w:t>В рассматриваемом периоде наблюдалось существенное сокращение э</w:t>
      </w:r>
      <w:r w:rsidRPr="00A16128">
        <w:t>кспорт</w:t>
      </w:r>
      <w:r>
        <w:t xml:space="preserve">ных поставок продовольственных товаров и сырья «-»23,4% </w:t>
      </w:r>
      <w:r w:rsidRPr="00A16128">
        <w:t xml:space="preserve">к соответствующему периоду прошлого года, а их долевое участие в товарной структуре сузилось на </w:t>
      </w:r>
      <w:r>
        <w:t>1,0</w:t>
      </w:r>
      <w:r w:rsidRPr="00A16128">
        <w:t xml:space="preserve"> процентны</w:t>
      </w:r>
      <w:r>
        <w:t>й</w:t>
      </w:r>
      <w:r w:rsidRPr="00A16128">
        <w:t xml:space="preserve"> пункт до 11,</w:t>
      </w:r>
      <w:r>
        <w:t>8</w:t>
      </w:r>
      <w:r w:rsidRPr="00A16128">
        <w:t>%.</w:t>
      </w:r>
    </w:p>
    <w:p w:rsidR="00507776" w:rsidRPr="0071462E" w:rsidRDefault="00507776" w:rsidP="00507776">
      <w:pPr>
        <w:pStyle w:val="a3"/>
        <w:spacing w:before="0" w:beforeAutospacing="0" w:after="0" w:afterAutospacing="0"/>
        <w:ind w:left="-426"/>
      </w:pPr>
      <w:r w:rsidRPr="0071462E">
        <w:rPr>
          <w:noProof/>
        </w:rPr>
        <w:drawing>
          <wp:inline distT="0" distB="0" distL="0" distR="0">
            <wp:extent cx="6296025" cy="27051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7776" w:rsidRDefault="00EB3345" w:rsidP="00507776">
      <w:pPr>
        <w:pStyle w:val="a5"/>
        <w:contextualSpacing/>
      </w:pPr>
      <w:r>
        <w:lastRenderedPageBreak/>
        <w:t>Г</w:t>
      </w:r>
      <w:r w:rsidRPr="000A384B">
        <w:t>лавными</w:t>
      </w:r>
      <w:r w:rsidR="00507776" w:rsidRPr="000A384B">
        <w:t xml:space="preserve"> торговыми партнерами Приднестровья по экспортным </w:t>
      </w:r>
      <w:r w:rsidR="00507776">
        <w:t>операциям</w:t>
      </w:r>
      <w:r w:rsidR="00507776" w:rsidRPr="00E12719">
        <w:t xml:space="preserve"> </w:t>
      </w:r>
      <w:r w:rsidR="00507776">
        <w:t xml:space="preserve">в январе–июле </w:t>
      </w:r>
      <w:r w:rsidR="00507776" w:rsidRPr="000A384B">
        <w:t>2016 года</w:t>
      </w:r>
      <w:r w:rsidR="00507776">
        <w:t xml:space="preserve"> среди стран СНГ являлись: </w:t>
      </w:r>
      <w:r w:rsidR="00507776" w:rsidRPr="000A384B">
        <w:t>Республика Молдова (</w:t>
      </w:r>
      <w:r w:rsidR="00507776">
        <w:t>45,0</w:t>
      </w:r>
      <w:r w:rsidR="00507776" w:rsidRPr="000A384B">
        <w:t xml:space="preserve">% совокупного экспорта, </w:t>
      </w:r>
      <w:r w:rsidR="00507776">
        <w:t>«-»21,4</w:t>
      </w:r>
      <w:r w:rsidR="00507776" w:rsidRPr="000A384B">
        <w:t xml:space="preserve">% к </w:t>
      </w:r>
      <w:r w:rsidR="00507776">
        <w:t>базовому значению</w:t>
      </w:r>
      <w:r w:rsidR="00507776" w:rsidRPr="000A384B">
        <w:t xml:space="preserve"> 2015 года)</w:t>
      </w:r>
      <w:r w:rsidR="00507776">
        <w:t xml:space="preserve">, </w:t>
      </w:r>
      <w:r w:rsidR="00507776" w:rsidRPr="000A384B">
        <w:t>Украина (</w:t>
      </w:r>
      <w:r w:rsidR="00507776">
        <w:t>9,1</w:t>
      </w:r>
      <w:r w:rsidR="00507776" w:rsidRPr="000A384B">
        <w:t xml:space="preserve">%, </w:t>
      </w:r>
      <w:r w:rsidR="00507776">
        <w:t xml:space="preserve">увеличение на 0,7% </w:t>
      </w:r>
      <w:r w:rsidR="00507776" w:rsidRPr="000A384B">
        <w:t xml:space="preserve">к уровню января – </w:t>
      </w:r>
      <w:r w:rsidR="00507776">
        <w:t>июня</w:t>
      </w:r>
      <w:r w:rsidR="00507776" w:rsidRPr="000A384B">
        <w:t xml:space="preserve"> 2015 года)</w:t>
      </w:r>
      <w:r w:rsidR="00507776">
        <w:t xml:space="preserve">, </w:t>
      </w:r>
      <w:r w:rsidR="00507776" w:rsidRPr="000A384B">
        <w:t>Российская Федерация (</w:t>
      </w:r>
      <w:r w:rsidR="00507776">
        <w:t>7,9</w:t>
      </w:r>
      <w:r w:rsidR="00507776" w:rsidRPr="000A384B">
        <w:t xml:space="preserve">%, </w:t>
      </w:r>
      <w:r w:rsidR="00507776">
        <w:br/>
      </w:r>
      <w:r w:rsidR="00507776" w:rsidRPr="000A384B">
        <w:t>«-»</w:t>
      </w:r>
      <w:r w:rsidR="00507776">
        <w:t>17,3</w:t>
      </w:r>
      <w:r w:rsidR="00507776" w:rsidRPr="000A384B">
        <w:t xml:space="preserve">% </w:t>
      </w:r>
      <w:r w:rsidR="00507776">
        <w:t xml:space="preserve">к </w:t>
      </w:r>
      <w:r w:rsidR="00507776" w:rsidRPr="000A384B">
        <w:t>уровн</w:t>
      </w:r>
      <w:r w:rsidR="00507776">
        <w:t>ю</w:t>
      </w:r>
      <w:r w:rsidR="00507776" w:rsidRPr="000A384B">
        <w:t xml:space="preserve"> 2015 года)</w:t>
      </w:r>
      <w:r w:rsidR="00507776">
        <w:t xml:space="preserve">; среди стран дальнего зарубежья: </w:t>
      </w:r>
      <w:r w:rsidR="00507776" w:rsidRPr="000A384B">
        <w:t>Румыния (</w:t>
      </w:r>
      <w:r w:rsidR="00507776">
        <w:t>15,2</w:t>
      </w:r>
      <w:r w:rsidR="00507776" w:rsidRPr="000A384B">
        <w:t xml:space="preserve">%, </w:t>
      </w:r>
      <w:r w:rsidR="00507776">
        <w:t>сокращение</w:t>
      </w:r>
      <w:r w:rsidR="00507776" w:rsidRPr="000A384B">
        <w:t xml:space="preserve"> </w:t>
      </w:r>
      <w:r w:rsidR="00507776">
        <w:t>на</w:t>
      </w:r>
      <w:r w:rsidR="00507776" w:rsidRPr="000A384B">
        <w:t xml:space="preserve"> </w:t>
      </w:r>
      <w:r w:rsidR="00507776">
        <w:t>23,7%</w:t>
      </w:r>
      <w:r w:rsidR="00507776" w:rsidRPr="000A384B">
        <w:t xml:space="preserve"> к </w:t>
      </w:r>
      <w:r w:rsidR="00507776">
        <w:t xml:space="preserve">аналогичной </w:t>
      </w:r>
      <w:r w:rsidR="00507776" w:rsidRPr="000A384B">
        <w:t>величине 2015 года)</w:t>
      </w:r>
      <w:r w:rsidR="00507776">
        <w:t xml:space="preserve">, </w:t>
      </w:r>
      <w:r w:rsidR="00507776" w:rsidRPr="000A384B">
        <w:t>Италия (</w:t>
      </w:r>
      <w:r w:rsidR="00507776">
        <w:t>7,9%, «-»9,3</w:t>
      </w:r>
      <w:r w:rsidR="00507776" w:rsidRPr="000A384B">
        <w:t xml:space="preserve">% к уровню января – </w:t>
      </w:r>
      <w:r w:rsidR="00507776">
        <w:t>июля</w:t>
      </w:r>
      <w:r w:rsidR="00507776" w:rsidRPr="000A384B">
        <w:t xml:space="preserve"> 2015 года)</w:t>
      </w:r>
      <w:r w:rsidR="00507776">
        <w:t xml:space="preserve">, </w:t>
      </w:r>
      <w:r w:rsidR="00507776" w:rsidRPr="000A384B">
        <w:t>Германия (</w:t>
      </w:r>
      <w:r w:rsidR="00507776">
        <w:t>6,3</w:t>
      </w:r>
      <w:r w:rsidR="00507776" w:rsidRPr="000A384B">
        <w:t xml:space="preserve">%, </w:t>
      </w:r>
      <w:r w:rsidR="00507776">
        <w:t>прирост на 0,9</w:t>
      </w:r>
      <w:r w:rsidR="00507776" w:rsidRPr="000A384B">
        <w:t xml:space="preserve">% к </w:t>
      </w:r>
      <w:r w:rsidR="00507776">
        <w:t>базовому уровню</w:t>
      </w:r>
      <w:r w:rsidR="00507776" w:rsidRPr="000A384B">
        <w:t xml:space="preserve"> 2015 года)</w:t>
      </w:r>
      <w:r w:rsidR="00507776">
        <w:t>. Экспортные поставки в данные страны обеспечили 91,4% всех поставок за рубеж.</w:t>
      </w:r>
    </w:p>
    <w:p w:rsidR="00507776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сложившихся условий в январе-июле 2016 года, понижательная динамика импортных операций зафиксирована практически по всем категориям товарной структуры импорта. </w:t>
      </w:r>
    </w:p>
    <w:p w:rsidR="00507776" w:rsidRDefault="00507776" w:rsidP="005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6128">
        <w:rPr>
          <w:rFonts w:ascii="Times New Roman" w:hAnsi="Times New Roman" w:cs="Times New Roman"/>
          <w:sz w:val="24"/>
          <w:szCs w:val="24"/>
        </w:rPr>
        <w:t xml:space="preserve">воз </w:t>
      </w:r>
      <w:r>
        <w:rPr>
          <w:rFonts w:ascii="Times New Roman" w:hAnsi="Times New Roman" w:cs="Times New Roman"/>
          <w:sz w:val="24"/>
          <w:szCs w:val="24"/>
        </w:rPr>
        <w:t>топливно-энергетических товаров</w:t>
      </w:r>
      <w:r w:rsidRPr="00A16128">
        <w:rPr>
          <w:rFonts w:ascii="Times New Roman" w:hAnsi="Times New Roman" w:cs="Times New Roman"/>
          <w:sz w:val="24"/>
          <w:szCs w:val="24"/>
        </w:rPr>
        <w:t xml:space="preserve"> в абсолютной величине сократился на </w:t>
      </w:r>
      <w:r>
        <w:rPr>
          <w:rFonts w:ascii="Times New Roman" w:hAnsi="Times New Roman" w:cs="Times New Roman"/>
          <w:sz w:val="24"/>
          <w:szCs w:val="24"/>
        </w:rPr>
        <w:t xml:space="preserve">37,6%, а долевое представительство сузилось до 49,9% против 54,7% в январе-июле </w:t>
      </w:r>
      <w:r>
        <w:rPr>
          <w:rFonts w:ascii="Times New Roman" w:hAnsi="Times New Roman" w:cs="Times New Roman"/>
          <w:sz w:val="24"/>
          <w:szCs w:val="24"/>
        </w:rPr>
        <w:br/>
        <w:t xml:space="preserve">2015 года. </w:t>
      </w:r>
    </w:p>
    <w:p w:rsidR="00507776" w:rsidRDefault="00507776" w:rsidP="00507776">
      <w:pPr>
        <w:pStyle w:val="a5"/>
      </w:pPr>
      <w:r w:rsidRPr="001150A7">
        <w:rPr>
          <w:rFonts w:eastAsia="Times New Roman"/>
          <w:szCs w:val="24"/>
        </w:rPr>
        <w:t>Снижение производственной активности ОАО «Молдавский металлургический завод» привело к сокращению потребности предприятия в сырьевых материалах</w:t>
      </w:r>
      <w:r w:rsidRPr="001150A7">
        <w:t>, в результате чего импорт металлов и изделий из них сократился на 59,5% к уровню января–июля 2015 года, сузив долевое представительство в товарной структуре на 4,8% до 6,9%.</w:t>
      </w:r>
    </w:p>
    <w:p w:rsidR="00507776" w:rsidRDefault="00507776" w:rsidP="00507776">
      <w:pPr>
        <w:pStyle w:val="a5"/>
      </w:pPr>
      <w:r>
        <w:t>Объем п</w:t>
      </w:r>
      <w:r w:rsidRPr="000A384B">
        <w:t>родовольственны</w:t>
      </w:r>
      <w:r>
        <w:t>х</w:t>
      </w:r>
      <w:r w:rsidRPr="000A384B">
        <w:t xml:space="preserve"> товар</w:t>
      </w:r>
      <w:r>
        <w:t>ов</w:t>
      </w:r>
      <w:r w:rsidRPr="000A384B">
        <w:t xml:space="preserve"> (сырь</w:t>
      </w:r>
      <w:r>
        <w:t>я</w:t>
      </w:r>
      <w:r w:rsidRPr="000A384B">
        <w:t xml:space="preserve">) </w:t>
      </w:r>
      <w:r>
        <w:t>поставленных на территорию Приднестровья в рассматриваемом периоде сократился на 2,2% к уровню семи месяцев 2015 года</w:t>
      </w:r>
      <w:r w:rsidRPr="000A384B">
        <w:t xml:space="preserve">, при этом </w:t>
      </w:r>
      <w:r>
        <w:t xml:space="preserve">в товарной структуре импорта на их долю </w:t>
      </w:r>
      <w:r w:rsidRPr="000A384B">
        <w:t xml:space="preserve">приходилось </w:t>
      </w:r>
      <w:r>
        <w:t>10,9</w:t>
      </w:r>
      <w:r w:rsidRPr="000A384B">
        <w:t xml:space="preserve">% против </w:t>
      </w:r>
      <w:r>
        <w:t>7,6</w:t>
      </w:r>
      <w:r w:rsidRPr="000A384B">
        <w:t>% в базовом периоде минувшего года</w:t>
      </w:r>
      <w:r>
        <w:t>.</w:t>
      </w:r>
      <w:r w:rsidRPr="000A384B">
        <w:t xml:space="preserve"> </w:t>
      </w:r>
    </w:p>
    <w:p w:rsidR="00507776" w:rsidRDefault="00507776" w:rsidP="00507776">
      <w:pPr>
        <w:pStyle w:val="a5"/>
      </w:pPr>
      <w:r>
        <w:rPr>
          <w:szCs w:val="24"/>
        </w:rPr>
        <w:t>И</w:t>
      </w:r>
      <w:r w:rsidRPr="000A384B">
        <w:rPr>
          <w:szCs w:val="24"/>
        </w:rPr>
        <w:t>мпортные</w:t>
      </w:r>
      <w:r w:rsidRPr="000A384B">
        <w:t xml:space="preserve"> поставки </w:t>
      </w:r>
      <w:r>
        <w:t>м</w:t>
      </w:r>
      <w:r w:rsidRPr="000A384B">
        <w:rPr>
          <w:szCs w:val="24"/>
        </w:rPr>
        <w:t>ашиностроительн</w:t>
      </w:r>
      <w:r>
        <w:rPr>
          <w:szCs w:val="24"/>
        </w:rPr>
        <w:t>ой</w:t>
      </w:r>
      <w:r w:rsidRPr="000A384B">
        <w:rPr>
          <w:szCs w:val="24"/>
        </w:rPr>
        <w:t xml:space="preserve"> продукци</w:t>
      </w:r>
      <w:r>
        <w:rPr>
          <w:szCs w:val="24"/>
        </w:rPr>
        <w:t>и</w:t>
      </w:r>
      <w:r w:rsidRPr="000A384B">
        <w:rPr>
          <w:szCs w:val="24"/>
        </w:rPr>
        <w:t xml:space="preserve">, на </w:t>
      </w:r>
      <w:r>
        <w:t>долю которых</w:t>
      </w:r>
      <w:r w:rsidRPr="000A384B">
        <w:t xml:space="preserve"> приходилось </w:t>
      </w:r>
      <w:r>
        <w:t>9,7</w:t>
      </w:r>
      <w:r w:rsidRPr="000A384B">
        <w:t xml:space="preserve">% против </w:t>
      </w:r>
      <w:r>
        <w:t>9,4</w:t>
      </w:r>
      <w:r w:rsidRPr="000A384B">
        <w:t xml:space="preserve">% в январе – </w:t>
      </w:r>
      <w:r>
        <w:t>июле</w:t>
      </w:r>
      <w:r w:rsidRPr="00A16128">
        <w:t xml:space="preserve"> 2015 года, в </w:t>
      </w:r>
      <w:r>
        <w:t>денежном эквиваленте</w:t>
      </w:r>
      <w:r w:rsidRPr="00A16128">
        <w:t xml:space="preserve"> сократил</w:t>
      </w:r>
      <w:r>
        <w:t>и</w:t>
      </w:r>
      <w:r w:rsidRPr="00A16128">
        <w:t>с</w:t>
      </w:r>
      <w:r>
        <w:t>ь</w:t>
      </w:r>
      <w:r w:rsidRPr="00A16128">
        <w:t xml:space="preserve"> на </w:t>
      </w:r>
      <w:r>
        <w:t>29,5</w:t>
      </w:r>
      <w:r w:rsidRPr="00A16128">
        <w:t>%.</w:t>
      </w:r>
    </w:p>
    <w:p w:rsidR="00507776" w:rsidRDefault="00507776" w:rsidP="00507776">
      <w:pPr>
        <w:pStyle w:val="a5"/>
        <w:ind w:firstLine="0"/>
      </w:pPr>
      <w:r w:rsidRPr="0071462E">
        <w:rPr>
          <w:noProof/>
        </w:rPr>
        <w:drawing>
          <wp:inline distT="0" distB="0" distL="0" distR="0">
            <wp:extent cx="5943600" cy="3067050"/>
            <wp:effectExtent l="0" t="0" r="0" b="0"/>
            <wp:docPr id="6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7776" w:rsidRDefault="00507776" w:rsidP="00507776">
      <w:pPr>
        <w:pStyle w:val="a5"/>
      </w:pPr>
      <w:proofErr w:type="gramStart"/>
      <w:r>
        <w:t xml:space="preserve">В январе-июле 2016 года увеличение импортных поставок на территорию Республики зафиксировано лишь по двум товарным </w:t>
      </w:r>
      <w:r w:rsidR="00EB3345">
        <w:t>группам</w:t>
      </w:r>
      <w:r>
        <w:t xml:space="preserve">: </w:t>
      </w:r>
      <w:r w:rsidRPr="00F91103">
        <w:t>товар</w:t>
      </w:r>
      <w:r>
        <w:t>ам</w:t>
      </w:r>
      <w:r w:rsidRPr="00F91103">
        <w:t xml:space="preserve"> легкой промышленности</w:t>
      </w:r>
      <w:r>
        <w:t xml:space="preserve"> (прирост которых </w:t>
      </w:r>
      <w:r w:rsidRPr="00F91103">
        <w:t xml:space="preserve">в абсолютной величине </w:t>
      </w:r>
      <w:r>
        <w:t>составил</w:t>
      </w:r>
      <w:r w:rsidRPr="00F91103">
        <w:t xml:space="preserve"> </w:t>
      </w:r>
      <w:r>
        <w:t>16,5%, а долевое представительство достигло</w:t>
      </w:r>
      <w:r w:rsidRPr="00F91103">
        <w:t xml:space="preserve"> 6,</w:t>
      </w:r>
      <w:r>
        <w:t>2</w:t>
      </w:r>
      <w:r w:rsidRPr="00F91103">
        <w:t>% против 3,</w:t>
      </w:r>
      <w:r>
        <w:t>6</w:t>
      </w:r>
      <w:r w:rsidRPr="00F91103">
        <w:t xml:space="preserve">% в </w:t>
      </w:r>
      <w:r>
        <w:t xml:space="preserve">аналогичном периоде </w:t>
      </w:r>
      <w:r w:rsidRPr="00F91103">
        <w:t>2015 года</w:t>
      </w:r>
      <w:r>
        <w:t>, что вызвано расширением</w:t>
      </w:r>
      <w:r w:rsidRPr="00F91103">
        <w:t xml:space="preserve"> ввоза текстильных изделий и текстильных материалов на </w:t>
      </w:r>
      <w:r>
        <w:t>15,4</w:t>
      </w:r>
      <w:r w:rsidRPr="00F91103">
        <w:t xml:space="preserve">% и </w:t>
      </w:r>
      <w:r>
        <w:t>19,9</w:t>
      </w:r>
      <w:r w:rsidRPr="00F91103">
        <w:t>% соответственно</w:t>
      </w:r>
      <w:r>
        <w:t>);</w:t>
      </w:r>
      <w:proofErr w:type="gramEnd"/>
      <w:r>
        <w:t xml:space="preserve"> фармацевтической продукции (увеличение ввоза на 1,8% позволило расширить </w:t>
      </w:r>
      <w:r w:rsidRPr="000A384B">
        <w:t>их долево</w:t>
      </w:r>
      <w:r>
        <w:t>е</w:t>
      </w:r>
      <w:r w:rsidRPr="000A384B">
        <w:t xml:space="preserve"> представлени</w:t>
      </w:r>
      <w:r>
        <w:t>е</w:t>
      </w:r>
      <w:r w:rsidRPr="000A384B">
        <w:t xml:space="preserve"> в товарной структуре импортных поставок </w:t>
      </w:r>
      <w:r>
        <w:t xml:space="preserve">до 2,4% против 1,6% </w:t>
      </w:r>
      <w:r w:rsidRPr="000A384B">
        <w:t>в январе-</w:t>
      </w:r>
      <w:r>
        <w:t>июле</w:t>
      </w:r>
      <w:r w:rsidRPr="000A384B">
        <w:t xml:space="preserve"> 2015 года</w:t>
      </w:r>
      <w:r>
        <w:t>)</w:t>
      </w:r>
      <w:r w:rsidR="00E115D2">
        <w:t>.</w:t>
      </w:r>
    </w:p>
    <w:p w:rsidR="00507776" w:rsidRDefault="00507776" w:rsidP="00507776">
      <w:pPr>
        <w:pStyle w:val="a5"/>
      </w:pPr>
      <w:r>
        <w:t xml:space="preserve">На протяжении семи месяце 2016 года главными торговыми представителями, поставляющими товары и сырье на территорию Приднестровской Молдавской </w:t>
      </w:r>
      <w:r>
        <w:lastRenderedPageBreak/>
        <w:t xml:space="preserve">Республики, являлись </w:t>
      </w:r>
      <w:r>
        <w:rPr>
          <w:color w:val="000000"/>
        </w:rPr>
        <w:t xml:space="preserve">партнеры из </w:t>
      </w:r>
      <w:r w:rsidRPr="000A384B">
        <w:t>Российской Федерации (</w:t>
      </w:r>
      <w:r>
        <w:t xml:space="preserve">52,1% совокупного импорта, </w:t>
      </w:r>
      <w:r>
        <w:br/>
        <w:t>«-»36,0</w:t>
      </w:r>
      <w:r w:rsidRPr="000A384B">
        <w:t>% к уровню базового показателя 2015 года), Украины (</w:t>
      </w:r>
      <w:r>
        <w:t>10,0</w:t>
      </w:r>
      <w:r w:rsidRPr="000A384B">
        <w:t>%, «-»</w:t>
      </w:r>
      <w:r>
        <w:t>45,6</w:t>
      </w:r>
      <w:r w:rsidRPr="000A384B">
        <w:t>%), Республики Молдова (</w:t>
      </w:r>
      <w:r>
        <w:t>7,9</w:t>
      </w:r>
      <w:r w:rsidRPr="000A384B">
        <w:t>%, «-»</w:t>
      </w:r>
      <w:r>
        <w:t>22,8</w:t>
      </w:r>
      <w:r w:rsidRPr="000A384B">
        <w:t>%), Германии (</w:t>
      </w:r>
      <w:r>
        <w:t>4,2</w:t>
      </w:r>
      <w:r w:rsidRPr="000A384B">
        <w:t>%, «-»</w:t>
      </w:r>
      <w:r>
        <w:t>25,4</w:t>
      </w:r>
      <w:r w:rsidRPr="000A384B">
        <w:t>%), Республики Беларусь (</w:t>
      </w:r>
      <w:r>
        <w:t>3,2</w:t>
      </w:r>
      <w:r w:rsidRPr="000A384B">
        <w:t xml:space="preserve">%, «-» </w:t>
      </w:r>
      <w:r>
        <w:t>45,9</w:t>
      </w:r>
      <w:r w:rsidRPr="000A384B">
        <w:t xml:space="preserve">%). </w:t>
      </w:r>
    </w:p>
    <w:p w:rsidR="00507776" w:rsidRDefault="00507776" w:rsidP="00507776">
      <w:pPr>
        <w:pStyle w:val="a3"/>
        <w:spacing w:before="0" w:beforeAutospacing="0" w:after="0" w:afterAutospacing="0"/>
        <w:ind w:hanging="284"/>
        <w:jc w:val="both"/>
      </w:pPr>
      <w:r w:rsidRPr="0071462E">
        <w:rPr>
          <w:noProof/>
        </w:rPr>
        <w:drawing>
          <wp:inline distT="0" distB="0" distL="0" distR="0">
            <wp:extent cx="6191250" cy="26384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07776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Анализ динамики </w:t>
      </w:r>
      <w:r w:rsidR="00E115D2">
        <w:rPr>
          <w:rFonts w:ascii="Times New Roman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 xml:space="preserve">внешнеторговой деятельности Республики за семь месяцев текущего года показывает, что высокая степень влияния неблагоприятной общеэкономической конъюнктуры в совокупности со значительной </w:t>
      </w:r>
      <w:r w:rsidRPr="000A384B">
        <w:rPr>
          <w:rFonts w:ascii="Times New Roman" w:hAnsi="Times New Roman"/>
          <w:sz w:val="24"/>
          <w:szCs w:val="24"/>
        </w:rPr>
        <w:t>зависимост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0A384B">
        <w:rPr>
          <w:rFonts w:ascii="Times New Roman" w:hAnsi="Times New Roman"/>
          <w:sz w:val="24"/>
          <w:szCs w:val="24"/>
        </w:rPr>
        <w:t xml:space="preserve">экономики от внешних ресурсов вынуждает приднестровских экономических агентов приспосабливаться к действующим условиям ведения внешней торговли, что приводит к дополнительным </w:t>
      </w:r>
      <w:r>
        <w:rPr>
          <w:rFonts w:ascii="Times New Roman" w:hAnsi="Times New Roman"/>
          <w:sz w:val="24"/>
          <w:szCs w:val="24"/>
        </w:rPr>
        <w:t>издержкам</w:t>
      </w:r>
      <w:r w:rsidRPr="000A384B">
        <w:rPr>
          <w:rFonts w:ascii="Times New Roman" w:hAnsi="Times New Roman"/>
          <w:sz w:val="24"/>
          <w:szCs w:val="24"/>
        </w:rPr>
        <w:t xml:space="preserve"> и соответственно к снижению конкурентоспособности приднестровской продукции. </w:t>
      </w:r>
      <w:proofErr w:type="gramEnd"/>
    </w:p>
    <w:p w:rsidR="00507776" w:rsidRDefault="00507776" w:rsidP="000C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776" w:rsidRPr="00337EA3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37EA3">
        <w:rPr>
          <w:rFonts w:ascii="Times New Roman" w:hAnsi="Times New Roman"/>
          <w:b/>
          <w:sz w:val="24"/>
          <w:szCs w:val="24"/>
          <w:u w:val="single"/>
        </w:rPr>
        <w:t>Инфляционные процессы</w:t>
      </w:r>
    </w:p>
    <w:p w:rsidR="00946D12" w:rsidRDefault="00946D12" w:rsidP="00507776">
      <w:pPr>
        <w:spacing w:after="0" w:line="240" w:lineRule="auto"/>
        <w:ind w:firstLine="709"/>
        <w:jc w:val="both"/>
        <w:rPr>
          <w:rStyle w:val="aa"/>
          <w:sz w:val="24"/>
          <w:szCs w:val="24"/>
        </w:rPr>
      </w:pPr>
    </w:p>
    <w:p w:rsidR="00946D12" w:rsidRPr="00946D12" w:rsidRDefault="00E115D2" w:rsidP="00507776">
      <w:pPr>
        <w:spacing w:after="0" w:line="240" w:lineRule="auto"/>
        <w:ind w:firstLine="709"/>
        <w:jc w:val="both"/>
        <w:rPr>
          <w:rStyle w:val="aa"/>
          <w:sz w:val="24"/>
          <w:szCs w:val="24"/>
        </w:rPr>
      </w:pPr>
      <w:r>
        <w:rPr>
          <w:rStyle w:val="aa"/>
          <w:sz w:val="24"/>
          <w:szCs w:val="24"/>
        </w:rPr>
        <w:t xml:space="preserve">Существенный всплеск инфляции в июне «+»2,6% в результате </w:t>
      </w:r>
      <w:r w:rsidR="00946D12">
        <w:rPr>
          <w:rFonts w:ascii="Times New Roman" w:eastAsia="Times New Roman" w:hAnsi="Times New Roman" w:cs="Times New Roman"/>
          <w:sz w:val="24"/>
          <w:szCs w:val="24"/>
        </w:rPr>
        <w:t>сложившейся ситуации</w:t>
      </w:r>
      <w:r w:rsidRPr="00DA4B7F">
        <w:rPr>
          <w:rFonts w:ascii="Times New Roman" w:eastAsia="Times New Roman" w:hAnsi="Times New Roman" w:cs="Times New Roman"/>
          <w:sz w:val="24"/>
          <w:szCs w:val="24"/>
        </w:rPr>
        <w:t xml:space="preserve"> на валютном рынке</w:t>
      </w:r>
      <w:r w:rsidR="00946D1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июл</w:t>
      </w:r>
      <w:r w:rsidR="00946D12">
        <w:rPr>
          <w:rFonts w:ascii="Times New Roman" w:eastAsia="Times New Roman" w:hAnsi="Times New Roman" w:cs="Times New Roman"/>
          <w:sz w:val="24"/>
          <w:szCs w:val="24"/>
        </w:rPr>
        <w:t xml:space="preserve">е сменился </w:t>
      </w:r>
      <w:r w:rsidR="00507776">
        <w:rPr>
          <w:rStyle w:val="aa"/>
          <w:sz w:val="24"/>
          <w:szCs w:val="24"/>
        </w:rPr>
        <w:t>дефляционны</w:t>
      </w:r>
      <w:r w:rsidR="00946D12">
        <w:rPr>
          <w:rStyle w:val="aa"/>
          <w:sz w:val="24"/>
          <w:szCs w:val="24"/>
        </w:rPr>
        <w:t xml:space="preserve">ми </w:t>
      </w:r>
      <w:r w:rsidR="00507776">
        <w:rPr>
          <w:rStyle w:val="aa"/>
          <w:sz w:val="24"/>
          <w:szCs w:val="24"/>
        </w:rPr>
        <w:t>процесс</w:t>
      </w:r>
      <w:r w:rsidR="00946D12">
        <w:rPr>
          <w:rStyle w:val="aa"/>
          <w:sz w:val="24"/>
          <w:szCs w:val="24"/>
        </w:rPr>
        <w:t>ами</w:t>
      </w:r>
      <w:r w:rsidR="00507776">
        <w:rPr>
          <w:rStyle w:val="aa"/>
          <w:sz w:val="24"/>
          <w:szCs w:val="24"/>
        </w:rPr>
        <w:t>, связанны</w:t>
      </w:r>
      <w:r w:rsidR="00946D12">
        <w:rPr>
          <w:rStyle w:val="aa"/>
          <w:sz w:val="24"/>
          <w:szCs w:val="24"/>
        </w:rPr>
        <w:t>ми</w:t>
      </w:r>
      <w:r w:rsidR="00507776">
        <w:rPr>
          <w:rStyle w:val="aa"/>
          <w:sz w:val="24"/>
          <w:szCs w:val="24"/>
        </w:rPr>
        <w:t xml:space="preserve"> с сезонным снижением цен в продовольственном сегменте</w:t>
      </w:r>
      <w:r w:rsidR="00946D12">
        <w:rPr>
          <w:rStyle w:val="aa"/>
          <w:sz w:val="24"/>
          <w:szCs w:val="24"/>
        </w:rPr>
        <w:t xml:space="preserve"> «-»3,99% и в сфере тарифов на услуги «-»0,13%, что обеспечило</w:t>
      </w:r>
      <w:r w:rsidR="00507776">
        <w:rPr>
          <w:rStyle w:val="aa"/>
          <w:sz w:val="24"/>
          <w:szCs w:val="24"/>
        </w:rPr>
        <w:t xml:space="preserve"> снижение </w:t>
      </w:r>
      <w:r w:rsidR="00946D12" w:rsidRPr="00946D12">
        <w:rPr>
          <w:rStyle w:val="aa"/>
          <w:sz w:val="24"/>
          <w:szCs w:val="24"/>
        </w:rPr>
        <w:t xml:space="preserve">сводного индекса потребительских цен (инфляцию) </w:t>
      </w:r>
      <w:r w:rsidR="00507776" w:rsidRPr="00946D12">
        <w:rPr>
          <w:rStyle w:val="aa"/>
          <w:sz w:val="24"/>
          <w:szCs w:val="24"/>
        </w:rPr>
        <w:t>в июле 2016 года на</w:t>
      </w:r>
      <w:r w:rsidR="00946D12" w:rsidRPr="00946D12">
        <w:rPr>
          <w:rStyle w:val="aa"/>
          <w:sz w:val="24"/>
          <w:szCs w:val="24"/>
        </w:rPr>
        <w:t xml:space="preserve"> 1,39%.</w:t>
      </w:r>
    </w:p>
    <w:p w:rsidR="00507776" w:rsidRDefault="00946D12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sz w:val="24"/>
          <w:szCs w:val="24"/>
        </w:rPr>
        <w:t>П</w:t>
      </w:r>
      <w:r w:rsidR="00507776">
        <w:rPr>
          <w:rStyle w:val="aa"/>
          <w:sz w:val="24"/>
          <w:szCs w:val="24"/>
        </w:rPr>
        <w:t xml:space="preserve">о итогам семи месяцев 2016 года </w:t>
      </w:r>
      <w:r w:rsidR="00507776" w:rsidRPr="00FD26CF">
        <w:rPr>
          <w:rStyle w:val="aa"/>
          <w:b/>
          <w:sz w:val="24"/>
          <w:szCs w:val="24"/>
        </w:rPr>
        <w:t>сводный индекс потребительских цен (инфляция)</w:t>
      </w:r>
      <w:r w:rsidR="00507776" w:rsidRPr="00EB4F52">
        <w:rPr>
          <w:rStyle w:val="aa"/>
          <w:sz w:val="24"/>
          <w:szCs w:val="24"/>
        </w:rPr>
        <w:t xml:space="preserve"> с</w:t>
      </w:r>
      <w:r w:rsidR="00507776" w:rsidRPr="00EB4F52">
        <w:rPr>
          <w:rFonts w:ascii="Times New Roman" w:hAnsi="Times New Roman"/>
          <w:sz w:val="24"/>
          <w:szCs w:val="24"/>
        </w:rPr>
        <w:t xml:space="preserve">ложился на уровне </w:t>
      </w:r>
      <w:r w:rsidR="00507776" w:rsidRPr="00FD26CF">
        <w:rPr>
          <w:rFonts w:ascii="Times New Roman" w:hAnsi="Times New Roman"/>
          <w:b/>
          <w:sz w:val="24"/>
          <w:szCs w:val="24"/>
        </w:rPr>
        <w:t>102,31%</w:t>
      </w:r>
      <w:r w:rsidR="00507776" w:rsidRPr="00EB4F52">
        <w:rPr>
          <w:rFonts w:ascii="Times New Roman" w:hAnsi="Times New Roman"/>
          <w:sz w:val="24"/>
          <w:szCs w:val="24"/>
        </w:rPr>
        <w:t xml:space="preserve"> против </w:t>
      </w:r>
      <w:r w:rsidR="00507776">
        <w:rPr>
          <w:rFonts w:ascii="Times New Roman" w:hAnsi="Times New Roman"/>
          <w:sz w:val="24"/>
          <w:szCs w:val="24"/>
        </w:rPr>
        <w:t>98,71</w:t>
      </w:r>
      <w:r w:rsidR="00507776" w:rsidRPr="00EB4F52">
        <w:rPr>
          <w:rFonts w:ascii="Times New Roman" w:hAnsi="Times New Roman"/>
          <w:sz w:val="24"/>
          <w:szCs w:val="24"/>
        </w:rPr>
        <w:t>% в январе-ию</w:t>
      </w:r>
      <w:r w:rsidR="00507776">
        <w:rPr>
          <w:rFonts w:ascii="Times New Roman" w:hAnsi="Times New Roman"/>
          <w:sz w:val="24"/>
          <w:szCs w:val="24"/>
        </w:rPr>
        <w:t>л</w:t>
      </w:r>
      <w:r w:rsidR="00507776" w:rsidRPr="00EB4F52">
        <w:rPr>
          <w:rFonts w:ascii="Times New Roman" w:hAnsi="Times New Roman"/>
          <w:sz w:val="24"/>
          <w:szCs w:val="24"/>
        </w:rPr>
        <w:t>е 2015 года.</w:t>
      </w:r>
    </w:p>
    <w:p w:rsidR="00507776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776" w:rsidRPr="00EB4F52" w:rsidRDefault="00507776" w:rsidP="00507776">
      <w:pPr>
        <w:shd w:val="clear" w:color="auto" w:fill="FFFFFF"/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EB4F5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4120" cy="2217420"/>
            <wp:effectExtent l="0" t="0" r="0" b="0"/>
            <wp:docPr id="1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07776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35E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507776" w:rsidRPr="00EB4F52" w:rsidRDefault="00507776" w:rsidP="005077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776" w:rsidRPr="00EB4F52" w:rsidRDefault="00507776" w:rsidP="00507776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EB4F52">
        <w:rPr>
          <w:rStyle w:val="a8"/>
          <w:rFonts w:ascii="Times New Roman" w:hAnsi="Times New Roman"/>
          <w:b w:val="0"/>
          <w:noProof/>
          <w:color w:val="00B0F0"/>
          <w:sz w:val="24"/>
          <w:szCs w:val="24"/>
        </w:rPr>
        <w:lastRenderedPageBreak/>
        <w:drawing>
          <wp:inline distT="0" distB="0" distL="0" distR="0">
            <wp:extent cx="5924550" cy="2019300"/>
            <wp:effectExtent l="19050" t="0" r="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07776" w:rsidRPr="00507776" w:rsidRDefault="00507776" w:rsidP="00507776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Pr="00507776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продовольственном сегменте</w:t>
      </w:r>
      <w:r w:rsidRPr="00507776">
        <w:rPr>
          <w:rStyle w:val="a8"/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потребительского рынка </w:t>
      </w:r>
      <w:r w:rsidRPr="0050777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 январе-июле 2016 года 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влияние сезонного удешевления </w:t>
      </w:r>
      <w:r w:rsidRPr="0050777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плодоовощной продукции, включая картофель – на 10,15%,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яиц – на 9,05%, маргарина и маргариновой продукции – на 2,31%, майонезной продукции – на 2,75%, мороженого – на 2,62%, меда – на 1,77% в совокупности с </w:t>
      </w:r>
      <w:r w:rsidRPr="0050777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удорожанием стоимости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0777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сахара – на 8,95%, мясопродуктов – на 7,71%, рыбопродуктов – на 6,7%, масла и жиров – на 5,11%, муки – на 4,5%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предопределило</w:t>
      </w:r>
      <w:proofErr w:type="gramEnd"/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507776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инфляцию в размере 1,09%</w:t>
      </w:r>
      <w:r w:rsidRPr="0050777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против дефляции «-»4,87% в январе-июле 2015 года.</w:t>
      </w:r>
    </w:p>
    <w:p w:rsidR="00507776" w:rsidRDefault="0003062F" w:rsidP="00507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Между тем, </w:t>
      </w:r>
      <w:r w:rsidRPr="00F6365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F1F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непродовольственном сегменте </w:t>
      </w:r>
      <w:r w:rsidRPr="0003062F">
        <w:rPr>
          <w:rFonts w:ascii="Times New Roman" w:eastAsia="Times New Roman" w:hAnsi="Times New Roman" w:cs="Times New Roman"/>
          <w:sz w:val="24"/>
          <w:szCs w:val="24"/>
        </w:rPr>
        <w:t>потребительского рынка в</w:t>
      </w:r>
      <w:r w:rsidR="0050777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наблюдалось</w:t>
      </w:r>
      <w:r w:rsidR="00507776" w:rsidRPr="00F63659">
        <w:rPr>
          <w:rFonts w:ascii="Times New Roman" w:eastAsia="Times New Roman" w:hAnsi="Times New Roman" w:cs="Times New Roman"/>
          <w:sz w:val="24"/>
          <w:szCs w:val="24"/>
        </w:rPr>
        <w:t xml:space="preserve"> усиление инфляционных процессов </w:t>
      </w:r>
      <w:r w:rsidR="00507776" w:rsidRPr="003E4141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07776" w:rsidRPr="003E4141">
        <w:rPr>
          <w:rFonts w:ascii="Times New Roman" w:eastAsia="Times New Roman" w:hAnsi="Times New Roman" w:cs="Times New Roman"/>
          <w:b/>
          <w:i/>
          <w:sz w:val="24"/>
          <w:szCs w:val="24"/>
        </w:rPr>
        <w:t>10</w:t>
      </w:r>
      <w:r w:rsidR="00507776" w:rsidRPr="003E4141">
        <w:rPr>
          <w:rFonts w:ascii="Times New Roman" w:hAnsi="Times New Roman" w:cs="Times New Roman"/>
          <w:b/>
          <w:i/>
          <w:sz w:val="24"/>
          <w:szCs w:val="24"/>
        </w:rPr>
        <w:t>3,56%</w:t>
      </w:r>
      <w:r w:rsidR="00507776" w:rsidRPr="00AF0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776" w:rsidRPr="00AF09A4">
        <w:rPr>
          <w:rFonts w:ascii="Times New Roman" w:hAnsi="Times New Roman" w:cs="Times New Roman"/>
          <w:sz w:val="24"/>
          <w:szCs w:val="24"/>
        </w:rPr>
        <w:t>(в январе–ию</w:t>
      </w:r>
      <w:r w:rsidR="00507776">
        <w:rPr>
          <w:rFonts w:ascii="Times New Roman" w:hAnsi="Times New Roman" w:cs="Times New Roman"/>
          <w:sz w:val="24"/>
          <w:szCs w:val="24"/>
        </w:rPr>
        <w:t>л</w:t>
      </w:r>
      <w:r w:rsidR="00507776" w:rsidRPr="00AF09A4">
        <w:rPr>
          <w:rFonts w:ascii="Times New Roman" w:hAnsi="Times New Roman" w:cs="Times New Roman"/>
          <w:sz w:val="24"/>
          <w:szCs w:val="24"/>
        </w:rPr>
        <w:t xml:space="preserve">е 2015 года </w:t>
      </w:r>
      <w:r w:rsidR="00507776">
        <w:rPr>
          <w:rFonts w:ascii="Times New Roman" w:hAnsi="Times New Roman" w:cs="Times New Roman"/>
          <w:sz w:val="24"/>
          <w:szCs w:val="24"/>
        </w:rPr>
        <w:t xml:space="preserve">дефляция </w:t>
      </w:r>
      <w:r w:rsidR="003E4141">
        <w:rPr>
          <w:rFonts w:ascii="Times New Roman" w:hAnsi="Times New Roman" w:cs="Times New Roman"/>
          <w:sz w:val="24"/>
          <w:szCs w:val="24"/>
        </w:rPr>
        <w:t>«-»</w:t>
      </w:r>
      <w:r w:rsidR="00507776" w:rsidRPr="00AF09A4">
        <w:rPr>
          <w:rFonts w:ascii="Times New Roman" w:hAnsi="Times New Roman" w:cs="Times New Roman"/>
          <w:sz w:val="24"/>
          <w:szCs w:val="24"/>
        </w:rPr>
        <w:t>1,</w:t>
      </w:r>
      <w:r w:rsidR="00507776">
        <w:rPr>
          <w:rFonts w:ascii="Times New Roman" w:hAnsi="Times New Roman" w:cs="Times New Roman"/>
          <w:sz w:val="24"/>
          <w:szCs w:val="24"/>
        </w:rPr>
        <w:t>7</w:t>
      </w:r>
      <w:r w:rsidR="00507776" w:rsidRPr="00AF09A4">
        <w:rPr>
          <w:rFonts w:ascii="Times New Roman" w:hAnsi="Times New Roman" w:cs="Times New Roman"/>
          <w:sz w:val="24"/>
          <w:szCs w:val="24"/>
        </w:rPr>
        <w:t>2%).</w:t>
      </w:r>
      <w:r w:rsidR="00507776">
        <w:rPr>
          <w:rFonts w:ascii="Times New Roman" w:hAnsi="Times New Roman" w:cs="Times New Roman"/>
          <w:sz w:val="24"/>
          <w:szCs w:val="24"/>
        </w:rPr>
        <w:t xml:space="preserve"> </w:t>
      </w:r>
      <w:r w:rsidR="00507776" w:rsidRPr="00F63659">
        <w:rPr>
          <w:rFonts w:ascii="Times New Roman" w:eastAsia="Times New Roman" w:hAnsi="Times New Roman" w:cs="Times New Roman"/>
          <w:sz w:val="24"/>
          <w:szCs w:val="24"/>
        </w:rPr>
        <w:t>Прежде всего</w:t>
      </w:r>
      <w:r w:rsidR="0050777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7776" w:rsidRPr="00F63659">
        <w:rPr>
          <w:rFonts w:ascii="Times New Roman" w:eastAsia="Times New Roman" w:hAnsi="Times New Roman" w:cs="Times New Roman"/>
          <w:sz w:val="24"/>
          <w:szCs w:val="24"/>
        </w:rPr>
        <w:t xml:space="preserve"> дорожали товары народного потребления, импортируемые на территорию республики. </w:t>
      </w:r>
      <w:proofErr w:type="gramStart"/>
      <w:r w:rsidR="00507776" w:rsidRPr="00EB4F52">
        <w:rPr>
          <w:rFonts w:ascii="Times New Roman" w:hAnsi="Times New Roman" w:cs="Times New Roman"/>
          <w:sz w:val="24"/>
          <w:szCs w:val="24"/>
        </w:rPr>
        <w:t xml:space="preserve">В общей структуре данного сегмента выделяется удорожание стоимости табачных изделий </w:t>
      </w:r>
      <w:r w:rsidR="00507776">
        <w:rPr>
          <w:rFonts w:ascii="Times New Roman" w:hAnsi="Times New Roman" w:cs="Times New Roman"/>
          <w:sz w:val="24"/>
          <w:szCs w:val="24"/>
        </w:rPr>
        <w:t>– на 20,44%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, велосипедов </w:t>
      </w:r>
      <w:r w:rsidR="00507776">
        <w:rPr>
          <w:rFonts w:ascii="Times New Roman" w:hAnsi="Times New Roman" w:cs="Times New Roman"/>
          <w:sz w:val="24"/>
          <w:szCs w:val="24"/>
        </w:rPr>
        <w:t>– на 14,1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%, ковров и ковровых изделий </w:t>
      </w:r>
      <w:r w:rsidR="00507776">
        <w:rPr>
          <w:rFonts w:ascii="Times New Roman" w:hAnsi="Times New Roman" w:cs="Times New Roman"/>
          <w:sz w:val="24"/>
          <w:szCs w:val="24"/>
        </w:rPr>
        <w:t xml:space="preserve">- на </w:t>
      </w:r>
      <w:r w:rsidR="00507776" w:rsidRPr="00EB4F52">
        <w:rPr>
          <w:rFonts w:ascii="Times New Roman" w:hAnsi="Times New Roman" w:cs="Times New Roman"/>
          <w:sz w:val="24"/>
          <w:szCs w:val="24"/>
        </w:rPr>
        <w:t>13,</w:t>
      </w:r>
      <w:r w:rsidR="00507776">
        <w:rPr>
          <w:rFonts w:ascii="Times New Roman" w:hAnsi="Times New Roman" w:cs="Times New Roman"/>
          <w:sz w:val="24"/>
          <w:szCs w:val="24"/>
        </w:rPr>
        <w:t>9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1%, электротоваров и других бытовых приборов </w:t>
      </w:r>
      <w:r w:rsidR="00507776">
        <w:rPr>
          <w:rFonts w:ascii="Times New Roman" w:hAnsi="Times New Roman" w:cs="Times New Roman"/>
          <w:sz w:val="24"/>
          <w:szCs w:val="24"/>
        </w:rPr>
        <w:t>– на 12,32%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, строительных материалов </w:t>
      </w:r>
      <w:r w:rsidR="00507776">
        <w:rPr>
          <w:rFonts w:ascii="Times New Roman" w:hAnsi="Times New Roman" w:cs="Times New Roman"/>
          <w:sz w:val="24"/>
          <w:szCs w:val="24"/>
        </w:rPr>
        <w:t xml:space="preserve">– на </w:t>
      </w:r>
      <w:r w:rsidR="00507776" w:rsidRPr="00EB4F52">
        <w:rPr>
          <w:rFonts w:ascii="Times New Roman" w:hAnsi="Times New Roman" w:cs="Times New Roman"/>
          <w:sz w:val="24"/>
          <w:szCs w:val="24"/>
        </w:rPr>
        <w:t>9</w:t>
      </w:r>
      <w:r w:rsidR="00507776">
        <w:rPr>
          <w:rFonts w:ascii="Times New Roman" w:hAnsi="Times New Roman" w:cs="Times New Roman"/>
          <w:sz w:val="24"/>
          <w:szCs w:val="24"/>
        </w:rPr>
        <w:t>,12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%, а также печатных изданий </w:t>
      </w:r>
      <w:r w:rsidR="00507776">
        <w:rPr>
          <w:rFonts w:ascii="Times New Roman" w:hAnsi="Times New Roman" w:cs="Times New Roman"/>
          <w:sz w:val="24"/>
          <w:szCs w:val="24"/>
        </w:rPr>
        <w:t xml:space="preserve">– на 7,22%, </w:t>
      </w:r>
      <w:proofErr w:type="spellStart"/>
      <w:r w:rsidR="00507776">
        <w:rPr>
          <w:rFonts w:ascii="Times New Roman" w:hAnsi="Times New Roman" w:cs="Times New Roman"/>
          <w:sz w:val="24"/>
          <w:szCs w:val="24"/>
        </w:rPr>
        <w:t>хозтоваров</w:t>
      </w:r>
      <w:proofErr w:type="spellEnd"/>
      <w:r w:rsidR="00507776">
        <w:rPr>
          <w:rFonts w:ascii="Times New Roman" w:hAnsi="Times New Roman" w:cs="Times New Roman"/>
          <w:sz w:val="24"/>
          <w:szCs w:val="24"/>
        </w:rPr>
        <w:t xml:space="preserve"> – на 6,9%, 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вычислительной техники </w:t>
      </w:r>
      <w:r w:rsidR="00507776">
        <w:rPr>
          <w:rFonts w:ascii="Times New Roman" w:hAnsi="Times New Roman" w:cs="Times New Roman"/>
          <w:sz w:val="24"/>
          <w:szCs w:val="24"/>
        </w:rPr>
        <w:t>– на 5,63%</w:t>
      </w:r>
      <w:r w:rsidR="00507776" w:rsidRPr="00EB4F52">
        <w:rPr>
          <w:rFonts w:ascii="Times New Roman" w:hAnsi="Times New Roman" w:cs="Times New Roman"/>
          <w:sz w:val="24"/>
          <w:szCs w:val="24"/>
        </w:rPr>
        <w:t>,</w:t>
      </w:r>
      <w:r w:rsidR="00507776" w:rsidRPr="000D5A8F">
        <w:rPr>
          <w:rFonts w:ascii="Times New Roman" w:hAnsi="Times New Roman" w:cs="Times New Roman"/>
          <w:sz w:val="24"/>
          <w:szCs w:val="24"/>
        </w:rPr>
        <w:t xml:space="preserve"> </w:t>
      </w:r>
      <w:r w:rsidR="00507776" w:rsidRPr="00EB4F52">
        <w:rPr>
          <w:rFonts w:ascii="Times New Roman" w:hAnsi="Times New Roman" w:cs="Times New Roman"/>
          <w:sz w:val="24"/>
          <w:szCs w:val="24"/>
        </w:rPr>
        <w:t xml:space="preserve">медикаментов </w:t>
      </w:r>
      <w:r w:rsidR="00507776">
        <w:rPr>
          <w:rFonts w:ascii="Times New Roman" w:hAnsi="Times New Roman" w:cs="Times New Roman"/>
          <w:sz w:val="24"/>
          <w:szCs w:val="24"/>
        </w:rPr>
        <w:t>– на 2,72</w:t>
      </w:r>
      <w:r w:rsidR="00507776" w:rsidRPr="00EB4F52">
        <w:rPr>
          <w:rFonts w:ascii="Times New Roman" w:hAnsi="Times New Roman" w:cs="Times New Roman"/>
          <w:sz w:val="24"/>
          <w:szCs w:val="24"/>
        </w:rPr>
        <w:t>%.</w:t>
      </w:r>
      <w:r w:rsidR="00507776" w:rsidRPr="000D5A8F">
        <w:rPr>
          <w:rFonts w:ascii="Times New Roman" w:hAnsi="Times New Roman" w:cs="Times New Roman"/>
          <w:sz w:val="24"/>
          <w:szCs w:val="24"/>
        </w:rPr>
        <w:t xml:space="preserve"> </w:t>
      </w:r>
      <w:r w:rsidR="00507776" w:rsidRPr="00EB4F52">
        <w:rPr>
          <w:rFonts w:ascii="Times New Roman" w:hAnsi="Times New Roman" w:cs="Times New Roman"/>
          <w:sz w:val="24"/>
          <w:szCs w:val="24"/>
        </w:rPr>
        <w:t>В то же время отмечалось удешевление стоимости топлива (бензина) («</w:t>
      </w:r>
      <w:r w:rsidR="00507776">
        <w:rPr>
          <w:rFonts w:ascii="Times New Roman" w:hAnsi="Times New Roman" w:cs="Times New Roman"/>
          <w:sz w:val="24"/>
          <w:szCs w:val="24"/>
        </w:rPr>
        <w:t>-</w:t>
      </w:r>
      <w:r w:rsidR="00507776" w:rsidRPr="00EB4F52">
        <w:rPr>
          <w:rFonts w:ascii="Times New Roman" w:hAnsi="Times New Roman" w:cs="Times New Roman"/>
          <w:sz w:val="24"/>
          <w:szCs w:val="24"/>
        </w:rPr>
        <w:t>»</w:t>
      </w:r>
      <w:r w:rsidR="00507776">
        <w:rPr>
          <w:rFonts w:ascii="Times New Roman" w:hAnsi="Times New Roman" w:cs="Times New Roman"/>
          <w:sz w:val="24"/>
          <w:szCs w:val="24"/>
        </w:rPr>
        <w:t>3,92</w:t>
      </w:r>
      <w:r w:rsidR="00507776" w:rsidRPr="00EB4F52">
        <w:rPr>
          <w:rFonts w:ascii="Times New Roman" w:hAnsi="Times New Roman" w:cs="Times New Roman"/>
          <w:sz w:val="24"/>
          <w:szCs w:val="24"/>
        </w:rPr>
        <w:t>%), товаров бытовой</w:t>
      </w:r>
      <w:proofErr w:type="gramEnd"/>
      <w:r w:rsidR="00507776" w:rsidRPr="00EB4F52">
        <w:rPr>
          <w:rFonts w:ascii="Times New Roman" w:hAnsi="Times New Roman" w:cs="Times New Roman"/>
          <w:sz w:val="24"/>
          <w:szCs w:val="24"/>
        </w:rPr>
        <w:t xml:space="preserve"> химии («-»</w:t>
      </w:r>
      <w:r w:rsidR="00507776">
        <w:rPr>
          <w:rFonts w:ascii="Times New Roman" w:hAnsi="Times New Roman" w:cs="Times New Roman"/>
          <w:sz w:val="24"/>
          <w:szCs w:val="24"/>
        </w:rPr>
        <w:t xml:space="preserve">1,66%) </w:t>
      </w:r>
      <w:r w:rsidR="00507776" w:rsidRPr="00EB4F52">
        <w:rPr>
          <w:rFonts w:ascii="Times New Roman" w:hAnsi="Times New Roman" w:cs="Times New Roman"/>
          <w:sz w:val="24"/>
          <w:szCs w:val="24"/>
        </w:rPr>
        <w:t>и др.</w:t>
      </w:r>
    </w:p>
    <w:p w:rsidR="00507776" w:rsidRPr="00B755F6" w:rsidRDefault="00507776" w:rsidP="00507776">
      <w:pPr>
        <w:spacing w:after="0" w:line="240" w:lineRule="auto"/>
        <w:ind w:firstLine="709"/>
        <w:jc w:val="both"/>
        <w:rPr>
          <w:rStyle w:val="FontStyle183"/>
          <w:rFonts w:ascii="Times New Roman" w:hAnsi="Times New Roman" w:cs="Times New Roman"/>
          <w:sz w:val="24"/>
          <w:szCs w:val="24"/>
        </w:rPr>
      </w:pPr>
      <w:r w:rsidRPr="00BB0BED">
        <w:rPr>
          <w:rFonts w:ascii="Times New Roman" w:hAnsi="Times New Roman"/>
          <w:b/>
          <w:i/>
          <w:sz w:val="24"/>
          <w:szCs w:val="24"/>
        </w:rPr>
        <w:t>В сфере услуг</w:t>
      </w:r>
      <w:r>
        <w:rPr>
          <w:rFonts w:ascii="Times New Roman" w:hAnsi="Times New Roman"/>
          <w:sz w:val="24"/>
          <w:szCs w:val="24"/>
        </w:rPr>
        <w:t xml:space="preserve"> в январе-июле текущего года был зафиксирован минимальный прирост тарифов </w:t>
      </w:r>
      <w:r w:rsidRPr="00BB0BED">
        <w:rPr>
          <w:rFonts w:ascii="Times New Roman" w:hAnsi="Times New Roman"/>
          <w:b/>
          <w:i/>
          <w:sz w:val="24"/>
          <w:szCs w:val="24"/>
        </w:rPr>
        <w:t>(«+»2,40%</w:t>
      </w:r>
      <w:r>
        <w:rPr>
          <w:rFonts w:ascii="Times New Roman" w:hAnsi="Times New Roman"/>
          <w:sz w:val="24"/>
          <w:szCs w:val="24"/>
        </w:rPr>
        <w:t xml:space="preserve">, против «+»6,39% в январе-июле 2015 года), что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стал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следствием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решений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неосуществлении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2016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корректировок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стоимости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ключевых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потребительских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целях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минимизации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инфляционной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841">
        <w:rPr>
          <w:rFonts w:ascii="Times New Roman" w:eastAsia="Times New Roman" w:hAnsi="Times New Roman" w:cs="Times New Roman"/>
          <w:sz w:val="24"/>
          <w:szCs w:val="24"/>
        </w:rPr>
        <w:t xml:space="preserve">кризиса. </w:t>
      </w:r>
      <w:r>
        <w:rPr>
          <w:rFonts w:ascii="Times New Roman" w:eastAsia="Times New Roman" w:hAnsi="Times New Roman" w:cs="Times New Roman"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лючевым фактором, формирующим </w:t>
      </w:r>
      <w:r w:rsidRPr="00EB4F52">
        <w:rPr>
          <w:rFonts w:ascii="Times New Roman" w:hAnsi="Times New Roman" w:cs="Times New Roman"/>
          <w:sz w:val="24"/>
          <w:szCs w:val="24"/>
        </w:rPr>
        <w:t>инфляционн</w:t>
      </w:r>
      <w:r>
        <w:rPr>
          <w:rFonts w:ascii="Times New Roman" w:hAnsi="Times New Roman" w:cs="Times New Roman"/>
          <w:sz w:val="24"/>
          <w:szCs w:val="24"/>
        </w:rPr>
        <w:t>ый фон</w:t>
      </w:r>
      <w:r w:rsidRPr="00EB4F52">
        <w:rPr>
          <w:rFonts w:ascii="Times New Roman" w:hAnsi="Times New Roman" w:cs="Times New Roman"/>
          <w:sz w:val="24"/>
          <w:szCs w:val="24"/>
        </w:rPr>
        <w:t xml:space="preserve"> в сфере тарифов на услуги</w:t>
      </w:r>
      <w:r>
        <w:rPr>
          <w:rFonts w:ascii="Times New Roman" w:hAnsi="Times New Roman" w:cs="Times New Roman"/>
          <w:sz w:val="24"/>
          <w:szCs w:val="24"/>
        </w:rPr>
        <w:t xml:space="preserve"> в рассматриваемом периоде, </w:t>
      </w:r>
      <w:r w:rsidRPr="00EB4F52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>ило</w:t>
      </w:r>
      <w:r w:rsidRPr="00EB4F52">
        <w:rPr>
          <w:rFonts w:ascii="Times New Roman" w:hAnsi="Times New Roman" w:cs="Times New Roman"/>
          <w:sz w:val="24"/>
          <w:szCs w:val="24"/>
        </w:rPr>
        <w:t xml:space="preserve"> 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тарифов на услуги банков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br/>
        <w:t xml:space="preserve">(«+»24,27%), 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>медицински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е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и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(«+»13,34%),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услуги пассажирского транспорта («+»11,7), 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>услуг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и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дошкольного воспитания («+»8,36%), услуг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и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правового характера («+»8,21%). В то же время подешевели санаторно-оздоровительные услуги на 5,46%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, услуги образования на 2,36%, бытовые услуги на 1,97%</w:t>
      </w:r>
      <w:r w:rsidRPr="00EB4F52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07776" w:rsidRPr="00EB4F52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F52">
        <w:rPr>
          <w:rFonts w:ascii="Times New Roman" w:hAnsi="Times New Roman"/>
          <w:sz w:val="24"/>
          <w:szCs w:val="24"/>
        </w:rPr>
        <w:t xml:space="preserve">Таким образом, проводимые </w:t>
      </w:r>
      <w:r>
        <w:rPr>
          <w:rFonts w:ascii="Times New Roman" w:hAnsi="Times New Roman"/>
          <w:sz w:val="24"/>
          <w:szCs w:val="24"/>
        </w:rPr>
        <w:t xml:space="preserve">государством </w:t>
      </w:r>
      <w:r w:rsidRPr="00EB4F52">
        <w:rPr>
          <w:rFonts w:ascii="Times New Roman" w:hAnsi="Times New Roman"/>
          <w:sz w:val="24"/>
          <w:szCs w:val="24"/>
        </w:rPr>
        <w:t>антиинфляционные меры по оптимизации тарифной политики в сфере естественных монополий,</w:t>
      </w:r>
      <w:r>
        <w:rPr>
          <w:rFonts w:ascii="Times New Roman" w:hAnsi="Times New Roman"/>
          <w:sz w:val="24"/>
          <w:szCs w:val="24"/>
        </w:rPr>
        <w:t xml:space="preserve"> а также регулируемые </w:t>
      </w:r>
      <w:r>
        <w:rPr>
          <w:rFonts w:ascii="Times New Roman" w:eastAsia="Times New Roman" w:hAnsi="Times New Roman" w:cs="Times New Roman"/>
          <w:sz w:val="24"/>
          <w:szCs w:val="24"/>
        </w:rPr>
        <w:t>меры ценообразования</w:t>
      </w:r>
      <w:r w:rsidRPr="00EB4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секторе продовольственных товаров </w:t>
      </w:r>
      <w:r w:rsidRPr="00EB4F52">
        <w:rPr>
          <w:rFonts w:ascii="Times New Roman" w:hAnsi="Times New Roman"/>
          <w:sz w:val="24"/>
          <w:szCs w:val="24"/>
        </w:rPr>
        <w:t xml:space="preserve">обеспечили </w:t>
      </w:r>
      <w:r>
        <w:rPr>
          <w:rFonts w:ascii="Times New Roman" w:hAnsi="Times New Roman"/>
          <w:sz w:val="24"/>
          <w:szCs w:val="24"/>
        </w:rPr>
        <w:t xml:space="preserve">умеренный инфляционный фон на потребительском рынке </w:t>
      </w:r>
      <w:r w:rsidRPr="00EB4F52">
        <w:rPr>
          <w:rFonts w:ascii="Times New Roman" w:hAnsi="Times New Roman"/>
          <w:sz w:val="24"/>
          <w:szCs w:val="24"/>
        </w:rPr>
        <w:t xml:space="preserve">Республике </w:t>
      </w:r>
      <w:r>
        <w:rPr>
          <w:rFonts w:ascii="Times New Roman" w:hAnsi="Times New Roman"/>
          <w:sz w:val="24"/>
          <w:szCs w:val="24"/>
        </w:rPr>
        <w:t xml:space="preserve">в январе - июле 2016 года </w:t>
      </w:r>
    </w:p>
    <w:p w:rsidR="00507776" w:rsidRDefault="00507776" w:rsidP="005077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F52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EB4F52">
        <w:rPr>
          <w:rFonts w:ascii="Times New Roman" w:hAnsi="Times New Roman"/>
          <w:i/>
          <w:sz w:val="24"/>
          <w:szCs w:val="24"/>
          <w:u w:val="single"/>
        </w:rPr>
        <w:t>:</w:t>
      </w:r>
      <w:r w:rsidRPr="00EB4F52">
        <w:rPr>
          <w:rFonts w:ascii="Times New Roman" w:hAnsi="Times New Roman"/>
          <w:sz w:val="24"/>
          <w:szCs w:val="24"/>
        </w:rPr>
        <w:t xml:space="preserve"> Сводный индекс потребительских цен (инфляция) в январе-ию</w:t>
      </w:r>
      <w:r>
        <w:rPr>
          <w:rFonts w:ascii="Times New Roman" w:hAnsi="Times New Roman"/>
          <w:sz w:val="24"/>
          <w:szCs w:val="24"/>
        </w:rPr>
        <w:t>л</w:t>
      </w:r>
      <w:r w:rsidRPr="00EB4F52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br/>
      </w:r>
      <w:r w:rsidRPr="00EB4F52">
        <w:rPr>
          <w:rFonts w:ascii="Times New Roman" w:hAnsi="Times New Roman"/>
          <w:sz w:val="24"/>
          <w:szCs w:val="24"/>
        </w:rPr>
        <w:t>2016 года</w:t>
      </w:r>
      <w:r w:rsidR="003E4141">
        <w:rPr>
          <w:rFonts w:ascii="Times New Roman" w:hAnsi="Times New Roman"/>
          <w:sz w:val="24"/>
          <w:szCs w:val="24"/>
        </w:rPr>
        <w:t xml:space="preserve"> в ПМР составил</w:t>
      </w:r>
      <w:r w:rsidRPr="00EB4F52">
        <w:rPr>
          <w:rFonts w:ascii="Times New Roman" w:hAnsi="Times New Roman"/>
          <w:sz w:val="24"/>
          <w:szCs w:val="24"/>
        </w:rPr>
        <w:t xml:space="preserve"> </w:t>
      </w:r>
      <w:r w:rsidR="003E4141" w:rsidRPr="003E4141">
        <w:rPr>
          <w:rStyle w:val="aa"/>
          <w:sz w:val="24"/>
          <w:szCs w:val="24"/>
        </w:rPr>
        <w:t>10</w:t>
      </w:r>
      <w:r w:rsidR="003E4141" w:rsidRPr="003E4141">
        <w:rPr>
          <w:rFonts w:ascii="Times New Roman" w:hAnsi="Times New Roman"/>
          <w:sz w:val="24"/>
          <w:szCs w:val="24"/>
        </w:rPr>
        <w:t xml:space="preserve">2,31%, </w:t>
      </w:r>
      <w:r w:rsidRPr="00EB4F52">
        <w:rPr>
          <w:rFonts w:ascii="Times New Roman" w:hAnsi="Times New Roman"/>
          <w:sz w:val="24"/>
          <w:szCs w:val="24"/>
        </w:rPr>
        <w:t xml:space="preserve">в Республике Молдова составил </w:t>
      </w:r>
      <w:r>
        <w:rPr>
          <w:rFonts w:ascii="Times New Roman" w:hAnsi="Times New Roman"/>
          <w:sz w:val="24"/>
          <w:szCs w:val="24"/>
        </w:rPr>
        <w:t>99,1</w:t>
      </w:r>
      <w:r w:rsidRPr="00EB4F52">
        <w:rPr>
          <w:rFonts w:ascii="Times New Roman" w:hAnsi="Times New Roman"/>
          <w:sz w:val="24"/>
          <w:szCs w:val="24"/>
        </w:rPr>
        <w:t>%, в Украине – 104,</w:t>
      </w:r>
      <w:r>
        <w:rPr>
          <w:rFonts w:ascii="Times New Roman" w:hAnsi="Times New Roman"/>
          <w:sz w:val="24"/>
          <w:szCs w:val="24"/>
        </w:rPr>
        <w:t>8</w:t>
      </w:r>
      <w:r w:rsidRPr="00EB4F52">
        <w:rPr>
          <w:rFonts w:ascii="Times New Roman" w:hAnsi="Times New Roman"/>
          <w:sz w:val="24"/>
          <w:szCs w:val="24"/>
        </w:rPr>
        <w:t>%, в Российской Федерации – 103,</w:t>
      </w:r>
      <w:r>
        <w:rPr>
          <w:rFonts w:ascii="Times New Roman" w:hAnsi="Times New Roman"/>
          <w:sz w:val="24"/>
          <w:szCs w:val="24"/>
        </w:rPr>
        <w:t>9</w:t>
      </w:r>
      <w:r w:rsidRPr="00EB4F52">
        <w:rPr>
          <w:rFonts w:ascii="Times New Roman" w:hAnsi="Times New Roman"/>
          <w:sz w:val="24"/>
          <w:szCs w:val="24"/>
        </w:rPr>
        <w:t>%.</w:t>
      </w:r>
    </w:p>
    <w:p w:rsidR="00507776" w:rsidRPr="000C3CCD" w:rsidRDefault="00507776" w:rsidP="000C3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07776" w:rsidRPr="000C3CCD" w:rsidSect="00AE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DEC"/>
    <w:rsid w:val="00001C29"/>
    <w:rsid w:val="000219A4"/>
    <w:rsid w:val="0002279E"/>
    <w:rsid w:val="000305E9"/>
    <w:rsid w:val="0003062F"/>
    <w:rsid w:val="000405C5"/>
    <w:rsid w:val="00061793"/>
    <w:rsid w:val="00081D04"/>
    <w:rsid w:val="000909D1"/>
    <w:rsid w:val="000B437C"/>
    <w:rsid w:val="000C3CCD"/>
    <w:rsid w:val="000D23C3"/>
    <w:rsid w:val="000E09F9"/>
    <w:rsid w:val="000E280E"/>
    <w:rsid w:val="00114233"/>
    <w:rsid w:val="0011718F"/>
    <w:rsid w:val="001368DD"/>
    <w:rsid w:val="001440EC"/>
    <w:rsid w:val="00151AEC"/>
    <w:rsid w:val="0019048F"/>
    <w:rsid w:val="001B0022"/>
    <w:rsid w:val="001D4CEE"/>
    <w:rsid w:val="0021585C"/>
    <w:rsid w:val="00222865"/>
    <w:rsid w:val="00230981"/>
    <w:rsid w:val="002377E0"/>
    <w:rsid w:val="00253D67"/>
    <w:rsid w:val="00263D1A"/>
    <w:rsid w:val="002B64F4"/>
    <w:rsid w:val="002C260E"/>
    <w:rsid w:val="00301D42"/>
    <w:rsid w:val="0031204F"/>
    <w:rsid w:val="00344D8A"/>
    <w:rsid w:val="0036301F"/>
    <w:rsid w:val="0037290E"/>
    <w:rsid w:val="003775CD"/>
    <w:rsid w:val="00391389"/>
    <w:rsid w:val="00394E6B"/>
    <w:rsid w:val="00395172"/>
    <w:rsid w:val="003A3A1C"/>
    <w:rsid w:val="003B440E"/>
    <w:rsid w:val="003B638E"/>
    <w:rsid w:val="003D7D52"/>
    <w:rsid w:val="003E4141"/>
    <w:rsid w:val="003E5C7A"/>
    <w:rsid w:val="004007C8"/>
    <w:rsid w:val="00416A2B"/>
    <w:rsid w:val="00422BEF"/>
    <w:rsid w:val="004414F4"/>
    <w:rsid w:val="004616D9"/>
    <w:rsid w:val="004769DC"/>
    <w:rsid w:val="004A0E79"/>
    <w:rsid w:val="004A49DC"/>
    <w:rsid w:val="004A5D65"/>
    <w:rsid w:val="004B22DD"/>
    <w:rsid w:val="004B4A53"/>
    <w:rsid w:val="004F7E99"/>
    <w:rsid w:val="00507776"/>
    <w:rsid w:val="005114AC"/>
    <w:rsid w:val="0051619B"/>
    <w:rsid w:val="00527C9D"/>
    <w:rsid w:val="0053494D"/>
    <w:rsid w:val="0054024A"/>
    <w:rsid w:val="005679DD"/>
    <w:rsid w:val="005935BB"/>
    <w:rsid w:val="005A0F36"/>
    <w:rsid w:val="005F204F"/>
    <w:rsid w:val="005F4659"/>
    <w:rsid w:val="006119B5"/>
    <w:rsid w:val="00652C27"/>
    <w:rsid w:val="0066346E"/>
    <w:rsid w:val="006769F4"/>
    <w:rsid w:val="006B2DA7"/>
    <w:rsid w:val="006C75AC"/>
    <w:rsid w:val="006D15B4"/>
    <w:rsid w:val="006D6433"/>
    <w:rsid w:val="006E51AF"/>
    <w:rsid w:val="006E6475"/>
    <w:rsid w:val="006F0E69"/>
    <w:rsid w:val="006F4E82"/>
    <w:rsid w:val="0073158C"/>
    <w:rsid w:val="007413D3"/>
    <w:rsid w:val="00750798"/>
    <w:rsid w:val="00770AE3"/>
    <w:rsid w:val="007A3CFD"/>
    <w:rsid w:val="007B1C68"/>
    <w:rsid w:val="007F6E9D"/>
    <w:rsid w:val="00813052"/>
    <w:rsid w:val="00813DE2"/>
    <w:rsid w:val="0081400F"/>
    <w:rsid w:val="00875091"/>
    <w:rsid w:val="008A501A"/>
    <w:rsid w:val="008B04C2"/>
    <w:rsid w:val="008E3229"/>
    <w:rsid w:val="009248E8"/>
    <w:rsid w:val="00945FAF"/>
    <w:rsid w:val="00946D12"/>
    <w:rsid w:val="0095035B"/>
    <w:rsid w:val="00951371"/>
    <w:rsid w:val="00965827"/>
    <w:rsid w:val="00966CAD"/>
    <w:rsid w:val="009722ED"/>
    <w:rsid w:val="00975C18"/>
    <w:rsid w:val="00976210"/>
    <w:rsid w:val="0098383C"/>
    <w:rsid w:val="009842F7"/>
    <w:rsid w:val="009C306B"/>
    <w:rsid w:val="009F7867"/>
    <w:rsid w:val="00A06EF2"/>
    <w:rsid w:val="00A115BA"/>
    <w:rsid w:val="00A52E23"/>
    <w:rsid w:val="00A60A8D"/>
    <w:rsid w:val="00A66695"/>
    <w:rsid w:val="00A7366B"/>
    <w:rsid w:val="00A76A04"/>
    <w:rsid w:val="00A83585"/>
    <w:rsid w:val="00A87EB2"/>
    <w:rsid w:val="00AB066E"/>
    <w:rsid w:val="00AC1BD7"/>
    <w:rsid w:val="00AD0632"/>
    <w:rsid w:val="00AE6915"/>
    <w:rsid w:val="00AE6C27"/>
    <w:rsid w:val="00AF09A4"/>
    <w:rsid w:val="00B32A9A"/>
    <w:rsid w:val="00B453C6"/>
    <w:rsid w:val="00BA7046"/>
    <w:rsid w:val="00BB015C"/>
    <w:rsid w:val="00BD079B"/>
    <w:rsid w:val="00BD6BCB"/>
    <w:rsid w:val="00BE295F"/>
    <w:rsid w:val="00C05B5D"/>
    <w:rsid w:val="00C077EF"/>
    <w:rsid w:val="00C101F5"/>
    <w:rsid w:val="00C228AA"/>
    <w:rsid w:val="00C60233"/>
    <w:rsid w:val="00C91C6D"/>
    <w:rsid w:val="00CA07DD"/>
    <w:rsid w:val="00CA093E"/>
    <w:rsid w:val="00CF1D2F"/>
    <w:rsid w:val="00CF27EC"/>
    <w:rsid w:val="00D15964"/>
    <w:rsid w:val="00D444AF"/>
    <w:rsid w:val="00D45D49"/>
    <w:rsid w:val="00D84ADA"/>
    <w:rsid w:val="00DB25E5"/>
    <w:rsid w:val="00DB4004"/>
    <w:rsid w:val="00DC2C70"/>
    <w:rsid w:val="00DD6758"/>
    <w:rsid w:val="00DE009C"/>
    <w:rsid w:val="00DF02B5"/>
    <w:rsid w:val="00DF6CED"/>
    <w:rsid w:val="00E05386"/>
    <w:rsid w:val="00E115D2"/>
    <w:rsid w:val="00E6295D"/>
    <w:rsid w:val="00E832AF"/>
    <w:rsid w:val="00EA4570"/>
    <w:rsid w:val="00EB3345"/>
    <w:rsid w:val="00ED5783"/>
    <w:rsid w:val="00EE418E"/>
    <w:rsid w:val="00EF3E09"/>
    <w:rsid w:val="00F0235E"/>
    <w:rsid w:val="00F34817"/>
    <w:rsid w:val="00F36DEC"/>
    <w:rsid w:val="00F41560"/>
    <w:rsid w:val="00F744BF"/>
    <w:rsid w:val="00F7536D"/>
    <w:rsid w:val="00F85787"/>
    <w:rsid w:val="00F93B94"/>
    <w:rsid w:val="00F97BBC"/>
    <w:rsid w:val="00F97E64"/>
    <w:rsid w:val="00FD20BF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15"/>
  </w:style>
  <w:style w:type="paragraph" w:styleId="1">
    <w:name w:val="heading 1"/>
    <w:basedOn w:val="a"/>
    <w:next w:val="a"/>
    <w:link w:val="10"/>
    <w:uiPriority w:val="99"/>
    <w:qFormat/>
    <w:rsid w:val="00E629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36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F36DEC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F36DEC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3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DEC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6F0E69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F0E69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6F0E69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6F0E69"/>
    <w:rPr>
      <w:rFonts w:ascii="Sylfaen" w:hAnsi="Sylfaen" w:cs="Sylfaen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295D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353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6834488188976415"/>
          <c:w val="0.86107140989846465"/>
          <c:h val="0.826238845144356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0"/>
            <c:explosion val="2"/>
          </c:dPt>
          <c:dPt>
            <c:idx val="1"/>
            <c:explosion val="1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7"/>
          </c:dPt>
          <c:dPt>
            <c:idx val="3"/>
            <c:explosion val="17"/>
          </c:dPt>
          <c:dPt>
            <c:idx val="5"/>
            <c:explosion val="2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8.2814935489385663E-2"/>
                  <c:y val="-8.95909886264226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39,1%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5.8136378371030313E-2"/>
                  <c:y val="0.239540157480315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13,3%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7.84507185220633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7.0245004235028555E-3"/>
                  <c:y val="-8.54181348878351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5,5%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9668057429076316"/>
                  <c:y val="-2.08378648801498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7,5%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1159.5999999999999</c:v>
                </c:pt>
                <c:pt idx="1">
                  <c:v>1958.4</c:v>
                </c:pt>
                <c:pt idx="2" formatCode="0.0">
                  <c:v>663.9</c:v>
                </c:pt>
                <c:pt idx="3">
                  <c:v>571.4</c:v>
                </c:pt>
                <c:pt idx="4" formatCode="0.0">
                  <c:v>277</c:v>
                </c:pt>
                <c:pt idx="5">
                  <c:v>374.30000000000075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873792195533941"/>
          <c:y val="5.6755808749712738E-3"/>
        </c:manualLayout>
      </c:layout>
      <c:spPr>
        <a:noFill/>
        <a:ln w="28727">
          <a:noFill/>
        </a:ln>
      </c:spPr>
    </c:title>
    <c:plotArea>
      <c:layout>
        <c:manualLayout>
          <c:layoutTarget val="inner"/>
          <c:xMode val="edge"/>
          <c:yMode val="edge"/>
          <c:x val="6.4038461538461947E-2"/>
          <c:y val="7.6331980241600414E-2"/>
          <c:w val="0.96291208791208749"/>
          <c:h val="0.4033236433258970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54,7*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11,7*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-1.3042927798846641E-3"/>
                  <c:y val="1.892540554155798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7,6*</a:t>
                    </a:r>
                    <a:endParaRPr lang="en-US" sz="1000"/>
                  </a:p>
                </c:rich>
              </c:tx>
              <c:dLblPos val="outEnd"/>
            </c:dLbl>
            <c:dLbl>
              <c:idx val="3"/>
              <c:layout>
                <c:manualLayout>
                  <c:x val="-4.1449626488996565E-3"/>
                  <c:y val="1.162876379582986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9,4*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3,6*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-1.5628511428054401E-3"/>
                  <c:y val="1.9837695311139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13,0*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391.839</c:v>
                </c:pt>
                <c:pt idx="1">
                  <c:v>83.686999999999998</c:v>
                </c:pt>
                <c:pt idx="2">
                  <c:v>54.48</c:v>
                </c:pt>
                <c:pt idx="3">
                  <c:v>67.679999999999978</c:v>
                </c:pt>
                <c:pt idx="4">
                  <c:v>25.93</c:v>
                </c:pt>
                <c:pt idx="5">
                  <c:v>92.957999999999927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июль 2016 г.</c:v>
                </c:pt>
              </c:strCache>
            </c:strRef>
          </c:tx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49,9*</a:t>
                    </a:r>
                    <a:endParaRPr lang="en-US" sz="1000"/>
                  </a:p>
                </c:rich>
              </c:tx>
              <c:dLblPos val="outEnd"/>
            </c:dLbl>
            <c:dLbl>
              <c:idx val="1"/>
              <c:layout>
                <c:manualLayout>
                  <c:x val="9.1876075299205165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6,9*</a:t>
                    </a:r>
                    <a:endParaRPr lang="en-US" sz="1000"/>
                  </a:p>
                </c:rich>
              </c:tx>
              <c:dLblPos val="outEnd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10,9*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9,7*</a:t>
                    </a:r>
                    <a:endParaRPr lang="en-US" sz="1000"/>
                  </a:p>
                </c:rich>
              </c:tx>
              <c:dLblPos val="outEnd"/>
            </c:dLbl>
            <c:dLbl>
              <c:idx val="4"/>
              <c:layout>
                <c:manualLayout>
                  <c:x val="1.0924639230358489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6,2*</a:t>
                    </a:r>
                    <a:endParaRPr lang="en-US" sz="1000"/>
                  </a:p>
                </c:rich>
              </c:tx>
              <c:dLblPos val="outEnd"/>
            </c:dLbl>
            <c:dLbl>
              <c:idx val="5"/>
              <c:layout>
                <c:manualLayout>
                  <c:x val="1.6322401175000143E-2"/>
                  <c:y val="9.257099138866176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16,4*</a:t>
                    </a:r>
                    <a:endParaRPr lang="en-US" sz="1000"/>
                  </a:p>
                </c:rich>
              </c:tx>
              <c:dLblPos val="outEnd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096"/>
                </c:manualLayout>
              </c:layout>
              <c:dLblPos val="outEnd"/>
              <c:showVal val="1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244.393</c:v>
                </c:pt>
                <c:pt idx="1">
                  <c:v>33.864000000000004</c:v>
                </c:pt>
                <c:pt idx="2">
                  <c:v>53.263000000000012</c:v>
                </c:pt>
                <c:pt idx="3">
                  <c:v>47.690000000000012</c:v>
                </c:pt>
                <c:pt idx="4">
                  <c:v>30.199000000000005</c:v>
                </c:pt>
                <c:pt idx="5">
                  <c:v>80.238000000000028</c:v>
                </c:pt>
              </c:numCache>
            </c:numRef>
          </c:val>
        </c:ser>
        <c:gapWidth val="160"/>
        <c:axId val="163577856"/>
        <c:axId val="163579392"/>
      </c:barChart>
      <c:catAx>
        <c:axId val="163577856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63579392"/>
        <c:crosses val="autoZero"/>
        <c:lblAlgn val="ctr"/>
        <c:lblOffset val="160"/>
        <c:tickLblSkip val="1"/>
        <c:tickMarkSkip val="1"/>
      </c:catAx>
      <c:valAx>
        <c:axId val="16357939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3865758540200652"/>
              <c:y val="6.6576571950317034E-2"/>
            </c:manualLayout>
          </c:layout>
          <c:spPr>
            <a:noFill/>
            <a:ln w="28727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63577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тыс. долл. США</a:t>
            </a:r>
          </a:p>
        </c:rich>
      </c:tx>
      <c:layout>
        <c:manualLayout>
          <c:xMode val="edge"/>
          <c:yMode val="edge"/>
          <c:x val="0.29857589339794161"/>
          <c:y val="3.0836578640666356E-3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22868419139915203"/>
          <c:y val="9.0047281995887712E-2"/>
          <c:w val="0.77650767058373404"/>
          <c:h val="0.4799120203432545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-3.0228500849158561E-3"/>
                  <c:y val="4.241886982670311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5.0532194114034437E-3"/>
                  <c:y val="9.7335560327687989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8664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827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665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810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4379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399073.4</c:v>
                </c:pt>
                <c:pt idx="1">
                  <c:v>89828.9</c:v>
                </c:pt>
                <c:pt idx="2">
                  <c:v>50247.5</c:v>
                </c:pt>
                <c:pt idx="3">
                  <c:v>29327.200000000001</c:v>
                </c:pt>
                <c:pt idx="4">
                  <c:v>27549.7</c:v>
                </c:pt>
                <c:pt idx="5">
                  <c:v>15559.7</c:v>
                </c:pt>
                <c:pt idx="6">
                  <c:v>10116.6</c:v>
                </c:pt>
                <c:pt idx="7">
                  <c:v>94871.600000000093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июль 2016 г.</c:v>
                </c:pt>
              </c:strCache>
            </c:strRef>
          </c:tx>
          <c:dLbls>
            <c:dLbl>
              <c:idx val="0"/>
              <c:layout>
                <c:manualLayout>
                  <c:x val="1.8424116103134169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10,0*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7099319337738322E-2"/>
                  <c:y val="1.3130901740730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323698916161E-3"/>
                  <c:y val="2.143240715600205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675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763651494778E-2"/>
                  <c:y val="7.546148929965400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255334</c:v>
                </c:pt>
                <c:pt idx="1">
                  <c:v>48825.5</c:v>
                </c:pt>
                <c:pt idx="2">
                  <c:v>38798.800000000003</c:v>
                </c:pt>
                <c:pt idx="3">
                  <c:v>15869.8</c:v>
                </c:pt>
                <c:pt idx="4">
                  <c:v>20545.8</c:v>
                </c:pt>
                <c:pt idx="5">
                  <c:v>11370.2</c:v>
                </c:pt>
                <c:pt idx="6">
                  <c:v>9458.7999999999884</c:v>
                </c:pt>
                <c:pt idx="7">
                  <c:v>89444.600000000035</c:v>
                </c:pt>
              </c:numCache>
            </c:numRef>
          </c:val>
        </c:ser>
        <c:dLbls>
          <c:showVal val="1"/>
        </c:dLbls>
        <c:axId val="163642368"/>
        <c:axId val="163750656"/>
      </c:barChart>
      <c:catAx>
        <c:axId val="163642368"/>
        <c:scaling>
          <c:orientation val="minMax"/>
        </c:scaling>
        <c:axPos val="b"/>
        <c:numFmt formatCode="General" sourceLinked="1"/>
        <c:tickLblPos val="nextTo"/>
        <c:crossAx val="163750656"/>
        <c:crosses val="autoZero"/>
        <c:auto val="1"/>
        <c:lblAlgn val="ctr"/>
        <c:lblOffset val="100"/>
      </c:catAx>
      <c:valAx>
        <c:axId val="1637506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b="1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1.7122228952150213E-2"/>
              <c:y val="0.52658157802476857"/>
            </c:manualLayout>
          </c:layout>
          <c:spPr>
            <a:noFill/>
            <a:ln w="25398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642368"/>
        <c:crosses val="autoZero"/>
        <c:crossBetween val="between"/>
        <c:dispUnits>
          <c:builtInUnit val="thousands"/>
        </c:dispUnits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371560221638962"/>
          <c:y val="0.92405940843932965"/>
          <c:w val="0.5148166034801207"/>
          <c:h val="5.2080052493438313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946996442635185"/>
          <c:y val="5.0813392816908944E-3"/>
        </c:manualLayout>
      </c:layout>
    </c:title>
    <c:plotArea>
      <c:layout>
        <c:manualLayout>
          <c:layoutTarget val="inner"/>
          <c:xMode val="edge"/>
          <c:yMode val="edge"/>
          <c:x val="0.23208025872968568"/>
          <c:y val="9.3791627236268188E-2"/>
          <c:w val="0.76544241901269194"/>
          <c:h val="0.4333438320209973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 июль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-1.3186910958164139E-3"/>
                  <c:y val="2.478060087849843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-1,29*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8049989514022816E-3"/>
                  <c:y val="2.349216657196201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-4,87*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7360457061510642E-3"/>
                  <c:y val="1.90608905845532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2.2989711031883757E-3"/>
                  <c:y val="2.199132324954226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+6,39*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98.710000000000022</c:v>
                </c:pt>
                <c:pt idx="1">
                  <c:v>95.13</c:v>
                </c:pt>
                <c:pt idx="2">
                  <c:v>98.28</c:v>
                </c:pt>
                <c:pt idx="3">
                  <c:v>106.39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июль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896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+2,31*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6211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+1,09*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845856132424E-3"/>
                  <c:y val="1.08856238331033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+3,56*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+2,40*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    ные товары</c:v>
                </c:pt>
                <c:pt idx="2">
                  <c:v>Индекс цен на непродовольствен       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102.31</c:v>
                </c:pt>
                <c:pt idx="1">
                  <c:v>101.09</c:v>
                </c:pt>
                <c:pt idx="2">
                  <c:v>103.56</c:v>
                </c:pt>
                <c:pt idx="3">
                  <c:v>102.4</c:v>
                </c:pt>
              </c:numCache>
            </c:numRef>
          </c:val>
        </c:ser>
        <c:axId val="222757248"/>
        <c:axId val="222758784"/>
      </c:barChart>
      <c:catAx>
        <c:axId val="222757248"/>
        <c:scaling>
          <c:orientation val="minMax"/>
        </c:scaling>
        <c:axPos val="b"/>
        <c:tickLblPos val="nextTo"/>
        <c:crossAx val="222758784"/>
        <c:crosses val="autoZero"/>
        <c:auto val="1"/>
        <c:lblAlgn val="ctr"/>
        <c:lblOffset val="100"/>
      </c:catAx>
      <c:valAx>
        <c:axId val="22275878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3.3979491970283382E-2"/>
              <c:y val="0.57193630435370835"/>
            </c:manualLayout>
          </c:layout>
        </c:title>
        <c:numFmt formatCode="0.00" sourceLinked="1"/>
        <c:tickLblPos val="nextTo"/>
        <c:crossAx val="22275724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январе-июле,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1039657020364415E-2"/>
          <c:y val="3.693854305947615E-2"/>
          <c:w val="0.89575697732317405"/>
          <c:h val="0.6823869657802178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8.0730126822665445E-3"/>
                  <c:y val="2.1871452085831612E-2"/>
                </c:manualLayout>
              </c:layout>
              <c:showVal val="1"/>
            </c:dLbl>
            <c:dLbl>
              <c:idx val="1"/>
              <c:layout>
                <c:manualLayout>
                  <c:x val="1.8775074539672477E-3"/>
                  <c:y val="1.5968817925213395E-2"/>
                </c:manualLayout>
              </c:layout>
              <c:showVal val="1"/>
            </c:dLbl>
            <c:dLbl>
              <c:idx val="2"/>
              <c:layout>
                <c:manualLayout>
                  <c:x val="8.239180173036419E-3"/>
                  <c:y val="1.5546241282801333E-2"/>
                </c:manualLayout>
              </c:layout>
              <c:showVal val="1"/>
            </c:dLbl>
            <c:dLbl>
              <c:idx val="3"/>
              <c:layout>
                <c:manualLayout>
                  <c:x val="3.9412167770241056E-3"/>
                  <c:y val="2.2498099898312827E-2"/>
                </c:manualLayout>
              </c:layout>
              <c:showVal val="1"/>
            </c:dLbl>
            <c:dLbl>
              <c:idx val="4"/>
              <c:layout>
                <c:manualLayout>
                  <c:x val="6.1399836231234104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6.0493721158493587E-3"/>
                  <c:y val="2.0581324103343641E-2"/>
                </c:manualLayout>
              </c:layout>
              <c:showVal val="1"/>
            </c:dLbl>
            <c:dLbl>
              <c:idx val="6"/>
              <c:layout>
                <c:manualLayout>
                  <c:x val="1.0376461120679338E-2"/>
                  <c:y val="1.4080413000229454E-2"/>
                </c:manualLayout>
              </c:layout>
              <c:showVal val="1"/>
            </c:dLbl>
            <c:dLbl>
              <c:idx val="7"/>
              <c:layout>
                <c:manualLayout>
                  <c:x val="5.9815245993546148E-3"/>
                  <c:y val="2.1867470209342182E-2"/>
                </c:manualLayout>
              </c:layout>
              <c:showVal val="1"/>
            </c:dLbl>
            <c:dLbl>
              <c:idx val="8"/>
              <c:layout>
                <c:manualLayout>
                  <c:x val="3.9678170440369783E-3"/>
                  <c:y val="2.1085031479222815E-2"/>
                </c:manualLayout>
              </c:layout>
              <c:showVal val="1"/>
            </c:dLbl>
            <c:dLbl>
              <c:idx val="9"/>
              <c:layout>
                <c:manualLayout>
                  <c:x val="6.0675545768451933E-3"/>
                  <c:y val="2.1875931696881651E-2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8375E-3"/>
                </c:manualLayout>
              </c:layout>
              <c:showVal val="1"/>
            </c:dLbl>
            <c:dLbl>
              <c:idx val="11"/>
              <c:layout>
                <c:manualLayout>
                  <c:x val="1.056333641425034E-2"/>
                  <c:y val="1.639139456762545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104.34</c:v>
                </c:pt>
                <c:pt idx="1">
                  <c:v>102.39</c:v>
                </c:pt>
                <c:pt idx="2">
                  <c:v>115.81</c:v>
                </c:pt>
                <c:pt idx="3">
                  <c:v>122.57</c:v>
                </c:pt>
                <c:pt idx="4">
                  <c:v>100.72</c:v>
                </c:pt>
                <c:pt idx="5">
                  <c:v>106.95</c:v>
                </c:pt>
                <c:pt idx="6">
                  <c:v>112.32</c:v>
                </c:pt>
                <c:pt idx="7">
                  <c:v>107.61999999999999</c:v>
                </c:pt>
                <c:pt idx="8">
                  <c:v>102.42</c:v>
                </c:pt>
                <c:pt idx="9">
                  <c:v>100.91000000000012</c:v>
                </c:pt>
                <c:pt idx="10">
                  <c:v>98.710000000000022</c:v>
                </c:pt>
                <c:pt idx="11">
                  <c:v>102.31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222796032"/>
        <c:axId val="227803136"/>
        <c:axId val="163747584"/>
      </c:bar3DChart>
      <c:catAx>
        <c:axId val="22279603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227803136"/>
        <c:crossesAt val="0"/>
        <c:auto val="1"/>
        <c:lblAlgn val="ctr"/>
        <c:lblOffset val="100"/>
      </c:catAx>
      <c:valAx>
        <c:axId val="227803136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22796032"/>
        <c:crosses val="autoZero"/>
        <c:crossBetween val="between"/>
        <c:majorUnit val="20"/>
        <c:minorUnit val="20"/>
      </c:valAx>
      <c:serAx>
        <c:axId val="163747584"/>
        <c:scaling>
          <c:orientation val="minMax"/>
        </c:scaling>
        <c:delete val="1"/>
        <c:axPos val="b"/>
        <c:tickLblPos val="none"/>
        <c:crossAx val="227803136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7606908252490601E-2"/>
          <c:y val="0.20215800524934383"/>
          <c:w val="0.6143466597062105"/>
          <c:h val="0.76290634402407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0"/>
          </c:dPt>
          <c:dPt>
            <c:idx val="1"/>
            <c:explosion val="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1"/>
          </c:dPt>
          <c:dPt>
            <c:idx val="3"/>
            <c:explosion val="18"/>
          </c:dPt>
          <c:dPt>
            <c:idx val="4"/>
            <c:explosion val="21"/>
          </c:dPt>
          <c:dPt>
            <c:idx val="5"/>
            <c:explosion val="21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1.0009715636374183E-2"/>
                  <c:y val="-0.112742257217847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25,3%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2260553066225867E-2"/>
                  <c:y val="4.89622047244094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39,8%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536071112657893E-2"/>
                  <c:y val="0.201916394597017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11,7%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0"/>
                  <c:y val="-9.13643044619422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10,9%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4.0257536868664899E-3"/>
                  <c:y val="-0.10304619422572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2688273081886864"/>
                  <c:y val="-3.2777952755905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1309.5999999999999</c:v>
                </c:pt>
                <c:pt idx="1">
                  <c:v>2055.1999999999998</c:v>
                </c:pt>
                <c:pt idx="2">
                  <c:v>604.79999999999995</c:v>
                </c:pt>
                <c:pt idx="3" formatCode="General">
                  <c:v>560.79999999999995</c:v>
                </c:pt>
                <c:pt idx="4" formatCode="General">
                  <c:v>224.8</c:v>
                </c:pt>
                <c:pt idx="5">
                  <c:v>411.59999999999945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8293731239396152"/>
          <c:y val="0.22841571505132593"/>
          <c:w val="0.41289308449703455"/>
          <c:h val="0.77053551552129285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89483976127187925"/>
          <c:h val="0.57708643562411865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9910059013323985E-2"/>
                  <c:y val="0.1333782242736874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933E-2"/>
                  <c:y val="0.2258646240648486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3053479779995664E-2"/>
                  <c:y val="0.2368257760883337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541167226811E-2"/>
                  <c:y val="-9.540950238363074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99,9%*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53864286072E-2"/>
                  <c:y val="0.1119575962095641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826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6.9211093836200595E-4"/>
                  <c:y val="7.02246310120327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70,6%*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629E-2"/>
                  <c:y val="-0.147777063581344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6058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524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502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4524633465402814E-2"/>
                  <c:y val="-0.1381931396506471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7770031930722961E-2"/>
                  <c:y val="-0.16468655703751317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7740107327348513E-2"/>
                  <c:y val="-0.21455986967146531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124,4%*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4712372736847394E-2"/>
                  <c:y val="0.10131733533308335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4.3533276493304567E-2"/>
                  <c:y val="-0.14436990830691621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b="1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 w="24917">
                  <a:noFill/>
                </a:ln>
              </c:spPr>
              <c:dLblPos val="r"/>
            </c:dLbl>
            <c:dLbl>
              <c:idx val="5"/>
              <c:layout>
                <c:manualLayout>
                  <c:x val="-4.5493755955664794E-2"/>
                  <c:y val="-9.452909295429076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 formatCode="General">
                  <c:v>601.9</c:v>
                </c:pt>
                <c:pt idx="1">
                  <c:v>609</c:v>
                </c:pt>
                <c:pt idx="2" formatCode="General">
                  <c:v>719.1</c:v>
                </c:pt>
                <c:pt idx="3" formatCode="General">
                  <c:v>693.7</c:v>
                </c:pt>
                <c:pt idx="4" formatCode="General">
                  <c:v>766.6</c:v>
                </c:pt>
                <c:pt idx="5" formatCode="General">
                  <c:v>860</c:v>
                </c:pt>
                <c:pt idx="6" formatCode="General">
                  <c:v>916.5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Лист1!$A$2:$A$8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613.29999999999995</c:v>
                </c:pt>
                <c:pt idx="1">
                  <c:v>733.9</c:v>
                </c:pt>
                <c:pt idx="2">
                  <c:v>894.2</c:v>
                </c:pt>
                <c:pt idx="3">
                  <c:v>693.4</c:v>
                </c:pt>
                <c:pt idx="4" formatCode="0.0">
                  <c:v>721</c:v>
                </c:pt>
                <c:pt idx="5">
                  <c:v>701.8</c:v>
                </c:pt>
                <c:pt idx="6">
                  <c:v>647</c:v>
                </c:pt>
              </c:numCache>
            </c:numRef>
          </c:val>
        </c:ser>
        <c:marker val="1"/>
        <c:axId val="226136064"/>
        <c:axId val="226137984"/>
      </c:lineChart>
      <c:catAx>
        <c:axId val="226136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</a:t>
                </a:r>
                <a:r>
                  <a:rPr lang="ru-RU" sz="850"/>
                  <a:t>роста</a:t>
                </a:r>
                <a:r>
                  <a:rPr lang="ru-RU" sz="800"/>
                  <a:t> 
к предыдущему году</a:t>
                </a:r>
              </a:p>
            </c:rich>
          </c:tx>
          <c:layout>
            <c:manualLayout>
              <c:xMode val="edge"/>
              <c:yMode val="edge"/>
              <c:x val="5.9147065215574171E-4"/>
              <c:y val="0.81310521370014444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6137984"/>
        <c:crosses val="autoZero"/>
        <c:auto val="1"/>
        <c:lblAlgn val="ctr"/>
        <c:lblOffset val="100"/>
      </c:catAx>
      <c:valAx>
        <c:axId val="226137984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6136064"/>
        <c:crosses val="autoZero"/>
        <c:crossBetween val="between"/>
        <c:majorUnit val="200"/>
      </c:valAx>
    </c:plotArea>
    <c:legend>
      <c:legendPos val="r"/>
      <c:legendEntry>
        <c:idx val="0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38013390842068306"/>
          <c:y val="0.89792805311100865"/>
          <c:w val="0.29728521992076223"/>
          <c:h val="9.77562997758345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6533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9786666226008437E-3"/>
                  <c:y val="1.857510757863747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131,2*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4981781527046788E-2"/>
                  <c:y val="1.025596880775755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112,8*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4.4814964761094356E-4"/>
                  <c:y val="-3.975998177076740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25,5*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95,0*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1713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95,2*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52,0*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8205253199652E-3"/>
                  <c:y val="1.432885198031918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66,4*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6.1668498153365763E-3"/>
                  <c:y val="1.621118903545419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84,2*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589E-3"/>
                  <c:y val="6.1804029982146331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-3.6142806388446023E-3"/>
                  <c:y val="7.95199635415349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86,3*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1.4764812320810401E-3"/>
                  <c:y val="-3.610670852638599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>
                        <a:solidFill>
                          <a:schemeClr val="bg1"/>
                        </a:solidFill>
                      </a:rPr>
                      <a:t>134,5*</a:t>
                    </a:r>
                    <a:endParaRPr lang="en-US" sz="750" b="1">
                      <a:solidFill>
                        <a:schemeClr val="bg1"/>
                      </a:solidFill>
                    </a:endParaRPr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322.89999999999969</c:v>
                </c:pt>
                <c:pt idx="1">
                  <c:v>297.89999999999969</c:v>
                </c:pt>
                <c:pt idx="2">
                  <c:v>3.9</c:v>
                </c:pt>
                <c:pt idx="3">
                  <c:v>20.8</c:v>
                </c:pt>
                <c:pt idx="4">
                  <c:v>16</c:v>
                </c:pt>
                <c:pt idx="5">
                  <c:v>1.6</c:v>
                </c:pt>
                <c:pt idx="6">
                  <c:v>51</c:v>
                </c:pt>
                <c:pt idx="7">
                  <c:v>96.8</c:v>
                </c:pt>
                <c:pt idx="8">
                  <c:v>88.7</c:v>
                </c:pt>
                <c:pt idx="9">
                  <c:v>15</c:v>
                </c:pt>
                <c:pt idx="1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июль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64404160917451E-2"/>
                  <c:y val="1.05489868428825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90,1*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6429840288851621E-2"/>
                  <c:y val="5.360407119528073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21,5*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6.4738785930877531E-3"/>
                  <c:y val="-4.450430834409368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66,6*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6688E-3"/>
                  <c:y val="-2.883704351770888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96,6*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3556526838E-2"/>
                  <c:y val="-2.808955954460676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75,0*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1.1765580718989407E-4"/>
                  <c:y val="-4.45529196310269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23,5*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1.5037469739157818E-4"/>
                  <c:y val="-1.739811462473943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118,8*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81E-3"/>
                  <c:y val="-1.214607016566660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105,6*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2889755517181568E-2"/>
                  <c:y val="1.698863204800366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94,9*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56,9*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9.6188579785344251E-3"/>
                  <c:y val="-4.600180604434091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77,0*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290.8</c:v>
                </c:pt>
                <c:pt idx="1">
                  <c:v>64</c:v>
                </c:pt>
                <c:pt idx="2">
                  <c:v>2.6</c:v>
                </c:pt>
                <c:pt idx="3">
                  <c:v>20.100000000000001</c:v>
                </c:pt>
                <c:pt idx="4">
                  <c:v>12</c:v>
                </c:pt>
                <c:pt idx="5">
                  <c:v>0.4</c:v>
                </c:pt>
                <c:pt idx="6">
                  <c:v>60.6</c:v>
                </c:pt>
                <c:pt idx="7">
                  <c:v>102.2</c:v>
                </c:pt>
                <c:pt idx="8">
                  <c:v>84.1</c:v>
                </c:pt>
                <c:pt idx="9">
                  <c:v>8.5</c:v>
                </c:pt>
                <c:pt idx="10">
                  <c:v>1.6</c:v>
                </c:pt>
              </c:numCache>
            </c:numRef>
          </c:val>
        </c:ser>
        <c:shape val="cylinder"/>
        <c:axId val="100524800"/>
        <c:axId val="100526336"/>
        <c:axId val="0"/>
      </c:bar3DChart>
      <c:catAx>
        <c:axId val="100524800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00526336"/>
        <c:crosses val="autoZero"/>
        <c:auto val="1"/>
        <c:lblAlgn val="ctr"/>
        <c:lblOffset val="100"/>
      </c:catAx>
      <c:valAx>
        <c:axId val="100526336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0524800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2986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79"/>
          <c:y val="0.18870710605620447"/>
          <c:w val="0.57282457566457079"/>
          <c:h val="0.6417248575636168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6.1600928543408193E-3"/>
                  <c:y val="7.6799669704208573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82,8%*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1.6426321132046482E-2"/>
                  <c:y val="6.9238255330443376E-3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75,8%*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50"/>
                      <a:t>100,3%*</a:t>
                    </a:r>
                    <a:endParaRPr lang="en-US" sz="85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8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604.79999999999995</c:v>
                </c:pt>
                <c:pt idx="1">
                  <c:v>270.7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8.7792646874456561E-3"/>
                  <c:y val="4.8333688018728123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109,8%</a:t>
                    </a:r>
                    <a:r>
                      <a:rPr lang="ru-RU" sz="900"/>
                      <a:t>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1.9999272047850755E-3"/>
                  <c:y val="2.8712141319413762E-3"/>
                </c:manualLayout>
              </c:layout>
              <c:tx>
                <c:rich>
                  <a:bodyPr/>
                  <a:lstStyle/>
                  <a:p>
                    <a:pPr>
                      <a:defRPr sz="85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50"/>
                      <a:t>129,8%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664</c:v>
                </c:pt>
                <c:pt idx="1">
                  <c:v>351.4</c:v>
                </c:pt>
              </c:numCache>
            </c:numRef>
          </c:val>
        </c:ser>
        <c:dLbls>
          <c:showVal val="1"/>
        </c:dLbls>
        <c:axId val="162161408"/>
        <c:axId val="162162944"/>
      </c:barChart>
      <c:catAx>
        <c:axId val="16216140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62162944"/>
        <c:crosses val="autoZero"/>
        <c:auto val="1"/>
        <c:lblAlgn val="ctr"/>
        <c:lblOffset val="100"/>
      </c:catAx>
      <c:valAx>
        <c:axId val="16216294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162161408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FF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>
                <a:solidFill>
                  <a:sysClr val="windowText" lastClr="000000"/>
                </a:solidFill>
              </a:rPr>
              <a:t>Обьем производства в отрасли электроэнергетика,</a:t>
            </a:r>
            <a:r>
              <a:rPr lang="ru-RU" sz="1000" baseline="0">
                <a:solidFill>
                  <a:sysClr val="windowText" lastClr="000000"/>
                </a:solidFill>
              </a:rPr>
              <a:t> </a:t>
            </a:r>
            <a:r>
              <a:rPr lang="ru-RU" sz="1000">
                <a:solidFill>
                  <a:sysClr val="windowText" lastClr="000000"/>
                </a:solidFill>
              </a:rPr>
              <a:t>млн. руб.</a:t>
            </a:r>
          </a:p>
        </c:rich>
      </c:tx>
      <c:layout>
        <c:manualLayout>
          <c:xMode val="edge"/>
          <c:yMode val="edge"/>
          <c:x val="0.21939632545932308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37517884914463551"/>
          <c:y val="0.21069898520750024"/>
          <c:w val="0.53535861672034379"/>
          <c:h val="0.6196214415505987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0443622618712323E-3"/>
                  <c:y val="1.1699989114263943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118,2%*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5.2818358824898133E-3"/>
                  <c:y val="-3.4935955586196978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121,8%*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62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98,2%*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2055.1999999999998</c:v>
                </c:pt>
                <c:pt idx="1">
                  <c:v>1741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1.7419984243804681E-3"/>
                  <c:y val="3.3687724518306232E-3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95,3</a:t>
                    </a:r>
                    <a:r>
                      <a:rPr lang="ru-RU" sz="800" baseline="0"/>
                      <a:t>%*</a:t>
                    </a:r>
                    <a:endParaRPr lang="en-US" sz="8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6.2461476918806999E-3"/>
                  <c:y val="5.2880486713354402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800"/>
                      <a:t>94,8%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53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95,2%*</a:t>
                    </a:r>
                    <a:endParaRPr lang="en-US" sz="8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1958.4</c:v>
                </c:pt>
                <c:pt idx="1">
                  <c:v>1649.6</c:v>
                </c:pt>
              </c:numCache>
            </c:numRef>
          </c:val>
        </c:ser>
        <c:dLbls>
          <c:showVal val="1"/>
        </c:dLbls>
        <c:axId val="118301056"/>
        <c:axId val="118302592"/>
      </c:barChart>
      <c:catAx>
        <c:axId val="118301056"/>
        <c:scaling>
          <c:orientation val="minMax"/>
        </c:scaling>
        <c:axPos val="l"/>
        <c:numFmt formatCode="General" sourceLinked="1"/>
        <c:tickLblPos val="nextTo"/>
        <c:crossAx val="118302592"/>
        <c:crosses val="autoZero"/>
        <c:auto val="1"/>
        <c:lblAlgn val="ctr"/>
        <c:lblOffset val="100"/>
      </c:catAx>
      <c:valAx>
        <c:axId val="118302592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118301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32637418004357038"/>
          <c:y val="5.3763440860215277E-2"/>
          <c:w val="0.63252442842235079"/>
          <c:h val="0.6143585277646747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июль 2015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-6.8846591026515786E-3"/>
                  <c:y val="3.444596599338138E-3"/>
                </c:manualLayout>
              </c:layout>
              <c:tx>
                <c:rich>
                  <a:bodyPr/>
                  <a:lstStyle/>
                  <a:p>
                    <a:r>
                      <a:rPr lang="ru-RU" sz="880"/>
                      <a:t>-23,3*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sz="880"/>
                      <a:t>-17,7*</a:t>
                    </a:r>
                    <a:endParaRPr lang="en-US" sz="900"/>
                  </a:p>
                </c:rich>
              </c:tx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 sz="880"/>
                      <a:t>-25,8*</a:t>
                    </a:r>
                    <a:endParaRPr lang="en-US" sz="900"/>
                  </a:p>
                </c:rich>
              </c:tx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/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1069.7170000000001</c:v>
                </c:pt>
                <c:pt idx="1">
                  <c:v>353.14299999999997</c:v>
                </c:pt>
                <c:pt idx="2">
                  <c:v>716.57400000000052</c:v>
                </c:pt>
                <c:pt idx="3">
                  <c:v>-363.43099999999924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июль 2016 года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dLbls>
            <c:dLbl>
              <c:idx val="0"/>
              <c:layout>
                <c:manualLayout>
                  <c:x val="4.8192771084338538E-2"/>
                  <c:y val="5.9790732436473936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-26,8*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3.4423407917384012E-2"/>
                  <c:y val="-5.9790732436473936E-3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-16,8*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8192771084338538E-2"/>
                  <c:y val="1.195814648729447E-2"/>
                </c:manualLayout>
              </c:layout>
              <c:tx>
                <c:rich>
                  <a:bodyPr/>
                  <a:lstStyle/>
                  <a:p>
                    <a:r>
                      <a:rPr lang="ru-RU" sz="880">
                        <a:solidFill>
                          <a:sysClr val="windowText" lastClr="000000"/>
                        </a:solidFill>
                      </a:rPr>
                      <a:t>-31,7*</a:t>
                    </a:r>
                    <a:endParaRPr lang="en-US" sz="900">
                      <a:solidFill>
                        <a:sysClr val="windowText" lastClr="000000"/>
                      </a:solidFill>
                    </a:endParaRPr>
                  </a:p>
                </c:rich>
              </c:tx>
              <c:dLblPos val="outEnd"/>
            </c:dLbl>
            <c:dLbl>
              <c:idx val="3"/>
              <c:delete val="1"/>
            </c:dLbl>
            <c:spPr>
              <a:noFill/>
              <a:ln w="24830">
                <a:noFill/>
              </a:ln>
            </c:spPr>
            <c:txPr>
              <a:bodyPr/>
              <a:lstStyle/>
              <a:p>
                <a:pPr>
                  <a:defRPr sz="88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783.4</c:v>
                </c:pt>
                <c:pt idx="1">
                  <c:v>293.7</c:v>
                </c:pt>
                <c:pt idx="2">
                  <c:v>489.6</c:v>
                </c:pt>
                <c:pt idx="3">
                  <c:v>-195.90000000000003</c:v>
                </c:pt>
              </c:numCache>
            </c:numRef>
          </c:val>
        </c:ser>
        <c:gapWidth val="50"/>
        <c:overlap val="51"/>
        <c:axId val="118513664"/>
        <c:axId val="118515200"/>
      </c:barChart>
      <c:catAx>
        <c:axId val="11851366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515200"/>
        <c:crosses val="autoZero"/>
        <c:lblAlgn val="ctr"/>
        <c:lblOffset val="20"/>
        <c:tickMarkSkip val="1"/>
      </c:catAx>
      <c:valAx>
        <c:axId val="11851520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6.5543939928683584E-2"/>
              <c:y val="0.11924864230680852"/>
            </c:manualLayout>
          </c:layout>
          <c:spPr>
            <a:noFill/>
            <a:ln w="24830">
              <a:noFill/>
            </a:ln>
          </c:spPr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185136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1550068587105642E-2"/>
          <c:w val="0.92836811128945951"/>
          <c:h val="0.4049222693317207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июль 2015 год</c:v>
                </c:pt>
              </c:strCache>
            </c:strRef>
          </c:tx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23,3*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-4.2804057687022808E-3"/>
                  <c:y val="1.55387919167446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35,7*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-8.5608146876613566E-3"/>
                  <c:y val="1.5245580341754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17,3*</a:t>
                    </a:r>
                    <a:endParaRPr lang="en-US"/>
                  </a:p>
                </c:rich>
              </c:tx>
              <c:dLblPos val="outEnd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12,8*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2.1401819154629174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4,0*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82.361999999999995</c:v>
                </c:pt>
                <c:pt idx="1">
                  <c:v>125.95</c:v>
                </c:pt>
                <c:pt idx="2">
                  <c:v>61.223000000000013</c:v>
                </c:pt>
                <c:pt idx="3">
                  <c:v>45.285000000000011</c:v>
                </c:pt>
                <c:pt idx="4">
                  <c:v>15.253</c:v>
                </c:pt>
                <c:pt idx="5">
                  <c:v>14.23</c:v>
                </c:pt>
                <c:pt idx="6">
                  <c:v>8.8400000000000016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июль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19,9*</a:t>
                    </a:r>
                    <a:endParaRPr lang="en-US"/>
                  </a:p>
                </c:rich>
              </c:tx>
              <c:dLblPos val="outEnd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35,7*</a:t>
                    </a:r>
                    <a:endParaRPr lang="en-US"/>
                  </a:p>
                </c:rich>
              </c:tx>
              <c:dLblPos val="outEnd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20,6*</a:t>
                    </a:r>
                  </a:p>
                  <a:p>
                    <a:endParaRPr lang="en-US"/>
                  </a:p>
                </c:rich>
              </c:tx>
              <c:dLblPos val="outEnd"/>
            </c:dLbl>
            <c:dLbl>
              <c:idx val="3"/>
              <c:layout>
                <c:manualLayout>
                  <c:x val="1.7176581410167688E-2"/>
                  <c:y val="1.01009504111882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11,8*</a:t>
                    </a:r>
                    <a:endParaRPr lang="en-US"/>
                  </a:p>
                </c:rich>
              </c:tx>
              <c:dLblPos val="outEnd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4,3*</a:t>
                    </a:r>
                    <a:endParaRPr lang="en-US"/>
                  </a:p>
                </c:rich>
              </c:tx>
              <c:dLblPos val="outEnd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5,1*</a:t>
                    </a:r>
                    <a:endParaRPr lang="en-US"/>
                  </a:p>
                </c:rich>
              </c:tx>
              <c:dLblPos val="outEnd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58.561</c:v>
                </c:pt>
                <c:pt idx="1">
                  <c:v>104.94600000000008</c:v>
                </c:pt>
                <c:pt idx="2">
                  <c:v>60.508000000000003</c:v>
                </c:pt>
                <c:pt idx="3">
                  <c:v>34.686</c:v>
                </c:pt>
                <c:pt idx="4">
                  <c:v>12.575000000000006</c:v>
                </c:pt>
                <c:pt idx="5">
                  <c:v>15.102</c:v>
                </c:pt>
                <c:pt idx="6">
                  <c:v>7.3560000000000016</c:v>
                </c:pt>
              </c:numCache>
            </c:numRef>
          </c:val>
        </c:ser>
        <c:dLbls>
          <c:showVal val="1"/>
        </c:dLbls>
        <c:gapWidth val="160"/>
        <c:axId val="118652928"/>
        <c:axId val="118654464"/>
      </c:barChart>
      <c:catAx>
        <c:axId val="11865292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54464"/>
        <c:crosses val="autoZero"/>
        <c:lblAlgn val="ctr"/>
        <c:lblOffset val="160"/>
        <c:tickLblSkip val="1"/>
        <c:tickMarkSkip val="1"/>
      </c:catAx>
      <c:valAx>
        <c:axId val="118654464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0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spPr>
            <a:noFill/>
            <a:ln w="24878">
              <a:noFill/>
            </a:ln>
          </c:spPr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5292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427168341438353"/>
          <c:y val="0.8889712387350186"/>
          <c:w val="0.73472668810289465"/>
          <c:h val="7.37327188940094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22886837329902598"/>
          <c:y val="3.0581382806601238E-2"/>
        </c:manualLayout>
      </c:layout>
      <c:spPr>
        <a:noFill/>
        <a:ln w="24880">
          <a:noFill/>
        </a:ln>
      </c:spPr>
    </c:title>
    <c:plotArea>
      <c:layout>
        <c:manualLayout>
          <c:layoutTarget val="inner"/>
          <c:xMode val="edge"/>
          <c:yMode val="edge"/>
          <c:x val="0.21614046738133727"/>
          <c:y val="0.12091746493471738"/>
          <c:w val="0.78385953261866625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июль 2015 г.</c:v>
                </c:pt>
              </c:strCache>
            </c:strRef>
          </c:tx>
          <c:dLbls>
            <c:dLbl>
              <c:idx val="0"/>
              <c:layout>
                <c:manualLayout>
                  <c:x val="-8.3339660302960208E-3"/>
                  <c:y val="1.81160330418820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50793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863794464665E-3"/>
                  <c:y val="1.0085620365415998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6341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168350.18399999998</c:v>
                </c:pt>
                <c:pt idx="1">
                  <c:v>28215.092000000001</c:v>
                </c:pt>
                <c:pt idx="2">
                  <c:v>26482.837</c:v>
                </c:pt>
                <c:pt idx="3">
                  <c:v>25537.644</c:v>
                </c:pt>
                <c:pt idx="4">
                  <c:v>18313.478999999999</c:v>
                </c:pt>
                <c:pt idx="5">
                  <c:v>58509.046000000002</c:v>
                </c:pt>
                <c:pt idx="6">
                  <c:v>7036.6140000000014</c:v>
                </c:pt>
                <c:pt idx="7">
                  <c:v>20698.434000000037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июль 2016 г.</c:v>
                </c:pt>
              </c:strCache>
            </c:strRef>
          </c:tx>
          <c:dLbls>
            <c:dLbl>
              <c:idx val="0"/>
              <c:layout>
                <c:manualLayout>
                  <c:x val="1.0286665386338907E-2"/>
                  <c:y val="1.6604999617767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613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9,1*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613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3067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9234E-3"/>
                  <c:y val="1.400950968085539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0,9*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132304.96399999998</c:v>
                </c:pt>
                <c:pt idx="1">
                  <c:v>23342.907999999999</c:v>
                </c:pt>
                <c:pt idx="2">
                  <c:v>26676.080000000005</c:v>
                </c:pt>
                <c:pt idx="3">
                  <c:v>23161.967000000022</c:v>
                </c:pt>
                <c:pt idx="4">
                  <c:v>18476.45</c:v>
                </c:pt>
                <c:pt idx="5">
                  <c:v>44658.779000000002</c:v>
                </c:pt>
                <c:pt idx="6">
                  <c:v>2620.5110000000022</c:v>
                </c:pt>
                <c:pt idx="7">
                  <c:v>22493.130999999939</c:v>
                </c:pt>
              </c:numCache>
            </c:numRef>
          </c:val>
        </c:ser>
        <c:dLbls>
          <c:showVal val="1"/>
        </c:dLbls>
        <c:axId val="118676096"/>
        <c:axId val="161977088"/>
      </c:barChart>
      <c:catAx>
        <c:axId val="118676096"/>
        <c:scaling>
          <c:orientation val="minMax"/>
        </c:scaling>
        <c:axPos val="b"/>
        <c:numFmt formatCode="General" sourceLinked="1"/>
        <c:tickLblPos val="nextTo"/>
        <c:crossAx val="161977088"/>
        <c:crosses val="autoZero"/>
        <c:auto val="1"/>
        <c:lblAlgn val="ctr"/>
        <c:lblOffset val="100"/>
      </c:catAx>
      <c:valAx>
        <c:axId val="161977088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900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spPr>
            <a:noFill/>
            <a:ln w="24880">
              <a:noFill/>
            </a:ln>
          </c:spPr>
        </c:title>
        <c:numFmt formatCode="#,##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86760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64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1651183087741869"/>
          <c:y val="0.94398123179808024"/>
          <c:w val="0.71406003159558873"/>
          <c:h val="5.2117263843649828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9EAA-B205-4E2B-9D3D-BF9CD647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kovalenko-k</dc:creator>
  <cp:lastModifiedBy>kovalenko-k</cp:lastModifiedBy>
  <cp:revision>26</cp:revision>
  <dcterms:created xsi:type="dcterms:W3CDTF">2016-08-17T06:35:00Z</dcterms:created>
  <dcterms:modified xsi:type="dcterms:W3CDTF">2016-08-22T06:18:00Z</dcterms:modified>
</cp:coreProperties>
</file>