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6" w:rsidRPr="00497C5F" w:rsidRDefault="00586C16" w:rsidP="00586C16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7C5F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497C5F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p w:rsidR="00586C16" w:rsidRDefault="00586C16" w:rsidP="0058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FC2" w:rsidRDefault="00027FC2" w:rsidP="00027FC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F67B2">
        <w:rPr>
          <w:rFonts w:ascii="Times New Roman" w:eastAsiaTheme="minorEastAsia" w:hAnsi="Times New Roman"/>
          <w:sz w:val="24"/>
          <w:szCs w:val="24"/>
        </w:rPr>
        <w:t>В январе-</w:t>
      </w:r>
      <w:r>
        <w:rPr>
          <w:rFonts w:ascii="Times New Roman" w:eastAsiaTheme="minorEastAsia" w:hAnsi="Times New Roman"/>
          <w:sz w:val="24"/>
          <w:szCs w:val="24"/>
        </w:rPr>
        <w:t>августе</w:t>
      </w:r>
      <w:r w:rsidRPr="003F67B2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2015 </w:t>
      </w:r>
      <w:r w:rsidRPr="003F67B2">
        <w:rPr>
          <w:rFonts w:ascii="Times New Roman" w:eastAsiaTheme="minorEastAsia" w:hAnsi="Times New Roman"/>
          <w:sz w:val="24"/>
          <w:szCs w:val="24"/>
        </w:rPr>
        <w:t xml:space="preserve">года макроэкономическая ситуация в республике  продолжала ухудшаться. </w:t>
      </w:r>
      <w:r>
        <w:rPr>
          <w:rFonts w:ascii="Times New Roman" w:eastAsiaTheme="minorEastAsia" w:hAnsi="Times New Roman"/>
          <w:sz w:val="24"/>
          <w:szCs w:val="24"/>
        </w:rPr>
        <w:t>У</w:t>
      </w:r>
      <w:r w:rsidRPr="003F67B2">
        <w:rPr>
          <w:rFonts w:ascii="Times New Roman" w:eastAsiaTheme="minorEastAsia" w:hAnsi="Times New Roman"/>
          <w:sz w:val="24"/>
          <w:szCs w:val="24"/>
        </w:rPr>
        <w:t>силени</w:t>
      </w:r>
      <w:r>
        <w:rPr>
          <w:rFonts w:ascii="Times New Roman" w:eastAsiaTheme="minorEastAsia" w:hAnsi="Times New Roman"/>
          <w:sz w:val="24"/>
          <w:szCs w:val="24"/>
        </w:rPr>
        <w:t>е</w:t>
      </w:r>
      <w:r w:rsidRPr="003F67B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F67B2">
        <w:rPr>
          <w:rFonts w:ascii="Times New Roman" w:eastAsiaTheme="minorEastAsia" w:hAnsi="Times New Roman"/>
          <w:sz w:val="24"/>
          <w:szCs w:val="24"/>
        </w:rPr>
        <w:t>санкционного</w:t>
      </w:r>
      <w:proofErr w:type="spellEnd"/>
      <w:r w:rsidRPr="003F67B2">
        <w:rPr>
          <w:rFonts w:ascii="Times New Roman" w:eastAsiaTheme="minorEastAsia" w:hAnsi="Times New Roman"/>
          <w:sz w:val="24"/>
          <w:szCs w:val="24"/>
        </w:rPr>
        <w:t xml:space="preserve"> давления </w:t>
      </w:r>
      <w:proofErr w:type="gramStart"/>
      <w:r w:rsidRPr="003F67B2">
        <w:rPr>
          <w:rFonts w:ascii="Times New Roman" w:eastAsiaTheme="minorEastAsia" w:hAnsi="Times New Roman"/>
          <w:sz w:val="24"/>
          <w:szCs w:val="24"/>
        </w:rPr>
        <w:t xml:space="preserve">на Приднестровье со стороны сопредельных государств при осуществлении внешнеэкономической деятельности в совокупности с </w:t>
      </w:r>
      <w:r>
        <w:rPr>
          <w:rFonts w:ascii="Times New Roman" w:eastAsiaTheme="minorEastAsia" w:hAnsi="Times New Roman"/>
          <w:sz w:val="24"/>
          <w:szCs w:val="24"/>
        </w:rPr>
        <w:t>турбулентностью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в странах еврозоны усиливают риски осуществления внешнеэкономической деятельности хозяйствующими субъектами республики и отражаются на динамике промышленного производства.</w:t>
      </w:r>
    </w:p>
    <w:p w:rsidR="00586C16" w:rsidRPr="00430B82" w:rsidRDefault="00586C16" w:rsidP="00586C16">
      <w:pPr>
        <w:pStyle w:val="a3"/>
        <w:spacing w:before="0" w:beforeAutospacing="0" w:after="0" w:afterAutospacing="0"/>
        <w:ind w:firstLine="709"/>
        <w:jc w:val="both"/>
      </w:pPr>
    </w:p>
    <w:p w:rsidR="00586C16" w:rsidRPr="00430B82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0B82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586C16" w:rsidRPr="00430B82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B82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</w:t>
      </w:r>
      <w:r w:rsidR="00EA4ABF">
        <w:rPr>
          <w:rFonts w:ascii="Times New Roman" w:hAnsi="Times New Roman"/>
          <w:sz w:val="24"/>
          <w:szCs w:val="24"/>
        </w:rPr>
        <w:t>воздействием</w:t>
      </w:r>
      <w:r w:rsidRPr="00430B82">
        <w:rPr>
          <w:rFonts w:ascii="Times New Roman" w:hAnsi="Times New Roman"/>
          <w:sz w:val="24"/>
          <w:szCs w:val="24"/>
        </w:rPr>
        <w:t xml:space="preserve"> </w:t>
      </w:r>
      <w:r w:rsidRPr="00430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огранич</w:t>
      </w:r>
      <w:r w:rsidR="00EA4AB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ительных барьеров</w:t>
      </w:r>
      <w:r w:rsidRPr="00430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со стороны соседних государств, а также падения спроса на приднестровскую продукцию </w:t>
      </w:r>
      <w:r w:rsidR="00B149A5" w:rsidRPr="00430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как на внутреннем</w:t>
      </w:r>
      <w:r w:rsidR="007921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</w:t>
      </w:r>
      <w:r w:rsidR="00B149A5" w:rsidRPr="00430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так и на внешних рынках</w:t>
      </w:r>
      <w:r w:rsidRPr="00430B82">
        <w:rPr>
          <w:rFonts w:ascii="Times New Roman" w:hAnsi="Times New Roman"/>
          <w:sz w:val="24"/>
          <w:szCs w:val="24"/>
        </w:rPr>
        <w:t>.</w:t>
      </w:r>
      <w:proofErr w:type="gramEnd"/>
      <w:r w:rsidRPr="00430B82">
        <w:rPr>
          <w:rFonts w:ascii="Times New Roman" w:hAnsi="Times New Roman"/>
          <w:sz w:val="24"/>
          <w:szCs w:val="24"/>
        </w:rPr>
        <w:t xml:space="preserve"> Объем п</w:t>
      </w:r>
      <w:r w:rsidRPr="00430B82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430B82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</w:t>
      </w:r>
      <w:r w:rsidR="00B149A5" w:rsidRPr="00430B82">
        <w:rPr>
          <w:rFonts w:ascii="Times New Roman" w:hAnsi="Times New Roman"/>
          <w:sz w:val="24"/>
          <w:szCs w:val="24"/>
        </w:rPr>
        <w:t>август</w:t>
      </w:r>
      <w:r w:rsidRPr="00430B82">
        <w:rPr>
          <w:rFonts w:ascii="Times New Roman" w:hAnsi="Times New Roman"/>
          <w:sz w:val="24"/>
          <w:szCs w:val="24"/>
        </w:rPr>
        <w:t xml:space="preserve"> </w:t>
      </w:r>
      <w:r w:rsidRPr="00430B82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430B82">
        <w:rPr>
          <w:rFonts w:ascii="Times New Roman" w:hAnsi="Times New Roman"/>
          <w:sz w:val="24"/>
          <w:szCs w:val="24"/>
        </w:rPr>
        <w:t>составил в абсолютной величине 5</w:t>
      </w:r>
      <w:r w:rsidR="00B149A5" w:rsidRPr="00430B82">
        <w:rPr>
          <w:rFonts w:ascii="Times New Roman" w:hAnsi="Times New Roman"/>
          <w:sz w:val="24"/>
          <w:szCs w:val="24"/>
        </w:rPr>
        <w:t> 885,2</w:t>
      </w:r>
      <w:r w:rsidRPr="00430B82">
        <w:rPr>
          <w:rFonts w:ascii="Times New Roman" w:hAnsi="Times New Roman"/>
          <w:sz w:val="24"/>
          <w:szCs w:val="24"/>
        </w:rPr>
        <w:t xml:space="preserve"> млн. руб., что ниже аналогичного показателя прошлого года на 10,</w:t>
      </w:r>
      <w:r w:rsidR="00B149A5" w:rsidRPr="00430B82">
        <w:rPr>
          <w:rFonts w:ascii="Times New Roman" w:hAnsi="Times New Roman"/>
          <w:sz w:val="24"/>
          <w:szCs w:val="24"/>
        </w:rPr>
        <w:t>1</w:t>
      </w:r>
      <w:r w:rsidRPr="00430B82">
        <w:rPr>
          <w:rFonts w:ascii="Times New Roman" w:hAnsi="Times New Roman"/>
          <w:sz w:val="24"/>
          <w:szCs w:val="24"/>
        </w:rPr>
        <w:t xml:space="preserve">%. </w:t>
      </w:r>
      <w:r w:rsidR="00792182">
        <w:rPr>
          <w:rFonts w:ascii="Times New Roman" w:hAnsi="Times New Roman"/>
          <w:sz w:val="24"/>
          <w:szCs w:val="24"/>
        </w:rPr>
        <w:t>В долларовом эквиваленте спад объема промышленного производства составил 607 млн. долл. или 84,3% к уровню показателя января-августа 2014 года.</w:t>
      </w:r>
    </w:p>
    <w:p w:rsidR="00586C16" w:rsidRPr="00497C5F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386080</wp:posOffset>
            </wp:positionV>
            <wp:extent cx="2571750" cy="1866900"/>
            <wp:effectExtent l="19050" t="0" r="0" b="0"/>
            <wp:wrapTight wrapText="bothSides">
              <wp:wrapPolygon edited="0">
                <wp:start x="-160" y="0"/>
                <wp:lineTo x="-160" y="21380"/>
                <wp:lineTo x="21600" y="21380"/>
                <wp:lineTo x="21600" y="0"/>
                <wp:lineTo x="-160" y="0"/>
              </wp:wrapPolygon>
            </wp:wrapTight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430B8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386080</wp:posOffset>
            </wp:positionV>
            <wp:extent cx="3743325" cy="1781175"/>
            <wp:effectExtent l="19050" t="0" r="0" b="0"/>
            <wp:wrapTight wrapText="bothSides">
              <wp:wrapPolygon edited="0">
                <wp:start x="-110" y="0"/>
                <wp:lineTo x="-110" y="21253"/>
                <wp:lineTo x="21545" y="21253"/>
                <wp:lineTo x="21545" y="0"/>
                <wp:lineTo x="-110" y="0"/>
              </wp:wrapPolygon>
            </wp:wrapTight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430B82">
        <w:rPr>
          <w:rFonts w:ascii="Times New Roman" w:hAnsi="Times New Roman"/>
          <w:sz w:val="24"/>
          <w:szCs w:val="24"/>
        </w:rPr>
        <w:t xml:space="preserve">Отраслевая структура промышленного производства по итогам января - </w:t>
      </w:r>
      <w:r w:rsidR="00B149A5" w:rsidRPr="00430B82">
        <w:rPr>
          <w:rFonts w:ascii="Times New Roman" w:hAnsi="Times New Roman"/>
          <w:sz w:val="24"/>
          <w:szCs w:val="24"/>
        </w:rPr>
        <w:t>ав</w:t>
      </w:r>
      <w:r w:rsidR="00430B82" w:rsidRPr="00430B82">
        <w:rPr>
          <w:rFonts w:ascii="Times New Roman" w:hAnsi="Times New Roman"/>
          <w:sz w:val="24"/>
          <w:szCs w:val="24"/>
        </w:rPr>
        <w:t>г</w:t>
      </w:r>
      <w:r w:rsidR="00B149A5" w:rsidRPr="00430B82">
        <w:rPr>
          <w:rFonts w:ascii="Times New Roman" w:hAnsi="Times New Roman"/>
          <w:sz w:val="24"/>
          <w:szCs w:val="24"/>
        </w:rPr>
        <w:t>уста</w:t>
      </w:r>
      <w:r w:rsidRPr="00430B82">
        <w:rPr>
          <w:rFonts w:ascii="Times New Roman" w:hAnsi="Times New Roman"/>
          <w:sz w:val="24"/>
          <w:szCs w:val="24"/>
        </w:rPr>
        <w:t xml:space="preserve">              2015 года выглядела следующим образом:</w:t>
      </w:r>
    </w:p>
    <w:p w:rsidR="00586C16" w:rsidRPr="00430B82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sz w:val="24"/>
          <w:szCs w:val="24"/>
        </w:rPr>
        <w:t>Так</w:t>
      </w:r>
      <w:r w:rsidR="00EA4ABF">
        <w:rPr>
          <w:rFonts w:ascii="Times New Roman" w:hAnsi="Times New Roman"/>
          <w:sz w:val="24"/>
          <w:szCs w:val="24"/>
        </w:rPr>
        <w:t>,</w:t>
      </w:r>
      <w:r w:rsidRPr="00430B82">
        <w:rPr>
          <w:rFonts w:ascii="Times New Roman" w:hAnsi="Times New Roman"/>
          <w:sz w:val="24"/>
          <w:szCs w:val="24"/>
        </w:rPr>
        <w:t xml:space="preserve"> увеличение объемов производства в электроэнергетике позволило сохранить лидирующую позицию в структуре выпуска – </w:t>
      </w:r>
      <w:r w:rsidR="00E4121F" w:rsidRPr="00430B82">
        <w:rPr>
          <w:rFonts w:ascii="Times New Roman" w:hAnsi="Times New Roman"/>
          <w:sz w:val="24"/>
          <w:szCs w:val="24"/>
        </w:rPr>
        <w:t>39,8</w:t>
      </w:r>
      <w:r w:rsidRPr="00430B82">
        <w:rPr>
          <w:rFonts w:ascii="Times New Roman" w:hAnsi="Times New Roman"/>
          <w:sz w:val="24"/>
          <w:szCs w:val="24"/>
        </w:rPr>
        <w:t>% (30,</w:t>
      </w:r>
      <w:r w:rsidR="00E4121F" w:rsidRPr="00430B82">
        <w:rPr>
          <w:rFonts w:ascii="Times New Roman" w:hAnsi="Times New Roman"/>
          <w:sz w:val="24"/>
          <w:szCs w:val="24"/>
        </w:rPr>
        <w:t>2</w:t>
      </w:r>
      <w:r w:rsidRPr="00430B82">
        <w:rPr>
          <w:rFonts w:ascii="Times New Roman" w:hAnsi="Times New Roman"/>
          <w:sz w:val="24"/>
          <w:szCs w:val="24"/>
        </w:rPr>
        <w:t>% в январе-</w:t>
      </w:r>
      <w:r w:rsidR="00E4121F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2014 года). На металлургию в результате приостановки производственных мощностей </w:t>
      </w:r>
      <w:r w:rsidRPr="00430B82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430B82">
        <w:rPr>
          <w:sz w:val="24"/>
          <w:szCs w:val="24"/>
        </w:rPr>
        <w:t xml:space="preserve"> </w:t>
      </w:r>
      <w:r w:rsidRPr="00430B82">
        <w:rPr>
          <w:rFonts w:ascii="Times New Roman" w:hAnsi="Times New Roman"/>
          <w:sz w:val="24"/>
          <w:szCs w:val="24"/>
        </w:rPr>
        <w:t>года, в рассматриваемом периоде приходилось 25,2% выпуска в промышленности против 29,8% в январе-</w:t>
      </w:r>
      <w:r w:rsidR="00E4121F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2014 года. Предприятия легкой и пищевой промышленности сформировали 11,9% и 10,</w:t>
      </w:r>
      <w:r w:rsidR="00E4121F" w:rsidRPr="00430B82">
        <w:rPr>
          <w:rFonts w:ascii="Times New Roman" w:hAnsi="Times New Roman"/>
          <w:sz w:val="24"/>
          <w:szCs w:val="24"/>
        </w:rPr>
        <w:t>6</w:t>
      </w:r>
      <w:r w:rsidRPr="00430B82">
        <w:rPr>
          <w:rFonts w:ascii="Times New Roman" w:hAnsi="Times New Roman"/>
          <w:sz w:val="24"/>
          <w:szCs w:val="24"/>
        </w:rPr>
        <w:t>% товарного выпуска соответственно против 12,9% и 12,</w:t>
      </w:r>
      <w:r w:rsidR="00E4121F" w:rsidRPr="00430B82">
        <w:rPr>
          <w:rFonts w:ascii="Times New Roman" w:hAnsi="Times New Roman"/>
          <w:sz w:val="24"/>
          <w:szCs w:val="24"/>
        </w:rPr>
        <w:t>4</w:t>
      </w:r>
      <w:r w:rsidRPr="00430B82">
        <w:rPr>
          <w:rFonts w:ascii="Times New Roman" w:hAnsi="Times New Roman"/>
          <w:sz w:val="24"/>
          <w:szCs w:val="24"/>
        </w:rPr>
        <w:t>% в аналогичном периоде 2014 года.</w:t>
      </w:r>
    </w:p>
    <w:p w:rsidR="00586C16" w:rsidRPr="00497C5F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B82">
        <w:rPr>
          <w:rFonts w:ascii="Times New Roman" w:hAnsi="Times New Roman"/>
          <w:sz w:val="24"/>
          <w:szCs w:val="24"/>
        </w:rPr>
        <w:t xml:space="preserve">Анализируя показатели промышленного производства в </w:t>
      </w:r>
      <w:r w:rsidR="000D72B7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2015 года, необходимо отметить, что в данном месяце зафиксировано </w:t>
      </w:r>
      <w:r w:rsidR="000D72B7" w:rsidRPr="00430B82">
        <w:rPr>
          <w:rFonts w:ascii="Times New Roman" w:hAnsi="Times New Roman"/>
          <w:sz w:val="24"/>
          <w:szCs w:val="24"/>
        </w:rPr>
        <w:t>снижение</w:t>
      </w:r>
      <w:r w:rsidRPr="00430B82">
        <w:rPr>
          <w:rFonts w:ascii="Times New Roman" w:hAnsi="Times New Roman"/>
          <w:sz w:val="24"/>
          <w:szCs w:val="24"/>
        </w:rPr>
        <w:t xml:space="preserve"> промышленного производства в целом по отрасли к уровню </w:t>
      </w:r>
      <w:r w:rsidR="000D72B7" w:rsidRPr="00430B82">
        <w:rPr>
          <w:rFonts w:ascii="Times New Roman" w:hAnsi="Times New Roman"/>
          <w:sz w:val="24"/>
          <w:szCs w:val="24"/>
        </w:rPr>
        <w:t>августа</w:t>
      </w:r>
      <w:r w:rsidRPr="00430B82">
        <w:rPr>
          <w:rFonts w:ascii="Times New Roman" w:hAnsi="Times New Roman"/>
          <w:sz w:val="24"/>
          <w:szCs w:val="24"/>
        </w:rPr>
        <w:t xml:space="preserve"> 2014 года на </w:t>
      </w:r>
      <w:r w:rsidR="000D72B7" w:rsidRPr="00430B82">
        <w:rPr>
          <w:rFonts w:ascii="Times New Roman" w:hAnsi="Times New Roman"/>
          <w:sz w:val="24"/>
          <w:szCs w:val="24"/>
        </w:rPr>
        <w:t>10,4</w:t>
      </w:r>
      <w:r w:rsidRPr="00430B82">
        <w:rPr>
          <w:rFonts w:ascii="Times New Roman" w:hAnsi="Times New Roman"/>
          <w:sz w:val="24"/>
          <w:szCs w:val="24"/>
        </w:rPr>
        <w:t xml:space="preserve">%. В абсолютном выражении объем промышленного производства в </w:t>
      </w:r>
      <w:r w:rsidR="000D72B7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2015 года составил </w:t>
      </w:r>
      <w:r w:rsidR="000D72B7" w:rsidRPr="00430B82">
        <w:rPr>
          <w:rFonts w:ascii="Times New Roman" w:hAnsi="Times New Roman"/>
          <w:sz w:val="24"/>
          <w:szCs w:val="24"/>
        </w:rPr>
        <w:t>764,3</w:t>
      </w:r>
      <w:r w:rsidRPr="00430B82">
        <w:rPr>
          <w:rFonts w:ascii="Times New Roman" w:hAnsi="Times New Roman"/>
          <w:sz w:val="24"/>
          <w:szCs w:val="24"/>
        </w:rPr>
        <w:t xml:space="preserve"> млн. руб., что </w:t>
      </w:r>
      <w:r w:rsidR="000D72B7" w:rsidRPr="00430B82">
        <w:rPr>
          <w:rFonts w:ascii="Times New Roman" w:hAnsi="Times New Roman"/>
          <w:sz w:val="24"/>
          <w:szCs w:val="24"/>
        </w:rPr>
        <w:t>мень</w:t>
      </w:r>
      <w:r w:rsidRPr="00430B82">
        <w:rPr>
          <w:rFonts w:ascii="Times New Roman" w:hAnsi="Times New Roman"/>
          <w:sz w:val="24"/>
          <w:szCs w:val="24"/>
        </w:rPr>
        <w:t>ше значения ию</w:t>
      </w:r>
      <w:r w:rsidR="000D72B7" w:rsidRPr="00430B82">
        <w:rPr>
          <w:rFonts w:ascii="Times New Roman" w:hAnsi="Times New Roman"/>
          <w:sz w:val="24"/>
          <w:szCs w:val="24"/>
        </w:rPr>
        <w:t>л</w:t>
      </w:r>
      <w:r w:rsidRPr="00430B82">
        <w:rPr>
          <w:rFonts w:ascii="Times New Roman" w:hAnsi="Times New Roman"/>
          <w:sz w:val="24"/>
          <w:szCs w:val="24"/>
        </w:rPr>
        <w:t xml:space="preserve">я 2015 года на </w:t>
      </w:r>
      <w:r w:rsidR="000D72B7" w:rsidRPr="00430B82">
        <w:rPr>
          <w:rFonts w:ascii="Times New Roman" w:hAnsi="Times New Roman"/>
          <w:sz w:val="24"/>
          <w:szCs w:val="24"/>
        </w:rPr>
        <w:t>15,5</w:t>
      </w:r>
      <w:r w:rsidRPr="00430B82">
        <w:rPr>
          <w:rFonts w:ascii="Times New Roman" w:hAnsi="Times New Roman"/>
          <w:sz w:val="24"/>
          <w:szCs w:val="24"/>
        </w:rPr>
        <w:t xml:space="preserve">%, а также на </w:t>
      </w:r>
      <w:r w:rsidR="000D72B7" w:rsidRPr="00430B82">
        <w:rPr>
          <w:rFonts w:ascii="Times New Roman" w:hAnsi="Times New Roman"/>
          <w:sz w:val="24"/>
          <w:szCs w:val="24"/>
        </w:rPr>
        <w:t>4,7</w:t>
      </w:r>
      <w:r w:rsidRPr="00430B82">
        <w:rPr>
          <w:rFonts w:ascii="Times New Roman" w:hAnsi="Times New Roman"/>
          <w:sz w:val="24"/>
          <w:szCs w:val="24"/>
        </w:rPr>
        <w:t xml:space="preserve">% </w:t>
      </w:r>
      <w:r w:rsidR="000D72B7" w:rsidRPr="00430B82">
        <w:rPr>
          <w:rFonts w:ascii="Times New Roman" w:hAnsi="Times New Roman"/>
          <w:sz w:val="24"/>
          <w:szCs w:val="24"/>
        </w:rPr>
        <w:t>ниж</w:t>
      </w:r>
      <w:r w:rsidRPr="00430B82">
        <w:rPr>
          <w:rFonts w:ascii="Times New Roman" w:hAnsi="Times New Roman"/>
          <w:sz w:val="24"/>
          <w:szCs w:val="24"/>
        </w:rPr>
        <w:t>е показателя декабря 2014 года</w:t>
      </w:r>
      <w:proofErr w:type="gramEnd"/>
      <w:r w:rsidRPr="00430B82">
        <w:rPr>
          <w:rFonts w:ascii="Times New Roman" w:hAnsi="Times New Roman"/>
          <w:sz w:val="24"/>
          <w:szCs w:val="24"/>
        </w:rPr>
        <w:t xml:space="preserve">. Достигнутые значения показателей промышленного производства свидетельствуют о </w:t>
      </w:r>
      <w:r w:rsidR="000D72B7" w:rsidRPr="00430B82">
        <w:rPr>
          <w:rFonts w:ascii="Times New Roman" w:hAnsi="Times New Roman"/>
          <w:sz w:val="24"/>
          <w:szCs w:val="24"/>
        </w:rPr>
        <w:t>нестабильной работе предприятий реального сектора</w:t>
      </w:r>
      <w:r w:rsidRPr="00430B82">
        <w:rPr>
          <w:rFonts w:ascii="Times New Roman" w:hAnsi="Times New Roman"/>
          <w:sz w:val="24"/>
          <w:szCs w:val="24"/>
        </w:rPr>
        <w:t xml:space="preserve"> экономики. </w:t>
      </w:r>
      <w:proofErr w:type="gramStart"/>
      <w:r w:rsidR="003B1255" w:rsidRPr="00430B82">
        <w:rPr>
          <w:rFonts w:ascii="Times New Roman" w:hAnsi="Times New Roman"/>
          <w:sz w:val="24"/>
          <w:szCs w:val="24"/>
        </w:rPr>
        <w:t>С</w:t>
      </w:r>
      <w:r w:rsidRPr="00430B82">
        <w:rPr>
          <w:rFonts w:ascii="Times New Roman" w:hAnsi="Times New Roman"/>
          <w:sz w:val="24"/>
          <w:szCs w:val="24"/>
        </w:rPr>
        <w:t>итуация, складывающаяся на мировых рынках не позволяет</w:t>
      </w:r>
      <w:proofErr w:type="gramEnd"/>
      <w:r w:rsidRPr="00430B82">
        <w:rPr>
          <w:rFonts w:ascii="Times New Roman" w:hAnsi="Times New Roman"/>
          <w:sz w:val="24"/>
          <w:szCs w:val="24"/>
        </w:rPr>
        <w:t xml:space="preserve"> говорить о</w:t>
      </w:r>
      <w:r w:rsidR="00430B82" w:rsidRPr="00430B82">
        <w:rPr>
          <w:rFonts w:ascii="Times New Roman" w:hAnsi="Times New Roman"/>
          <w:sz w:val="24"/>
          <w:szCs w:val="24"/>
        </w:rPr>
        <w:t xml:space="preserve"> </w:t>
      </w:r>
      <w:r w:rsidR="003B1255" w:rsidRPr="00430B82">
        <w:rPr>
          <w:rFonts w:ascii="Times New Roman" w:hAnsi="Times New Roman"/>
          <w:sz w:val="24"/>
          <w:szCs w:val="24"/>
        </w:rPr>
        <w:t xml:space="preserve">сохранении </w:t>
      </w:r>
      <w:r w:rsidR="00792182">
        <w:rPr>
          <w:rFonts w:ascii="Times New Roman" w:hAnsi="Times New Roman"/>
          <w:sz w:val="24"/>
          <w:szCs w:val="24"/>
        </w:rPr>
        <w:t>динамики промышленного производства, достигнутой в июле 2015 года</w:t>
      </w:r>
      <w:r w:rsidRPr="00430B82">
        <w:rPr>
          <w:rFonts w:ascii="Times New Roman" w:hAnsi="Times New Roman"/>
          <w:sz w:val="24"/>
          <w:szCs w:val="24"/>
        </w:rPr>
        <w:t>.</w:t>
      </w:r>
    </w:p>
    <w:p w:rsidR="00586C16" w:rsidRPr="00430B82" w:rsidRDefault="00586C16" w:rsidP="00586C1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B82">
        <w:rPr>
          <w:noProof/>
        </w:rPr>
        <w:lastRenderedPageBreak/>
        <w:drawing>
          <wp:inline distT="0" distB="0" distL="0" distR="0">
            <wp:extent cx="6162675" cy="186690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C16" w:rsidRPr="00430B82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sz w:val="24"/>
          <w:szCs w:val="24"/>
        </w:rPr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586C16" w:rsidRPr="004755EA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sz w:val="24"/>
          <w:szCs w:val="24"/>
        </w:rPr>
        <w:t xml:space="preserve">В разрезе отраслей динамика промышленного производства в </w:t>
      </w:r>
      <w:r w:rsidR="004755EA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2015 года выглядит следую</w:t>
      </w:r>
      <w:r w:rsidR="004755EA" w:rsidRPr="00430B82">
        <w:rPr>
          <w:rFonts w:ascii="Times New Roman" w:hAnsi="Times New Roman"/>
          <w:sz w:val="24"/>
          <w:szCs w:val="24"/>
        </w:rPr>
        <w:t>щим образом:</w:t>
      </w:r>
    </w:p>
    <w:p w:rsidR="00586C16" w:rsidRPr="00497C5F" w:rsidRDefault="00586C16" w:rsidP="00586C1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97C5F">
        <w:rPr>
          <w:b/>
        </w:rPr>
        <w:t>Динамика промышленной продукции в разрезе отраслей, млн. руб.</w:t>
      </w:r>
    </w:p>
    <w:p w:rsidR="00586C16" w:rsidRPr="00430B82" w:rsidRDefault="00586C16" w:rsidP="00586C16">
      <w:pPr>
        <w:pStyle w:val="a7"/>
        <w:ind w:firstLine="0"/>
        <w:jc w:val="center"/>
        <w:rPr>
          <w:b/>
        </w:rPr>
      </w:pPr>
      <w:r w:rsidRPr="00430B82">
        <w:rPr>
          <w:rFonts w:eastAsia="Times New Roman"/>
          <w:b/>
          <w:noProof/>
          <w:lang w:eastAsia="ru-RU"/>
        </w:rPr>
        <w:drawing>
          <wp:inline distT="0" distB="0" distL="0" distR="0">
            <wp:extent cx="6048375" cy="2505075"/>
            <wp:effectExtent l="19050" t="0" r="9525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6C16" w:rsidRPr="00430B82" w:rsidRDefault="00586C16" w:rsidP="00586C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430B82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430B82">
        <w:rPr>
          <w:rFonts w:ascii="Times New Roman" w:hAnsi="Times New Roman"/>
          <w:sz w:val="24"/>
          <w:szCs w:val="24"/>
        </w:rPr>
        <w:t xml:space="preserve"> промышленности в январе - </w:t>
      </w:r>
      <w:r w:rsidR="00E44842" w:rsidRPr="00430B82">
        <w:rPr>
          <w:rFonts w:ascii="Times New Roman" w:hAnsi="Times New Roman"/>
          <w:sz w:val="24"/>
          <w:szCs w:val="24"/>
        </w:rPr>
        <w:t>августе</w:t>
      </w:r>
      <w:r w:rsidRPr="00430B82">
        <w:rPr>
          <w:rFonts w:ascii="Times New Roman" w:hAnsi="Times New Roman"/>
          <w:sz w:val="24"/>
          <w:szCs w:val="24"/>
        </w:rPr>
        <w:t xml:space="preserve"> 2015 года увеличение промышленного производства по отношению к аналогичному периоду 2014 года </w:t>
      </w:r>
      <w:r w:rsidR="00792182">
        <w:rPr>
          <w:rFonts w:ascii="Times New Roman" w:hAnsi="Times New Roman"/>
          <w:sz w:val="24"/>
          <w:szCs w:val="24"/>
        </w:rPr>
        <w:t>зафиксировано</w:t>
      </w:r>
      <w:r w:rsidRPr="00430B82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30B8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30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B8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430B8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586C16" w:rsidRPr="00430B82" w:rsidRDefault="00586C16" w:rsidP="00586C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B82">
        <w:rPr>
          <w:rFonts w:ascii="Times New Roman" w:hAnsi="Times New Roman"/>
          <w:sz w:val="24"/>
          <w:szCs w:val="24"/>
        </w:rPr>
        <w:t xml:space="preserve">а) в </w:t>
      </w:r>
      <w:r w:rsidRPr="00430B82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430B82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18,</w:t>
      </w:r>
      <w:r w:rsidR="00E44842" w:rsidRPr="00430B82">
        <w:rPr>
          <w:rFonts w:ascii="Times New Roman" w:hAnsi="Times New Roman"/>
          <w:sz w:val="24"/>
          <w:szCs w:val="24"/>
        </w:rPr>
        <w:t>6</w:t>
      </w:r>
      <w:r w:rsidRPr="00430B82">
        <w:rPr>
          <w:rFonts w:ascii="Times New Roman" w:hAnsi="Times New Roman"/>
          <w:sz w:val="24"/>
          <w:szCs w:val="24"/>
        </w:rPr>
        <w:t>% по сравнению с соответствующим периодом 2014 года, в стоимостном выражении товарный выпуск отрасли вырос на 18,</w:t>
      </w:r>
      <w:r w:rsidR="00E44842" w:rsidRPr="00430B82">
        <w:rPr>
          <w:rFonts w:ascii="Times New Roman" w:hAnsi="Times New Roman"/>
          <w:sz w:val="24"/>
          <w:szCs w:val="24"/>
        </w:rPr>
        <w:t>5</w:t>
      </w:r>
      <w:r w:rsidRPr="00430B82">
        <w:rPr>
          <w:rFonts w:ascii="Times New Roman" w:hAnsi="Times New Roman"/>
          <w:sz w:val="24"/>
          <w:szCs w:val="24"/>
        </w:rPr>
        <w:t>%.</w:t>
      </w:r>
    </w:p>
    <w:p w:rsidR="00586C16" w:rsidRPr="00484E7E" w:rsidRDefault="00586C16" w:rsidP="00586C16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30B82">
        <w:rPr>
          <w:noProof/>
        </w:rPr>
        <w:drawing>
          <wp:inline distT="0" distB="0" distL="0" distR="0">
            <wp:extent cx="6477000" cy="2066925"/>
            <wp:effectExtent l="1905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C16" w:rsidRPr="003523D7" w:rsidRDefault="00586C16" w:rsidP="00586C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3D7">
        <w:rPr>
          <w:rFonts w:ascii="Times New Roman" w:hAnsi="Times New Roman"/>
          <w:color w:val="000000"/>
          <w:sz w:val="24"/>
          <w:szCs w:val="24"/>
        </w:rPr>
        <w:t xml:space="preserve">б) в </w:t>
      </w:r>
      <w:r w:rsidRPr="003523D7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на фоне расширения потребительского спроса на такие виды продукции как книги (в 1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1,4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а</w:t>
      </w:r>
      <w:r w:rsidRPr="003523D7">
        <w:rPr>
          <w:rFonts w:ascii="Times New Roman" w:hAnsi="Times New Roman"/>
          <w:color w:val="000000"/>
          <w:sz w:val="24"/>
          <w:szCs w:val="24"/>
        </w:rPr>
        <w:t>),</w:t>
      </w:r>
      <w:r w:rsidR="003523D7" w:rsidRPr="003523D7">
        <w:rPr>
          <w:rFonts w:ascii="Times New Roman" w:hAnsi="Times New Roman"/>
          <w:color w:val="000000"/>
          <w:sz w:val="24"/>
          <w:szCs w:val="24"/>
        </w:rPr>
        <w:t xml:space="preserve"> альбомы и папки (в 2,3 раза)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4E7E" w:rsidRPr="003523D7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3523D7">
        <w:rPr>
          <w:rFonts w:ascii="Times New Roman" w:hAnsi="Times New Roman"/>
          <w:color w:val="000000"/>
          <w:sz w:val="24"/>
          <w:szCs w:val="24"/>
        </w:rPr>
        <w:t xml:space="preserve"> («+» 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67,4</w:t>
      </w:r>
      <w:r w:rsidRPr="003523D7">
        <w:rPr>
          <w:rFonts w:ascii="Times New Roman" w:hAnsi="Times New Roman"/>
          <w:color w:val="000000"/>
          <w:sz w:val="24"/>
          <w:szCs w:val="24"/>
        </w:rPr>
        <w:t>%)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3D7">
        <w:rPr>
          <w:rFonts w:ascii="Times New Roman" w:hAnsi="Times New Roman"/>
          <w:color w:val="000000"/>
          <w:sz w:val="24"/>
          <w:szCs w:val="24"/>
        </w:rPr>
        <w:t>совокупная стоимостная величина товар</w:t>
      </w:r>
      <w:r w:rsidR="003523D7" w:rsidRPr="003523D7">
        <w:rPr>
          <w:rFonts w:ascii="Times New Roman" w:hAnsi="Times New Roman"/>
          <w:color w:val="000000"/>
          <w:sz w:val="24"/>
          <w:szCs w:val="24"/>
        </w:rPr>
        <w:t xml:space="preserve">ного выпуска отрасли в </w:t>
      </w:r>
      <w:r w:rsidR="003523D7" w:rsidRPr="003523D7">
        <w:rPr>
          <w:rFonts w:ascii="Times New Roman" w:hAnsi="Times New Roman"/>
          <w:color w:val="000000"/>
          <w:sz w:val="24"/>
          <w:szCs w:val="24"/>
        </w:rPr>
        <w:lastRenderedPageBreak/>
        <w:t>январе–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августе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2015 года увеличилась к базисному значению 2014 года в 2,3 раз. При этом 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79,0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% общего прироста по </w:t>
      </w:r>
      <w:proofErr w:type="spellStart"/>
      <w:r w:rsidRPr="003523D7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3523D7">
        <w:rPr>
          <w:rFonts w:ascii="Times New Roman" w:hAnsi="Times New Roman"/>
          <w:color w:val="000000"/>
          <w:sz w:val="24"/>
          <w:szCs w:val="24"/>
        </w:rPr>
        <w:t xml:space="preserve"> обеспечено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3D7">
        <w:rPr>
          <w:rFonts w:ascii="Times New Roman" w:hAnsi="Times New Roman"/>
          <w:color w:val="000000"/>
          <w:sz w:val="24"/>
          <w:szCs w:val="24"/>
        </w:rPr>
        <w:t>ГУИП Типография «Полиграфист», объем промышленного производства которого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, на фоне обеспечени</w:t>
      </w:r>
      <w:r w:rsidR="00EA4ABF">
        <w:rPr>
          <w:rFonts w:ascii="Times New Roman" w:hAnsi="Times New Roman"/>
          <w:color w:val="000000"/>
          <w:sz w:val="24"/>
          <w:szCs w:val="24"/>
        </w:rPr>
        <w:t>я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="005666FB" w:rsidRPr="003523D7">
        <w:rPr>
          <w:rFonts w:ascii="Times New Roman" w:hAnsi="Times New Roman"/>
          <w:color w:val="000000"/>
          <w:sz w:val="24"/>
          <w:szCs w:val="24"/>
        </w:rPr>
        <w:t>д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 xml:space="preserve">приятия заказами </w:t>
      </w:r>
      <w:r w:rsidR="005666FB" w:rsidRPr="003523D7">
        <w:rPr>
          <w:rFonts w:ascii="Times New Roman" w:hAnsi="Times New Roman"/>
          <w:color w:val="000000"/>
          <w:sz w:val="24"/>
          <w:szCs w:val="24"/>
        </w:rPr>
        <w:t>по изданию учебной литературы для общеобразовательных учреждений,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в январе-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августе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2015 года возрос в </w:t>
      </w:r>
      <w:r w:rsidR="00484E7E" w:rsidRPr="003523D7">
        <w:rPr>
          <w:rFonts w:ascii="Times New Roman" w:hAnsi="Times New Roman"/>
          <w:color w:val="000000"/>
          <w:sz w:val="24"/>
          <w:szCs w:val="24"/>
        </w:rPr>
        <w:t>2,4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раза отно</w:t>
      </w:r>
      <w:r w:rsidR="00EA4ABF">
        <w:rPr>
          <w:rFonts w:ascii="Times New Roman" w:hAnsi="Times New Roman"/>
          <w:color w:val="000000"/>
          <w:sz w:val="24"/>
          <w:szCs w:val="24"/>
        </w:rPr>
        <w:t>сительно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соответствующе</w:t>
      </w:r>
      <w:r w:rsidR="00EA4ABF">
        <w:rPr>
          <w:rFonts w:ascii="Times New Roman" w:hAnsi="Times New Roman"/>
          <w:color w:val="000000"/>
          <w:sz w:val="24"/>
          <w:szCs w:val="24"/>
        </w:rPr>
        <w:t>го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период</w:t>
      </w:r>
      <w:r w:rsidR="00EA4ABF">
        <w:rPr>
          <w:rFonts w:ascii="Times New Roman" w:hAnsi="Times New Roman"/>
          <w:color w:val="000000"/>
          <w:sz w:val="24"/>
          <w:szCs w:val="24"/>
        </w:rPr>
        <w:t>а</w:t>
      </w:r>
      <w:r w:rsidRPr="003523D7">
        <w:rPr>
          <w:rFonts w:ascii="Times New Roman" w:hAnsi="Times New Roman"/>
          <w:color w:val="000000"/>
          <w:sz w:val="24"/>
          <w:szCs w:val="24"/>
        </w:rPr>
        <w:t xml:space="preserve"> прошлого года.</w:t>
      </w:r>
    </w:p>
    <w:p w:rsidR="00586C16" w:rsidRPr="003523D7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523D7">
        <w:rPr>
          <w:rFonts w:ascii="Times New Roman" w:hAnsi="Times New Roman"/>
          <w:sz w:val="24"/>
          <w:szCs w:val="24"/>
        </w:rPr>
        <w:t xml:space="preserve">Вместе с этим в январе - </w:t>
      </w:r>
      <w:r w:rsidR="005666FB" w:rsidRPr="003523D7">
        <w:rPr>
          <w:rFonts w:ascii="Times New Roman" w:hAnsi="Times New Roman"/>
          <w:sz w:val="24"/>
          <w:szCs w:val="24"/>
        </w:rPr>
        <w:t>августе</w:t>
      </w:r>
      <w:r w:rsidRPr="003523D7">
        <w:rPr>
          <w:rFonts w:ascii="Times New Roman" w:hAnsi="Times New Roman"/>
          <w:sz w:val="24"/>
          <w:szCs w:val="24"/>
        </w:rPr>
        <w:t xml:space="preserve"> 2015 года спад промышленного производства по отношению к аналогичному периоду 2014 года наблюдается в </w:t>
      </w:r>
      <w:proofErr w:type="gramStart"/>
      <w:r w:rsidRPr="003523D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352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3D7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3523D7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523D7">
        <w:rPr>
          <w:rFonts w:ascii="Times New Roman" w:hAnsi="Times New Roman"/>
          <w:sz w:val="24"/>
          <w:szCs w:val="24"/>
        </w:rPr>
        <w:t xml:space="preserve">а) в </w:t>
      </w:r>
      <w:r w:rsidRPr="003523D7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3523D7">
        <w:rPr>
          <w:rFonts w:ascii="Times New Roman" w:hAnsi="Times New Roman"/>
          <w:sz w:val="24"/>
          <w:szCs w:val="24"/>
        </w:rPr>
        <w:t xml:space="preserve">по итогам января - </w:t>
      </w:r>
      <w:r w:rsidR="005666FB" w:rsidRPr="003523D7">
        <w:rPr>
          <w:rFonts w:ascii="Times New Roman" w:hAnsi="Times New Roman"/>
          <w:sz w:val="24"/>
          <w:szCs w:val="24"/>
        </w:rPr>
        <w:t>августа</w:t>
      </w:r>
      <w:r w:rsidRPr="003523D7">
        <w:rPr>
          <w:rFonts w:ascii="Times New Roman" w:hAnsi="Times New Roman"/>
          <w:sz w:val="24"/>
          <w:szCs w:val="24"/>
        </w:rPr>
        <w:t xml:space="preserve"> 2015 года отмечено снижение производства стали на </w:t>
      </w:r>
      <w:r w:rsidR="005666FB" w:rsidRPr="003523D7">
        <w:rPr>
          <w:rFonts w:ascii="Times New Roman" w:hAnsi="Times New Roman"/>
          <w:sz w:val="24"/>
          <w:szCs w:val="24"/>
        </w:rPr>
        <w:t>1,1</w:t>
      </w:r>
      <w:r w:rsidRPr="003523D7">
        <w:rPr>
          <w:rFonts w:ascii="Times New Roman" w:hAnsi="Times New Roman"/>
          <w:sz w:val="24"/>
          <w:szCs w:val="24"/>
        </w:rPr>
        <w:t>%, проката черных металлов на 23,</w:t>
      </w:r>
      <w:r w:rsidR="005666FB" w:rsidRPr="003523D7">
        <w:rPr>
          <w:rFonts w:ascii="Times New Roman" w:hAnsi="Times New Roman"/>
          <w:sz w:val="24"/>
          <w:szCs w:val="24"/>
        </w:rPr>
        <w:t>8</w:t>
      </w:r>
      <w:r w:rsidRPr="003523D7">
        <w:rPr>
          <w:rFonts w:ascii="Times New Roman" w:hAnsi="Times New Roman"/>
          <w:sz w:val="24"/>
          <w:szCs w:val="24"/>
        </w:rPr>
        <w:t xml:space="preserve">%. В целом по отрасли объем производства в стоимостном выражении в рассматриваемом периоде на 23,9% не достиг базового показателя 2014 года. При этом в </w:t>
      </w:r>
      <w:r w:rsidR="005666FB" w:rsidRPr="003523D7">
        <w:rPr>
          <w:rFonts w:ascii="Times New Roman" w:hAnsi="Times New Roman"/>
          <w:sz w:val="24"/>
          <w:szCs w:val="24"/>
        </w:rPr>
        <w:t>августе</w:t>
      </w:r>
      <w:r w:rsidRPr="003523D7">
        <w:rPr>
          <w:rFonts w:ascii="Times New Roman" w:hAnsi="Times New Roman"/>
          <w:sz w:val="24"/>
          <w:szCs w:val="24"/>
        </w:rPr>
        <w:t xml:space="preserve"> 2015 года на фоне </w:t>
      </w:r>
      <w:r w:rsidR="005666FB" w:rsidRPr="003523D7">
        <w:rPr>
          <w:rFonts w:ascii="Times New Roman" w:hAnsi="Times New Roman"/>
          <w:sz w:val="24"/>
          <w:szCs w:val="24"/>
        </w:rPr>
        <w:t xml:space="preserve">снижения объема </w:t>
      </w:r>
      <w:r w:rsidR="005666FB" w:rsidRPr="00732FC1">
        <w:rPr>
          <w:rFonts w:ascii="Times New Roman" w:hAnsi="Times New Roman"/>
          <w:sz w:val="24"/>
          <w:szCs w:val="24"/>
        </w:rPr>
        <w:t>промышленного производства</w:t>
      </w:r>
      <w:r w:rsidRPr="00732FC1">
        <w:rPr>
          <w:rFonts w:ascii="Times New Roman" w:hAnsi="Times New Roman"/>
          <w:sz w:val="24"/>
          <w:szCs w:val="24"/>
        </w:rPr>
        <w:t xml:space="preserve"> </w:t>
      </w:r>
      <w:r w:rsidR="005666FB" w:rsidRPr="00732FC1">
        <w:rPr>
          <w:rFonts w:ascii="Times New Roman" w:hAnsi="Times New Roman"/>
          <w:sz w:val="24"/>
          <w:szCs w:val="24"/>
        </w:rPr>
        <w:t>на</w:t>
      </w:r>
      <w:r w:rsidRPr="00732FC1">
        <w:rPr>
          <w:rFonts w:ascii="Times New Roman" w:hAnsi="Times New Roman"/>
          <w:sz w:val="24"/>
          <w:szCs w:val="24"/>
        </w:rPr>
        <w:t xml:space="preserve"> ОАО «Молдавский металлургический завод»</w:t>
      </w:r>
      <w:r w:rsidR="005666FB" w:rsidRPr="00732FC1">
        <w:rPr>
          <w:rFonts w:ascii="Times New Roman" w:hAnsi="Times New Roman"/>
          <w:sz w:val="24"/>
          <w:szCs w:val="24"/>
        </w:rPr>
        <w:t xml:space="preserve"> на</w:t>
      </w:r>
      <w:r w:rsidR="003230E6" w:rsidRPr="00732FC1">
        <w:rPr>
          <w:rFonts w:ascii="Times New Roman" w:hAnsi="Times New Roman"/>
          <w:sz w:val="24"/>
          <w:szCs w:val="24"/>
        </w:rPr>
        <w:t xml:space="preserve"> 34,1%,</w:t>
      </w:r>
      <w:r w:rsidRPr="00732FC1">
        <w:rPr>
          <w:rFonts w:ascii="Times New Roman" w:hAnsi="Times New Roman"/>
          <w:sz w:val="24"/>
          <w:szCs w:val="24"/>
        </w:rPr>
        <w:t xml:space="preserve"> объем производства отрасли </w:t>
      </w:r>
      <w:r w:rsidR="003230E6" w:rsidRPr="00732FC1">
        <w:rPr>
          <w:rFonts w:ascii="Times New Roman" w:hAnsi="Times New Roman"/>
          <w:sz w:val="24"/>
          <w:szCs w:val="24"/>
        </w:rPr>
        <w:t>сократился</w:t>
      </w:r>
      <w:r w:rsidRPr="00732FC1">
        <w:rPr>
          <w:rFonts w:ascii="Times New Roman" w:hAnsi="Times New Roman"/>
          <w:sz w:val="24"/>
          <w:szCs w:val="24"/>
        </w:rPr>
        <w:t xml:space="preserve"> по отношению к ию</w:t>
      </w:r>
      <w:r w:rsidR="003230E6" w:rsidRPr="00732FC1">
        <w:rPr>
          <w:rFonts w:ascii="Times New Roman" w:hAnsi="Times New Roman"/>
          <w:sz w:val="24"/>
          <w:szCs w:val="24"/>
        </w:rPr>
        <w:t>л</w:t>
      </w:r>
      <w:r w:rsidRPr="00732FC1">
        <w:rPr>
          <w:rFonts w:ascii="Times New Roman" w:hAnsi="Times New Roman"/>
          <w:sz w:val="24"/>
          <w:szCs w:val="24"/>
        </w:rPr>
        <w:t xml:space="preserve">ю месяцу на </w:t>
      </w:r>
      <w:r w:rsidR="003230E6" w:rsidRPr="00732FC1">
        <w:rPr>
          <w:rFonts w:ascii="Times New Roman" w:hAnsi="Times New Roman"/>
          <w:sz w:val="24"/>
          <w:szCs w:val="24"/>
        </w:rPr>
        <w:t>34,2</w:t>
      </w:r>
      <w:r w:rsidRPr="00732FC1">
        <w:rPr>
          <w:rFonts w:ascii="Times New Roman" w:hAnsi="Times New Roman"/>
          <w:sz w:val="24"/>
          <w:szCs w:val="24"/>
        </w:rPr>
        <w:t>%;</w:t>
      </w:r>
    </w:p>
    <w:p w:rsidR="00586C16" w:rsidRPr="00732FC1" w:rsidRDefault="00586C16" w:rsidP="0058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>б)</w:t>
      </w:r>
      <w:r w:rsidRPr="00732FC1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="00732FC1" w:rsidRPr="00732FC1">
        <w:rPr>
          <w:rFonts w:ascii="Times New Roman" w:hAnsi="Times New Roman"/>
          <w:sz w:val="24"/>
          <w:szCs w:val="24"/>
        </w:rPr>
        <w:t>по итогам января–</w:t>
      </w:r>
      <w:r w:rsidR="003230E6" w:rsidRPr="00732FC1">
        <w:rPr>
          <w:rFonts w:ascii="Times New Roman" w:hAnsi="Times New Roman"/>
          <w:sz w:val="24"/>
          <w:szCs w:val="24"/>
        </w:rPr>
        <w:t>августа</w:t>
      </w:r>
      <w:r w:rsidRPr="00732FC1">
        <w:rPr>
          <w:rFonts w:ascii="Times New Roman" w:hAnsi="Times New Roman"/>
          <w:sz w:val="24"/>
          <w:szCs w:val="24"/>
        </w:rPr>
        <w:t xml:space="preserve"> 2015 года наблюдается падение уровня производства на 3</w:t>
      </w:r>
      <w:r w:rsidR="003230E6" w:rsidRPr="00732FC1">
        <w:rPr>
          <w:rFonts w:ascii="Times New Roman" w:hAnsi="Times New Roman"/>
          <w:sz w:val="24"/>
          <w:szCs w:val="24"/>
        </w:rPr>
        <w:t>3</w:t>
      </w:r>
      <w:r w:rsidRPr="00732FC1">
        <w:rPr>
          <w:rFonts w:ascii="Times New Roman" w:hAnsi="Times New Roman"/>
          <w:sz w:val="24"/>
          <w:szCs w:val="24"/>
        </w:rPr>
        <w:t>,2% к базовому показателю 2014 года. Основное негативное влияние на отрицательную динамику отрасли в январе-</w:t>
      </w:r>
      <w:r w:rsidR="003230E6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2015 года оказало снижение объемов производства крупнейшего предприятия отрасли </w:t>
      </w:r>
      <w:r w:rsidR="003230E6" w:rsidRPr="00732FC1">
        <w:rPr>
          <w:rFonts w:ascii="Times New Roman" w:hAnsi="Times New Roman"/>
          <w:sz w:val="24"/>
          <w:szCs w:val="24"/>
        </w:rPr>
        <w:t xml:space="preserve">               </w:t>
      </w:r>
      <w:r w:rsidRPr="00732FC1">
        <w:rPr>
          <w:rFonts w:ascii="Times New Roman" w:hAnsi="Times New Roman"/>
          <w:sz w:val="24"/>
          <w:szCs w:val="24"/>
        </w:rPr>
        <w:t>ЗАО «Завод «</w:t>
      </w:r>
      <w:proofErr w:type="spellStart"/>
      <w:r w:rsidRPr="00732FC1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» (на </w:t>
      </w:r>
      <w:r w:rsidR="003230E6" w:rsidRPr="00732FC1">
        <w:rPr>
          <w:rFonts w:ascii="Times New Roman" w:hAnsi="Times New Roman"/>
          <w:sz w:val="24"/>
          <w:szCs w:val="24"/>
        </w:rPr>
        <w:t>34,0</w:t>
      </w:r>
      <w:r w:rsidRPr="00732FC1">
        <w:rPr>
          <w:rFonts w:ascii="Times New Roman" w:hAnsi="Times New Roman"/>
          <w:sz w:val="24"/>
          <w:szCs w:val="24"/>
        </w:rPr>
        <w:t>%), что обусловлено сложной внешнеторговой конъюнктурой (90% экспорта ориентировано на Российскую Федерацию);</w:t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 xml:space="preserve">в) предприятия </w:t>
      </w:r>
      <w:r w:rsidRPr="00732FC1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732FC1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снижение объема производства по отношению к сопо</w:t>
      </w:r>
      <w:r w:rsidR="003230E6" w:rsidRPr="00732FC1">
        <w:rPr>
          <w:rFonts w:ascii="Times New Roman" w:hAnsi="Times New Roman"/>
          <w:sz w:val="24"/>
          <w:szCs w:val="24"/>
        </w:rPr>
        <w:t>ставимому периоду прошлого года</w:t>
      </w:r>
      <w:r w:rsidRPr="00732FC1">
        <w:rPr>
          <w:rFonts w:ascii="Times New Roman" w:hAnsi="Times New Roman"/>
          <w:sz w:val="24"/>
          <w:szCs w:val="24"/>
        </w:rPr>
        <w:t xml:space="preserve"> на </w:t>
      </w:r>
      <w:r w:rsidR="003230E6" w:rsidRPr="00732FC1">
        <w:rPr>
          <w:rFonts w:ascii="Times New Roman" w:hAnsi="Times New Roman"/>
          <w:sz w:val="24"/>
          <w:szCs w:val="24"/>
        </w:rPr>
        <w:t>3,2</w:t>
      </w:r>
      <w:r w:rsidRPr="00732FC1">
        <w:rPr>
          <w:rFonts w:ascii="Times New Roman" w:hAnsi="Times New Roman"/>
          <w:sz w:val="24"/>
          <w:szCs w:val="24"/>
        </w:rPr>
        <w:t xml:space="preserve">%. Данная динамика показателя обусловлена снижением в </w:t>
      </w:r>
      <w:r w:rsidR="003230E6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2015 года объема производства на </w:t>
      </w:r>
      <w:r w:rsidR="003230E6" w:rsidRPr="00732FC1">
        <w:rPr>
          <w:rFonts w:ascii="Times New Roman" w:hAnsi="Times New Roman"/>
          <w:sz w:val="24"/>
          <w:szCs w:val="24"/>
        </w:rPr>
        <w:t>8,6</w:t>
      </w:r>
      <w:r w:rsidRPr="00732FC1">
        <w:rPr>
          <w:rFonts w:ascii="Times New Roman" w:hAnsi="Times New Roman"/>
          <w:sz w:val="24"/>
          <w:szCs w:val="24"/>
        </w:rPr>
        <w:t>% по отношению к ию</w:t>
      </w:r>
      <w:r w:rsidR="003230E6" w:rsidRPr="00732FC1">
        <w:rPr>
          <w:rFonts w:ascii="Times New Roman" w:hAnsi="Times New Roman"/>
          <w:sz w:val="24"/>
          <w:szCs w:val="24"/>
        </w:rPr>
        <w:t>л</w:t>
      </w:r>
      <w:r w:rsidRPr="00732FC1">
        <w:rPr>
          <w:rFonts w:ascii="Times New Roman" w:hAnsi="Times New Roman"/>
          <w:sz w:val="24"/>
          <w:szCs w:val="24"/>
        </w:rPr>
        <w:t>ю месяцу текущего года на фоне сокращения объема производства на ОАО «</w:t>
      </w:r>
      <w:proofErr w:type="spellStart"/>
      <w:r w:rsidRPr="00732FC1">
        <w:rPr>
          <w:rFonts w:ascii="Times New Roman" w:hAnsi="Times New Roman"/>
          <w:sz w:val="24"/>
          <w:szCs w:val="24"/>
        </w:rPr>
        <w:t>Литмаш</w:t>
      </w:r>
      <w:proofErr w:type="spellEnd"/>
      <w:r w:rsidRPr="00732FC1">
        <w:rPr>
          <w:rFonts w:ascii="Times New Roman" w:hAnsi="Times New Roman"/>
          <w:sz w:val="24"/>
          <w:szCs w:val="24"/>
        </w:rPr>
        <w:t>» («-»</w:t>
      </w:r>
      <w:r w:rsidR="003230E6" w:rsidRPr="00732FC1">
        <w:rPr>
          <w:rFonts w:ascii="Times New Roman" w:hAnsi="Times New Roman"/>
          <w:sz w:val="24"/>
          <w:szCs w:val="24"/>
        </w:rPr>
        <w:t>67,5</w:t>
      </w:r>
      <w:r w:rsidRPr="00732FC1">
        <w:rPr>
          <w:rFonts w:ascii="Times New Roman" w:hAnsi="Times New Roman"/>
          <w:sz w:val="24"/>
          <w:szCs w:val="24"/>
        </w:rPr>
        <w:t>%);</w:t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FC1">
        <w:rPr>
          <w:rFonts w:ascii="Times New Roman" w:hAnsi="Times New Roman"/>
          <w:sz w:val="24"/>
          <w:szCs w:val="24"/>
        </w:rPr>
        <w:t xml:space="preserve">г) </w:t>
      </w:r>
      <w:r w:rsidRPr="00732FC1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732FC1">
        <w:rPr>
          <w:rFonts w:ascii="Times New Roman" w:hAnsi="Times New Roman"/>
          <w:sz w:val="24"/>
          <w:szCs w:val="24"/>
        </w:rPr>
        <w:t xml:space="preserve"> по итогам января - </w:t>
      </w:r>
      <w:r w:rsidR="003230E6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2015 года, в результате снижения в </w:t>
      </w:r>
      <w:r w:rsidR="003230E6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2015 года по отношению к соответствующему периоду               2014 года объема производства на </w:t>
      </w:r>
      <w:r w:rsidR="003230E6" w:rsidRPr="00732FC1">
        <w:rPr>
          <w:rFonts w:ascii="Times New Roman" w:hAnsi="Times New Roman"/>
          <w:sz w:val="24"/>
          <w:szCs w:val="24"/>
        </w:rPr>
        <w:t>31,1</w:t>
      </w:r>
      <w:r w:rsidRPr="00732FC1">
        <w:rPr>
          <w:rFonts w:ascii="Times New Roman" w:hAnsi="Times New Roman"/>
          <w:sz w:val="24"/>
          <w:szCs w:val="24"/>
        </w:rPr>
        <w:t xml:space="preserve">%, отмечено падение отраслевого выпуска на </w:t>
      </w:r>
      <w:r w:rsidR="001B4143" w:rsidRPr="00732FC1">
        <w:rPr>
          <w:rFonts w:ascii="Times New Roman" w:hAnsi="Times New Roman"/>
          <w:sz w:val="24"/>
          <w:szCs w:val="24"/>
        </w:rPr>
        <w:t>14,2</w:t>
      </w:r>
      <w:r w:rsidRPr="00732FC1">
        <w:rPr>
          <w:rFonts w:ascii="Times New Roman" w:hAnsi="Times New Roman"/>
          <w:sz w:val="24"/>
          <w:szCs w:val="24"/>
        </w:rPr>
        <w:t>%. При этом на НП ЗАО «</w:t>
      </w:r>
      <w:proofErr w:type="spellStart"/>
      <w:r w:rsidRPr="00732FC1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» (53,6% отраслевого выпуска) в анализируемом периоде наблюдается увеличение товарного выпуска в стоимостном выражении на </w:t>
      </w:r>
      <w:r w:rsidR="001B4143" w:rsidRPr="00732FC1">
        <w:rPr>
          <w:rFonts w:ascii="Times New Roman" w:hAnsi="Times New Roman"/>
          <w:sz w:val="24"/>
          <w:szCs w:val="24"/>
        </w:rPr>
        <w:t>27,7</w:t>
      </w:r>
      <w:r w:rsidRPr="00732FC1">
        <w:rPr>
          <w:rFonts w:ascii="Times New Roman" w:hAnsi="Times New Roman"/>
          <w:sz w:val="24"/>
          <w:szCs w:val="24"/>
        </w:rPr>
        <w:t>%, а на втором ведущем предприятии</w:t>
      </w:r>
      <w:proofErr w:type="gramEnd"/>
      <w:r w:rsidRPr="00732FC1">
        <w:rPr>
          <w:rFonts w:ascii="Times New Roman" w:hAnsi="Times New Roman"/>
          <w:sz w:val="24"/>
          <w:szCs w:val="24"/>
        </w:rPr>
        <w:t xml:space="preserve"> отрасли ЗАО «</w:t>
      </w:r>
      <w:proofErr w:type="spellStart"/>
      <w:r w:rsidRPr="00732FC1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732FC1">
        <w:rPr>
          <w:rFonts w:ascii="Times New Roman" w:hAnsi="Times New Roman"/>
          <w:sz w:val="24"/>
          <w:szCs w:val="24"/>
        </w:rPr>
        <w:t>» (43,</w:t>
      </w:r>
      <w:r w:rsidR="001B4143" w:rsidRPr="00732FC1">
        <w:rPr>
          <w:rFonts w:ascii="Times New Roman" w:hAnsi="Times New Roman"/>
          <w:sz w:val="24"/>
          <w:szCs w:val="24"/>
        </w:rPr>
        <w:t>3</w:t>
      </w:r>
      <w:r w:rsidRPr="00732FC1">
        <w:rPr>
          <w:rFonts w:ascii="Times New Roman" w:hAnsi="Times New Roman"/>
          <w:sz w:val="24"/>
          <w:szCs w:val="24"/>
        </w:rPr>
        <w:t xml:space="preserve">% отраслевого выпуска) в январе – </w:t>
      </w:r>
      <w:r w:rsidR="001B4143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2015 отмечено снижение объемов производства на </w:t>
      </w:r>
      <w:r w:rsidR="001B4143" w:rsidRPr="00732FC1">
        <w:rPr>
          <w:rFonts w:ascii="Times New Roman" w:hAnsi="Times New Roman"/>
          <w:sz w:val="24"/>
          <w:szCs w:val="24"/>
        </w:rPr>
        <w:t>37,0</w:t>
      </w:r>
      <w:r w:rsidRPr="00732FC1">
        <w:rPr>
          <w:rFonts w:ascii="Times New Roman" w:hAnsi="Times New Roman"/>
          <w:sz w:val="24"/>
          <w:szCs w:val="24"/>
        </w:rPr>
        <w:t>%, что вызвано сложной внешнеторговой конъюнктурой;</w:t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FC1">
        <w:rPr>
          <w:rFonts w:ascii="Times New Roman" w:hAnsi="Times New Roman"/>
          <w:sz w:val="24"/>
          <w:szCs w:val="24"/>
        </w:rPr>
        <w:t>д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) в </w:t>
      </w:r>
      <w:r w:rsidRPr="00732FC1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732FC1">
        <w:rPr>
          <w:rFonts w:ascii="Times New Roman" w:hAnsi="Times New Roman"/>
          <w:sz w:val="24"/>
          <w:szCs w:val="24"/>
        </w:rPr>
        <w:t xml:space="preserve"> по итогам января – </w:t>
      </w:r>
      <w:r w:rsidR="001B4143" w:rsidRPr="00732FC1">
        <w:rPr>
          <w:rFonts w:ascii="Times New Roman" w:hAnsi="Times New Roman"/>
          <w:sz w:val="24"/>
          <w:szCs w:val="24"/>
        </w:rPr>
        <w:t>августа</w:t>
      </w:r>
      <w:r w:rsidRPr="00732FC1">
        <w:rPr>
          <w:rFonts w:ascii="Times New Roman" w:hAnsi="Times New Roman"/>
          <w:sz w:val="24"/>
          <w:szCs w:val="24"/>
        </w:rPr>
        <w:t xml:space="preserve">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732FC1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 цементный комбинат» на 35,</w:t>
      </w:r>
      <w:r w:rsidR="001B4143" w:rsidRPr="00732FC1">
        <w:rPr>
          <w:rFonts w:ascii="Times New Roman" w:hAnsi="Times New Roman"/>
          <w:sz w:val="24"/>
          <w:szCs w:val="24"/>
        </w:rPr>
        <w:t>5</w:t>
      </w:r>
      <w:r w:rsidRPr="00732FC1">
        <w:rPr>
          <w:rFonts w:ascii="Times New Roman" w:hAnsi="Times New Roman"/>
          <w:sz w:val="24"/>
          <w:szCs w:val="24"/>
        </w:rPr>
        <w:t xml:space="preserve">% до </w:t>
      </w:r>
      <w:r w:rsidR="001B4143" w:rsidRPr="00732FC1">
        <w:rPr>
          <w:rFonts w:ascii="Times New Roman" w:hAnsi="Times New Roman"/>
          <w:sz w:val="24"/>
          <w:szCs w:val="24"/>
        </w:rPr>
        <w:t>209,7</w:t>
      </w:r>
      <w:r w:rsidRPr="00732FC1">
        <w:rPr>
          <w:rFonts w:ascii="Times New Roman" w:hAnsi="Times New Roman"/>
          <w:sz w:val="24"/>
          <w:szCs w:val="24"/>
        </w:rPr>
        <w:t xml:space="preserve"> млн. руб.), так и по отрасли в целом (на 35,</w:t>
      </w:r>
      <w:r w:rsidR="001B4143" w:rsidRPr="00732FC1">
        <w:rPr>
          <w:rFonts w:ascii="Times New Roman" w:hAnsi="Times New Roman"/>
          <w:sz w:val="24"/>
          <w:szCs w:val="24"/>
        </w:rPr>
        <w:t>3</w:t>
      </w:r>
      <w:r w:rsidRPr="00732FC1">
        <w:rPr>
          <w:rFonts w:ascii="Times New Roman" w:hAnsi="Times New Roman"/>
          <w:sz w:val="24"/>
          <w:szCs w:val="24"/>
        </w:rPr>
        <w:t>% до 2</w:t>
      </w:r>
      <w:r w:rsidR="001B4143" w:rsidRPr="00732FC1">
        <w:rPr>
          <w:rFonts w:ascii="Times New Roman" w:hAnsi="Times New Roman"/>
          <w:sz w:val="24"/>
          <w:szCs w:val="24"/>
        </w:rPr>
        <w:t>79,6</w:t>
      </w:r>
      <w:r w:rsidRPr="00732FC1">
        <w:rPr>
          <w:rFonts w:ascii="Times New Roman" w:hAnsi="Times New Roman"/>
          <w:sz w:val="24"/>
          <w:szCs w:val="24"/>
        </w:rPr>
        <w:t xml:space="preserve"> млн. руб.). </w:t>
      </w:r>
      <w:r w:rsidR="00732FC1" w:rsidRPr="00732FC1">
        <w:rPr>
          <w:rFonts w:ascii="Times New Roman" w:hAnsi="Times New Roman"/>
          <w:sz w:val="24"/>
          <w:szCs w:val="24"/>
        </w:rPr>
        <w:t>При этом</w:t>
      </w:r>
      <w:proofErr w:type="gramStart"/>
      <w:r w:rsidR="00732FC1" w:rsidRPr="00732FC1">
        <w:rPr>
          <w:rFonts w:ascii="Times New Roman" w:hAnsi="Times New Roman"/>
          <w:sz w:val="24"/>
          <w:szCs w:val="24"/>
        </w:rPr>
        <w:t>,</w:t>
      </w:r>
      <w:proofErr w:type="gramEnd"/>
      <w:r w:rsidRPr="00732FC1">
        <w:rPr>
          <w:rFonts w:ascii="Times New Roman" w:hAnsi="Times New Roman"/>
          <w:sz w:val="24"/>
          <w:szCs w:val="24"/>
        </w:rPr>
        <w:t xml:space="preserve"> в </w:t>
      </w:r>
      <w:r w:rsidR="001B4143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по отношению к ию</w:t>
      </w:r>
      <w:r w:rsidR="001B4143" w:rsidRPr="00732FC1">
        <w:rPr>
          <w:rFonts w:ascii="Times New Roman" w:hAnsi="Times New Roman"/>
          <w:sz w:val="24"/>
          <w:szCs w:val="24"/>
        </w:rPr>
        <w:t>л</w:t>
      </w:r>
      <w:r w:rsidRPr="00732FC1">
        <w:rPr>
          <w:rFonts w:ascii="Times New Roman" w:hAnsi="Times New Roman"/>
          <w:sz w:val="24"/>
          <w:szCs w:val="24"/>
        </w:rPr>
        <w:t xml:space="preserve">ю 2015 года в условиях жесткой конкуренции на рынке строительных материалов, а также </w:t>
      </w:r>
      <w:r w:rsidRPr="00732FC1">
        <w:rPr>
          <w:rFonts w:ascii="Times New Roman" w:hAnsi="Times New Roman"/>
          <w:color w:val="262626"/>
          <w:sz w:val="24"/>
          <w:szCs w:val="24"/>
        </w:rPr>
        <w:t>импорта товаров из сопредельных государств по более низким ценам,</w:t>
      </w:r>
      <w:r w:rsidRPr="00732FC1">
        <w:rPr>
          <w:rFonts w:ascii="Times New Roman" w:hAnsi="Times New Roman"/>
          <w:sz w:val="24"/>
          <w:szCs w:val="24"/>
        </w:rPr>
        <w:t xml:space="preserve"> отрасль демонстрирует </w:t>
      </w:r>
      <w:r w:rsidR="001B4143" w:rsidRPr="00732FC1">
        <w:rPr>
          <w:rFonts w:ascii="Times New Roman" w:hAnsi="Times New Roman"/>
          <w:sz w:val="24"/>
          <w:szCs w:val="24"/>
        </w:rPr>
        <w:t>спад объема производства на 6,6</w:t>
      </w:r>
      <w:r w:rsidRPr="00732FC1">
        <w:rPr>
          <w:rFonts w:ascii="Times New Roman" w:hAnsi="Times New Roman"/>
          <w:sz w:val="24"/>
          <w:szCs w:val="24"/>
        </w:rPr>
        <w:t>%.</w:t>
      </w:r>
    </w:p>
    <w:p w:rsidR="00586C16" w:rsidRPr="00497C5F" w:rsidRDefault="00586C16" w:rsidP="00586C16">
      <w:pPr>
        <w:pStyle w:val="11"/>
        <w:ind w:firstLine="709"/>
        <w:jc w:val="both"/>
        <w:rPr>
          <w:noProof/>
        </w:rPr>
      </w:pPr>
      <w:r w:rsidRPr="00732FC1">
        <w:rPr>
          <w:rFonts w:ascii="Times New Roman" w:hAnsi="Times New Roman"/>
          <w:sz w:val="24"/>
          <w:szCs w:val="24"/>
        </w:rPr>
        <w:t xml:space="preserve">В натуральном выражении в рассматриваемом периоде в </w:t>
      </w:r>
      <w:proofErr w:type="spellStart"/>
      <w:r w:rsidRPr="00732FC1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 отмечено снижение производства товарного бетона на </w:t>
      </w:r>
      <w:r w:rsidR="001B4143" w:rsidRPr="00732FC1">
        <w:rPr>
          <w:rFonts w:ascii="Times New Roman" w:hAnsi="Times New Roman"/>
          <w:sz w:val="24"/>
          <w:szCs w:val="24"/>
        </w:rPr>
        <w:t>20,5</w:t>
      </w:r>
      <w:r w:rsidRPr="00732FC1">
        <w:rPr>
          <w:rFonts w:ascii="Times New Roman" w:hAnsi="Times New Roman"/>
          <w:sz w:val="24"/>
          <w:szCs w:val="24"/>
        </w:rPr>
        <w:t xml:space="preserve">%, клинкера на </w:t>
      </w:r>
      <w:r w:rsidR="00F335ED" w:rsidRPr="00732FC1">
        <w:rPr>
          <w:rFonts w:ascii="Times New Roman" w:hAnsi="Times New Roman"/>
          <w:sz w:val="24"/>
          <w:szCs w:val="24"/>
        </w:rPr>
        <w:t>35,4</w:t>
      </w:r>
      <w:r w:rsidRPr="00732FC1">
        <w:rPr>
          <w:rFonts w:ascii="Times New Roman" w:hAnsi="Times New Roman"/>
          <w:sz w:val="24"/>
          <w:szCs w:val="24"/>
        </w:rPr>
        <w:t>%, цемента на 3</w:t>
      </w:r>
      <w:r w:rsidR="00F335ED" w:rsidRPr="00732FC1">
        <w:rPr>
          <w:rFonts w:ascii="Times New Roman" w:hAnsi="Times New Roman"/>
          <w:sz w:val="24"/>
          <w:szCs w:val="24"/>
        </w:rPr>
        <w:t>6,0</w:t>
      </w:r>
      <w:r w:rsidRPr="00732FC1">
        <w:rPr>
          <w:rFonts w:ascii="Times New Roman" w:hAnsi="Times New Roman"/>
          <w:sz w:val="24"/>
          <w:szCs w:val="24"/>
        </w:rPr>
        <w:t>%, и.т.д.</w:t>
      </w:r>
      <w:r w:rsidRPr="00732FC1">
        <w:rPr>
          <w:noProof/>
        </w:rPr>
        <w:t>;</w:t>
      </w:r>
    </w:p>
    <w:p w:rsidR="00586C16" w:rsidRPr="00732FC1" w:rsidRDefault="00586C16" w:rsidP="00586C1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32FC1">
        <w:rPr>
          <w:noProof/>
        </w:rPr>
        <w:lastRenderedPageBreak/>
        <w:drawing>
          <wp:inline distT="0" distB="0" distL="0" distR="0">
            <wp:extent cx="6086475" cy="1724025"/>
            <wp:effectExtent l="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FC1">
        <w:rPr>
          <w:rFonts w:ascii="Times New Roman" w:hAnsi="Times New Roman"/>
          <w:sz w:val="24"/>
          <w:szCs w:val="24"/>
        </w:rPr>
        <w:t>д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) по итогам января – </w:t>
      </w:r>
      <w:r w:rsidR="00F335ED" w:rsidRPr="00732FC1">
        <w:rPr>
          <w:rFonts w:ascii="Times New Roman" w:hAnsi="Times New Roman"/>
          <w:sz w:val="24"/>
          <w:szCs w:val="24"/>
        </w:rPr>
        <w:t>август</w:t>
      </w:r>
      <w:r w:rsidR="00EA4ABF">
        <w:rPr>
          <w:rFonts w:ascii="Times New Roman" w:hAnsi="Times New Roman"/>
          <w:sz w:val="24"/>
          <w:szCs w:val="24"/>
        </w:rPr>
        <w:t>а</w:t>
      </w:r>
      <w:r w:rsidRPr="00732FC1">
        <w:rPr>
          <w:rFonts w:ascii="Times New Roman" w:hAnsi="Times New Roman"/>
          <w:sz w:val="24"/>
          <w:szCs w:val="24"/>
        </w:rPr>
        <w:t xml:space="preserve"> 2015 года на предприятиях </w:t>
      </w:r>
      <w:r w:rsidRPr="00732FC1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732FC1">
        <w:rPr>
          <w:rFonts w:ascii="Times New Roman" w:hAnsi="Times New Roman"/>
          <w:sz w:val="24"/>
          <w:szCs w:val="24"/>
        </w:rPr>
        <w:t>объем отраслевого выпуска в соп</w:t>
      </w:r>
      <w:r w:rsidR="00F335ED" w:rsidRPr="00732FC1">
        <w:rPr>
          <w:rFonts w:ascii="Times New Roman" w:hAnsi="Times New Roman"/>
          <w:sz w:val="24"/>
          <w:szCs w:val="24"/>
        </w:rPr>
        <w:t>оставимых ценах сложился на 17,6</w:t>
      </w:r>
      <w:r w:rsidRPr="00732FC1">
        <w:rPr>
          <w:rFonts w:ascii="Times New Roman" w:hAnsi="Times New Roman"/>
          <w:sz w:val="24"/>
          <w:szCs w:val="24"/>
        </w:rPr>
        <w:t>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732FC1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732FC1">
        <w:rPr>
          <w:rFonts w:ascii="Times New Roman" w:hAnsi="Times New Roman"/>
          <w:sz w:val="24"/>
          <w:szCs w:val="24"/>
        </w:rPr>
        <w:t>» (44,4% отраслевого выпуска), сократившего свой товарный выпуск за рассматриваемый период на 24,</w:t>
      </w:r>
      <w:r w:rsidR="00F335ED" w:rsidRPr="00732FC1">
        <w:rPr>
          <w:rFonts w:ascii="Times New Roman" w:hAnsi="Times New Roman"/>
          <w:sz w:val="24"/>
          <w:szCs w:val="24"/>
        </w:rPr>
        <w:t>9</w:t>
      </w:r>
      <w:r w:rsidRPr="00732FC1">
        <w:rPr>
          <w:rFonts w:ascii="Times New Roman" w:hAnsi="Times New Roman"/>
          <w:sz w:val="24"/>
          <w:szCs w:val="24"/>
        </w:rPr>
        <w:t xml:space="preserve">%. В </w:t>
      </w:r>
      <w:r w:rsidR="00F335ED" w:rsidRPr="00732FC1">
        <w:rPr>
          <w:rFonts w:ascii="Times New Roman" w:hAnsi="Times New Roman"/>
          <w:sz w:val="24"/>
          <w:szCs w:val="24"/>
        </w:rPr>
        <w:t>август</w:t>
      </w:r>
      <w:r w:rsidRPr="00732FC1">
        <w:rPr>
          <w:rFonts w:ascii="Times New Roman" w:hAnsi="Times New Roman"/>
          <w:sz w:val="24"/>
          <w:szCs w:val="24"/>
        </w:rPr>
        <w:t>е по отношению к ию</w:t>
      </w:r>
      <w:r w:rsidR="00F335ED" w:rsidRPr="00732FC1">
        <w:rPr>
          <w:rFonts w:ascii="Times New Roman" w:hAnsi="Times New Roman"/>
          <w:sz w:val="24"/>
          <w:szCs w:val="24"/>
        </w:rPr>
        <w:t>л</w:t>
      </w:r>
      <w:r w:rsidRPr="00732FC1">
        <w:rPr>
          <w:rFonts w:ascii="Times New Roman" w:hAnsi="Times New Roman"/>
          <w:sz w:val="24"/>
          <w:szCs w:val="24"/>
        </w:rPr>
        <w:t xml:space="preserve">ю 2015 года предприятия отрасли демонстрируют спад объема промышленного производства на </w:t>
      </w:r>
      <w:r w:rsidR="00F335ED" w:rsidRPr="00732FC1">
        <w:rPr>
          <w:rFonts w:ascii="Times New Roman" w:hAnsi="Times New Roman"/>
          <w:sz w:val="24"/>
          <w:szCs w:val="24"/>
        </w:rPr>
        <w:t>7,7</w:t>
      </w:r>
      <w:r w:rsidRPr="00732FC1">
        <w:rPr>
          <w:rFonts w:ascii="Times New Roman" w:hAnsi="Times New Roman"/>
          <w:sz w:val="24"/>
          <w:szCs w:val="24"/>
        </w:rPr>
        <w:t>%.</w:t>
      </w:r>
    </w:p>
    <w:p w:rsidR="00586C16" w:rsidRPr="00497C5F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732FC1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732FC1">
        <w:rPr>
          <w:rFonts w:ascii="Times New Roman" w:hAnsi="Times New Roman"/>
          <w:sz w:val="24"/>
          <w:szCs w:val="24"/>
        </w:rPr>
        <w:t xml:space="preserve"> сократился на </w:t>
      </w:r>
      <w:r w:rsidR="00F335ED" w:rsidRPr="00732FC1">
        <w:rPr>
          <w:rFonts w:ascii="Times New Roman" w:hAnsi="Times New Roman"/>
          <w:sz w:val="24"/>
          <w:szCs w:val="24"/>
        </w:rPr>
        <w:t>10,5</w:t>
      </w:r>
      <w:r w:rsidRPr="00732FC1">
        <w:rPr>
          <w:rFonts w:ascii="Times New Roman" w:hAnsi="Times New Roman"/>
          <w:sz w:val="24"/>
          <w:szCs w:val="24"/>
        </w:rPr>
        <w:t>%, что явилось результатом сложной внешнеэкономической ситуации.</w:t>
      </w:r>
    </w:p>
    <w:p w:rsidR="00586C16" w:rsidRPr="00732FC1" w:rsidRDefault="00586C16" w:rsidP="00586C1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32FC1">
        <w:rPr>
          <w:noProof/>
        </w:rPr>
        <w:drawing>
          <wp:inline distT="0" distB="0" distL="0" distR="0">
            <wp:extent cx="6175804" cy="2199503"/>
            <wp:effectExtent l="19050" t="0" r="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FC1">
        <w:rPr>
          <w:rFonts w:ascii="Times New Roman" w:hAnsi="Times New Roman"/>
          <w:sz w:val="24"/>
          <w:szCs w:val="24"/>
        </w:rPr>
        <w:t xml:space="preserve">е) в </w:t>
      </w:r>
      <w:r w:rsidRPr="00732FC1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732FC1">
        <w:rPr>
          <w:rFonts w:ascii="Times New Roman" w:hAnsi="Times New Roman"/>
          <w:snapToGrid w:val="0"/>
          <w:sz w:val="24"/>
          <w:szCs w:val="24"/>
        </w:rPr>
        <w:t>в</w:t>
      </w:r>
      <w:r w:rsidRPr="00732FC1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732FC1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732FC1">
        <w:rPr>
          <w:rFonts w:ascii="Times New Roman" w:hAnsi="Times New Roman"/>
          <w:sz w:val="24"/>
          <w:szCs w:val="24"/>
        </w:rPr>
        <w:t>уменьшение товарного выпуска в сопоставимых ценах на 2</w:t>
      </w:r>
      <w:r w:rsidR="00704D23" w:rsidRPr="00732FC1">
        <w:rPr>
          <w:rFonts w:ascii="Times New Roman" w:hAnsi="Times New Roman"/>
          <w:sz w:val="24"/>
          <w:szCs w:val="24"/>
        </w:rPr>
        <w:t>3,2</w:t>
      </w:r>
      <w:r w:rsidRPr="00732FC1">
        <w:rPr>
          <w:rFonts w:ascii="Times New Roman" w:hAnsi="Times New Roman"/>
          <w:sz w:val="24"/>
          <w:szCs w:val="24"/>
        </w:rPr>
        <w:t xml:space="preserve">%. При этом в </w:t>
      </w:r>
      <w:r w:rsidR="00704D23" w:rsidRPr="00732FC1">
        <w:rPr>
          <w:rFonts w:ascii="Times New Roman" w:hAnsi="Times New Roman"/>
          <w:sz w:val="24"/>
          <w:szCs w:val="24"/>
        </w:rPr>
        <w:t>августе</w:t>
      </w:r>
      <w:r w:rsidRPr="00732FC1">
        <w:rPr>
          <w:rFonts w:ascii="Times New Roman" w:hAnsi="Times New Roman"/>
          <w:sz w:val="24"/>
          <w:szCs w:val="24"/>
        </w:rPr>
        <w:t xml:space="preserve">               2015 года по отношению к ию</w:t>
      </w:r>
      <w:r w:rsidR="00704D23" w:rsidRPr="00732FC1">
        <w:rPr>
          <w:rFonts w:ascii="Times New Roman" w:hAnsi="Times New Roman"/>
          <w:sz w:val="24"/>
          <w:szCs w:val="24"/>
        </w:rPr>
        <w:t>л</w:t>
      </w:r>
      <w:r w:rsidRPr="00732FC1">
        <w:rPr>
          <w:rFonts w:ascii="Times New Roman" w:hAnsi="Times New Roman"/>
          <w:sz w:val="24"/>
          <w:szCs w:val="24"/>
        </w:rPr>
        <w:t xml:space="preserve">ю отмечается </w:t>
      </w:r>
      <w:r w:rsidR="00704D23" w:rsidRPr="00732FC1">
        <w:rPr>
          <w:rFonts w:ascii="Times New Roman" w:hAnsi="Times New Roman"/>
          <w:sz w:val="24"/>
          <w:szCs w:val="24"/>
        </w:rPr>
        <w:t>увеличение объема производства</w:t>
      </w:r>
      <w:r w:rsidRPr="00732FC1">
        <w:rPr>
          <w:rFonts w:ascii="Times New Roman" w:hAnsi="Times New Roman"/>
          <w:sz w:val="24"/>
          <w:szCs w:val="24"/>
        </w:rPr>
        <w:t xml:space="preserve"> на </w:t>
      </w:r>
      <w:r w:rsidR="00704D23" w:rsidRPr="00732FC1">
        <w:rPr>
          <w:rFonts w:ascii="Times New Roman" w:hAnsi="Times New Roman"/>
          <w:sz w:val="24"/>
          <w:szCs w:val="24"/>
        </w:rPr>
        <w:t>12,0</w:t>
      </w:r>
      <w:r w:rsidRPr="00732FC1">
        <w:rPr>
          <w:rFonts w:ascii="Times New Roman" w:hAnsi="Times New Roman"/>
          <w:sz w:val="24"/>
          <w:szCs w:val="24"/>
        </w:rPr>
        <w:t xml:space="preserve">%, что вызвано </w:t>
      </w:r>
      <w:r w:rsidR="00F10210" w:rsidRPr="00732FC1">
        <w:rPr>
          <w:rFonts w:ascii="Times New Roman" w:hAnsi="Times New Roman"/>
          <w:sz w:val="24"/>
          <w:szCs w:val="24"/>
        </w:rPr>
        <w:t>увеличением</w:t>
      </w:r>
      <w:r w:rsidRPr="00732FC1">
        <w:rPr>
          <w:rFonts w:ascii="Times New Roman" w:hAnsi="Times New Roman"/>
          <w:sz w:val="24"/>
          <w:szCs w:val="24"/>
        </w:rPr>
        <w:t xml:space="preserve"> объемов производства </w:t>
      </w:r>
      <w:r w:rsidR="00F10210" w:rsidRPr="00732FC1">
        <w:rPr>
          <w:rFonts w:ascii="Times New Roman" w:hAnsi="Times New Roman"/>
          <w:sz w:val="24"/>
          <w:szCs w:val="24"/>
        </w:rPr>
        <w:t>на ГУП «</w:t>
      </w:r>
      <w:proofErr w:type="spellStart"/>
      <w:r w:rsidR="00F10210" w:rsidRPr="00732FC1">
        <w:rPr>
          <w:rFonts w:ascii="Times New Roman" w:hAnsi="Times New Roman"/>
          <w:sz w:val="24"/>
          <w:szCs w:val="24"/>
        </w:rPr>
        <w:t>Биохим</w:t>
      </w:r>
      <w:proofErr w:type="spellEnd"/>
      <w:r w:rsidR="00F10210" w:rsidRPr="00732FC1">
        <w:rPr>
          <w:rFonts w:ascii="Times New Roman" w:hAnsi="Times New Roman"/>
          <w:sz w:val="24"/>
          <w:szCs w:val="24"/>
        </w:rPr>
        <w:t>» (в 4,6 раза),                   ОАО «</w:t>
      </w:r>
      <w:proofErr w:type="spellStart"/>
      <w:r w:rsidR="00F10210" w:rsidRPr="00732FC1">
        <w:rPr>
          <w:rFonts w:ascii="Times New Roman" w:hAnsi="Times New Roman"/>
          <w:sz w:val="24"/>
          <w:szCs w:val="24"/>
        </w:rPr>
        <w:t>Рыбницкий</w:t>
      </w:r>
      <w:proofErr w:type="spellEnd"/>
      <w:r w:rsidR="00F10210" w:rsidRPr="00732FC1">
        <w:rPr>
          <w:rFonts w:ascii="Times New Roman" w:hAnsi="Times New Roman"/>
          <w:sz w:val="24"/>
          <w:szCs w:val="24"/>
        </w:rPr>
        <w:t xml:space="preserve"> молочный комбинат» («+»39,4%) и ЗАО «Тираспольский мясокомбинат» («+»21,3%)</w:t>
      </w:r>
      <w:r w:rsidRPr="00732FC1">
        <w:rPr>
          <w:rFonts w:ascii="Times New Roman" w:hAnsi="Times New Roman"/>
          <w:sz w:val="24"/>
          <w:szCs w:val="24"/>
        </w:rPr>
        <w:t>.</w:t>
      </w:r>
      <w:proofErr w:type="gramEnd"/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>Снижение объемов производства было характерно для ведущего предприятия отрасли ЗАО «Тираспольский винно-коньячный завод «KVINT» на 3</w:t>
      </w:r>
      <w:r w:rsidR="00F10210" w:rsidRPr="00732FC1">
        <w:rPr>
          <w:rFonts w:ascii="Times New Roman" w:hAnsi="Times New Roman"/>
          <w:sz w:val="24"/>
          <w:szCs w:val="24"/>
        </w:rPr>
        <w:t>2,2</w:t>
      </w:r>
      <w:r w:rsidRPr="00732FC1">
        <w:rPr>
          <w:rFonts w:ascii="Times New Roman" w:hAnsi="Times New Roman"/>
          <w:sz w:val="24"/>
          <w:szCs w:val="24"/>
        </w:rPr>
        <w:t>%, что обусловлено падением объемов реализации продукции как на местном рынке, так и за его пределами;</w:t>
      </w:r>
    </w:p>
    <w:p w:rsidR="00586C16" w:rsidRPr="00732FC1" w:rsidRDefault="00586C16" w:rsidP="00586C1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 xml:space="preserve">ж) в </w:t>
      </w:r>
      <w:r w:rsidRPr="00732FC1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732FC1">
        <w:rPr>
          <w:rFonts w:ascii="Times New Roman" w:hAnsi="Times New Roman"/>
          <w:sz w:val="24"/>
          <w:szCs w:val="24"/>
        </w:rPr>
        <w:t xml:space="preserve"> по итогам января – </w:t>
      </w:r>
      <w:r w:rsidR="00F10210" w:rsidRPr="00732FC1">
        <w:rPr>
          <w:rFonts w:ascii="Times New Roman" w:hAnsi="Times New Roman"/>
          <w:sz w:val="24"/>
          <w:szCs w:val="24"/>
        </w:rPr>
        <w:t>августа</w:t>
      </w:r>
      <w:r w:rsidRPr="00732FC1">
        <w:rPr>
          <w:rFonts w:ascii="Times New Roman" w:hAnsi="Times New Roman"/>
          <w:sz w:val="24"/>
          <w:szCs w:val="24"/>
        </w:rPr>
        <w:t xml:space="preserve"> 2015 года отмечается снижение выпуска готовой продук</w:t>
      </w:r>
      <w:r w:rsidR="00F10210" w:rsidRPr="00732FC1">
        <w:rPr>
          <w:rFonts w:ascii="Times New Roman" w:hAnsi="Times New Roman"/>
          <w:sz w:val="24"/>
          <w:szCs w:val="24"/>
        </w:rPr>
        <w:t>ции в сопоставимых ценах на 17,0</w:t>
      </w:r>
      <w:r w:rsidRPr="00732FC1">
        <w:rPr>
          <w:rFonts w:ascii="Times New Roman" w:hAnsi="Times New Roman"/>
          <w:sz w:val="24"/>
          <w:szCs w:val="24"/>
        </w:rPr>
        <w:t xml:space="preserve">%, что вызвано в основном сокращением объемов производства на ЗАО «Бендерский комбинат хлебопродуктов» на </w:t>
      </w:r>
      <w:r w:rsidR="0099223A" w:rsidRPr="00732FC1">
        <w:rPr>
          <w:rFonts w:ascii="Times New Roman" w:hAnsi="Times New Roman"/>
          <w:sz w:val="24"/>
          <w:szCs w:val="24"/>
        </w:rPr>
        <w:t>28,5</w:t>
      </w:r>
      <w:r w:rsidRPr="00732FC1">
        <w:rPr>
          <w:rFonts w:ascii="Times New Roman" w:hAnsi="Times New Roman"/>
          <w:sz w:val="24"/>
          <w:szCs w:val="24"/>
        </w:rPr>
        <w:t xml:space="preserve">%, ввиду неконкурентоспособности отечественной продукции, на фоне </w:t>
      </w:r>
      <w:proofErr w:type="gramStart"/>
      <w:r w:rsidRPr="00732FC1">
        <w:rPr>
          <w:rFonts w:ascii="Times New Roman" w:hAnsi="Times New Roman"/>
          <w:sz w:val="24"/>
          <w:szCs w:val="24"/>
        </w:rPr>
        <w:t>девальвации валют основных стран партнеров предприятия</w:t>
      </w:r>
      <w:proofErr w:type="gramEnd"/>
      <w:r w:rsidRPr="00732FC1">
        <w:rPr>
          <w:rFonts w:ascii="Times New Roman" w:hAnsi="Times New Roman"/>
          <w:sz w:val="24"/>
          <w:szCs w:val="24"/>
        </w:rPr>
        <w:t>.</w:t>
      </w:r>
    </w:p>
    <w:p w:rsidR="006F15F4" w:rsidRDefault="00586C16" w:rsidP="00704D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32FC1">
        <w:rPr>
          <w:rFonts w:ascii="Times New Roman" w:hAnsi="Times New Roman"/>
          <w:sz w:val="24"/>
          <w:szCs w:val="24"/>
        </w:rPr>
        <w:t xml:space="preserve">В натуральном выражении в рассматриваемом периоде отмечено снижение объема производства муки на </w:t>
      </w:r>
      <w:r w:rsidR="0099223A" w:rsidRPr="00732FC1">
        <w:rPr>
          <w:rFonts w:ascii="Times New Roman" w:hAnsi="Times New Roman"/>
          <w:sz w:val="24"/>
          <w:szCs w:val="24"/>
        </w:rPr>
        <w:t>19,4</w:t>
      </w:r>
      <w:r w:rsidRPr="00732FC1">
        <w:rPr>
          <w:rFonts w:ascii="Times New Roman" w:hAnsi="Times New Roman"/>
          <w:sz w:val="24"/>
          <w:szCs w:val="24"/>
        </w:rPr>
        <w:t>%</w:t>
      </w:r>
      <w:r w:rsidR="0099223A" w:rsidRPr="00732FC1">
        <w:rPr>
          <w:rFonts w:ascii="Times New Roman" w:hAnsi="Times New Roman"/>
          <w:sz w:val="24"/>
          <w:szCs w:val="24"/>
        </w:rPr>
        <w:t xml:space="preserve"> и круп на 2,8%</w:t>
      </w:r>
      <w:r w:rsidRPr="00732FC1">
        <w:rPr>
          <w:rFonts w:ascii="Times New Roman" w:hAnsi="Times New Roman"/>
          <w:sz w:val="24"/>
          <w:szCs w:val="24"/>
        </w:rPr>
        <w:t>.</w:t>
      </w:r>
    </w:p>
    <w:p w:rsidR="00D834E0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34E0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34E0" w:rsidRPr="00E92CCC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92CCC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E92CCC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834E0" w:rsidRDefault="00D834E0" w:rsidP="00D834E0">
      <w:pPr>
        <w:pStyle w:val="a7"/>
      </w:pPr>
    </w:p>
    <w:p w:rsidR="00D834E0" w:rsidRPr="00E92CCC" w:rsidRDefault="00D834E0" w:rsidP="00D834E0">
      <w:pPr>
        <w:pStyle w:val="a7"/>
      </w:pPr>
      <w:r w:rsidRPr="00E92CCC">
        <w:t xml:space="preserve">Складывающаяся нестабильная ситуация в сопредельных государствах </w:t>
      </w:r>
      <w:r>
        <w:t xml:space="preserve">в совокупности со структурными проблемами в реальном секторе экономики </w:t>
      </w:r>
      <w:r w:rsidRPr="00E92CCC">
        <w:t>продолжа</w:t>
      </w:r>
      <w:r>
        <w:t xml:space="preserve">ют </w:t>
      </w:r>
      <w:r w:rsidRPr="00E92CCC">
        <w:t>оказывать негативное влияние на динамику показателей внешнеэкономической деятельности</w:t>
      </w:r>
      <w:r>
        <w:t xml:space="preserve"> хозяйствующих субъектов республики</w:t>
      </w:r>
      <w:r w:rsidRPr="00E92CCC">
        <w:t>.</w:t>
      </w:r>
    </w:p>
    <w:p w:rsidR="00D834E0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34E0" w:rsidRPr="00E92CCC" w:rsidRDefault="00D834E0" w:rsidP="00D834E0">
      <w:pPr>
        <w:pStyle w:val="2"/>
        <w:tabs>
          <w:tab w:val="left" w:pos="7920"/>
        </w:tabs>
        <w:ind w:firstLine="709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Динамика внешнеторгового оборота в январе-</w:t>
      </w:r>
      <w:r>
        <w:rPr>
          <w:b/>
          <w:sz w:val="24"/>
          <w:szCs w:val="24"/>
        </w:rPr>
        <w:t>августе</w:t>
      </w:r>
      <w:r w:rsidRPr="00E92CCC">
        <w:rPr>
          <w:b/>
          <w:sz w:val="24"/>
          <w:szCs w:val="24"/>
        </w:rPr>
        <w:t xml:space="preserve"> 2014 - 2015 г.г., </w:t>
      </w:r>
    </w:p>
    <w:p w:rsidR="00D834E0" w:rsidRPr="00E92CCC" w:rsidRDefault="00D834E0" w:rsidP="00D834E0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млн. долл. США</w:t>
      </w:r>
    </w:p>
    <w:p w:rsidR="00D834E0" w:rsidRPr="00E92CCC" w:rsidRDefault="00D834E0" w:rsidP="00D834E0">
      <w:pPr>
        <w:pStyle w:val="2"/>
        <w:tabs>
          <w:tab w:val="left" w:pos="7920"/>
        </w:tabs>
        <w:ind w:left="-567" w:firstLine="0"/>
        <w:jc w:val="center"/>
        <w:rPr>
          <w:b/>
          <w:sz w:val="24"/>
          <w:szCs w:val="24"/>
        </w:rPr>
      </w:pPr>
      <w:r w:rsidRPr="00E92CCC">
        <w:rPr>
          <w:b/>
          <w:noProof/>
          <w:sz w:val="24"/>
          <w:szCs w:val="24"/>
        </w:rPr>
        <w:drawing>
          <wp:inline distT="0" distB="0" distL="0" distR="0">
            <wp:extent cx="6284069" cy="2101174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34E0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5CB">
        <w:rPr>
          <w:rFonts w:ascii="Times New Roman" w:hAnsi="Times New Roman"/>
          <w:sz w:val="24"/>
          <w:szCs w:val="24"/>
        </w:rPr>
        <w:t xml:space="preserve">В условиях усиления </w:t>
      </w:r>
      <w:proofErr w:type="spellStart"/>
      <w:r w:rsidRPr="006F05CB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Pr="006F05CB">
        <w:rPr>
          <w:rFonts w:ascii="Times New Roman" w:hAnsi="Times New Roman"/>
          <w:sz w:val="24"/>
          <w:szCs w:val="24"/>
        </w:rPr>
        <w:t xml:space="preserve"> давления на Приднестровье со стороны сопредельных государств при осуществлении внешнеэкономической деятельности в совокупности с турбулентностью в странах еврозоны </w:t>
      </w:r>
      <w:r w:rsidRPr="00E92CCC"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</w:t>
      </w:r>
      <w:r>
        <w:rPr>
          <w:rFonts w:ascii="Times New Roman" w:hAnsi="Times New Roman"/>
          <w:sz w:val="24"/>
          <w:szCs w:val="24"/>
        </w:rPr>
        <w:t xml:space="preserve">в январе-августе 2015 года </w:t>
      </w:r>
      <w:r w:rsidRPr="00E92CCC">
        <w:rPr>
          <w:rFonts w:ascii="Times New Roman" w:hAnsi="Times New Roman"/>
          <w:sz w:val="24"/>
          <w:szCs w:val="24"/>
        </w:rPr>
        <w:t>по отношению к базовому показателю 2014 года снизился на 23,</w:t>
      </w:r>
      <w:r>
        <w:rPr>
          <w:rFonts w:ascii="Times New Roman" w:hAnsi="Times New Roman"/>
          <w:sz w:val="24"/>
          <w:szCs w:val="24"/>
        </w:rPr>
        <w:t>6</w:t>
      </w:r>
      <w:r w:rsidRPr="00E92CCC">
        <w:rPr>
          <w:rFonts w:ascii="Times New Roman" w:hAnsi="Times New Roman"/>
          <w:sz w:val="24"/>
          <w:szCs w:val="24"/>
        </w:rPr>
        <w:t xml:space="preserve">%, при этом объем экспортных и импортных поставок сократился на </w:t>
      </w:r>
      <w:r>
        <w:rPr>
          <w:rFonts w:ascii="Times New Roman" w:hAnsi="Times New Roman"/>
          <w:sz w:val="24"/>
          <w:szCs w:val="24"/>
        </w:rPr>
        <w:t>18,4</w:t>
      </w:r>
      <w:r w:rsidRPr="00E92CCC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26,0%</w:t>
      </w:r>
      <w:r w:rsidRPr="00E92CCC">
        <w:rPr>
          <w:rFonts w:ascii="Times New Roman" w:hAnsi="Times New Roman"/>
          <w:sz w:val="24"/>
          <w:szCs w:val="24"/>
        </w:rPr>
        <w:t xml:space="preserve"> соответственно. </w:t>
      </w:r>
      <w:proofErr w:type="gramEnd"/>
    </w:p>
    <w:p w:rsidR="00D834E0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CCC">
        <w:rPr>
          <w:rFonts w:ascii="Times New Roman" w:hAnsi="Times New Roman"/>
          <w:sz w:val="24"/>
          <w:szCs w:val="24"/>
        </w:rPr>
        <w:t xml:space="preserve">Сравнивая показатели за </w:t>
      </w:r>
      <w:r>
        <w:rPr>
          <w:rFonts w:ascii="Times New Roman" w:hAnsi="Times New Roman"/>
          <w:sz w:val="24"/>
          <w:szCs w:val="24"/>
        </w:rPr>
        <w:t>август</w:t>
      </w:r>
      <w:r w:rsidRPr="00E92CCC">
        <w:rPr>
          <w:rFonts w:ascii="Times New Roman" w:hAnsi="Times New Roman"/>
          <w:sz w:val="24"/>
          <w:szCs w:val="24"/>
        </w:rPr>
        <w:t xml:space="preserve"> текущего года с уровнем ию</w:t>
      </w:r>
      <w:r>
        <w:rPr>
          <w:rFonts w:ascii="Times New Roman" w:hAnsi="Times New Roman"/>
          <w:sz w:val="24"/>
          <w:szCs w:val="24"/>
        </w:rPr>
        <w:t>л</w:t>
      </w:r>
      <w:r w:rsidRPr="00E92CCC">
        <w:rPr>
          <w:rFonts w:ascii="Times New Roman" w:hAnsi="Times New Roman"/>
          <w:sz w:val="24"/>
          <w:szCs w:val="24"/>
        </w:rPr>
        <w:t xml:space="preserve">я, необходимо отметить </w:t>
      </w:r>
      <w:r>
        <w:rPr>
          <w:rFonts w:ascii="Times New Roman" w:hAnsi="Times New Roman"/>
          <w:sz w:val="24"/>
          <w:szCs w:val="24"/>
        </w:rPr>
        <w:t>падение</w:t>
      </w:r>
      <w:r w:rsidRPr="00E92CC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15,6</w:t>
      </w:r>
      <w:r w:rsidRPr="00E92CCC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7,1</w:t>
      </w:r>
      <w:r w:rsidRPr="00E92CCC">
        <w:rPr>
          <w:rFonts w:ascii="Times New Roman" w:hAnsi="Times New Roman"/>
          <w:sz w:val="24"/>
          <w:szCs w:val="24"/>
        </w:rPr>
        <w:t>% соответственно объемов экспорта и импорта</w:t>
      </w:r>
      <w:r>
        <w:rPr>
          <w:rFonts w:ascii="Times New Roman" w:hAnsi="Times New Roman"/>
          <w:sz w:val="24"/>
          <w:szCs w:val="24"/>
        </w:rPr>
        <w:t>.</w:t>
      </w:r>
      <w:r w:rsidRPr="00E92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92CCC">
        <w:rPr>
          <w:rFonts w:ascii="Times New Roman" w:hAnsi="Times New Roman"/>
          <w:sz w:val="24"/>
          <w:szCs w:val="24"/>
        </w:rPr>
        <w:t xml:space="preserve">овокупный внешнеторговый оборот хозяйствующих субъектов </w:t>
      </w:r>
      <w:r>
        <w:rPr>
          <w:rFonts w:ascii="Times New Roman" w:hAnsi="Times New Roman"/>
          <w:sz w:val="24"/>
          <w:szCs w:val="24"/>
        </w:rPr>
        <w:t>в августе 2015 года к июлю сократился</w:t>
      </w:r>
      <w:r w:rsidRPr="00E92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10,4%. </w:t>
      </w:r>
    </w:p>
    <w:p w:rsidR="00D834E0" w:rsidRPr="00E92CCC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E92CCC">
        <w:rPr>
          <w:rFonts w:ascii="Times New Roman" w:hAnsi="Times New Roman"/>
          <w:sz w:val="24"/>
          <w:szCs w:val="24"/>
        </w:rPr>
        <w:t xml:space="preserve">кспортные торговые потоки в </w:t>
      </w:r>
      <w:r>
        <w:rPr>
          <w:rFonts w:ascii="Times New Roman" w:hAnsi="Times New Roman"/>
          <w:sz w:val="24"/>
          <w:szCs w:val="24"/>
        </w:rPr>
        <w:t>августе</w:t>
      </w:r>
      <w:r w:rsidRPr="00E92CCC">
        <w:rPr>
          <w:rFonts w:ascii="Times New Roman" w:hAnsi="Times New Roman"/>
          <w:sz w:val="24"/>
          <w:szCs w:val="24"/>
        </w:rPr>
        <w:t xml:space="preserve"> 2015 года на </w:t>
      </w:r>
      <w:r>
        <w:rPr>
          <w:rFonts w:ascii="Times New Roman" w:hAnsi="Times New Roman"/>
          <w:sz w:val="24"/>
          <w:szCs w:val="24"/>
        </w:rPr>
        <w:t>2</w:t>
      </w:r>
      <w:r w:rsidRPr="00E92CCC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9</w:t>
      </w:r>
      <w:r w:rsidRPr="00E92CCC">
        <w:rPr>
          <w:rFonts w:ascii="Times New Roman" w:hAnsi="Times New Roman"/>
          <w:sz w:val="24"/>
          <w:szCs w:val="24"/>
        </w:rPr>
        <w:t xml:space="preserve">% сложились ниже базовых показателей </w:t>
      </w:r>
      <w:r>
        <w:rPr>
          <w:rFonts w:ascii="Times New Roman" w:hAnsi="Times New Roman"/>
          <w:sz w:val="24"/>
          <w:szCs w:val="24"/>
        </w:rPr>
        <w:t>августа</w:t>
      </w:r>
      <w:r w:rsidRPr="00E92CCC">
        <w:rPr>
          <w:rFonts w:ascii="Times New Roman" w:hAnsi="Times New Roman"/>
          <w:sz w:val="24"/>
          <w:szCs w:val="24"/>
        </w:rPr>
        <w:t xml:space="preserve"> месяца 2014 года, импортные – на </w:t>
      </w:r>
      <w:r>
        <w:rPr>
          <w:rFonts w:ascii="Times New Roman" w:hAnsi="Times New Roman"/>
          <w:sz w:val="24"/>
          <w:szCs w:val="24"/>
        </w:rPr>
        <w:t>27,4</w:t>
      </w:r>
      <w:r w:rsidRPr="00E92CCC">
        <w:rPr>
          <w:rFonts w:ascii="Times New Roman" w:hAnsi="Times New Roman"/>
          <w:sz w:val="24"/>
          <w:szCs w:val="24"/>
        </w:rPr>
        <w:t xml:space="preserve">% соответственно. Совокупный внешнеторговый оборот в </w:t>
      </w:r>
      <w:r>
        <w:rPr>
          <w:rFonts w:ascii="Times New Roman" w:hAnsi="Times New Roman"/>
          <w:sz w:val="24"/>
          <w:szCs w:val="24"/>
        </w:rPr>
        <w:t>августе</w:t>
      </w:r>
      <w:r w:rsidRPr="00E92CCC">
        <w:rPr>
          <w:rFonts w:ascii="Times New Roman" w:hAnsi="Times New Roman"/>
          <w:sz w:val="24"/>
          <w:szCs w:val="24"/>
        </w:rPr>
        <w:t xml:space="preserve"> текущего года на </w:t>
      </w:r>
      <w:r>
        <w:rPr>
          <w:rFonts w:ascii="Times New Roman" w:hAnsi="Times New Roman"/>
          <w:sz w:val="24"/>
          <w:szCs w:val="24"/>
        </w:rPr>
        <w:t>25,8</w:t>
      </w:r>
      <w:r w:rsidRPr="00E92CCC">
        <w:rPr>
          <w:rFonts w:ascii="Times New Roman" w:hAnsi="Times New Roman"/>
          <w:sz w:val="24"/>
          <w:szCs w:val="24"/>
        </w:rPr>
        <w:t>% не достиг соответствующего показателя минувшего года.</w:t>
      </w:r>
    </w:p>
    <w:p w:rsidR="00D834E0" w:rsidRPr="00E92CCC" w:rsidRDefault="00D834E0" w:rsidP="00D834E0">
      <w:pPr>
        <w:pStyle w:val="a7"/>
      </w:pPr>
      <w:r w:rsidRPr="0039798A">
        <w:t xml:space="preserve">Товарная структура экспорта в </w:t>
      </w:r>
      <w:r>
        <w:t>рассматриваемом периоде</w:t>
      </w:r>
      <w:r w:rsidRPr="0039798A">
        <w:t xml:space="preserve"> на фоне неблагоприятной ценовой конъюнктуры на мировых рынках и недостаточном уровне спроса на отечественную продукцию характеризовалась следующим образом:</w:t>
      </w:r>
    </w:p>
    <w:p w:rsidR="00D834E0" w:rsidRPr="00E92CCC" w:rsidRDefault="00D834E0" w:rsidP="00D834E0">
      <w:pPr>
        <w:pStyle w:val="a7"/>
        <w:jc w:val="center"/>
        <w:rPr>
          <w:b/>
        </w:rPr>
      </w:pPr>
      <w:r w:rsidRPr="00E92CCC">
        <w:rPr>
          <w:b/>
        </w:rPr>
        <w:t>Товарная структура экспорта, млн. долл. США</w:t>
      </w:r>
    </w:p>
    <w:p w:rsidR="00D834E0" w:rsidRPr="00E92CCC" w:rsidRDefault="00D834E0" w:rsidP="00D834E0">
      <w:pPr>
        <w:pStyle w:val="a7"/>
        <w:ind w:firstLine="0"/>
        <w:rPr>
          <w:b/>
          <w:noProof/>
        </w:rPr>
      </w:pPr>
      <w:r w:rsidRPr="00E92CCC">
        <w:rPr>
          <w:b/>
          <w:noProof/>
          <w:lang w:eastAsia="ru-RU"/>
        </w:rPr>
        <w:drawing>
          <wp:inline distT="0" distB="0" distL="0" distR="0">
            <wp:extent cx="6040877" cy="2120630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34E0" w:rsidRPr="00E92CCC" w:rsidRDefault="00D834E0" w:rsidP="00D834E0">
      <w:pPr>
        <w:pStyle w:val="a7"/>
      </w:pPr>
      <w:r w:rsidRPr="00E92CCC">
        <w:lastRenderedPageBreak/>
        <w:t>В товарной структуре экспорта в обозначенном периоде лидирующую позицию при увеличении объема поставок на 3</w:t>
      </w:r>
      <w:r>
        <w:t>4</w:t>
      </w:r>
      <w:r w:rsidRPr="00E92CCC">
        <w:t>,</w:t>
      </w:r>
      <w:r>
        <w:t>0</w:t>
      </w:r>
      <w:r w:rsidRPr="00E92CCC">
        <w:t>% сохраняют топливно-энергетические товары, их доля составила 3</w:t>
      </w:r>
      <w:r>
        <w:t>6</w:t>
      </w:r>
      <w:r w:rsidRPr="00E92CCC">
        <w:t>,</w:t>
      </w:r>
      <w:r>
        <w:t>4</w:t>
      </w:r>
      <w:r w:rsidRPr="00E92CCC">
        <w:t xml:space="preserve">% от совокупного объема экспорта, расширившись на </w:t>
      </w:r>
      <w:r>
        <w:t>14,2</w:t>
      </w:r>
      <w:r w:rsidRPr="00E92CCC">
        <w:t xml:space="preserve"> процентных пункта.</w:t>
      </w:r>
    </w:p>
    <w:p w:rsidR="00D834E0" w:rsidRPr="00E92CCC" w:rsidRDefault="00D834E0" w:rsidP="00D834E0">
      <w:pPr>
        <w:pStyle w:val="a7"/>
      </w:pPr>
      <w:r w:rsidRPr="00E92CCC">
        <w:t>Втор</w:t>
      </w:r>
      <w:r>
        <w:t>ой компонентой</w:t>
      </w:r>
      <w:r w:rsidRPr="00E92CCC">
        <w:t xml:space="preserve"> по величине долевого участия в формировании совокупного объема экспорта в январе-</w:t>
      </w:r>
      <w:r>
        <w:t xml:space="preserve">августе </w:t>
      </w:r>
      <w:r w:rsidRPr="00E92CCC">
        <w:t xml:space="preserve">текущего года выступили металлы и изделия из них, удельный вес которых сузился до </w:t>
      </w:r>
      <w:r>
        <w:t>23,6</w:t>
      </w:r>
      <w:r w:rsidRPr="00E92CCC">
        <w:t>% против 34,</w:t>
      </w:r>
      <w:r>
        <w:t>0</w:t>
      </w:r>
      <w:r w:rsidRPr="00E92CCC">
        <w:t>% в аналогичном периоде минувшего года, при этом в денежном выражении их объем сократился на 44,</w:t>
      </w:r>
      <w:r>
        <w:t>7</w:t>
      </w:r>
      <w:r w:rsidRPr="00E92CCC">
        <w:t>%.</w:t>
      </w:r>
    </w:p>
    <w:p w:rsidR="00D834E0" w:rsidRPr="00E92CCC" w:rsidRDefault="00D834E0" w:rsidP="00D834E0">
      <w:pPr>
        <w:pStyle w:val="a7"/>
      </w:pPr>
      <w:r w:rsidRPr="00E92CCC">
        <w:t xml:space="preserve">Вклад товаров легкой промышленности, на фоне сокращения их объемов на </w:t>
      </w:r>
      <w:r>
        <w:t>26,7</w:t>
      </w:r>
      <w:r w:rsidRPr="00E92CCC">
        <w:t xml:space="preserve">%, сложился на уровне </w:t>
      </w:r>
      <w:r>
        <w:t>16,9</w:t>
      </w:r>
      <w:r w:rsidRPr="00E92CCC">
        <w:t>% от совокупного экспорта, сократив долевое участие на 1,</w:t>
      </w:r>
      <w:r>
        <w:t>9</w:t>
      </w:r>
      <w:r w:rsidRPr="00E92CCC">
        <w:t xml:space="preserve"> процентных пункта.</w:t>
      </w:r>
    </w:p>
    <w:p w:rsidR="00D834E0" w:rsidRPr="00E92CCC" w:rsidRDefault="00D834E0" w:rsidP="00D834E0">
      <w:pPr>
        <w:pStyle w:val="a7"/>
      </w:pPr>
      <w:r w:rsidRPr="00E92CCC">
        <w:t xml:space="preserve">Экспорт продовольствия в рассматриваемом периоде сократился на </w:t>
      </w:r>
      <w:r>
        <w:t>18,6</w:t>
      </w:r>
      <w:r w:rsidRPr="00E92CCC">
        <w:t xml:space="preserve">%, </w:t>
      </w:r>
      <w:r>
        <w:t xml:space="preserve">при этом вклад данной товарной группы в </w:t>
      </w:r>
      <w:r w:rsidRPr="00E92CCC">
        <w:t>структуре</w:t>
      </w:r>
      <w:r>
        <w:t xml:space="preserve"> экспортных поставок сложился практически на уровне показателя </w:t>
      </w:r>
      <w:r w:rsidRPr="00E92CCC">
        <w:t>минувшего года</w:t>
      </w:r>
      <w:r>
        <w:t xml:space="preserve"> (12,7%), </w:t>
      </w:r>
      <w:r w:rsidRPr="00E92CCC">
        <w:t>состави</w:t>
      </w:r>
      <w:r>
        <w:t>в</w:t>
      </w:r>
      <w:r w:rsidRPr="00E92CCC">
        <w:t xml:space="preserve"> 12,8%.</w:t>
      </w:r>
    </w:p>
    <w:p w:rsidR="00D834E0" w:rsidRDefault="00D834E0" w:rsidP="00D834E0">
      <w:pPr>
        <w:ind w:left="-426"/>
      </w:pPr>
      <w:r w:rsidRPr="00C90585">
        <w:rPr>
          <w:noProof/>
        </w:rPr>
        <w:drawing>
          <wp:inline distT="0" distB="0" distL="0" distR="0">
            <wp:extent cx="6153150" cy="3533775"/>
            <wp:effectExtent l="0" t="0" r="0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34E0" w:rsidRDefault="00D834E0" w:rsidP="00D834E0">
      <w:pPr>
        <w:pStyle w:val="a7"/>
        <w:ind w:firstLine="708"/>
      </w:pPr>
      <w:proofErr w:type="gramStart"/>
      <w:r w:rsidRPr="00D02478">
        <w:t>Основными торговыми партнерами Приднестровья по экспортным поставкам в  январе-августе 2015 года были Республика Молдова (48,3% совокупного экспорта, «+»4,</w:t>
      </w:r>
      <w:r>
        <w:t>5</w:t>
      </w:r>
      <w:r w:rsidRPr="00D02478">
        <w:t>% к уровню января-августа 2014 года), Румыния (16,5%, «+»</w:t>
      </w:r>
      <w:r>
        <w:t>16,0</w:t>
      </w:r>
      <w:r w:rsidRPr="00D02478">
        <w:t>% к уровню января-августа 2014 года), Российская Федерация (7,8%, «-»59,2% к уровню января-августа2014 года), Украина (7,6%, «+»9,2% к уровню января-августа 2014 года), Италия (6,9%, «-»25,1% к уровню января- августа 2014 года), Германия (4,9%, «-»6,</w:t>
      </w:r>
      <w:r>
        <w:t>0</w:t>
      </w:r>
      <w:r w:rsidRPr="00D02478">
        <w:t>% к</w:t>
      </w:r>
      <w:proofErr w:type="gramEnd"/>
      <w:r w:rsidRPr="00D02478">
        <w:t xml:space="preserve"> уровню января- августа 2014 года).</w:t>
      </w:r>
    </w:p>
    <w:p w:rsidR="00D834E0" w:rsidRPr="00B67F5D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5D">
        <w:rPr>
          <w:rFonts w:ascii="Times New Roman" w:hAnsi="Times New Roman"/>
          <w:sz w:val="24"/>
          <w:szCs w:val="24"/>
        </w:rPr>
        <w:t xml:space="preserve">Динамика структурных составляющих импорта товаров в республику в                   январе-августе 2015 года обуславливалась </w:t>
      </w:r>
      <w:proofErr w:type="spellStart"/>
      <w:r w:rsidRPr="00B67F5D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B67F5D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D834E0" w:rsidRPr="00B67F5D" w:rsidRDefault="00D834E0" w:rsidP="00D834E0">
      <w:pPr>
        <w:pStyle w:val="a7"/>
      </w:pPr>
      <w:r w:rsidRPr="00B67F5D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53,4% против 45,3% в январе – </w:t>
      </w:r>
      <w:r>
        <w:t>августе</w:t>
      </w:r>
      <w:r w:rsidRPr="00B67F5D">
        <w:t xml:space="preserve"> 2014 года, в абсолютной величине их объем снизился на 12,7%. </w:t>
      </w:r>
    </w:p>
    <w:p w:rsidR="00D834E0" w:rsidRDefault="00D834E0" w:rsidP="00D834E0">
      <w:pPr>
        <w:pStyle w:val="a7"/>
      </w:pPr>
      <w:proofErr w:type="gramStart"/>
      <w:r w:rsidRPr="00B67F5D">
        <w:t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</w:t>
      </w:r>
      <w:r>
        <w:t>августа</w:t>
      </w:r>
      <w:r w:rsidRPr="00B67F5D">
        <w:t xml:space="preserve"> сократился на 19,6% от фактического базового </w:t>
      </w:r>
      <w:r w:rsidRPr="00B67F5D">
        <w:lastRenderedPageBreak/>
        <w:t>показателя, но на фоне более активного сокращения других составляющих импорта  долевое представительство в товарной структуре расширилось до 12,4% против 11,5% в базовом периоде 2014 года.</w:t>
      </w:r>
      <w:proofErr w:type="gramEnd"/>
    </w:p>
    <w:p w:rsidR="00D834E0" w:rsidRPr="00782FAC" w:rsidRDefault="00D834E0" w:rsidP="00D834E0">
      <w:pPr>
        <w:pStyle w:val="a7"/>
      </w:pPr>
      <w:r w:rsidRPr="00782FAC">
        <w:t>В январе-августе 2015 года на продовольственные товары (сырье) приходилось 7,6% импортных поставок в общем объеме импорта против 10,0% в базовом периоде минувшего года, при этом в денежном эквиваленте ввоз данных товаров сократился на 43,5%.</w:t>
      </w:r>
    </w:p>
    <w:p w:rsidR="00D834E0" w:rsidRPr="00E92CCC" w:rsidRDefault="00D834E0" w:rsidP="00D834E0">
      <w:pPr>
        <w:pStyle w:val="a7"/>
      </w:pPr>
      <w:r w:rsidRPr="00782FAC">
        <w:t xml:space="preserve">Поставки машиностроительной продукции в январе-августе 2015 года сократились на 34,9%, обеспечив в товарной структуре импорта 9,5% общих поставок, против 10,8% в аналогичном периоде минувшего года. </w:t>
      </w:r>
    </w:p>
    <w:p w:rsidR="00D834E0" w:rsidRPr="005E3A13" w:rsidRDefault="00D834E0" w:rsidP="00D834E0">
      <w:pPr>
        <w:pStyle w:val="a7"/>
      </w:pPr>
      <w:r w:rsidRPr="005E3A13">
        <w:t xml:space="preserve">На фоне сокращения в январе-августе 2015 года объема импортных поставок товаров легкой промышленности на 26,7% их долевое представительство в товарной структуре осталось на уровне сопоставимого периода 2014 года, обеспечив 3,7% всех ввезенных товаров. </w:t>
      </w:r>
    </w:p>
    <w:p w:rsidR="00D834E0" w:rsidRDefault="00D834E0" w:rsidP="00D834E0">
      <w:r w:rsidRPr="00D02478">
        <w:rPr>
          <w:noProof/>
        </w:rPr>
        <w:drawing>
          <wp:inline distT="0" distB="0" distL="0" distR="0">
            <wp:extent cx="5943600" cy="2162175"/>
            <wp:effectExtent l="0" t="0" r="0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34E0" w:rsidRPr="00E92CCC" w:rsidRDefault="00D834E0" w:rsidP="00D834E0">
      <w:pPr>
        <w:pStyle w:val="a7"/>
      </w:pPr>
      <w:r w:rsidRPr="00E92CCC">
        <w:rPr>
          <w:color w:val="000000"/>
        </w:rPr>
        <w:t xml:space="preserve">Главными представителями </w:t>
      </w:r>
      <w:r>
        <w:rPr>
          <w:color w:val="000000"/>
        </w:rPr>
        <w:t xml:space="preserve">по </w:t>
      </w:r>
      <w:r w:rsidRPr="00E92CCC">
        <w:rPr>
          <w:color w:val="000000"/>
        </w:rPr>
        <w:t>импортны</w:t>
      </w:r>
      <w:r>
        <w:rPr>
          <w:color w:val="000000"/>
        </w:rPr>
        <w:t>м</w:t>
      </w:r>
      <w:r w:rsidRPr="00E92CCC">
        <w:rPr>
          <w:color w:val="000000"/>
        </w:rPr>
        <w:t xml:space="preserve"> </w:t>
      </w:r>
      <w:r>
        <w:rPr>
          <w:color w:val="000000"/>
        </w:rPr>
        <w:t>поставкам</w:t>
      </w:r>
      <w:r w:rsidRPr="00E92CCC">
        <w:rPr>
          <w:color w:val="000000"/>
        </w:rPr>
        <w:t xml:space="preserve"> в обозначенном периоде выступали контрагенты </w:t>
      </w:r>
      <w:r w:rsidRPr="00E92CCC">
        <w:t>Российской Федерации (5</w:t>
      </w:r>
      <w:r>
        <w:t>4</w:t>
      </w:r>
      <w:r w:rsidRPr="00E92CCC">
        <w:t>,</w:t>
      </w:r>
      <w:r>
        <w:t>2</w:t>
      </w:r>
      <w:r w:rsidRPr="00E92CCC">
        <w:t>% совокупного импорта, «-»</w:t>
      </w:r>
      <w:r>
        <w:t>12,4</w:t>
      </w:r>
      <w:r w:rsidRPr="00E92CCC">
        <w:t>% к уровню базового показателя 2014 года), Украины (13,</w:t>
      </w:r>
      <w:r>
        <w:t>5</w:t>
      </w:r>
      <w:r w:rsidRPr="00E92CCC">
        <w:t>%, «-»</w:t>
      </w:r>
      <w:r>
        <w:t>24,1</w:t>
      </w:r>
      <w:r w:rsidRPr="00E92CCC">
        <w:t>%), Республики Молдова (7,</w:t>
      </w:r>
      <w:r>
        <w:t>0</w:t>
      </w:r>
      <w:r w:rsidRPr="00E92CCC">
        <w:t>%, «-»</w:t>
      </w:r>
      <w:r>
        <w:t>27,6</w:t>
      </w:r>
      <w:r w:rsidRPr="00E92CCC">
        <w:t>%), Республики Беларусь (4,4%, «-»</w:t>
      </w:r>
      <w:r>
        <w:t>62,5</w:t>
      </w:r>
      <w:r w:rsidRPr="00E92CCC">
        <w:t>%), Германии (</w:t>
      </w:r>
      <w:r>
        <w:t>3,8</w:t>
      </w:r>
      <w:r w:rsidRPr="00E92CCC">
        <w:t>%, «-»</w:t>
      </w:r>
      <w:r>
        <w:t>45,6</w:t>
      </w:r>
      <w:r w:rsidRPr="00E92CCC">
        <w:t>%), Италия (2,</w:t>
      </w:r>
      <w:r>
        <w:t>1</w:t>
      </w:r>
      <w:r w:rsidRPr="00E92CCC">
        <w:t>%, «-»</w:t>
      </w:r>
      <w:r>
        <w:t>54,1</w:t>
      </w:r>
      <w:r w:rsidRPr="00E92CCC">
        <w:t>%), Польша (1,5%, «-»</w:t>
      </w:r>
      <w:r>
        <w:t>43,9</w:t>
      </w:r>
      <w:r w:rsidRPr="00E92CCC">
        <w:t>%).</w:t>
      </w:r>
    </w:p>
    <w:p w:rsidR="00D834E0" w:rsidRPr="00DE07F2" w:rsidRDefault="00D834E0" w:rsidP="00D834E0">
      <w:pPr>
        <w:pStyle w:val="a7"/>
        <w:ind w:left="-851" w:firstLine="0"/>
      </w:pPr>
    </w:p>
    <w:p w:rsidR="00D834E0" w:rsidRPr="00A8429B" w:rsidRDefault="00D834E0" w:rsidP="00D834E0">
      <w:pPr>
        <w:ind w:left="-426"/>
      </w:pPr>
      <w:r w:rsidRPr="00594012">
        <w:rPr>
          <w:noProof/>
        </w:rPr>
        <w:drawing>
          <wp:inline distT="0" distB="0" distL="0" distR="0">
            <wp:extent cx="6210300" cy="3324225"/>
            <wp:effectExtent l="0" t="0" r="0" b="0"/>
            <wp:docPr id="1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34E0" w:rsidRPr="00DE07F2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lastRenderedPageBreak/>
        <w:t>Инфляционные процессы</w:t>
      </w:r>
    </w:p>
    <w:p w:rsidR="00D834E0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4E0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78D">
        <w:rPr>
          <w:rFonts w:ascii="Times New Roman" w:hAnsi="Times New Roman"/>
          <w:sz w:val="24"/>
          <w:szCs w:val="24"/>
        </w:rPr>
        <w:t xml:space="preserve">На потребительском рынке республики </w:t>
      </w:r>
      <w:r>
        <w:rPr>
          <w:rFonts w:ascii="Times New Roman" w:hAnsi="Times New Roman"/>
          <w:sz w:val="24"/>
          <w:szCs w:val="24"/>
        </w:rPr>
        <w:t xml:space="preserve">в январе-августе текущего года </w:t>
      </w:r>
      <w:r w:rsidRPr="00A0578D">
        <w:rPr>
          <w:rFonts w:ascii="Times New Roman" w:hAnsi="Times New Roman"/>
          <w:sz w:val="24"/>
          <w:szCs w:val="24"/>
        </w:rPr>
        <w:t xml:space="preserve">фиксируется последовательное замедление инфляционных процессов. В </w:t>
      </w:r>
      <w:r>
        <w:rPr>
          <w:rFonts w:ascii="Times New Roman" w:hAnsi="Times New Roman"/>
          <w:sz w:val="24"/>
          <w:szCs w:val="24"/>
        </w:rPr>
        <w:t xml:space="preserve">августе </w:t>
      </w:r>
      <w:r w:rsidRPr="00A0578D">
        <w:rPr>
          <w:rFonts w:ascii="Times New Roman" w:hAnsi="Times New Roman"/>
          <w:sz w:val="24"/>
          <w:szCs w:val="24"/>
        </w:rPr>
        <w:t>данная тенденция сохранилась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0C28">
        <w:rPr>
          <w:rStyle w:val="ad"/>
          <w:sz w:val="24"/>
          <w:szCs w:val="24"/>
        </w:rPr>
        <w:t xml:space="preserve">В целом сводный индекс потребительских цен (инфляция) </w:t>
      </w:r>
      <w:r w:rsidRPr="00DD0C28">
        <w:rPr>
          <w:rFonts w:ascii="Times New Roman" w:hAnsi="Times New Roman"/>
          <w:sz w:val="24"/>
          <w:szCs w:val="24"/>
        </w:rPr>
        <w:t>по итогам января-</w:t>
      </w:r>
      <w:r>
        <w:rPr>
          <w:rFonts w:ascii="Times New Roman" w:hAnsi="Times New Roman"/>
          <w:sz w:val="24"/>
          <w:szCs w:val="24"/>
        </w:rPr>
        <w:t>августа</w:t>
      </w:r>
      <w:r w:rsidRPr="00DD0C28">
        <w:rPr>
          <w:rFonts w:ascii="Times New Roman" w:hAnsi="Times New Roman"/>
          <w:sz w:val="24"/>
          <w:szCs w:val="24"/>
        </w:rPr>
        <w:t xml:space="preserve"> 2015 года сложился на уровне 9</w:t>
      </w:r>
      <w:r>
        <w:rPr>
          <w:rFonts w:ascii="Times New Roman" w:hAnsi="Times New Roman"/>
          <w:sz w:val="24"/>
          <w:szCs w:val="24"/>
        </w:rPr>
        <w:t>7</w:t>
      </w:r>
      <w:r w:rsidRPr="00DD0C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65</w:t>
      </w:r>
      <w:r w:rsidRPr="00DD0C2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</w:t>
      </w:r>
      <w:r w:rsidRPr="00DD0C28">
        <w:rPr>
          <w:rFonts w:ascii="Times New Roman" w:hAnsi="Times New Roman"/>
          <w:sz w:val="24"/>
          <w:szCs w:val="24"/>
        </w:rPr>
        <w:t>100,</w:t>
      </w:r>
      <w:r>
        <w:rPr>
          <w:rFonts w:ascii="Times New Roman" w:hAnsi="Times New Roman"/>
          <w:sz w:val="24"/>
          <w:szCs w:val="24"/>
        </w:rPr>
        <w:t>62</w:t>
      </w:r>
      <w:r w:rsidRPr="00DD0C28">
        <w:rPr>
          <w:rFonts w:ascii="Times New Roman" w:hAnsi="Times New Roman"/>
          <w:sz w:val="24"/>
          <w:szCs w:val="24"/>
        </w:rPr>
        <w:t>% в январе-</w:t>
      </w:r>
      <w:r>
        <w:rPr>
          <w:rFonts w:ascii="Times New Roman" w:hAnsi="Times New Roman"/>
          <w:sz w:val="24"/>
          <w:szCs w:val="24"/>
        </w:rPr>
        <w:t>августе</w:t>
      </w:r>
      <w:r w:rsidRPr="00DD0C28">
        <w:rPr>
          <w:rFonts w:ascii="Times New Roman" w:hAnsi="Times New Roman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 xml:space="preserve">), зафиксировав </w:t>
      </w:r>
      <w:r w:rsidRPr="003F67B2">
        <w:rPr>
          <w:rFonts w:ascii="Times New Roman" w:hAnsi="Times New Roman"/>
          <w:sz w:val="24"/>
          <w:szCs w:val="24"/>
        </w:rPr>
        <w:t>исторические минимумы в сфере ценообразования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67B2">
        <w:rPr>
          <w:rFonts w:ascii="Times New Roman" w:hAnsi="Times New Roman"/>
          <w:sz w:val="24"/>
          <w:szCs w:val="24"/>
        </w:rPr>
        <w:t xml:space="preserve">что является нетипичной динамикой для </w:t>
      </w:r>
      <w:r w:rsidRPr="003F67B2">
        <w:rPr>
          <w:rFonts w:ascii="Times New Roman" w:eastAsiaTheme="minorEastAsia" w:hAnsi="Times New Roman"/>
          <w:sz w:val="24"/>
          <w:szCs w:val="24"/>
        </w:rPr>
        <w:t>данного периода</w:t>
      </w:r>
      <w:r w:rsidRPr="003F67B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834E0" w:rsidRPr="00DE07F2" w:rsidRDefault="00D834E0" w:rsidP="00D834E0">
      <w:pPr>
        <w:pStyle w:val="ab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935980" cy="217932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34E0" w:rsidRPr="00DE07F2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4E0" w:rsidRPr="00DD0C28" w:rsidRDefault="00D834E0" w:rsidP="00D8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(инфляция) за предыдущие годы представлена ниже:</w:t>
      </w:r>
    </w:p>
    <w:tbl>
      <w:tblPr>
        <w:tblStyle w:val="af0"/>
        <w:tblW w:w="9747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D834E0" w:rsidRPr="00DD0C28" w:rsidTr="006D4A75">
        <w:tc>
          <w:tcPr>
            <w:tcW w:w="9747" w:type="dxa"/>
            <w:gridSpan w:val="11"/>
          </w:tcPr>
          <w:p w:rsidR="00D834E0" w:rsidRPr="00DD0C28" w:rsidRDefault="00D834E0" w:rsidP="006D4A75">
            <w:pPr>
              <w:pStyle w:val="ab"/>
              <w:spacing w:after="0"/>
              <w:ind w:firstLine="709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 за январь-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август</w:t>
            </w: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 %</w:t>
            </w:r>
          </w:p>
        </w:tc>
      </w:tr>
      <w:tr w:rsidR="00D834E0" w:rsidRPr="00DD0C28" w:rsidTr="006D4A75">
        <w:tc>
          <w:tcPr>
            <w:tcW w:w="959" w:type="dxa"/>
            <w:vAlign w:val="center"/>
          </w:tcPr>
          <w:p w:rsidR="00D834E0" w:rsidRPr="00DD0C28" w:rsidRDefault="00D834E0" w:rsidP="006D4A75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391" w:right="-2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2007 г.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250" w:righ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D834E0" w:rsidRPr="00DD0C28" w:rsidRDefault="00D834E0" w:rsidP="006D4A7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D834E0" w:rsidRPr="00DD0C28" w:rsidRDefault="00D834E0" w:rsidP="006D4A7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834E0" w:rsidRPr="00DD0C28" w:rsidRDefault="00D834E0" w:rsidP="006D4A75">
            <w:pPr>
              <w:pStyle w:val="ab"/>
              <w:spacing w:after="0"/>
              <w:ind w:left="-108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D0C28">
              <w:rPr>
                <w:rStyle w:val="ad"/>
                <w:b/>
                <w:color w:val="000000"/>
                <w:sz w:val="24"/>
                <w:szCs w:val="24"/>
              </w:rPr>
              <w:t>2015 г.</w:t>
            </w:r>
          </w:p>
        </w:tc>
      </w:tr>
      <w:tr w:rsidR="00D834E0" w:rsidRPr="00DD0C28" w:rsidTr="006D4A75">
        <w:tc>
          <w:tcPr>
            <w:tcW w:w="959" w:type="dxa"/>
            <w:vAlign w:val="center"/>
          </w:tcPr>
          <w:p w:rsidR="00D834E0" w:rsidRPr="00DD0C28" w:rsidRDefault="00D834E0" w:rsidP="006D4A75">
            <w:pPr>
              <w:pStyle w:val="ab"/>
              <w:spacing w:after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3A5974">
              <w:rPr>
                <w:rStyle w:val="ad"/>
                <w:color w:val="000000"/>
                <w:sz w:val="24"/>
                <w:szCs w:val="24"/>
              </w:rPr>
              <w:t>104,4</w:t>
            </w:r>
            <w:r>
              <w:rPr>
                <w:rStyle w:val="ad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A5E32">
              <w:rPr>
                <w:rFonts w:ascii="Times New Roman" w:hAnsi="Times New Roman"/>
                <w:color w:val="333333"/>
                <w:sz w:val="24"/>
                <w:szCs w:val="24"/>
              </w:rPr>
              <w:t>101,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675" w:right="-53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D834E0" w:rsidRPr="00DD0C28" w:rsidRDefault="00D834E0" w:rsidP="006D4A75">
            <w:pPr>
              <w:ind w:left="-250" w:righ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D834E0" w:rsidRPr="00DD0C28" w:rsidRDefault="00D834E0" w:rsidP="006D4A75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D834E0" w:rsidRPr="00DD0C28" w:rsidRDefault="00D834E0" w:rsidP="006D4A7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0C28">
              <w:rPr>
                <w:rFonts w:ascii="Times New Roman" w:hAnsi="Times New Roman"/>
                <w:color w:val="333333"/>
                <w:sz w:val="24"/>
                <w:szCs w:val="24"/>
              </w:rPr>
              <w:t>107,6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834E0" w:rsidRPr="00DD0C28" w:rsidRDefault="00D834E0" w:rsidP="006D4A7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101,49</w:t>
            </w:r>
          </w:p>
        </w:tc>
        <w:tc>
          <w:tcPr>
            <w:tcW w:w="851" w:type="dxa"/>
          </w:tcPr>
          <w:p w:rsidR="00D834E0" w:rsidRPr="00DD0C28" w:rsidRDefault="00D834E0" w:rsidP="006D4A75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100,62</w:t>
            </w:r>
          </w:p>
        </w:tc>
        <w:tc>
          <w:tcPr>
            <w:tcW w:w="850" w:type="dxa"/>
          </w:tcPr>
          <w:p w:rsidR="00D834E0" w:rsidRPr="00DD0C28" w:rsidRDefault="00D834E0" w:rsidP="006D4A75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Style w:val="ad"/>
                <w:color w:val="000000"/>
                <w:sz w:val="24"/>
                <w:szCs w:val="24"/>
              </w:rPr>
              <w:t>97,65</w:t>
            </w:r>
          </w:p>
        </w:tc>
      </w:tr>
    </w:tbl>
    <w:p w:rsidR="00D834E0" w:rsidRDefault="00D834E0" w:rsidP="00D834E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34E0" w:rsidRPr="00D834E0" w:rsidRDefault="00D834E0" w:rsidP="00D834E0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D834E0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На фоне устойчивых дефляционных процессов по большинству виду товаров в продовольственном сегменте потребительского рынка (удешевление яиц – на 24,90%, сыра – на 17,51%, сахара – на 17,16%, молока и молочной продукции – на 16,16%, мясопродуктов – на 11,46%, масла и жиров – на 9,65%, консервов овощных – на 9,32%), в совокупности с повышением стоимости муки на 5,40%, напитков безалкогольных на 1,07%, хлеба и хлебобулочных изделий на 0,52</w:t>
      </w:r>
      <w:proofErr w:type="gramEnd"/>
      <w:r w:rsidRPr="00D834E0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%, в продовольственном сегменте потребительского рынка в январе-августе 2015 года был зафиксирован выраженный дефляционный тренд – «-»7,22% (в январе-августе 2014 года – «-»0,30%). </w:t>
      </w:r>
    </w:p>
    <w:p w:rsidR="00D834E0" w:rsidRPr="00DD0C28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D0F25">
        <w:rPr>
          <w:rFonts w:ascii="Times New Roman" w:hAnsi="Times New Roman"/>
          <w:sz w:val="24"/>
          <w:szCs w:val="24"/>
        </w:rPr>
        <w:t>стойчивая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дефляция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 в</w:t>
      </w:r>
      <w:r w:rsidRPr="00AD0F25">
        <w:rPr>
          <w:rFonts w:ascii="Times New Roman" w:hAnsi="Times New Roman"/>
          <w:sz w:val="24"/>
          <w:szCs w:val="24"/>
        </w:rPr>
        <w:t>торой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год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подряд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отмечается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по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группе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непродовольственных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 w:rsidRPr="00AD0F25">
        <w:rPr>
          <w:rFonts w:ascii="Times New Roman" w:hAnsi="Times New Roman"/>
          <w:sz w:val="24"/>
          <w:szCs w:val="24"/>
        </w:rPr>
        <w:t>товаров</w:t>
      </w:r>
      <w:r w:rsidRPr="00500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«-»</w:t>
      </w:r>
      <w:r w:rsidRPr="00AD0F2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92</w:t>
      </w:r>
      <w:r w:rsidRPr="00AD0F25">
        <w:rPr>
          <w:rFonts w:ascii="Times New Roman" w:hAnsi="Times New Roman"/>
          <w:sz w:val="24"/>
          <w:szCs w:val="24"/>
        </w:rPr>
        <w:t xml:space="preserve">% </w:t>
      </w:r>
      <w:r w:rsidRPr="00DD0C28">
        <w:rPr>
          <w:rFonts w:ascii="Times New Roman" w:hAnsi="Times New Roman"/>
          <w:sz w:val="24"/>
          <w:szCs w:val="24"/>
        </w:rPr>
        <w:t>(в январе-</w:t>
      </w:r>
      <w:r>
        <w:rPr>
          <w:rFonts w:ascii="Times New Roman" w:hAnsi="Times New Roman"/>
          <w:sz w:val="24"/>
          <w:szCs w:val="24"/>
        </w:rPr>
        <w:t>августе</w:t>
      </w:r>
      <w:r w:rsidRPr="00DD0C28">
        <w:rPr>
          <w:rFonts w:ascii="Times New Roman" w:hAnsi="Times New Roman"/>
          <w:sz w:val="24"/>
          <w:szCs w:val="24"/>
        </w:rPr>
        <w:t xml:space="preserve"> 2014 года </w:t>
      </w:r>
      <w:r>
        <w:rPr>
          <w:rFonts w:ascii="Times New Roman" w:hAnsi="Times New Roman"/>
          <w:sz w:val="24"/>
          <w:szCs w:val="24"/>
        </w:rPr>
        <w:t>«-»</w:t>
      </w:r>
      <w:r w:rsidRPr="00AD0F25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19</w:t>
      </w:r>
      <w:r w:rsidRPr="00AD0F25">
        <w:rPr>
          <w:rFonts w:ascii="Times New Roman" w:hAnsi="Times New Roman"/>
          <w:sz w:val="24"/>
          <w:szCs w:val="24"/>
        </w:rPr>
        <w:t xml:space="preserve">%). </w:t>
      </w:r>
      <w:r w:rsidRPr="00DD0C28">
        <w:rPr>
          <w:rFonts w:ascii="Times New Roman" w:hAnsi="Times New Roman"/>
          <w:sz w:val="24"/>
          <w:szCs w:val="24"/>
        </w:rPr>
        <w:t xml:space="preserve">Понижательный ценовой тренд в данном сегменте потребительского рынка установлен по следующим видам товаров: </w:t>
      </w:r>
      <w:r>
        <w:rPr>
          <w:rFonts w:ascii="Times New Roman" w:hAnsi="Times New Roman"/>
          <w:sz w:val="24"/>
          <w:szCs w:val="24"/>
        </w:rPr>
        <w:t xml:space="preserve">строительные материалы («-»6,95%), </w:t>
      </w:r>
      <w:r w:rsidRPr="00DD0C28">
        <w:rPr>
          <w:rFonts w:ascii="Times New Roman" w:hAnsi="Times New Roman"/>
          <w:sz w:val="24"/>
          <w:szCs w:val="24"/>
        </w:rPr>
        <w:t>товары бытовой химии (</w:t>
      </w:r>
      <w:r>
        <w:rPr>
          <w:rFonts w:ascii="Times New Roman" w:hAnsi="Times New Roman"/>
          <w:sz w:val="24"/>
          <w:szCs w:val="24"/>
        </w:rPr>
        <w:t>«-»6,72</w:t>
      </w:r>
      <w:r w:rsidRPr="00DD0C28">
        <w:rPr>
          <w:rFonts w:ascii="Times New Roman" w:hAnsi="Times New Roman"/>
          <w:sz w:val="24"/>
          <w:szCs w:val="24"/>
        </w:rPr>
        <w:t>%), топливо (бензин) (-5,8</w:t>
      </w:r>
      <w:r>
        <w:rPr>
          <w:rFonts w:ascii="Times New Roman" w:hAnsi="Times New Roman"/>
          <w:sz w:val="24"/>
          <w:szCs w:val="24"/>
        </w:rPr>
        <w:t>4</w:t>
      </w:r>
      <w:r w:rsidRPr="00DD0C28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DD0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табачные изделия </w:t>
      </w:r>
      <w:r w:rsidRPr="00DD0C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«-»4,97</w:t>
      </w:r>
      <w:r w:rsidRPr="00DD0C28">
        <w:rPr>
          <w:rFonts w:ascii="Times New Roman" w:hAnsi="Times New Roman"/>
          <w:sz w:val="24"/>
          <w:szCs w:val="24"/>
        </w:rPr>
        <w:t>%) и др.</w:t>
      </w:r>
    </w:p>
    <w:p w:rsidR="00D834E0" w:rsidRPr="00DD0C28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0C28">
        <w:rPr>
          <w:rFonts w:ascii="Times New Roman" w:hAnsi="Times New Roman"/>
          <w:sz w:val="24"/>
          <w:szCs w:val="24"/>
        </w:rPr>
        <w:t xml:space="preserve">общем повышении стоимости потребительских товаров и услуг на протяжении всего рассматриваемого периода </w:t>
      </w:r>
      <w:r>
        <w:rPr>
          <w:rFonts w:ascii="Times New Roman" w:hAnsi="Times New Roman"/>
          <w:sz w:val="24"/>
          <w:szCs w:val="24"/>
        </w:rPr>
        <w:t>существенное</w:t>
      </w:r>
      <w:r w:rsidRPr="00DD0C28">
        <w:rPr>
          <w:rFonts w:ascii="Times New Roman" w:hAnsi="Times New Roman"/>
          <w:sz w:val="24"/>
          <w:szCs w:val="24"/>
        </w:rPr>
        <w:t xml:space="preserve"> влияние оказывала инфляция в сфере цен и тарифов на услуги. По итогам января-</w:t>
      </w:r>
      <w:r>
        <w:rPr>
          <w:rFonts w:ascii="Times New Roman" w:hAnsi="Times New Roman"/>
          <w:sz w:val="24"/>
          <w:szCs w:val="24"/>
        </w:rPr>
        <w:t>августа</w:t>
      </w:r>
      <w:r w:rsidRPr="00DD0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текущего </w:t>
      </w:r>
      <w:r w:rsidRPr="00DD0C28">
        <w:rPr>
          <w:rFonts w:ascii="Times New Roman" w:hAnsi="Times New Roman"/>
          <w:sz w:val="24"/>
          <w:szCs w:val="24"/>
        </w:rPr>
        <w:t>года инфляционная нагрузка в данном сегменте достигла 6,</w:t>
      </w:r>
      <w:r>
        <w:rPr>
          <w:rFonts w:ascii="Times New Roman" w:hAnsi="Times New Roman"/>
          <w:sz w:val="24"/>
          <w:szCs w:val="24"/>
        </w:rPr>
        <w:t>40</w:t>
      </w:r>
      <w:r w:rsidRPr="00DD0C28">
        <w:rPr>
          <w:rFonts w:ascii="Times New Roman" w:hAnsi="Times New Roman"/>
          <w:sz w:val="24"/>
          <w:szCs w:val="24"/>
        </w:rPr>
        <w:t xml:space="preserve">%, снизившись на </w:t>
      </w:r>
      <w:r>
        <w:rPr>
          <w:rFonts w:ascii="Times New Roman" w:hAnsi="Times New Roman"/>
          <w:sz w:val="24"/>
          <w:szCs w:val="24"/>
        </w:rPr>
        <w:t>1,21</w:t>
      </w:r>
      <w:r w:rsidRPr="00DD0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C28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DD0C28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предельных уровней тарифов в сфере Ж</w:t>
      </w:r>
      <w:proofErr w:type="gramStart"/>
      <w:r w:rsidRPr="00DD0C28">
        <w:rPr>
          <w:rFonts w:ascii="Times New Roman" w:hAnsi="Times New Roman"/>
          <w:sz w:val="24"/>
          <w:szCs w:val="24"/>
        </w:rPr>
        <w:t>КХ в ср</w:t>
      </w:r>
      <w:proofErr w:type="gramEnd"/>
      <w:r w:rsidRPr="00DD0C28">
        <w:rPr>
          <w:rFonts w:ascii="Times New Roman" w:hAnsi="Times New Roman"/>
          <w:sz w:val="24"/>
          <w:szCs w:val="24"/>
        </w:rPr>
        <w:t>еднем на 7,0% к уровню установленных тарифов на 2015 год.</w:t>
      </w:r>
    </w:p>
    <w:p w:rsidR="00D834E0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D0C28">
        <w:rPr>
          <w:rFonts w:ascii="Times New Roman" w:hAnsi="Times New Roman"/>
          <w:sz w:val="24"/>
          <w:szCs w:val="24"/>
        </w:rPr>
        <w:t>сновное влияние на определивш</w:t>
      </w:r>
      <w:r>
        <w:rPr>
          <w:rFonts w:ascii="Times New Roman" w:hAnsi="Times New Roman"/>
          <w:sz w:val="24"/>
          <w:szCs w:val="24"/>
        </w:rPr>
        <w:t>и</w:t>
      </w:r>
      <w:r w:rsidRPr="00DD0C28">
        <w:rPr>
          <w:rFonts w:ascii="Times New Roman" w:hAnsi="Times New Roman"/>
          <w:sz w:val="24"/>
          <w:szCs w:val="24"/>
        </w:rPr>
        <w:t xml:space="preserve">йся инфляционный фон в сфере тарифов на услуги в </w:t>
      </w:r>
      <w:r>
        <w:rPr>
          <w:rFonts w:ascii="Times New Roman" w:hAnsi="Times New Roman"/>
          <w:sz w:val="24"/>
          <w:szCs w:val="24"/>
        </w:rPr>
        <w:t>рассматриваемом периоде</w:t>
      </w:r>
      <w:r w:rsidRPr="00DD0C28">
        <w:rPr>
          <w:rFonts w:ascii="Times New Roman" w:hAnsi="Times New Roman"/>
          <w:sz w:val="24"/>
          <w:szCs w:val="24"/>
        </w:rPr>
        <w:t xml:space="preserve"> оказало </w:t>
      </w:r>
      <w:r>
        <w:rPr>
          <w:rFonts w:ascii="Times New Roman" w:hAnsi="Times New Roman"/>
          <w:sz w:val="24"/>
          <w:szCs w:val="24"/>
        </w:rPr>
        <w:t xml:space="preserve">плановое </w:t>
      </w:r>
      <w:r w:rsidRPr="00DD0C28">
        <w:rPr>
          <w:rStyle w:val="FontStyle183"/>
          <w:rFonts w:ascii="Times New Roman" w:eastAsia="Calibri" w:hAnsi="Times New Roman"/>
          <w:sz w:val="24"/>
          <w:szCs w:val="24"/>
        </w:rPr>
        <w:t>повышение стоимости медицинских услуг («+»37,67%), услуг дошкольного воспитания («+»21,84%), услуг правового характера («+»8,94.</w:t>
      </w:r>
      <w:proofErr w:type="gramEnd"/>
      <w:r w:rsidRPr="00DD0C28">
        <w:rPr>
          <w:rStyle w:val="FontStyle183"/>
          <w:rFonts w:ascii="Times New Roman" w:eastAsia="Calibri" w:hAnsi="Times New Roman"/>
          <w:sz w:val="24"/>
          <w:szCs w:val="24"/>
        </w:rPr>
        <w:t xml:space="preserve"> Кроме того, весомое инфляционное давление в сфере услуг в </w:t>
      </w:r>
      <w:r w:rsidRPr="00DD0C28">
        <w:rPr>
          <w:rStyle w:val="FontStyle183"/>
          <w:rFonts w:ascii="Times New Roman" w:eastAsia="Calibri" w:hAnsi="Times New Roman"/>
          <w:sz w:val="24"/>
          <w:szCs w:val="24"/>
        </w:rPr>
        <w:lastRenderedPageBreak/>
        <w:t xml:space="preserve">обозначенном периоде создало </w:t>
      </w:r>
      <w:r w:rsidRPr="00DD0C28">
        <w:rPr>
          <w:rFonts w:ascii="Times New Roman" w:hAnsi="Times New Roman"/>
          <w:sz w:val="24"/>
          <w:szCs w:val="24"/>
        </w:rPr>
        <w:t>повышение цен на жилищно-коммунальные услуги - на 2,61% (в январе-</w:t>
      </w:r>
      <w:r>
        <w:rPr>
          <w:rFonts w:ascii="Times New Roman" w:hAnsi="Times New Roman"/>
          <w:sz w:val="24"/>
          <w:szCs w:val="24"/>
        </w:rPr>
        <w:t>августе</w:t>
      </w:r>
      <w:r w:rsidRPr="00DD0C28">
        <w:rPr>
          <w:rFonts w:ascii="Times New Roman" w:hAnsi="Times New Roman"/>
          <w:sz w:val="24"/>
          <w:szCs w:val="24"/>
        </w:rPr>
        <w:t xml:space="preserve"> 2014 года – </w:t>
      </w:r>
      <w:r>
        <w:rPr>
          <w:rFonts w:ascii="Times New Roman" w:hAnsi="Times New Roman"/>
          <w:sz w:val="24"/>
          <w:szCs w:val="24"/>
        </w:rPr>
        <w:t>«+»</w:t>
      </w:r>
      <w:r w:rsidRPr="00DD0C28">
        <w:rPr>
          <w:rFonts w:ascii="Times New Roman" w:hAnsi="Times New Roman"/>
          <w:sz w:val="24"/>
          <w:szCs w:val="24"/>
        </w:rPr>
        <w:t xml:space="preserve"> 10,62%), тарифов на услуги связи - на 8,56% (в январе-</w:t>
      </w:r>
      <w:r>
        <w:rPr>
          <w:rFonts w:ascii="Times New Roman" w:hAnsi="Times New Roman"/>
          <w:sz w:val="24"/>
          <w:szCs w:val="24"/>
        </w:rPr>
        <w:t xml:space="preserve">августе </w:t>
      </w:r>
      <w:r w:rsidRPr="00DD0C28">
        <w:rPr>
          <w:rFonts w:ascii="Times New Roman" w:hAnsi="Times New Roman"/>
          <w:sz w:val="24"/>
          <w:szCs w:val="24"/>
        </w:rPr>
        <w:t>2014 года – «+»5,20%).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C28">
        <w:rPr>
          <w:rStyle w:val="FontStyle183"/>
          <w:rFonts w:ascii="Times New Roman" w:eastAsia="Calibri" w:hAnsi="Times New Roman"/>
          <w:sz w:val="24"/>
          <w:szCs w:val="24"/>
        </w:rPr>
        <w:t>В то же время подешевели санаторно-оздоровительные услуги на 3,13%.</w:t>
      </w:r>
    </w:p>
    <w:p w:rsidR="00D834E0" w:rsidRPr="003F67B2" w:rsidRDefault="00D834E0" w:rsidP="00D834E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D0C28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с</w:t>
      </w:r>
      <w:r w:rsidRPr="003F67B2">
        <w:rPr>
          <w:rFonts w:ascii="Times New Roman" w:eastAsiaTheme="minorEastAsia" w:hAnsi="Times New Roman"/>
          <w:sz w:val="24"/>
          <w:szCs w:val="24"/>
        </w:rPr>
        <w:t xml:space="preserve">ущественная девальвация национальных валют сопредельных стран, являющихся основными поставщиками потребительских товаров на территорию республики, обусловила в условиях стабильности курса приднестровского рубля удешевление импортируемой продукции и усиление конкуренции на внутреннем рынке. Кроме того, определённое влияние оказали принятые на государственном уровне решения об отмене реализации в текущем году второго этапа повышения тарифов в сфере ЖКХ. </w:t>
      </w:r>
    </w:p>
    <w:p w:rsidR="00D834E0" w:rsidRPr="00704D23" w:rsidRDefault="00D834E0" w:rsidP="00D8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BE">
        <w:rPr>
          <w:rFonts w:ascii="Times New Roman" w:hAnsi="Times New Roman"/>
          <w:sz w:val="24"/>
          <w:szCs w:val="24"/>
        </w:rPr>
        <w:t xml:space="preserve">Сводный индекс потребительских цен (инфляция) в январе-августе 2015 года в Республике Молдова составил </w:t>
      </w:r>
      <w:r w:rsidRPr="00DE3482">
        <w:rPr>
          <w:rFonts w:ascii="Times New Roman" w:hAnsi="Times New Roman"/>
          <w:sz w:val="24"/>
          <w:szCs w:val="24"/>
        </w:rPr>
        <w:t>108,1%,</w:t>
      </w:r>
      <w:r w:rsidRPr="00FF02F4">
        <w:rPr>
          <w:rFonts w:ascii="Times New Roman" w:hAnsi="Times New Roman"/>
          <w:sz w:val="24"/>
          <w:szCs w:val="24"/>
        </w:rPr>
        <w:t xml:space="preserve"> в Украине – </w:t>
      </w:r>
      <w:r>
        <w:rPr>
          <w:rFonts w:ascii="Times New Roman" w:hAnsi="Times New Roman"/>
          <w:sz w:val="24"/>
          <w:szCs w:val="24"/>
        </w:rPr>
        <w:t>138,2</w:t>
      </w:r>
      <w:r w:rsidRPr="00FF02F4">
        <w:rPr>
          <w:rFonts w:ascii="Times New Roman" w:hAnsi="Times New Roman"/>
          <w:sz w:val="24"/>
          <w:szCs w:val="24"/>
        </w:rPr>
        <w:t xml:space="preserve">%, </w:t>
      </w:r>
      <w:r w:rsidRPr="002672EF">
        <w:rPr>
          <w:rFonts w:ascii="Times New Roman" w:hAnsi="Times New Roman"/>
          <w:sz w:val="24"/>
          <w:szCs w:val="24"/>
        </w:rPr>
        <w:t>в Российской Федерации – 109,8%.</w:t>
      </w:r>
    </w:p>
    <w:sectPr w:rsidR="00D834E0" w:rsidRPr="00704D23" w:rsidSect="006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C16"/>
    <w:rsid w:val="00027FC2"/>
    <w:rsid w:val="00075C4D"/>
    <w:rsid w:val="000D72B7"/>
    <w:rsid w:val="001B4143"/>
    <w:rsid w:val="003230E6"/>
    <w:rsid w:val="003523D7"/>
    <w:rsid w:val="003876E0"/>
    <w:rsid w:val="003B1255"/>
    <w:rsid w:val="00430B82"/>
    <w:rsid w:val="004755EA"/>
    <w:rsid w:val="00484E7E"/>
    <w:rsid w:val="005666FB"/>
    <w:rsid w:val="00586C16"/>
    <w:rsid w:val="006F15F4"/>
    <w:rsid w:val="00704D23"/>
    <w:rsid w:val="00732FC1"/>
    <w:rsid w:val="00792182"/>
    <w:rsid w:val="00795A78"/>
    <w:rsid w:val="008D6A3B"/>
    <w:rsid w:val="00905F06"/>
    <w:rsid w:val="0099223A"/>
    <w:rsid w:val="009B6B17"/>
    <w:rsid w:val="00B06FA4"/>
    <w:rsid w:val="00B149A5"/>
    <w:rsid w:val="00B90E4A"/>
    <w:rsid w:val="00D834E0"/>
    <w:rsid w:val="00E4121F"/>
    <w:rsid w:val="00E44842"/>
    <w:rsid w:val="00EA0345"/>
    <w:rsid w:val="00EA4ABF"/>
    <w:rsid w:val="00F10210"/>
    <w:rsid w:val="00F30E4F"/>
    <w:rsid w:val="00F3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86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586C1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586C16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586C16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586C1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586C16"/>
    <w:pPr>
      <w:ind w:left="720"/>
      <w:contextualSpacing/>
    </w:pPr>
  </w:style>
  <w:style w:type="paragraph" w:customStyle="1" w:styleId="11">
    <w:name w:val="Без интервала1"/>
    <w:uiPriority w:val="99"/>
    <w:rsid w:val="00586C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C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новной текст с отступом 2"/>
    <w:basedOn w:val="a"/>
    <w:uiPriority w:val="99"/>
    <w:rsid w:val="00D834E0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styleId="ab">
    <w:name w:val="Body Text"/>
    <w:basedOn w:val="a"/>
    <w:link w:val="ac"/>
    <w:uiPriority w:val="99"/>
    <w:rsid w:val="00D83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834E0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rsid w:val="00D834E0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D834E0"/>
    <w:rPr>
      <w:rFonts w:ascii="Sylfaen" w:hAnsi="Sylfaen" w:cs="Sylfaen"/>
      <w:sz w:val="20"/>
      <w:szCs w:val="20"/>
    </w:rPr>
  </w:style>
  <w:style w:type="character" w:customStyle="1" w:styleId="ae">
    <w:name w:val="Подпись к таблице_"/>
    <w:basedOn w:val="a0"/>
    <w:link w:val="af"/>
    <w:rsid w:val="00D834E0"/>
    <w:rPr>
      <w:b/>
      <w:bCs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834E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f0">
    <w:name w:val="Table Grid"/>
    <w:basedOn w:val="a1"/>
    <w:uiPriority w:val="59"/>
    <w:rsid w:val="00D8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5209487702926264E-3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170020414114957E-2"/>
          <c:y val="8.5540200332101343E-2"/>
          <c:w val="0.9068299795858864"/>
          <c:h val="0.76615833735068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658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25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39,8%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493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950854641403194E-2"/>
                  <c:y val="1.799775028121502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844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1481.5</c:v>
                </c:pt>
                <c:pt idx="1">
                  <c:v>2343.9</c:v>
                </c:pt>
                <c:pt idx="2" formatCode="0.0">
                  <c:v>698.9</c:v>
                </c:pt>
                <c:pt idx="3">
                  <c:v>621.79999999999995</c:v>
                </c:pt>
                <c:pt idx="4" formatCode="0.0">
                  <c:v>279.60000000000002</c:v>
                </c:pt>
                <c:pt idx="5">
                  <c:v>459.49999999999898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077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1599375929402045"/>
          <c:y val="7.5715242339575592E-2"/>
          <c:w val="0.81815864774290459"/>
          <c:h val="0.64157757406423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август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801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00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35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188171.3</c:v>
                </c:pt>
                <c:pt idx="1">
                  <c:v>78473.899999999994</c:v>
                </c:pt>
                <c:pt idx="2">
                  <c:v>28363.4</c:v>
                </c:pt>
                <c:pt idx="3">
                  <c:v>37810.300000000003</c:v>
                </c:pt>
                <c:pt idx="4">
                  <c:v>21172.6</c:v>
                </c:pt>
                <c:pt idx="5">
                  <c:v>58060.7</c:v>
                </c:pt>
                <c:pt idx="6">
                  <c:v>56873.8</c:v>
                </c:pt>
                <c:pt idx="7">
                  <c:v>30719.500000000022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август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01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617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7.6681239106387014E-3"/>
                  <c:y val="7.936170555367655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071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87604037887E-3"/>
                  <c:y val="9.9196496143505349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197064.9</c:v>
                </c:pt>
                <c:pt idx="1">
                  <c:v>31996</c:v>
                </c:pt>
                <c:pt idx="2">
                  <c:v>30974</c:v>
                </c:pt>
                <c:pt idx="3">
                  <c:v>28313.4</c:v>
                </c:pt>
                <c:pt idx="4">
                  <c:v>19902.599999999973</c:v>
                </c:pt>
                <c:pt idx="5">
                  <c:v>67338.2</c:v>
                </c:pt>
                <c:pt idx="6">
                  <c:v>7591.3</c:v>
                </c:pt>
                <c:pt idx="7">
                  <c:v>24478.199999999946</c:v>
                </c:pt>
              </c:numCache>
            </c:numRef>
          </c:val>
        </c:ser>
        <c:dLbls>
          <c:showVal val="1"/>
        </c:dLbls>
        <c:axId val="149881984"/>
        <c:axId val="149883520"/>
      </c:barChart>
      <c:catAx>
        <c:axId val="149881984"/>
        <c:scaling>
          <c:orientation val="minMax"/>
        </c:scaling>
        <c:axPos val="b"/>
        <c:numFmt formatCode="General" sourceLinked="1"/>
        <c:tickLblPos val="nextTo"/>
        <c:crossAx val="149883520"/>
        <c:crosses val="autoZero"/>
        <c:auto val="1"/>
        <c:lblAlgn val="ctr"/>
        <c:lblOffset val="100"/>
      </c:catAx>
      <c:valAx>
        <c:axId val="149883520"/>
        <c:scaling>
          <c:orientation val="minMax"/>
          <c:max val="200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881984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6.4418362798989738E-4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8.0064102564102763E-2"/>
          <c:y val="4.6050156139241724E-2"/>
          <c:w val="0.96291208791208749"/>
          <c:h val="0.373617788342497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август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45,3*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11,5*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10,0*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2.1643193654421211E-3"/>
                  <c:y val="2.944386668647585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10,8*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9.0534356282388033E-3"/>
                  <c:y val="1.480621491656608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18,7*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495.3</c:v>
                </c:pt>
                <c:pt idx="1">
                  <c:v>125.3</c:v>
                </c:pt>
                <c:pt idx="2">
                  <c:v>108.8</c:v>
                </c:pt>
                <c:pt idx="3" formatCode="General">
                  <c:v>118.5</c:v>
                </c:pt>
                <c:pt idx="4">
                  <c:v>40.5</c:v>
                </c:pt>
                <c:pt idx="5">
                  <c:v>204.56400000000002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август 2015 г.</c:v>
                </c:pt>
              </c:strCache>
            </c:strRef>
          </c:tx>
          <c:dLbls>
            <c:dLbl>
              <c:idx val="0"/>
              <c:layout>
                <c:manualLayout>
                  <c:x val="1.3667999701930045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53,4*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7.2278662328092713E-3"/>
                  <c:y val="1.670361016193739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12,4*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7,6*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9,5*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454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13,4*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024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432.2</c:v>
                </c:pt>
                <c:pt idx="1">
                  <c:v>100.7</c:v>
                </c:pt>
                <c:pt idx="2">
                  <c:v>61.4</c:v>
                </c:pt>
                <c:pt idx="3">
                  <c:v>77.2</c:v>
                </c:pt>
                <c:pt idx="4">
                  <c:v>29.7</c:v>
                </c:pt>
                <c:pt idx="5">
                  <c:v>107.76099999999992</c:v>
                </c:pt>
              </c:numCache>
            </c:numRef>
          </c:val>
        </c:ser>
        <c:gapWidth val="160"/>
        <c:axId val="150160896"/>
        <c:axId val="150162432"/>
      </c:barChart>
      <c:catAx>
        <c:axId val="15016089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50162432"/>
        <c:crosses val="autoZero"/>
        <c:lblAlgn val="ctr"/>
        <c:lblOffset val="160"/>
        <c:tickLblSkip val="1"/>
        <c:tickMarkSkip val="1"/>
      </c:catAx>
      <c:valAx>
        <c:axId val="1501624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2216888754290329"/>
              <c:y val="2.4248635587218292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5016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942501039829228"/>
          <c:y val="3.0837508947745393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688855610840059"/>
          <c:y val="3.7704427347727665E-2"/>
          <c:w val="0.79102290492376959"/>
          <c:h val="0.620299785867236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август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45,8*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541E-3"/>
                  <c:y val="9.733556032768821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785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669503268615E-3"/>
                  <c:y val="1.0187324014904993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726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3.3015438287605408E-3"/>
                  <c:y val="8.565310492505371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69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500382.1</c:v>
                </c:pt>
                <c:pt idx="1">
                  <c:v>144231.9</c:v>
                </c:pt>
                <c:pt idx="2">
                  <c:v>77734.899999999994</c:v>
                </c:pt>
                <c:pt idx="3">
                  <c:v>94286.5</c:v>
                </c:pt>
                <c:pt idx="4">
                  <c:v>56147</c:v>
                </c:pt>
                <c:pt idx="5">
                  <c:v>32156</c:v>
                </c:pt>
                <c:pt idx="6">
                  <c:v>21483.4</c:v>
                </c:pt>
                <c:pt idx="7">
                  <c:v>166542.90000000002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август 2015 г.</c:v>
                </c:pt>
              </c:strCache>
            </c:strRef>
          </c:tx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6138030823070193E-2"/>
                  <c:y val="6.5358830146232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4207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323568249978E-3"/>
                  <c:y val="8.387484754983822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438106.1</c:v>
                </c:pt>
                <c:pt idx="1">
                  <c:v>109472.6</c:v>
                </c:pt>
                <c:pt idx="2">
                  <c:v>56291.1</c:v>
                </c:pt>
                <c:pt idx="3">
                  <c:v>35384.5</c:v>
                </c:pt>
                <c:pt idx="4">
                  <c:v>30548.799999999996</c:v>
                </c:pt>
                <c:pt idx="5">
                  <c:v>16735.2</c:v>
                </c:pt>
                <c:pt idx="6">
                  <c:v>12056.2</c:v>
                </c:pt>
                <c:pt idx="7">
                  <c:v>110366.90000000014</c:v>
                </c:pt>
              </c:numCache>
            </c:numRef>
          </c:val>
        </c:ser>
        <c:dLbls>
          <c:showVal val="1"/>
        </c:dLbls>
        <c:axId val="150246144"/>
        <c:axId val="150247680"/>
      </c:barChart>
      <c:catAx>
        <c:axId val="150246144"/>
        <c:scaling>
          <c:orientation val="minMax"/>
        </c:scaling>
        <c:axPos val="b"/>
        <c:numFmt formatCode="General" sourceLinked="1"/>
        <c:tickLblPos val="nextTo"/>
        <c:crossAx val="150247680"/>
        <c:crosses val="autoZero"/>
        <c:auto val="1"/>
        <c:lblAlgn val="ctr"/>
        <c:lblOffset val="100"/>
      </c:catAx>
      <c:valAx>
        <c:axId val="150247680"/>
        <c:scaling>
          <c:orientation val="minMax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73269136439913041"/>
              <c:y val="0.12238829237254434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150246144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526935737654103"/>
          <c:y val="0"/>
        </c:manualLayout>
      </c:layout>
    </c:title>
    <c:plotArea>
      <c:layout>
        <c:manualLayout>
          <c:layoutTarget val="inner"/>
          <c:xMode val="edge"/>
          <c:yMode val="edge"/>
          <c:x val="0.22829254815548644"/>
          <c:y val="0.13873823027366344"/>
          <c:w val="0.7725366258056604"/>
          <c:h val="0.46590792530244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январь-август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7312835895514617E-3"/>
                  <c:y val="1.90583263893565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0709267888368921E-3"/>
                  <c:y val="2.48884973294422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-2,19*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4944442806072503E-3"/>
                  <c:y val="2.12221317162940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+7,61*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100.61999999999999</c:v>
                </c:pt>
                <c:pt idx="1">
                  <c:v>99.7</c:v>
                </c:pt>
                <c:pt idx="2">
                  <c:v>97.81</c:v>
                </c:pt>
                <c:pt idx="3">
                  <c:v>107.61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январь-август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8082777106045273E-3"/>
                  <c:y val="2.75158133968886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-2,35*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70764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-7,22*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593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97.649999999999991</c:v>
                </c:pt>
                <c:pt idx="1">
                  <c:v>92.78</c:v>
                </c:pt>
                <c:pt idx="2" formatCode="0.00">
                  <c:v>98.08</c:v>
                </c:pt>
                <c:pt idx="3" formatCode="0.00">
                  <c:v>106.4</c:v>
                </c:pt>
              </c:numCache>
            </c:numRef>
          </c:val>
        </c:ser>
        <c:axId val="150135936"/>
        <c:axId val="150137472"/>
      </c:barChart>
      <c:catAx>
        <c:axId val="150135936"/>
        <c:scaling>
          <c:orientation val="minMax"/>
        </c:scaling>
        <c:axPos val="b"/>
        <c:tickLblPos val="nextTo"/>
        <c:crossAx val="150137472"/>
        <c:crosses val="autoZero"/>
        <c:auto val="1"/>
        <c:lblAlgn val="ctr"/>
        <c:lblOffset val="100"/>
      </c:catAx>
      <c:valAx>
        <c:axId val="15013747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</a:t>
                </a:r>
              </a:p>
              <a:p>
                <a:pPr>
                  <a:defRPr/>
                </a:pPr>
                <a:r>
                  <a:rPr lang="ru-RU"/>
                  <a:t> (снижение)  индекса цен,% )</a:t>
                </a:r>
              </a:p>
            </c:rich>
          </c:tx>
          <c:layout>
            <c:manualLayout>
              <c:xMode val="edge"/>
              <c:yMode val="edge"/>
              <c:x val="0"/>
              <c:y val="0.56602380559073473"/>
            </c:manualLayout>
          </c:layout>
        </c:title>
        <c:numFmt formatCode="0.00" sourceLinked="1"/>
        <c:tickLblPos val="nextTo"/>
        <c:crossAx val="150135936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133544996029862"/>
          <c:y val="4.1062258522032574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341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9236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385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6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1946.4</c:v>
                </c:pt>
                <c:pt idx="1">
                  <c:v>1978.1</c:v>
                </c:pt>
                <c:pt idx="2">
                  <c:v>848.4</c:v>
                </c:pt>
                <c:pt idx="3" formatCode="General">
                  <c:v>809.2</c:v>
                </c:pt>
                <c:pt idx="4" formatCode="General">
                  <c:v>432.1</c:v>
                </c:pt>
                <c:pt idx="5">
                  <c:v>530.90000000000043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2479"/>
          <c:w val="0.37344660161754878"/>
          <c:h val="0.77601583224557669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501"/>
          <c:y val="2.7023407788312414E-3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0.10793738108856962"/>
          <c:y val="0.15664309818415609"/>
          <c:w val="0.86842353361162161"/>
          <c:h val="0.56964058064170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640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4.5683630205564964E-2"/>
                  <c:y val="8.65354330708672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2955E-2"/>
                  <c:y val="-0.1477770635813384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7212E-2"/>
                  <c:y val="7.83266300345573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1088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818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462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6.026774125761792E-3"/>
                  <c:y val="-4.26557394611387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223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  <c:pt idx="6">
                  <c:v>871.8</c:v>
                </c:pt>
                <c:pt idx="7">
                  <c:v>852.7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</c:numCache>
            </c:numRef>
          </c:val>
        </c:ser>
        <c:marker val="1"/>
        <c:axId val="148565376"/>
        <c:axId val="148641280"/>
      </c:lineChart>
      <c:catAx>
        <c:axId val="14856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67E-4"/>
              <c:y val="0.8503845947827944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641280"/>
        <c:crosses val="autoZero"/>
        <c:auto val="1"/>
        <c:lblAlgn val="ctr"/>
        <c:lblOffset val="100"/>
      </c:catAx>
      <c:valAx>
        <c:axId val="14864128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5653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9009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901"/>
          <c:h val="0.508127882319806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1.0613098559530462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en-US" sz="750" b="1"/>
                      <a:t>99,1</a:t>
                    </a:r>
                    <a:r>
                      <a:rPr lang="ru-RU" sz="750" b="1"/>
                      <a:t>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0787856242379183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en-US" sz="750" b="1"/>
                      <a:t>129</a:t>
                    </a:r>
                    <a:r>
                      <a:rPr lang="ru-RU" sz="750" b="1"/>
                      <a:t>,6*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1049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18,0*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105,2*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9276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89,6*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92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106,4*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6199392398826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659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308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122,7*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4117428234868E-3"/>
                  <c:y val="2.882548426693792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70,9*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239.2</c:v>
                </c:pt>
                <c:pt idx="1">
                  <c:v>253</c:v>
                </c:pt>
                <c:pt idx="2">
                  <c:v>2.9</c:v>
                </c:pt>
                <c:pt idx="3">
                  <c:v>22.4</c:v>
                </c:pt>
                <c:pt idx="4">
                  <c:v>21.4</c:v>
                </c:pt>
                <c:pt idx="5">
                  <c:v>1.9000000000000001</c:v>
                </c:pt>
                <c:pt idx="6">
                  <c:v>77.7</c:v>
                </c:pt>
                <c:pt idx="7">
                  <c:v>112.9</c:v>
                </c:pt>
                <c:pt idx="8">
                  <c:v>107.1</c:v>
                </c:pt>
                <c:pt idx="9">
                  <c:v>12.7</c:v>
                </c:pt>
                <c:pt idx="1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4341868683737404E-2"/>
                  <c:y val="4.627406365078889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120,7*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8525141050282131E-2"/>
                  <c:y val="9.475564603854191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76,1*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06493246372E-2"/>
                  <c:y val="-3.667195592946398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031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80,1*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68,9*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2014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49,0*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4.0468720937443352E-3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63,4*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7087068840804347E-2"/>
                  <c:y val="1.544065546939716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299E-2"/>
                  <c:y val="-3.083979521571217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2,2 р.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288.60000000000002</c:v>
                </c:pt>
                <c:pt idx="1">
                  <c:v>192.6</c:v>
                </c:pt>
                <c:pt idx="2">
                  <c:v>3</c:v>
                </c:pt>
                <c:pt idx="3">
                  <c:v>17.899999999999999</c:v>
                </c:pt>
                <c:pt idx="4">
                  <c:v>14.8</c:v>
                </c:pt>
                <c:pt idx="5">
                  <c:v>1</c:v>
                </c:pt>
                <c:pt idx="6">
                  <c:v>49.3</c:v>
                </c:pt>
                <c:pt idx="7">
                  <c:v>89.7</c:v>
                </c:pt>
                <c:pt idx="8">
                  <c:v>93.5</c:v>
                </c:pt>
                <c:pt idx="9">
                  <c:v>10.8</c:v>
                </c:pt>
                <c:pt idx="10">
                  <c:v>3.2</c:v>
                </c:pt>
              </c:numCache>
            </c:numRef>
          </c:val>
        </c:ser>
        <c:shape val="cylinder"/>
        <c:axId val="148852096"/>
        <c:axId val="148923520"/>
        <c:axId val="0"/>
      </c:bar3DChart>
      <c:catAx>
        <c:axId val="14885209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48923520"/>
        <c:crosses val="autoZero"/>
        <c:auto val="1"/>
        <c:lblAlgn val="ctr"/>
        <c:lblOffset val="100"/>
      </c:catAx>
      <c:valAx>
        <c:axId val="14892352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8852096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0188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866"/>
          <c:y val="0.21069898520749794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6580206885904002E-4"/>
                  <c:y val="1.1699505303772543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134,6%*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369461170294893E-3"/>
                  <c:y val="1.368216069765477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149,1%*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1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1978.1</c:v>
                </c:pt>
                <c:pt idx="1">
                  <c:v>1648.9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5.5263239153929677E-3"/>
                  <c:y val="3.3687724518306292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118,5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-3.1434306005867162E-3"/>
                  <c:y val="3.5027879579568877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121,9%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15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2343.9</c:v>
                </c:pt>
                <c:pt idx="1">
                  <c:v>2010.1</c:v>
                </c:pt>
              </c:numCache>
            </c:numRef>
          </c:val>
        </c:ser>
        <c:dLbls>
          <c:showVal val="1"/>
        </c:dLbls>
        <c:axId val="149117568"/>
        <c:axId val="149127552"/>
      </c:barChart>
      <c:catAx>
        <c:axId val="149117568"/>
        <c:scaling>
          <c:orientation val="minMax"/>
        </c:scaling>
        <c:axPos val="l"/>
        <c:numFmt formatCode="General" sourceLinked="1"/>
        <c:tickLblPos val="nextTo"/>
        <c:crossAx val="149127552"/>
        <c:crosses val="autoZero"/>
        <c:auto val="1"/>
        <c:lblAlgn val="ctr"/>
        <c:lblOffset val="100"/>
      </c:catAx>
      <c:valAx>
        <c:axId val="1491275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14911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964"/>
          <c:w val="0.70006103697131761"/>
          <c:h val="0.6133228926494873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834E-3"/>
                  <c:y val="6.201766215687204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148,0%*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34637454355765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161,5%*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7474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432.1</c:v>
                </c:pt>
                <c:pt idx="1">
                  <c:v>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2.1802767611795153E-2"/>
                  <c:y val="-6.5793709487970871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64,7%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7389088101897E-4"/>
                  <c:y val="-7.0196197850960207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64,5%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279.60000000000002</c:v>
                </c:pt>
                <c:pt idx="1">
                  <c:v>209.7</c:v>
                </c:pt>
              </c:numCache>
            </c:numRef>
          </c:val>
        </c:ser>
        <c:dLbls>
          <c:showVal val="1"/>
        </c:dLbls>
        <c:axId val="149232256"/>
        <c:axId val="149246336"/>
      </c:barChart>
      <c:catAx>
        <c:axId val="1492322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49246336"/>
        <c:crosses val="autoZero"/>
        <c:auto val="1"/>
        <c:lblAlgn val="ctr"/>
        <c:lblOffset val="100"/>
      </c:catAx>
      <c:valAx>
        <c:axId val="1492463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14923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477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526"/>
          <c:y val="0.18870710605619637"/>
          <c:w val="0.54812733694268789"/>
          <c:h val="0.641724857563562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43795690407271E-3"/>
                  <c:y val="-7.01794905485470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90,3%*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8576671150833416E-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79,6%*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848.4</c:v>
                </c:pt>
                <c:pt idx="1">
                  <c:v>412.9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3074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82,4%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1115929197234882E-3"/>
                  <c:y val="-3.9668052282720292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75,1%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698.9</c:v>
                </c:pt>
                <c:pt idx="1">
                  <c:v>310.10000000000002</c:v>
                </c:pt>
              </c:numCache>
            </c:numRef>
          </c:val>
        </c:ser>
        <c:dLbls>
          <c:showVal val="1"/>
        </c:dLbls>
        <c:axId val="149404288"/>
        <c:axId val="149418368"/>
      </c:barChart>
      <c:catAx>
        <c:axId val="1494042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49418368"/>
        <c:crosses val="autoZero"/>
        <c:auto val="1"/>
        <c:lblAlgn val="ctr"/>
        <c:lblOffset val="100"/>
      </c:catAx>
      <c:valAx>
        <c:axId val="1494183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14940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3259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391712438"/>
          <c:y val="0.10325364564086528"/>
          <c:w val="0.6583308779950906"/>
          <c:h val="0.5594117803273996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август 2014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+23,0*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0606060606060632E-3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+59,4*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0202020202020202E-3"/>
                  <c:y val="1.4440433212996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+11,4*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593,4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1592.6</c:v>
                </c:pt>
                <c:pt idx="1">
                  <c:v>499.6</c:v>
                </c:pt>
                <c:pt idx="2">
                  <c:v>1093</c:v>
                </c:pt>
                <c:pt idx="3">
                  <c:v>-593.4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август 2015 года</c:v>
                </c:pt>
              </c:strCache>
            </c:strRef>
          </c:tx>
          <c:dLbls>
            <c:dLbl>
              <c:idx val="0"/>
              <c:layout>
                <c:manualLayout>
                  <c:x val="3.5711922373339748E-2"/>
                  <c:y val="1.394657797739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-23,6*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383679312813196E-2"/>
                  <c:y val="1.44404332129964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-18,4*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8383838383838395E-2"/>
                  <c:y val="1.4440433212996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-26,0*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1216.5999999999999</c:v>
                </c:pt>
                <c:pt idx="1">
                  <c:v>407.6</c:v>
                </c:pt>
                <c:pt idx="2">
                  <c:v>808.9</c:v>
                </c:pt>
                <c:pt idx="3">
                  <c:v>-401.2999999999995</c:v>
                </c:pt>
              </c:numCache>
            </c:numRef>
          </c:val>
        </c:ser>
        <c:dLbls>
          <c:showVal val="1"/>
        </c:dLbls>
        <c:gapWidth val="50"/>
        <c:overlap val="60"/>
        <c:axId val="149387136"/>
        <c:axId val="149388672"/>
      </c:barChart>
      <c:catAx>
        <c:axId val="14938713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9388672"/>
        <c:crosses val="autoZero"/>
        <c:lblAlgn val="ctr"/>
        <c:lblOffset val="20"/>
        <c:tickMarkSkip val="1"/>
      </c:catAx>
      <c:valAx>
        <c:axId val="149388672"/>
        <c:scaling>
          <c:orientation val="minMax"/>
          <c:max val="1600"/>
          <c:min val="-6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444E-2"/>
              <c:y val="2.5052373040526069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9387136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801261829653024E-2"/>
          <c:y val="3.155006703298778E-2"/>
          <c:w val="0.92836811128945951"/>
          <c:h val="0.426448404475756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август 2014 год</c:v>
                </c:pt>
              </c:strCache>
            </c:strRef>
          </c:tx>
          <c:dLbls>
            <c:dLbl>
              <c:idx val="0"/>
              <c:layout>
                <c:manualLayout>
                  <c:x val="-6.420593324888044E-3"/>
                  <c:y val="1.547612303857708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34,0*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18,9*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12,9*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174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2,1*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169.9</c:v>
                </c:pt>
                <c:pt idx="1">
                  <c:v>110.6</c:v>
                </c:pt>
                <c:pt idx="2">
                  <c:v>94.2</c:v>
                </c:pt>
                <c:pt idx="3">
                  <c:v>64.2</c:v>
                </c:pt>
                <c:pt idx="4">
                  <c:v>18.399999999999999</c:v>
                </c:pt>
                <c:pt idx="5">
                  <c:v>31.6</c:v>
                </c:pt>
                <c:pt idx="6">
                  <c:v>10.700000000000045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август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23,6*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36,4*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16,9*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94</c:v>
                </c:pt>
                <c:pt idx="1">
                  <c:v>148.19999999999999</c:v>
                </c:pt>
                <c:pt idx="2">
                  <c:v>69</c:v>
                </c:pt>
                <c:pt idx="3">
                  <c:v>52.3</c:v>
                </c:pt>
                <c:pt idx="4">
                  <c:v>16.899999999999999</c:v>
                </c:pt>
                <c:pt idx="5">
                  <c:v>16.899999999999999</c:v>
                </c:pt>
                <c:pt idx="6">
                  <c:v>10.400000000000034</c:v>
                </c:pt>
              </c:numCache>
            </c:numRef>
          </c:val>
        </c:ser>
        <c:dLbls>
          <c:showVal val="1"/>
        </c:dLbls>
        <c:gapWidth val="160"/>
        <c:axId val="149727104"/>
        <c:axId val="149728640"/>
      </c:barChart>
      <c:catAx>
        <c:axId val="14972710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728640"/>
        <c:crosses val="autoZero"/>
        <c:lblAlgn val="ctr"/>
        <c:lblOffset val="160"/>
        <c:tickLblSkip val="1"/>
        <c:tickMarkSkip val="1"/>
      </c:catAx>
      <c:valAx>
        <c:axId val="1497286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72710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621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gosharova-s</cp:lastModifiedBy>
  <cp:revision>9</cp:revision>
  <dcterms:created xsi:type="dcterms:W3CDTF">2015-09-17T08:37:00Z</dcterms:created>
  <dcterms:modified xsi:type="dcterms:W3CDTF">2015-09-22T12:15:00Z</dcterms:modified>
</cp:coreProperties>
</file>