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10" w:rsidRPr="00497C5F" w:rsidRDefault="00447510" w:rsidP="00497C5F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97C5F">
        <w:rPr>
          <w:rFonts w:ascii="Times New Roman" w:hAnsi="Times New Roman" w:cs="Times New Roman"/>
          <w:sz w:val="24"/>
          <w:szCs w:val="24"/>
        </w:rPr>
        <w:t xml:space="preserve">Краткие итоги социально-экономического развития Приднестровской Молдавской Республики в январе - июле 2015 года </w:t>
      </w:r>
    </w:p>
    <w:p w:rsidR="00447510" w:rsidRPr="00497C5F" w:rsidRDefault="00447510" w:rsidP="00497C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7510" w:rsidRPr="00497C5F" w:rsidRDefault="00447510" w:rsidP="00497C5F">
      <w:pPr>
        <w:pStyle w:val="a3"/>
        <w:spacing w:before="0" w:beforeAutospacing="0" w:after="0" w:afterAutospacing="0"/>
        <w:ind w:firstLine="709"/>
        <w:jc w:val="both"/>
      </w:pPr>
      <w:r w:rsidRPr="00497C5F">
        <w:t>Сохраняющиеся ограничения и барьеры при осуществлении внешнеэкономической деятельности</w:t>
      </w:r>
      <w:r w:rsidR="00497C5F" w:rsidRPr="00497C5F">
        <w:t>, потеря рынков сбыта основных видов приднестровских товаров,</w:t>
      </w:r>
      <w:r w:rsidRPr="00497C5F">
        <w:t xml:space="preserve"> в совокупности с </w:t>
      </w:r>
      <w:proofErr w:type="spellStart"/>
      <w:r w:rsidR="00B3234D">
        <w:t>волатильностью</w:t>
      </w:r>
      <w:proofErr w:type="spellEnd"/>
      <w:r w:rsidR="00B3234D">
        <w:t xml:space="preserve"> курсов валют основных стран партнеров</w:t>
      </w:r>
      <w:r w:rsidR="00C77ABA">
        <w:t>,</w:t>
      </w:r>
      <w:r w:rsidR="00497C5F" w:rsidRPr="00497C5F">
        <w:t xml:space="preserve"> </w:t>
      </w:r>
      <w:r w:rsidRPr="00497C5F">
        <w:t>усиливают риски осуществления внешнеэкономической деятельности хозяйствующими субъектами республики в январе-ию</w:t>
      </w:r>
      <w:r w:rsidR="00F71546" w:rsidRPr="00497C5F">
        <w:t>л</w:t>
      </w:r>
      <w:r w:rsidRPr="00497C5F">
        <w:t>е 2015 года и отражаются на динамике промышленного производства.</w:t>
      </w:r>
    </w:p>
    <w:p w:rsidR="00447510" w:rsidRPr="00497C5F" w:rsidRDefault="00447510" w:rsidP="00497C5F">
      <w:pPr>
        <w:pStyle w:val="a3"/>
        <w:spacing w:before="0" w:beforeAutospacing="0" w:after="0" w:afterAutospacing="0"/>
        <w:ind w:firstLine="709"/>
        <w:jc w:val="both"/>
      </w:pPr>
    </w:p>
    <w:p w:rsidR="00447510" w:rsidRPr="00497C5F" w:rsidRDefault="00447510" w:rsidP="00497C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7C5F">
        <w:rPr>
          <w:rFonts w:ascii="Times New Roman" w:hAnsi="Times New Roman"/>
          <w:b/>
          <w:sz w:val="24"/>
          <w:szCs w:val="24"/>
          <w:u w:val="single"/>
        </w:rPr>
        <w:t>Промышленность</w:t>
      </w:r>
    </w:p>
    <w:p w:rsidR="00447510" w:rsidRPr="00497C5F" w:rsidRDefault="00447510" w:rsidP="00497C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C5F">
        <w:rPr>
          <w:rFonts w:ascii="Times New Roman" w:hAnsi="Times New Roman"/>
          <w:sz w:val="24"/>
          <w:szCs w:val="24"/>
        </w:rPr>
        <w:t xml:space="preserve">Ситуация в индустриальном секторе республики в рассматриваемом периоде складывалась под влиянием </w:t>
      </w:r>
      <w:r w:rsidR="0069533C" w:rsidRPr="00497C5F">
        <w:rPr>
          <w:rFonts w:ascii="Times New Roman" w:hAnsi="Times New Roman"/>
          <w:sz w:val="24"/>
          <w:szCs w:val="24"/>
        </w:rPr>
        <w:t xml:space="preserve">действия </w:t>
      </w:r>
      <w:r w:rsidR="0069533C" w:rsidRPr="00497C5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ограничений со стороны соседних государств, а также падения спроса на приднестровскую продукцию на традиционных рынках сбыта</w:t>
      </w:r>
      <w:r w:rsidRPr="00497C5F">
        <w:rPr>
          <w:rFonts w:ascii="Times New Roman" w:hAnsi="Times New Roman"/>
          <w:sz w:val="24"/>
          <w:szCs w:val="24"/>
        </w:rPr>
        <w:t>. Объем п</w:t>
      </w:r>
      <w:r w:rsidRPr="00497C5F">
        <w:rPr>
          <w:rFonts w:ascii="Times New Roman" w:hAnsi="Times New Roman"/>
          <w:snapToGrid w:val="0"/>
          <w:sz w:val="24"/>
          <w:szCs w:val="24"/>
        </w:rPr>
        <w:t>ромышленного производства</w:t>
      </w:r>
      <w:r w:rsidRPr="00497C5F">
        <w:rPr>
          <w:rFonts w:ascii="Times New Roman" w:hAnsi="Times New Roman"/>
          <w:sz w:val="24"/>
          <w:szCs w:val="24"/>
        </w:rPr>
        <w:t xml:space="preserve"> (без учета субъектов малого предпринимательства) в целом за январь – ию</w:t>
      </w:r>
      <w:r w:rsidR="00F71546" w:rsidRPr="00497C5F">
        <w:rPr>
          <w:rFonts w:ascii="Times New Roman" w:hAnsi="Times New Roman"/>
          <w:sz w:val="24"/>
          <w:szCs w:val="24"/>
        </w:rPr>
        <w:t>л</w:t>
      </w:r>
      <w:r w:rsidRPr="00497C5F">
        <w:rPr>
          <w:rFonts w:ascii="Times New Roman" w:hAnsi="Times New Roman"/>
          <w:sz w:val="24"/>
          <w:szCs w:val="24"/>
        </w:rPr>
        <w:t xml:space="preserve">ь </w:t>
      </w:r>
      <w:r w:rsidRPr="00497C5F">
        <w:rPr>
          <w:rFonts w:ascii="Times New Roman" w:hAnsi="Times New Roman"/>
          <w:snapToGrid w:val="0"/>
          <w:sz w:val="24"/>
          <w:szCs w:val="24"/>
        </w:rPr>
        <w:t xml:space="preserve">2015 года </w:t>
      </w:r>
      <w:r w:rsidRPr="00497C5F">
        <w:rPr>
          <w:rFonts w:ascii="Times New Roman" w:hAnsi="Times New Roman"/>
          <w:sz w:val="24"/>
          <w:szCs w:val="24"/>
        </w:rPr>
        <w:t xml:space="preserve">составил в абсолютной величине </w:t>
      </w:r>
      <w:r w:rsidR="00F71546" w:rsidRPr="00497C5F">
        <w:rPr>
          <w:rFonts w:ascii="Times New Roman" w:hAnsi="Times New Roman"/>
          <w:sz w:val="24"/>
          <w:szCs w:val="24"/>
        </w:rPr>
        <w:t>5</w:t>
      </w:r>
      <w:r w:rsidRPr="00497C5F">
        <w:rPr>
          <w:rFonts w:ascii="Times New Roman" w:hAnsi="Times New Roman"/>
          <w:sz w:val="24"/>
          <w:szCs w:val="24"/>
        </w:rPr>
        <w:t> </w:t>
      </w:r>
      <w:r w:rsidR="00F71546" w:rsidRPr="00497C5F">
        <w:rPr>
          <w:rFonts w:ascii="Times New Roman" w:hAnsi="Times New Roman"/>
          <w:sz w:val="24"/>
          <w:szCs w:val="24"/>
        </w:rPr>
        <w:t>120</w:t>
      </w:r>
      <w:r w:rsidRPr="00497C5F">
        <w:rPr>
          <w:rFonts w:ascii="Times New Roman" w:hAnsi="Times New Roman"/>
          <w:sz w:val="24"/>
          <w:szCs w:val="24"/>
        </w:rPr>
        <w:t>,</w:t>
      </w:r>
      <w:r w:rsidR="00F71546" w:rsidRPr="00497C5F">
        <w:rPr>
          <w:rFonts w:ascii="Times New Roman" w:hAnsi="Times New Roman"/>
          <w:sz w:val="24"/>
          <w:szCs w:val="24"/>
        </w:rPr>
        <w:t>8</w:t>
      </w:r>
      <w:r w:rsidRPr="00497C5F">
        <w:rPr>
          <w:rFonts w:ascii="Times New Roman" w:hAnsi="Times New Roman"/>
          <w:sz w:val="24"/>
          <w:szCs w:val="24"/>
        </w:rPr>
        <w:t xml:space="preserve"> млн. руб., что ниже аналогичног</w:t>
      </w:r>
      <w:r w:rsidR="00F71546" w:rsidRPr="00497C5F">
        <w:rPr>
          <w:rFonts w:ascii="Times New Roman" w:hAnsi="Times New Roman"/>
          <w:sz w:val="24"/>
          <w:szCs w:val="24"/>
        </w:rPr>
        <w:t>о показателя прошлого года на 10,0</w:t>
      </w:r>
      <w:r w:rsidRPr="00497C5F">
        <w:rPr>
          <w:rFonts w:ascii="Times New Roman" w:hAnsi="Times New Roman"/>
          <w:sz w:val="24"/>
          <w:szCs w:val="24"/>
        </w:rPr>
        <w:t xml:space="preserve">%. </w:t>
      </w:r>
    </w:p>
    <w:p w:rsidR="00447510" w:rsidRPr="00497C5F" w:rsidRDefault="00497C5F" w:rsidP="00497C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C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386080</wp:posOffset>
            </wp:positionV>
            <wp:extent cx="2571750" cy="1866900"/>
            <wp:effectExtent l="19050" t="0" r="0" b="0"/>
            <wp:wrapTight wrapText="bothSides">
              <wp:wrapPolygon edited="0">
                <wp:start x="-160" y="0"/>
                <wp:lineTo x="-160" y="21380"/>
                <wp:lineTo x="21600" y="21380"/>
                <wp:lineTo x="21600" y="0"/>
                <wp:lineTo x="-160" y="0"/>
              </wp:wrapPolygon>
            </wp:wrapTight>
            <wp:docPr id="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497C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386080</wp:posOffset>
            </wp:positionV>
            <wp:extent cx="3743325" cy="1781175"/>
            <wp:effectExtent l="19050" t="0" r="0" b="0"/>
            <wp:wrapTight wrapText="bothSides">
              <wp:wrapPolygon edited="0">
                <wp:start x="-110" y="0"/>
                <wp:lineTo x="-110" y="21253"/>
                <wp:lineTo x="21545" y="21253"/>
                <wp:lineTo x="21545" y="0"/>
                <wp:lineTo x="-110" y="0"/>
              </wp:wrapPolygon>
            </wp:wrapTight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447510" w:rsidRPr="00497C5F">
        <w:rPr>
          <w:rFonts w:ascii="Times New Roman" w:hAnsi="Times New Roman"/>
          <w:sz w:val="24"/>
          <w:szCs w:val="24"/>
        </w:rPr>
        <w:t>Отраслевая структура промышленного п</w:t>
      </w:r>
      <w:r w:rsidR="00F71546" w:rsidRPr="00497C5F">
        <w:rPr>
          <w:rFonts w:ascii="Times New Roman" w:hAnsi="Times New Roman"/>
          <w:sz w:val="24"/>
          <w:szCs w:val="24"/>
        </w:rPr>
        <w:t>роизводства по итогам января - июля</w:t>
      </w:r>
      <w:r w:rsidR="00447510" w:rsidRPr="00497C5F">
        <w:rPr>
          <w:rFonts w:ascii="Times New Roman" w:hAnsi="Times New Roman"/>
          <w:sz w:val="24"/>
          <w:szCs w:val="24"/>
        </w:rPr>
        <w:t xml:space="preserve">              2015 года выглядела следующим образом:</w:t>
      </w:r>
    </w:p>
    <w:p w:rsidR="00447510" w:rsidRPr="00497C5F" w:rsidRDefault="00447510" w:rsidP="00497C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C5F">
        <w:rPr>
          <w:rFonts w:ascii="Times New Roman" w:hAnsi="Times New Roman"/>
          <w:sz w:val="24"/>
          <w:szCs w:val="24"/>
        </w:rPr>
        <w:t>Так увеличение объемов производства в электроэнергетике позволило сохранить лидирующую позицию в структуре выпуска – 4</w:t>
      </w:r>
      <w:r w:rsidR="0045111B" w:rsidRPr="00497C5F">
        <w:rPr>
          <w:rFonts w:ascii="Times New Roman" w:hAnsi="Times New Roman"/>
          <w:sz w:val="24"/>
          <w:szCs w:val="24"/>
        </w:rPr>
        <w:t>0</w:t>
      </w:r>
      <w:r w:rsidRPr="00497C5F">
        <w:rPr>
          <w:rFonts w:ascii="Times New Roman" w:hAnsi="Times New Roman"/>
          <w:sz w:val="24"/>
          <w:szCs w:val="24"/>
        </w:rPr>
        <w:t>,1% (3</w:t>
      </w:r>
      <w:r w:rsidR="0045111B" w:rsidRPr="00497C5F">
        <w:rPr>
          <w:rFonts w:ascii="Times New Roman" w:hAnsi="Times New Roman"/>
          <w:sz w:val="24"/>
          <w:szCs w:val="24"/>
        </w:rPr>
        <w:t>0</w:t>
      </w:r>
      <w:r w:rsidRPr="00497C5F">
        <w:rPr>
          <w:rFonts w:ascii="Times New Roman" w:hAnsi="Times New Roman"/>
          <w:sz w:val="24"/>
          <w:szCs w:val="24"/>
        </w:rPr>
        <w:t>,</w:t>
      </w:r>
      <w:r w:rsidR="0045111B" w:rsidRPr="00497C5F">
        <w:rPr>
          <w:rFonts w:ascii="Times New Roman" w:hAnsi="Times New Roman"/>
          <w:sz w:val="24"/>
          <w:szCs w:val="24"/>
        </w:rPr>
        <w:t>6</w:t>
      </w:r>
      <w:r w:rsidRPr="00497C5F">
        <w:rPr>
          <w:rFonts w:ascii="Times New Roman" w:hAnsi="Times New Roman"/>
          <w:sz w:val="24"/>
          <w:szCs w:val="24"/>
        </w:rPr>
        <w:t>% в январе-ию</w:t>
      </w:r>
      <w:r w:rsidR="0045111B" w:rsidRPr="00497C5F">
        <w:rPr>
          <w:rFonts w:ascii="Times New Roman" w:hAnsi="Times New Roman"/>
          <w:sz w:val="24"/>
          <w:szCs w:val="24"/>
        </w:rPr>
        <w:t>л</w:t>
      </w:r>
      <w:r w:rsidRPr="00497C5F">
        <w:rPr>
          <w:rFonts w:ascii="Times New Roman" w:hAnsi="Times New Roman"/>
          <w:sz w:val="24"/>
          <w:szCs w:val="24"/>
        </w:rPr>
        <w:t xml:space="preserve">е 2014 года). На металлургию в результате приостановки производственных мощностей </w:t>
      </w:r>
      <w:r w:rsidRPr="00497C5F">
        <w:rPr>
          <w:rFonts w:ascii="Times New Roman" w:hAnsi="Times New Roman"/>
          <w:sz w:val="24"/>
          <w:szCs w:val="24"/>
        </w:rPr>
        <w:br/>
        <w:t>ОАО «Молдавский металлургический завод» в период января-февраля текущего</w:t>
      </w:r>
      <w:r w:rsidRPr="00497C5F">
        <w:rPr>
          <w:sz w:val="24"/>
          <w:szCs w:val="24"/>
        </w:rPr>
        <w:t xml:space="preserve"> </w:t>
      </w:r>
      <w:r w:rsidRPr="00497C5F">
        <w:rPr>
          <w:rFonts w:ascii="Times New Roman" w:hAnsi="Times New Roman"/>
          <w:sz w:val="24"/>
          <w:szCs w:val="24"/>
        </w:rPr>
        <w:t>года, в рассматриваемом периоде приходилось 2</w:t>
      </w:r>
      <w:r w:rsidR="0066076B" w:rsidRPr="00497C5F">
        <w:rPr>
          <w:rFonts w:ascii="Times New Roman" w:hAnsi="Times New Roman"/>
          <w:sz w:val="24"/>
          <w:szCs w:val="24"/>
        </w:rPr>
        <w:t>5</w:t>
      </w:r>
      <w:r w:rsidRPr="00497C5F">
        <w:rPr>
          <w:rFonts w:ascii="Times New Roman" w:hAnsi="Times New Roman"/>
          <w:sz w:val="24"/>
          <w:szCs w:val="24"/>
        </w:rPr>
        <w:t>,</w:t>
      </w:r>
      <w:r w:rsidR="0066076B" w:rsidRPr="00497C5F">
        <w:rPr>
          <w:rFonts w:ascii="Times New Roman" w:hAnsi="Times New Roman"/>
          <w:sz w:val="24"/>
          <w:szCs w:val="24"/>
        </w:rPr>
        <w:t>2</w:t>
      </w:r>
      <w:r w:rsidRPr="00497C5F">
        <w:rPr>
          <w:rFonts w:ascii="Times New Roman" w:hAnsi="Times New Roman"/>
          <w:sz w:val="24"/>
          <w:szCs w:val="24"/>
        </w:rPr>
        <w:t>% выпуска в промышленности, против 29,</w:t>
      </w:r>
      <w:r w:rsidR="0066076B" w:rsidRPr="00497C5F">
        <w:rPr>
          <w:rFonts w:ascii="Times New Roman" w:hAnsi="Times New Roman"/>
          <w:sz w:val="24"/>
          <w:szCs w:val="24"/>
        </w:rPr>
        <w:t>8</w:t>
      </w:r>
      <w:r w:rsidRPr="00497C5F">
        <w:rPr>
          <w:rFonts w:ascii="Times New Roman" w:hAnsi="Times New Roman"/>
          <w:sz w:val="24"/>
          <w:szCs w:val="24"/>
        </w:rPr>
        <w:t>% в январе-ию</w:t>
      </w:r>
      <w:r w:rsidR="0066076B" w:rsidRPr="00497C5F">
        <w:rPr>
          <w:rFonts w:ascii="Times New Roman" w:hAnsi="Times New Roman"/>
          <w:sz w:val="24"/>
          <w:szCs w:val="24"/>
        </w:rPr>
        <w:t>л</w:t>
      </w:r>
      <w:r w:rsidRPr="00497C5F">
        <w:rPr>
          <w:rFonts w:ascii="Times New Roman" w:hAnsi="Times New Roman"/>
          <w:sz w:val="24"/>
          <w:szCs w:val="24"/>
        </w:rPr>
        <w:t>е 2014 года. Предприятия легкой и пищевой промышленности сформировали 1</w:t>
      </w:r>
      <w:r w:rsidR="0066076B" w:rsidRPr="00497C5F">
        <w:rPr>
          <w:rFonts w:ascii="Times New Roman" w:hAnsi="Times New Roman"/>
          <w:sz w:val="24"/>
          <w:szCs w:val="24"/>
        </w:rPr>
        <w:t>1</w:t>
      </w:r>
      <w:r w:rsidRPr="00497C5F">
        <w:rPr>
          <w:rFonts w:ascii="Times New Roman" w:hAnsi="Times New Roman"/>
          <w:sz w:val="24"/>
          <w:szCs w:val="24"/>
        </w:rPr>
        <w:t>,</w:t>
      </w:r>
      <w:r w:rsidR="0066076B" w:rsidRPr="00497C5F">
        <w:rPr>
          <w:rFonts w:ascii="Times New Roman" w:hAnsi="Times New Roman"/>
          <w:sz w:val="24"/>
          <w:szCs w:val="24"/>
        </w:rPr>
        <w:t>9</w:t>
      </w:r>
      <w:r w:rsidRPr="00497C5F">
        <w:rPr>
          <w:rFonts w:ascii="Times New Roman" w:hAnsi="Times New Roman"/>
          <w:sz w:val="24"/>
          <w:szCs w:val="24"/>
        </w:rPr>
        <w:t>% и 10,</w:t>
      </w:r>
      <w:r w:rsidR="0066076B" w:rsidRPr="00497C5F">
        <w:rPr>
          <w:rFonts w:ascii="Times New Roman" w:hAnsi="Times New Roman"/>
          <w:sz w:val="24"/>
          <w:szCs w:val="24"/>
        </w:rPr>
        <w:t>3</w:t>
      </w:r>
      <w:r w:rsidRPr="00497C5F">
        <w:rPr>
          <w:rFonts w:ascii="Times New Roman" w:hAnsi="Times New Roman"/>
          <w:sz w:val="24"/>
          <w:szCs w:val="24"/>
        </w:rPr>
        <w:t>% товарного выпуска соответственно, против 12,9% и 12,</w:t>
      </w:r>
      <w:r w:rsidR="0066076B" w:rsidRPr="00497C5F">
        <w:rPr>
          <w:rFonts w:ascii="Times New Roman" w:hAnsi="Times New Roman"/>
          <w:sz w:val="24"/>
          <w:szCs w:val="24"/>
        </w:rPr>
        <w:t>3</w:t>
      </w:r>
      <w:r w:rsidRPr="00497C5F">
        <w:rPr>
          <w:rFonts w:ascii="Times New Roman" w:hAnsi="Times New Roman"/>
          <w:sz w:val="24"/>
          <w:szCs w:val="24"/>
        </w:rPr>
        <w:t>% в аналогичном периоде 2014 года.</w:t>
      </w:r>
    </w:p>
    <w:p w:rsidR="00447510" w:rsidRPr="00497C5F" w:rsidRDefault="00447510" w:rsidP="00497C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7C5F">
        <w:rPr>
          <w:rFonts w:ascii="Times New Roman" w:hAnsi="Times New Roman"/>
          <w:sz w:val="24"/>
          <w:szCs w:val="24"/>
        </w:rPr>
        <w:t>Анализируя показатели промышленного производства в ию</w:t>
      </w:r>
      <w:r w:rsidR="0066076B" w:rsidRPr="00497C5F">
        <w:rPr>
          <w:rFonts w:ascii="Times New Roman" w:hAnsi="Times New Roman"/>
          <w:sz w:val="24"/>
          <w:szCs w:val="24"/>
        </w:rPr>
        <w:t>л</w:t>
      </w:r>
      <w:r w:rsidRPr="00497C5F">
        <w:rPr>
          <w:rFonts w:ascii="Times New Roman" w:hAnsi="Times New Roman"/>
          <w:sz w:val="24"/>
          <w:szCs w:val="24"/>
        </w:rPr>
        <w:t xml:space="preserve">е 2015 года, необходимо отметить, что в данном месяце </w:t>
      </w:r>
      <w:r w:rsidR="00CE1F10" w:rsidRPr="00497C5F">
        <w:rPr>
          <w:rFonts w:ascii="Times New Roman" w:hAnsi="Times New Roman"/>
          <w:sz w:val="24"/>
          <w:szCs w:val="24"/>
        </w:rPr>
        <w:t>зафиксировано</w:t>
      </w:r>
      <w:r w:rsidRPr="00497C5F">
        <w:rPr>
          <w:rFonts w:ascii="Times New Roman" w:hAnsi="Times New Roman"/>
          <w:sz w:val="24"/>
          <w:szCs w:val="24"/>
        </w:rPr>
        <w:t xml:space="preserve"> </w:t>
      </w:r>
      <w:r w:rsidR="0066076B" w:rsidRPr="00497C5F">
        <w:rPr>
          <w:rFonts w:ascii="Times New Roman" w:hAnsi="Times New Roman"/>
          <w:sz w:val="24"/>
          <w:szCs w:val="24"/>
        </w:rPr>
        <w:t>увеличение</w:t>
      </w:r>
      <w:r w:rsidRPr="00497C5F">
        <w:rPr>
          <w:rFonts w:ascii="Times New Roman" w:hAnsi="Times New Roman"/>
          <w:sz w:val="24"/>
          <w:szCs w:val="24"/>
        </w:rPr>
        <w:t xml:space="preserve"> промышленного производства в целом по отрасли к уровню </w:t>
      </w:r>
      <w:r w:rsidR="0066076B" w:rsidRPr="00497C5F">
        <w:rPr>
          <w:rFonts w:ascii="Times New Roman" w:hAnsi="Times New Roman"/>
          <w:sz w:val="24"/>
          <w:szCs w:val="24"/>
        </w:rPr>
        <w:t>июля</w:t>
      </w:r>
      <w:r w:rsidRPr="00497C5F">
        <w:rPr>
          <w:rFonts w:ascii="Times New Roman" w:hAnsi="Times New Roman"/>
          <w:sz w:val="24"/>
          <w:szCs w:val="24"/>
        </w:rPr>
        <w:t xml:space="preserve"> 201</w:t>
      </w:r>
      <w:r w:rsidR="00CE1F10" w:rsidRPr="00497C5F">
        <w:rPr>
          <w:rFonts w:ascii="Times New Roman" w:hAnsi="Times New Roman"/>
          <w:sz w:val="24"/>
          <w:szCs w:val="24"/>
        </w:rPr>
        <w:t>4 года на 3,8</w:t>
      </w:r>
      <w:r w:rsidRPr="00497C5F">
        <w:rPr>
          <w:rFonts w:ascii="Times New Roman" w:hAnsi="Times New Roman"/>
          <w:sz w:val="24"/>
          <w:szCs w:val="24"/>
        </w:rPr>
        <w:t>%. В абсолютном выражении объем промышленного производства в ию</w:t>
      </w:r>
      <w:r w:rsidR="00CE1F10" w:rsidRPr="00497C5F">
        <w:rPr>
          <w:rFonts w:ascii="Times New Roman" w:hAnsi="Times New Roman"/>
          <w:sz w:val="24"/>
          <w:szCs w:val="24"/>
        </w:rPr>
        <w:t>л</w:t>
      </w:r>
      <w:r w:rsidRPr="00497C5F">
        <w:rPr>
          <w:rFonts w:ascii="Times New Roman" w:hAnsi="Times New Roman"/>
          <w:sz w:val="24"/>
          <w:szCs w:val="24"/>
        </w:rPr>
        <w:t xml:space="preserve">е 2015 года составил </w:t>
      </w:r>
      <w:r w:rsidR="00CE1F10" w:rsidRPr="00497C5F">
        <w:rPr>
          <w:rFonts w:ascii="Times New Roman" w:hAnsi="Times New Roman"/>
          <w:sz w:val="24"/>
          <w:szCs w:val="24"/>
        </w:rPr>
        <w:t>904,8</w:t>
      </w:r>
      <w:r w:rsidRPr="00497C5F">
        <w:rPr>
          <w:rFonts w:ascii="Times New Roman" w:hAnsi="Times New Roman"/>
          <w:sz w:val="24"/>
          <w:szCs w:val="24"/>
        </w:rPr>
        <w:t xml:space="preserve"> млн. руб., что больше значения </w:t>
      </w:r>
      <w:r w:rsidR="00CE1F10" w:rsidRPr="00497C5F">
        <w:rPr>
          <w:rFonts w:ascii="Times New Roman" w:hAnsi="Times New Roman"/>
          <w:sz w:val="24"/>
          <w:szCs w:val="24"/>
        </w:rPr>
        <w:t>июня</w:t>
      </w:r>
      <w:r w:rsidRPr="00497C5F">
        <w:rPr>
          <w:rFonts w:ascii="Times New Roman" w:hAnsi="Times New Roman"/>
          <w:sz w:val="24"/>
          <w:szCs w:val="24"/>
        </w:rPr>
        <w:t xml:space="preserve"> 2015 года на </w:t>
      </w:r>
      <w:r w:rsidR="00CE1F10" w:rsidRPr="00497C5F">
        <w:rPr>
          <w:rFonts w:ascii="Times New Roman" w:hAnsi="Times New Roman"/>
          <w:sz w:val="24"/>
          <w:szCs w:val="24"/>
        </w:rPr>
        <w:t>6,3</w:t>
      </w:r>
      <w:r w:rsidRPr="00497C5F">
        <w:rPr>
          <w:rFonts w:ascii="Times New Roman" w:hAnsi="Times New Roman"/>
          <w:sz w:val="24"/>
          <w:szCs w:val="24"/>
        </w:rPr>
        <w:t xml:space="preserve">%, а также на </w:t>
      </w:r>
      <w:r w:rsidR="00CE1F10" w:rsidRPr="00497C5F">
        <w:rPr>
          <w:rFonts w:ascii="Times New Roman" w:hAnsi="Times New Roman"/>
          <w:sz w:val="24"/>
          <w:szCs w:val="24"/>
        </w:rPr>
        <w:t>12,8</w:t>
      </w:r>
      <w:r w:rsidRPr="00497C5F">
        <w:rPr>
          <w:rFonts w:ascii="Times New Roman" w:hAnsi="Times New Roman"/>
          <w:sz w:val="24"/>
          <w:szCs w:val="24"/>
        </w:rPr>
        <w:t>% выше показателя декабря 2014 года</w:t>
      </w:r>
      <w:proofErr w:type="gramEnd"/>
      <w:r w:rsidRPr="00497C5F">
        <w:rPr>
          <w:rFonts w:ascii="Times New Roman" w:hAnsi="Times New Roman"/>
          <w:sz w:val="24"/>
          <w:szCs w:val="24"/>
        </w:rPr>
        <w:t xml:space="preserve">. Достигнутые значения показателей промышленного производства свидетельствуют о </w:t>
      </w:r>
      <w:proofErr w:type="gramStart"/>
      <w:r w:rsidRPr="00497C5F">
        <w:rPr>
          <w:rFonts w:ascii="Times New Roman" w:hAnsi="Times New Roman"/>
          <w:sz w:val="24"/>
          <w:szCs w:val="24"/>
        </w:rPr>
        <w:t>наметивши</w:t>
      </w:r>
      <w:r w:rsidR="00CE1F10" w:rsidRPr="00497C5F">
        <w:rPr>
          <w:rFonts w:ascii="Times New Roman" w:hAnsi="Times New Roman"/>
          <w:sz w:val="24"/>
          <w:szCs w:val="24"/>
        </w:rPr>
        <w:t>м</w:t>
      </w:r>
      <w:r w:rsidRPr="00497C5F">
        <w:rPr>
          <w:rFonts w:ascii="Times New Roman" w:hAnsi="Times New Roman"/>
          <w:sz w:val="24"/>
          <w:szCs w:val="24"/>
        </w:rPr>
        <w:t>ся</w:t>
      </w:r>
      <w:proofErr w:type="gramEnd"/>
      <w:r w:rsidRPr="00497C5F">
        <w:rPr>
          <w:rFonts w:ascii="Times New Roman" w:hAnsi="Times New Roman"/>
          <w:sz w:val="24"/>
          <w:szCs w:val="24"/>
        </w:rPr>
        <w:t xml:space="preserve"> </w:t>
      </w:r>
      <w:r w:rsidR="00CE1F10" w:rsidRPr="00497C5F">
        <w:rPr>
          <w:rFonts w:ascii="Times New Roman" w:hAnsi="Times New Roman"/>
          <w:sz w:val="24"/>
          <w:szCs w:val="24"/>
        </w:rPr>
        <w:t xml:space="preserve">восстановительном росте в </w:t>
      </w:r>
      <w:r w:rsidRPr="00497C5F">
        <w:rPr>
          <w:rFonts w:ascii="Times New Roman" w:hAnsi="Times New Roman"/>
          <w:sz w:val="24"/>
          <w:szCs w:val="24"/>
        </w:rPr>
        <w:t>реальном секторе экономики.</w:t>
      </w:r>
    </w:p>
    <w:p w:rsidR="00447510" w:rsidRPr="00497C5F" w:rsidRDefault="00447510" w:rsidP="00497C5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7C5F">
        <w:rPr>
          <w:noProof/>
        </w:rPr>
        <w:lastRenderedPageBreak/>
        <w:drawing>
          <wp:inline distT="0" distB="0" distL="0" distR="0">
            <wp:extent cx="6162675" cy="1866900"/>
            <wp:effectExtent l="0" t="0" r="0" b="0"/>
            <wp:docPr id="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7510" w:rsidRPr="00497C5F" w:rsidRDefault="00447510" w:rsidP="00497C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C5F">
        <w:rPr>
          <w:rFonts w:ascii="Times New Roman" w:hAnsi="Times New Roman"/>
          <w:sz w:val="24"/>
          <w:szCs w:val="24"/>
        </w:rPr>
        <w:t>Помесячная динамика промышленного производства показывает снижение объемов производства по отдельным отраслям промышленности и промышленным предприятиям.</w:t>
      </w:r>
    </w:p>
    <w:p w:rsidR="00447510" w:rsidRPr="00497C5F" w:rsidRDefault="00447510" w:rsidP="00497C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C5F">
        <w:rPr>
          <w:rFonts w:ascii="Times New Roman" w:hAnsi="Times New Roman"/>
          <w:sz w:val="24"/>
          <w:szCs w:val="24"/>
        </w:rPr>
        <w:t>В разрезе отраслей динамика промышленного производства в ию</w:t>
      </w:r>
      <w:r w:rsidR="005C559D" w:rsidRPr="00497C5F">
        <w:rPr>
          <w:rFonts w:ascii="Times New Roman" w:hAnsi="Times New Roman"/>
          <w:sz w:val="24"/>
          <w:szCs w:val="24"/>
        </w:rPr>
        <w:t>л</w:t>
      </w:r>
      <w:r w:rsidRPr="00497C5F">
        <w:rPr>
          <w:rFonts w:ascii="Times New Roman" w:hAnsi="Times New Roman"/>
          <w:sz w:val="24"/>
          <w:szCs w:val="24"/>
        </w:rPr>
        <w:t>е 2015 года выглядит следующим образом.</w:t>
      </w:r>
    </w:p>
    <w:p w:rsidR="00447510" w:rsidRPr="00497C5F" w:rsidRDefault="00447510" w:rsidP="00497C5F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497C5F">
        <w:rPr>
          <w:b/>
        </w:rPr>
        <w:t>Динамика промышленной продукции в разрезе отраслей, млн. руб.</w:t>
      </w:r>
    </w:p>
    <w:p w:rsidR="00447510" w:rsidRPr="00497C5F" w:rsidRDefault="00447510" w:rsidP="00497C5F">
      <w:pPr>
        <w:pStyle w:val="a7"/>
        <w:ind w:firstLine="0"/>
        <w:jc w:val="center"/>
        <w:rPr>
          <w:b/>
        </w:rPr>
      </w:pPr>
      <w:r w:rsidRPr="00497C5F">
        <w:rPr>
          <w:rFonts w:eastAsia="Times New Roman"/>
          <w:b/>
          <w:noProof/>
          <w:lang w:eastAsia="ru-RU"/>
        </w:rPr>
        <w:drawing>
          <wp:inline distT="0" distB="0" distL="0" distR="0">
            <wp:extent cx="6048375" cy="2505075"/>
            <wp:effectExtent l="19050" t="0" r="9525" b="0"/>
            <wp:docPr id="5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7510" w:rsidRPr="00497C5F" w:rsidRDefault="00447510" w:rsidP="00497C5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97C5F">
        <w:rPr>
          <w:rFonts w:ascii="Times New Roman" w:hAnsi="Times New Roman"/>
          <w:sz w:val="24"/>
          <w:szCs w:val="24"/>
        </w:rPr>
        <w:t xml:space="preserve">В разрезе </w:t>
      </w:r>
      <w:proofErr w:type="spellStart"/>
      <w:r w:rsidRPr="00497C5F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497C5F">
        <w:rPr>
          <w:rFonts w:ascii="Times New Roman" w:hAnsi="Times New Roman"/>
          <w:sz w:val="24"/>
          <w:szCs w:val="24"/>
        </w:rPr>
        <w:t xml:space="preserve"> промышленности в январе - ию</w:t>
      </w:r>
      <w:r w:rsidR="005C559D" w:rsidRPr="00497C5F">
        <w:rPr>
          <w:rFonts w:ascii="Times New Roman" w:hAnsi="Times New Roman"/>
          <w:sz w:val="24"/>
          <w:szCs w:val="24"/>
        </w:rPr>
        <w:t>л</w:t>
      </w:r>
      <w:r w:rsidRPr="00497C5F">
        <w:rPr>
          <w:rFonts w:ascii="Times New Roman" w:hAnsi="Times New Roman"/>
          <w:sz w:val="24"/>
          <w:szCs w:val="24"/>
        </w:rPr>
        <w:t xml:space="preserve">е 2015 года увеличение промышленного производства по отношению к аналогичному периоду 2014 года отмечено в </w:t>
      </w:r>
      <w:proofErr w:type="gramStart"/>
      <w:r w:rsidRPr="00497C5F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497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C5F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497C5F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447510" w:rsidRPr="00497C5F" w:rsidRDefault="00447510" w:rsidP="00497C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C5F">
        <w:rPr>
          <w:rFonts w:ascii="Times New Roman" w:hAnsi="Times New Roman"/>
          <w:sz w:val="24"/>
          <w:szCs w:val="24"/>
        </w:rPr>
        <w:t xml:space="preserve">а) в </w:t>
      </w:r>
      <w:r w:rsidRPr="00497C5F">
        <w:rPr>
          <w:rFonts w:ascii="Times New Roman" w:hAnsi="Times New Roman"/>
          <w:b/>
          <w:sz w:val="24"/>
          <w:szCs w:val="24"/>
        </w:rPr>
        <w:t>электроэнергетическом комплексе</w:t>
      </w:r>
      <w:r w:rsidRPr="00497C5F">
        <w:rPr>
          <w:rFonts w:ascii="Times New Roman" w:hAnsi="Times New Roman"/>
          <w:sz w:val="24"/>
          <w:szCs w:val="24"/>
        </w:rPr>
        <w:t xml:space="preserve"> республики отмечается увеличение выработки электроэнергии в натуральном выражении в целом по отрасли на 1</w:t>
      </w:r>
      <w:r w:rsidR="00825878" w:rsidRPr="00497C5F">
        <w:rPr>
          <w:rFonts w:ascii="Times New Roman" w:hAnsi="Times New Roman"/>
          <w:sz w:val="24"/>
          <w:szCs w:val="24"/>
        </w:rPr>
        <w:t>8,7</w:t>
      </w:r>
      <w:r w:rsidRPr="00497C5F">
        <w:rPr>
          <w:rFonts w:ascii="Times New Roman" w:hAnsi="Times New Roman"/>
          <w:sz w:val="24"/>
          <w:szCs w:val="24"/>
        </w:rPr>
        <w:t>% по сравнению с соответствующим периодом 2014 года, в стоимостном выражении товарный выпуск отрасли вырос на 1</w:t>
      </w:r>
      <w:r w:rsidR="00825878" w:rsidRPr="00497C5F">
        <w:rPr>
          <w:rFonts w:ascii="Times New Roman" w:hAnsi="Times New Roman"/>
          <w:sz w:val="24"/>
          <w:szCs w:val="24"/>
        </w:rPr>
        <w:t>8</w:t>
      </w:r>
      <w:r w:rsidRPr="00497C5F">
        <w:rPr>
          <w:rFonts w:ascii="Times New Roman" w:hAnsi="Times New Roman"/>
          <w:sz w:val="24"/>
          <w:szCs w:val="24"/>
        </w:rPr>
        <w:t>,</w:t>
      </w:r>
      <w:r w:rsidR="00825878" w:rsidRPr="00497C5F">
        <w:rPr>
          <w:rFonts w:ascii="Times New Roman" w:hAnsi="Times New Roman"/>
          <w:sz w:val="24"/>
          <w:szCs w:val="24"/>
        </w:rPr>
        <w:t>2</w:t>
      </w:r>
      <w:r w:rsidRPr="00497C5F">
        <w:rPr>
          <w:rFonts w:ascii="Times New Roman" w:hAnsi="Times New Roman"/>
          <w:sz w:val="24"/>
          <w:szCs w:val="24"/>
        </w:rPr>
        <w:t>%.</w:t>
      </w:r>
    </w:p>
    <w:p w:rsidR="00447510" w:rsidRPr="00497C5F" w:rsidRDefault="00447510" w:rsidP="00497C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C5F">
        <w:rPr>
          <w:rFonts w:ascii="Times New Roman" w:hAnsi="Times New Roman"/>
          <w:sz w:val="24"/>
          <w:szCs w:val="24"/>
        </w:rPr>
        <w:t>В целом объем производства на крупнейшем предприятии электроэнергетической отрасли ЗАО «Молдавская ГРЭС» в течение рассматриваемого периода</w:t>
      </w:r>
      <w:r w:rsidR="007F0E28" w:rsidRPr="00497C5F">
        <w:rPr>
          <w:rFonts w:ascii="Times New Roman" w:hAnsi="Times New Roman"/>
          <w:sz w:val="24"/>
          <w:szCs w:val="24"/>
        </w:rPr>
        <w:t xml:space="preserve"> в сопоставимых ценах</w:t>
      </w:r>
      <w:r w:rsidRPr="00497C5F">
        <w:rPr>
          <w:rFonts w:ascii="Times New Roman" w:hAnsi="Times New Roman"/>
          <w:sz w:val="24"/>
          <w:szCs w:val="24"/>
        </w:rPr>
        <w:t xml:space="preserve"> увеличился на </w:t>
      </w:r>
      <w:r w:rsidR="00825878" w:rsidRPr="00497C5F">
        <w:rPr>
          <w:rFonts w:ascii="Times New Roman" w:hAnsi="Times New Roman"/>
          <w:sz w:val="24"/>
          <w:szCs w:val="24"/>
        </w:rPr>
        <w:t>21,8</w:t>
      </w:r>
      <w:r w:rsidRPr="00497C5F">
        <w:rPr>
          <w:rFonts w:ascii="Times New Roman" w:hAnsi="Times New Roman"/>
          <w:sz w:val="24"/>
          <w:szCs w:val="24"/>
        </w:rPr>
        <w:t>%;</w:t>
      </w:r>
    </w:p>
    <w:p w:rsidR="00447510" w:rsidRPr="00497C5F" w:rsidRDefault="00447510" w:rsidP="00497C5F">
      <w:pPr>
        <w:pStyle w:val="a8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97C5F">
        <w:rPr>
          <w:noProof/>
        </w:rPr>
        <w:drawing>
          <wp:inline distT="0" distB="0" distL="0" distR="0">
            <wp:extent cx="6477000" cy="2066925"/>
            <wp:effectExtent l="19050" t="0" r="0" b="0"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7510" w:rsidRPr="00497C5F" w:rsidRDefault="00447510" w:rsidP="00497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7C5F">
        <w:rPr>
          <w:rFonts w:ascii="Times New Roman" w:hAnsi="Times New Roman"/>
          <w:color w:val="000000"/>
          <w:sz w:val="24"/>
          <w:szCs w:val="24"/>
        </w:rPr>
        <w:lastRenderedPageBreak/>
        <w:t xml:space="preserve">в) в </w:t>
      </w:r>
      <w:r w:rsidRPr="00497C5F">
        <w:rPr>
          <w:rFonts w:ascii="Times New Roman" w:hAnsi="Times New Roman"/>
          <w:b/>
          <w:color w:val="000000"/>
          <w:sz w:val="24"/>
          <w:szCs w:val="24"/>
        </w:rPr>
        <w:t>полиграфической промышленности</w:t>
      </w:r>
      <w:r w:rsidRPr="00497C5F">
        <w:rPr>
          <w:rFonts w:ascii="Times New Roman" w:hAnsi="Times New Roman"/>
          <w:color w:val="000000"/>
          <w:sz w:val="24"/>
          <w:szCs w:val="24"/>
        </w:rPr>
        <w:t xml:space="preserve"> на фоне </w:t>
      </w:r>
      <w:r w:rsidR="001505AC" w:rsidRPr="00497C5F">
        <w:rPr>
          <w:rFonts w:ascii="Times New Roman" w:hAnsi="Times New Roman"/>
          <w:color w:val="000000"/>
          <w:sz w:val="24"/>
          <w:szCs w:val="24"/>
        </w:rPr>
        <w:t>расширения потребительского спроса на такие виды продукции как книги (в 13,0 раз), бумага потребительская («+» 25,0</w:t>
      </w:r>
      <w:r w:rsidR="001505AC">
        <w:rPr>
          <w:rFonts w:ascii="Times New Roman" w:hAnsi="Times New Roman"/>
          <w:color w:val="000000"/>
          <w:sz w:val="24"/>
          <w:szCs w:val="24"/>
        </w:rPr>
        <w:t>%) и</w:t>
      </w:r>
      <w:r w:rsidR="001505AC" w:rsidRPr="00497C5F">
        <w:rPr>
          <w:rFonts w:ascii="Times New Roman" w:hAnsi="Times New Roman"/>
          <w:color w:val="000000"/>
          <w:sz w:val="24"/>
          <w:szCs w:val="24"/>
        </w:rPr>
        <w:t xml:space="preserve"> этикеточные обертки печатные («+» 14,7</w:t>
      </w:r>
      <w:r w:rsidR="001505AC">
        <w:rPr>
          <w:rFonts w:ascii="Times New Roman" w:hAnsi="Times New Roman"/>
          <w:color w:val="000000"/>
          <w:sz w:val="24"/>
          <w:szCs w:val="24"/>
        </w:rPr>
        <w:t>),</w:t>
      </w:r>
      <w:r w:rsidRPr="00497C5F">
        <w:rPr>
          <w:rFonts w:ascii="Times New Roman" w:hAnsi="Times New Roman"/>
          <w:color w:val="000000"/>
          <w:sz w:val="24"/>
          <w:szCs w:val="24"/>
        </w:rPr>
        <w:t xml:space="preserve"> совокупная стоимостная величина товарного выпуска отрасли в январе – ию</w:t>
      </w:r>
      <w:r w:rsidR="007F0E28" w:rsidRPr="00497C5F">
        <w:rPr>
          <w:rFonts w:ascii="Times New Roman" w:hAnsi="Times New Roman"/>
          <w:color w:val="000000"/>
          <w:sz w:val="24"/>
          <w:szCs w:val="24"/>
        </w:rPr>
        <w:t>л</w:t>
      </w:r>
      <w:r w:rsidRPr="00497C5F">
        <w:rPr>
          <w:rFonts w:ascii="Times New Roman" w:hAnsi="Times New Roman"/>
          <w:color w:val="000000"/>
          <w:sz w:val="24"/>
          <w:szCs w:val="24"/>
        </w:rPr>
        <w:t>е 2015 года увеличилась к базисному значению 2014 года в 2,</w:t>
      </w:r>
      <w:r w:rsidR="007F0E28" w:rsidRPr="00497C5F">
        <w:rPr>
          <w:rFonts w:ascii="Times New Roman" w:hAnsi="Times New Roman"/>
          <w:color w:val="000000"/>
          <w:sz w:val="24"/>
          <w:szCs w:val="24"/>
        </w:rPr>
        <w:t>3</w:t>
      </w:r>
      <w:r w:rsidRPr="00497C5F">
        <w:rPr>
          <w:rFonts w:ascii="Times New Roman" w:hAnsi="Times New Roman"/>
          <w:color w:val="000000"/>
          <w:sz w:val="24"/>
          <w:szCs w:val="24"/>
        </w:rPr>
        <w:t xml:space="preserve"> раз</w:t>
      </w:r>
      <w:r w:rsidR="001505AC">
        <w:rPr>
          <w:rFonts w:ascii="Times New Roman" w:hAnsi="Times New Roman"/>
          <w:color w:val="000000"/>
          <w:sz w:val="24"/>
          <w:szCs w:val="24"/>
        </w:rPr>
        <w:t xml:space="preserve">. При этом 89,5% общего прироста по </w:t>
      </w:r>
      <w:proofErr w:type="spellStart"/>
      <w:r w:rsidR="001505AC">
        <w:rPr>
          <w:rFonts w:ascii="Times New Roman" w:hAnsi="Times New Roman"/>
          <w:color w:val="000000"/>
          <w:sz w:val="24"/>
          <w:szCs w:val="24"/>
        </w:rPr>
        <w:t>подотрасли</w:t>
      </w:r>
      <w:proofErr w:type="spellEnd"/>
      <w:r w:rsidR="001505AC">
        <w:rPr>
          <w:rFonts w:ascii="Times New Roman" w:hAnsi="Times New Roman"/>
          <w:color w:val="000000"/>
          <w:sz w:val="24"/>
          <w:szCs w:val="24"/>
        </w:rPr>
        <w:t xml:space="preserve"> обеспечено</w:t>
      </w:r>
      <w:r w:rsidR="00CE08A1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497C5F">
        <w:rPr>
          <w:rFonts w:ascii="Times New Roman" w:hAnsi="Times New Roman"/>
          <w:color w:val="000000"/>
          <w:sz w:val="24"/>
          <w:szCs w:val="24"/>
        </w:rPr>
        <w:t xml:space="preserve"> ГУИП Типография «Полиграфист»</w:t>
      </w:r>
      <w:r w:rsidR="001505AC">
        <w:rPr>
          <w:rFonts w:ascii="Times New Roman" w:hAnsi="Times New Roman"/>
          <w:color w:val="000000"/>
          <w:sz w:val="24"/>
          <w:szCs w:val="24"/>
        </w:rPr>
        <w:t>, объем пром</w:t>
      </w:r>
      <w:r w:rsidR="00CE08A1">
        <w:rPr>
          <w:rFonts w:ascii="Times New Roman" w:hAnsi="Times New Roman"/>
          <w:color w:val="000000"/>
          <w:sz w:val="24"/>
          <w:szCs w:val="24"/>
        </w:rPr>
        <w:t xml:space="preserve">ышленного </w:t>
      </w:r>
      <w:proofErr w:type="gramStart"/>
      <w:r w:rsidR="00CE08A1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gramEnd"/>
      <w:r w:rsidR="00CE08A1">
        <w:rPr>
          <w:rFonts w:ascii="Times New Roman" w:hAnsi="Times New Roman"/>
          <w:color w:val="000000"/>
          <w:sz w:val="24"/>
          <w:szCs w:val="24"/>
        </w:rPr>
        <w:t xml:space="preserve"> которого</w:t>
      </w:r>
      <w:r w:rsidR="001505AC">
        <w:rPr>
          <w:rFonts w:ascii="Times New Roman" w:hAnsi="Times New Roman"/>
          <w:color w:val="000000"/>
          <w:sz w:val="24"/>
          <w:szCs w:val="24"/>
        </w:rPr>
        <w:t xml:space="preserve"> в январе-июле 2015 года </w:t>
      </w:r>
      <w:r w:rsidR="00CE08A1">
        <w:rPr>
          <w:rFonts w:ascii="Times New Roman" w:hAnsi="Times New Roman"/>
          <w:color w:val="000000"/>
          <w:sz w:val="24"/>
          <w:szCs w:val="24"/>
        </w:rPr>
        <w:t>возрос</w:t>
      </w:r>
      <w:r w:rsidRPr="00497C5F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7F0E28" w:rsidRPr="00497C5F">
        <w:rPr>
          <w:rFonts w:ascii="Times New Roman" w:hAnsi="Times New Roman"/>
          <w:color w:val="000000"/>
          <w:sz w:val="24"/>
          <w:szCs w:val="24"/>
        </w:rPr>
        <w:t>2,6</w:t>
      </w:r>
      <w:r w:rsidRPr="00497C5F">
        <w:rPr>
          <w:rFonts w:ascii="Times New Roman" w:hAnsi="Times New Roman"/>
          <w:color w:val="000000"/>
          <w:sz w:val="24"/>
          <w:szCs w:val="24"/>
        </w:rPr>
        <w:t xml:space="preserve"> раз</w:t>
      </w:r>
      <w:r w:rsidR="00CE08A1">
        <w:rPr>
          <w:rFonts w:ascii="Times New Roman" w:hAnsi="Times New Roman"/>
          <w:color w:val="000000"/>
          <w:sz w:val="24"/>
          <w:szCs w:val="24"/>
        </w:rPr>
        <w:t>а по отношению к соответствующему периоду прошлого года</w:t>
      </w:r>
      <w:r w:rsidRPr="00497C5F">
        <w:rPr>
          <w:rFonts w:ascii="Times New Roman" w:hAnsi="Times New Roman"/>
          <w:color w:val="000000"/>
          <w:sz w:val="24"/>
          <w:szCs w:val="24"/>
        </w:rPr>
        <w:t>.</w:t>
      </w:r>
    </w:p>
    <w:p w:rsidR="00447510" w:rsidRPr="00497C5F" w:rsidRDefault="00447510" w:rsidP="00497C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497C5F">
        <w:rPr>
          <w:rFonts w:ascii="Times New Roman" w:hAnsi="Times New Roman"/>
          <w:sz w:val="24"/>
          <w:szCs w:val="24"/>
        </w:rPr>
        <w:t>Вместе с этим в январе - ию</w:t>
      </w:r>
      <w:r w:rsidR="00273DDA" w:rsidRPr="00497C5F">
        <w:rPr>
          <w:rFonts w:ascii="Times New Roman" w:hAnsi="Times New Roman"/>
          <w:sz w:val="24"/>
          <w:szCs w:val="24"/>
        </w:rPr>
        <w:t>л</w:t>
      </w:r>
      <w:r w:rsidRPr="00497C5F">
        <w:rPr>
          <w:rFonts w:ascii="Times New Roman" w:hAnsi="Times New Roman"/>
          <w:sz w:val="24"/>
          <w:szCs w:val="24"/>
        </w:rPr>
        <w:t xml:space="preserve">е 2015 года спад промышленного производства по отношению к аналогичному периоду 2014 года наблюдается в </w:t>
      </w:r>
      <w:proofErr w:type="gramStart"/>
      <w:r w:rsidRPr="00497C5F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497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C5F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497C5F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447510" w:rsidRPr="00497C5F" w:rsidRDefault="00447510" w:rsidP="00497C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497C5F">
        <w:rPr>
          <w:rFonts w:ascii="Times New Roman" w:hAnsi="Times New Roman"/>
          <w:sz w:val="24"/>
          <w:szCs w:val="24"/>
        </w:rPr>
        <w:t xml:space="preserve">а) в </w:t>
      </w:r>
      <w:r w:rsidRPr="00497C5F">
        <w:rPr>
          <w:rFonts w:ascii="Times New Roman" w:hAnsi="Times New Roman"/>
          <w:b/>
          <w:sz w:val="24"/>
          <w:szCs w:val="24"/>
        </w:rPr>
        <w:t xml:space="preserve">черной металлургии </w:t>
      </w:r>
      <w:r w:rsidRPr="00497C5F">
        <w:rPr>
          <w:rFonts w:ascii="Times New Roman" w:hAnsi="Times New Roman"/>
          <w:sz w:val="24"/>
          <w:szCs w:val="24"/>
        </w:rPr>
        <w:t>по итогам января - ию</w:t>
      </w:r>
      <w:r w:rsidR="00273DDA" w:rsidRPr="00497C5F">
        <w:rPr>
          <w:rFonts w:ascii="Times New Roman" w:hAnsi="Times New Roman"/>
          <w:sz w:val="24"/>
          <w:szCs w:val="24"/>
        </w:rPr>
        <w:t>л</w:t>
      </w:r>
      <w:r w:rsidRPr="00497C5F">
        <w:rPr>
          <w:rFonts w:ascii="Times New Roman" w:hAnsi="Times New Roman"/>
          <w:sz w:val="24"/>
          <w:szCs w:val="24"/>
        </w:rPr>
        <w:t xml:space="preserve">я 2015 года отмечено снижение производства стали на </w:t>
      </w:r>
      <w:r w:rsidR="008E33C9" w:rsidRPr="00497C5F">
        <w:rPr>
          <w:rFonts w:ascii="Times New Roman" w:hAnsi="Times New Roman"/>
          <w:sz w:val="24"/>
          <w:szCs w:val="24"/>
        </w:rPr>
        <w:t>7,9</w:t>
      </w:r>
      <w:r w:rsidRPr="00497C5F">
        <w:rPr>
          <w:rFonts w:ascii="Times New Roman" w:hAnsi="Times New Roman"/>
          <w:sz w:val="24"/>
          <w:szCs w:val="24"/>
        </w:rPr>
        <w:t xml:space="preserve">%, проката черных металлов на </w:t>
      </w:r>
      <w:r w:rsidR="008E33C9" w:rsidRPr="00497C5F">
        <w:rPr>
          <w:rFonts w:ascii="Times New Roman" w:hAnsi="Times New Roman"/>
          <w:sz w:val="24"/>
          <w:szCs w:val="24"/>
        </w:rPr>
        <w:t>23,9</w:t>
      </w:r>
      <w:r w:rsidRPr="00497C5F">
        <w:rPr>
          <w:rFonts w:ascii="Times New Roman" w:hAnsi="Times New Roman"/>
          <w:sz w:val="24"/>
          <w:szCs w:val="24"/>
        </w:rPr>
        <w:t xml:space="preserve">%. В целом по отрасли объем производства в стоимостном выражении в </w:t>
      </w:r>
      <w:r w:rsidR="00CE08A1">
        <w:rPr>
          <w:rFonts w:ascii="Times New Roman" w:hAnsi="Times New Roman"/>
          <w:sz w:val="24"/>
          <w:szCs w:val="24"/>
        </w:rPr>
        <w:t>рассматриваемом периоде</w:t>
      </w:r>
      <w:r w:rsidRPr="00497C5F">
        <w:rPr>
          <w:rFonts w:ascii="Times New Roman" w:hAnsi="Times New Roman"/>
          <w:sz w:val="24"/>
          <w:szCs w:val="24"/>
        </w:rPr>
        <w:t xml:space="preserve"> на </w:t>
      </w:r>
      <w:r w:rsidR="008E33C9" w:rsidRPr="00497C5F">
        <w:rPr>
          <w:rFonts w:ascii="Times New Roman" w:hAnsi="Times New Roman"/>
          <w:sz w:val="24"/>
          <w:szCs w:val="24"/>
        </w:rPr>
        <w:t>23,9</w:t>
      </w:r>
      <w:r w:rsidRPr="00497C5F">
        <w:rPr>
          <w:rFonts w:ascii="Times New Roman" w:hAnsi="Times New Roman"/>
          <w:sz w:val="24"/>
          <w:szCs w:val="24"/>
        </w:rPr>
        <w:t>% не достиг базового показателя 2014 года. При этом в</w:t>
      </w:r>
      <w:r w:rsidR="008E33C9" w:rsidRPr="00497C5F">
        <w:rPr>
          <w:rFonts w:ascii="Times New Roman" w:hAnsi="Times New Roman"/>
          <w:sz w:val="24"/>
          <w:szCs w:val="24"/>
        </w:rPr>
        <w:t xml:space="preserve"> июл</w:t>
      </w:r>
      <w:r w:rsidRPr="00497C5F">
        <w:rPr>
          <w:rFonts w:ascii="Times New Roman" w:hAnsi="Times New Roman"/>
          <w:sz w:val="24"/>
          <w:szCs w:val="24"/>
        </w:rPr>
        <w:t xml:space="preserve">е </w:t>
      </w:r>
      <w:r w:rsidR="00C77ABA">
        <w:rPr>
          <w:rFonts w:ascii="Times New Roman" w:hAnsi="Times New Roman"/>
          <w:sz w:val="24"/>
          <w:szCs w:val="24"/>
        </w:rPr>
        <w:t>2015 года</w:t>
      </w:r>
      <w:r w:rsidRPr="00497C5F">
        <w:rPr>
          <w:rFonts w:ascii="Times New Roman" w:hAnsi="Times New Roman"/>
          <w:sz w:val="24"/>
          <w:szCs w:val="24"/>
        </w:rPr>
        <w:t xml:space="preserve"> на фоне ритмичной работы ОАО «Молдавский металлургический завод» объем производства отрасли увеличился по отношению к </w:t>
      </w:r>
      <w:r w:rsidR="008E33C9" w:rsidRPr="00497C5F">
        <w:rPr>
          <w:rFonts w:ascii="Times New Roman" w:hAnsi="Times New Roman"/>
          <w:sz w:val="24"/>
          <w:szCs w:val="24"/>
        </w:rPr>
        <w:t>июню</w:t>
      </w:r>
      <w:r w:rsidRPr="00497C5F">
        <w:rPr>
          <w:rFonts w:ascii="Times New Roman" w:hAnsi="Times New Roman"/>
          <w:sz w:val="24"/>
          <w:szCs w:val="24"/>
        </w:rPr>
        <w:t xml:space="preserve"> месяцу на </w:t>
      </w:r>
      <w:r w:rsidR="008E33C9" w:rsidRPr="00497C5F">
        <w:rPr>
          <w:rFonts w:ascii="Times New Roman" w:hAnsi="Times New Roman"/>
          <w:sz w:val="24"/>
          <w:szCs w:val="24"/>
        </w:rPr>
        <w:t>5,7</w:t>
      </w:r>
      <w:r w:rsidRPr="00497C5F">
        <w:rPr>
          <w:rFonts w:ascii="Times New Roman" w:hAnsi="Times New Roman"/>
          <w:sz w:val="24"/>
          <w:szCs w:val="24"/>
        </w:rPr>
        <w:t>%;</w:t>
      </w:r>
    </w:p>
    <w:p w:rsidR="00447510" w:rsidRPr="00497C5F" w:rsidRDefault="00447510" w:rsidP="00497C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C5F">
        <w:rPr>
          <w:rFonts w:ascii="Times New Roman" w:hAnsi="Times New Roman"/>
          <w:sz w:val="24"/>
          <w:szCs w:val="24"/>
        </w:rPr>
        <w:t>б)</w:t>
      </w:r>
      <w:r w:rsidRPr="00497C5F">
        <w:rPr>
          <w:rFonts w:ascii="Times New Roman" w:hAnsi="Times New Roman"/>
          <w:b/>
          <w:sz w:val="24"/>
          <w:szCs w:val="24"/>
        </w:rPr>
        <w:t xml:space="preserve"> в химической промышленности </w:t>
      </w:r>
      <w:r w:rsidRPr="00497C5F">
        <w:rPr>
          <w:rFonts w:ascii="Times New Roman" w:hAnsi="Times New Roman"/>
          <w:sz w:val="24"/>
          <w:szCs w:val="24"/>
        </w:rPr>
        <w:t>по итогам января – ию</w:t>
      </w:r>
      <w:r w:rsidR="008E33C9" w:rsidRPr="00497C5F">
        <w:rPr>
          <w:rFonts w:ascii="Times New Roman" w:hAnsi="Times New Roman"/>
          <w:sz w:val="24"/>
          <w:szCs w:val="24"/>
        </w:rPr>
        <w:t>л</w:t>
      </w:r>
      <w:r w:rsidRPr="00497C5F">
        <w:rPr>
          <w:rFonts w:ascii="Times New Roman" w:hAnsi="Times New Roman"/>
          <w:sz w:val="24"/>
          <w:szCs w:val="24"/>
        </w:rPr>
        <w:t xml:space="preserve">я 2015 года наблюдается падение уровня производства на </w:t>
      </w:r>
      <w:r w:rsidR="008E33C9" w:rsidRPr="00497C5F">
        <w:rPr>
          <w:rFonts w:ascii="Times New Roman" w:hAnsi="Times New Roman"/>
          <w:sz w:val="24"/>
          <w:szCs w:val="24"/>
        </w:rPr>
        <w:t>34,2</w:t>
      </w:r>
      <w:r w:rsidRPr="00497C5F">
        <w:rPr>
          <w:rFonts w:ascii="Times New Roman" w:hAnsi="Times New Roman"/>
          <w:sz w:val="24"/>
          <w:szCs w:val="24"/>
        </w:rPr>
        <w:t xml:space="preserve">% к </w:t>
      </w:r>
      <w:r w:rsidR="00CE08A1">
        <w:rPr>
          <w:rFonts w:ascii="Times New Roman" w:hAnsi="Times New Roman"/>
          <w:sz w:val="24"/>
          <w:szCs w:val="24"/>
        </w:rPr>
        <w:t>базовому показателю 2014 года</w:t>
      </w:r>
      <w:r w:rsidRPr="00497C5F">
        <w:rPr>
          <w:rFonts w:ascii="Times New Roman" w:hAnsi="Times New Roman"/>
          <w:sz w:val="24"/>
          <w:szCs w:val="24"/>
        </w:rPr>
        <w:t xml:space="preserve">. Основное негативное влияние на отрицательную динамику отрасли в </w:t>
      </w:r>
      <w:r w:rsidR="002061DD" w:rsidRPr="00497C5F">
        <w:rPr>
          <w:rFonts w:ascii="Times New Roman" w:hAnsi="Times New Roman"/>
          <w:sz w:val="24"/>
          <w:szCs w:val="24"/>
        </w:rPr>
        <w:t>январе-июле 2015 года</w:t>
      </w:r>
      <w:r w:rsidRPr="00497C5F">
        <w:rPr>
          <w:rFonts w:ascii="Times New Roman" w:hAnsi="Times New Roman"/>
          <w:sz w:val="24"/>
          <w:szCs w:val="24"/>
        </w:rPr>
        <w:t xml:space="preserve"> оказало снижение объемов производства крупнейшего предприятия отрасли ЗА</w:t>
      </w:r>
      <w:r w:rsidR="002061DD" w:rsidRPr="00497C5F">
        <w:rPr>
          <w:rFonts w:ascii="Times New Roman" w:hAnsi="Times New Roman"/>
          <w:sz w:val="24"/>
          <w:szCs w:val="24"/>
        </w:rPr>
        <w:t>О «Завод «</w:t>
      </w:r>
      <w:proofErr w:type="spellStart"/>
      <w:r w:rsidR="002061DD" w:rsidRPr="00497C5F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="002061DD" w:rsidRPr="00497C5F">
        <w:rPr>
          <w:rFonts w:ascii="Times New Roman" w:hAnsi="Times New Roman"/>
          <w:sz w:val="24"/>
          <w:szCs w:val="24"/>
        </w:rPr>
        <w:t>» (на 35,4</w:t>
      </w:r>
      <w:r w:rsidRPr="00497C5F">
        <w:rPr>
          <w:rFonts w:ascii="Times New Roman" w:hAnsi="Times New Roman"/>
          <w:sz w:val="24"/>
          <w:szCs w:val="24"/>
        </w:rPr>
        <w:t>%), что обусловлено сложной внешнеторговой конъюнктурой (90% экспорта ориентировано на Российскую Федерацию);</w:t>
      </w:r>
    </w:p>
    <w:p w:rsidR="007F0E28" w:rsidRPr="00497C5F" w:rsidRDefault="002061DD" w:rsidP="00497C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7C5F">
        <w:rPr>
          <w:rFonts w:ascii="Times New Roman" w:hAnsi="Times New Roman"/>
          <w:sz w:val="24"/>
          <w:szCs w:val="24"/>
        </w:rPr>
        <w:t>в</w:t>
      </w:r>
      <w:r w:rsidR="007F0E28" w:rsidRPr="00497C5F">
        <w:rPr>
          <w:rFonts w:ascii="Times New Roman" w:hAnsi="Times New Roman"/>
          <w:sz w:val="24"/>
          <w:szCs w:val="24"/>
        </w:rPr>
        <w:t xml:space="preserve">) предприятия </w:t>
      </w:r>
      <w:r w:rsidR="007F0E28" w:rsidRPr="00497C5F">
        <w:rPr>
          <w:rFonts w:ascii="Times New Roman" w:hAnsi="Times New Roman"/>
          <w:b/>
          <w:sz w:val="24"/>
          <w:szCs w:val="24"/>
        </w:rPr>
        <w:t>машиностроения и металлообработки</w:t>
      </w:r>
      <w:r w:rsidR="007F0E28" w:rsidRPr="00497C5F">
        <w:rPr>
          <w:rFonts w:ascii="Times New Roman" w:hAnsi="Times New Roman"/>
          <w:sz w:val="24"/>
          <w:szCs w:val="24"/>
        </w:rPr>
        <w:t xml:space="preserve"> в рассматриваемом периоде демонстрируют </w:t>
      </w:r>
      <w:r w:rsidRPr="00497C5F">
        <w:rPr>
          <w:rFonts w:ascii="Times New Roman" w:hAnsi="Times New Roman"/>
          <w:sz w:val="24"/>
          <w:szCs w:val="24"/>
        </w:rPr>
        <w:t>незначительное снижение</w:t>
      </w:r>
      <w:r w:rsidR="007F0E28" w:rsidRPr="00497C5F">
        <w:rPr>
          <w:rFonts w:ascii="Times New Roman" w:hAnsi="Times New Roman"/>
          <w:sz w:val="24"/>
          <w:szCs w:val="24"/>
        </w:rPr>
        <w:t xml:space="preserve"> объема производства по отношению к сопоставимому периоду прошлого года </w:t>
      </w:r>
      <w:r w:rsidR="00CE08A1">
        <w:rPr>
          <w:rFonts w:ascii="Times New Roman" w:hAnsi="Times New Roman"/>
          <w:sz w:val="24"/>
          <w:szCs w:val="24"/>
        </w:rPr>
        <w:t xml:space="preserve">- </w:t>
      </w:r>
      <w:r w:rsidR="007F0E28" w:rsidRPr="00497C5F">
        <w:rPr>
          <w:rFonts w:ascii="Times New Roman" w:hAnsi="Times New Roman"/>
          <w:sz w:val="24"/>
          <w:szCs w:val="24"/>
        </w:rPr>
        <w:t>на 0,</w:t>
      </w:r>
      <w:r w:rsidRPr="00497C5F">
        <w:rPr>
          <w:rFonts w:ascii="Times New Roman" w:hAnsi="Times New Roman"/>
          <w:sz w:val="24"/>
          <w:szCs w:val="24"/>
        </w:rPr>
        <w:t>1</w:t>
      </w:r>
      <w:r w:rsidR="007F0E28" w:rsidRPr="00497C5F">
        <w:rPr>
          <w:rFonts w:ascii="Times New Roman" w:hAnsi="Times New Roman"/>
          <w:sz w:val="24"/>
          <w:szCs w:val="24"/>
        </w:rPr>
        <w:t xml:space="preserve">%. Данная динамика </w:t>
      </w:r>
      <w:r w:rsidRPr="00497C5F">
        <w:rPr>
          <w:rFonts w:ascii="Times New Roman" w:hAnsi="Times New Roman"/>
          <w:sz w:val="24"/>
          <w:szCs w:val="24"/>
        </w:rPr>
        <w:t xml:space="preserve">показателя обусловлена снижением в июле 2015 года объема производства на 6,9% по отношению к июню </w:t>
      </w:r>
      <w:r w:rsidR="00E42E88" w:rsidRPr="00497C5F">
        <w:rPr>
          <w:rFonts w:ascii="Times New Roman" w:hAnsi="Times New Roman"/>
          <w:sz w:val="24"/>
          <w:szCs w:val="24"/>
        </w:rPr>
        <w:t xml:space="preserve">месяцу </w:t>
      </w:r>
      <w:r w:rsidRPr="00497C5F">
        <w:rPr>
          <w:rFonts w:ascii="Times New Roman" w:hAnsi="Times New Roman"/>
          <w:sz w:val="24"/>
          <w:szCs w:val="24"/>
        </w:rPr>
        <w:t>текущего года</w:t>
      </w:r>
      <w:r w:rsidR="00CE08A1">
        <w:rPr>
          <w:rFonts w:ascii="Times New Roman" w:hAnsi="Times New Roman"/>
          <w:sz w:val="24"/>
          <w:szCs w:val="24"/>
        </w:rPr>
        <w:t xml:space="preserve"> на фоне </w:t>
      </w:r>
      <w:r w:rsidR="00E42E88" w:rsidRPr="00497C5F">
        <w:rPr>
          <w:rFonts w:ascii="Times New Roman" w:hAnsi="Times New Roman"/>
          <w:sz w:val="24"/>
          <w:szCs w:val="24"/>
        </w:rPr>
        <w:t>сокращения объем</w:t>
      </w:r>
      <w:r w:rsidR="00CE08A1">
        <w:rPr>
          <w:rFonts w:ascii="Times New Roman" w:hAnsi="Times New Roman"/>
          <w:sz w:val="24"/>
          <w:szCs w:val="24"/>
        </w:rPr>
        <w:t>а</w:t>
      </w:r>
      <w:r w:rsidR="00E42E88" w:rsidRPr="00497C5F">
        <w:rPr>
          <w:rFonts w:ascii="Times New Roman" w:hAnsi="Times New Roman"/>
          <w:sz w:val="24"/>
          <w:szCs w:val="24"/>
        </w:rPr>
        <w:t xml:space="preserve"> </w:t>
      </w:r>
      <w:r w:rsidR="00CE08A1">
        <w:rPr>
          <w:rFonts w:ascii="Times New Roman" w:hAnsi="Times New Roman"/>
          <w:sz w:val="24"/>
          <w:szCs w:val="24"/>
        </w:rPr>
        <w:t>производства на                               ОАО «</w:t>
      </w:r>
      <w:proofErr w:type="spellStart"/>
      <w:r w:rsidR="00CE08A1">
        <w:rPr>
          <w:rFonts w:ascii="Times New Roman" w:hAnsi="Times New Roman"/>
          <w:sz w:val="24"/>
          <w:szCs w:val="24"/>
        </w:rPr>
        <w:t>Литмаш</w:t>
      </w:r>
      <w:proofErr w:type="spellEnd"/>
      <w:r w:rsidR="00CE08A1">
        <w:rPr>
          <w:rFonts w:ascii="Times New Roman" w:hAnsi="Times New Roman"/>
          <w:sz w:val="24"/>
          <w:szCs w:val="24"/>
        </w:rPr>
        <w:t>» («-»</w:t>
      </w:r>
      <w:r w:rsidR="0058706A">
        <w:rPr>
          <w:rFonts w:ascii="Times New Roman" w:hAnsi="Times New Roman"/>
          <w:sz w:val="24"/>
          <w:szCs w:val="24"/>
        </w:rPr>
        <w:t>66,1%</w:t>
      </w:r>
      <w:r w:rsidR="00CE08A1">
        <w:rPr>
          <w:rFonts w:ascii="Times New Roman" w:hAnsi="Times New Roman"/>
          <w:sz w:val="24"/>
          <w:szCs w:val="24"/>
        </w:rPr>
        <w:t>)</w:t>
      </w:r>
      <w:r w:rsidR="007F0E28" w:rsidRPr="00497C5F">
        <w:rPr>
          <w:rFonts w:ascii="Times New Roman" w:hAnsi="Times New Roman"/>
          <w:sz w:val="24"/>
          <w:szCs w:val="24"/>
        </w:rPr>
        <w:t>;</w:t>
      </w:r>
      <w:proofErr w:type="gramEnd"/>
    </w:p>
    <w:p w:rsidR="00447510" w:rsidRPr="00497C5F" w:rsidRDefault="002061DD" w:rsidP="00497C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7C5F">
        <w:rPr>
          <w:rFonts w:ascii="Times New Roman" w:hAnsi="Times New Roman"/>
          <w:sz w:val="24"/>
          <w:szCs w:val="24"/>
        </w:rPr>
        <w:t>г</w:t>
      </w:r>
      <w:r w:rsidR="00447510" w:rsidRPr="00497C5F">
        <w:rPr>
          <w:rFonts w:ascii="Times New Roman" w:hAnsi="Times New Roman"/>
          <w:sz w:val="24"/>
          <w:szCs w:val="24"/>
        </w:rPr>
        <w:t xml:space="preserve">) </w:t>
      </w:r>
      <w:r w:rsidR="00447510" w:rsidRPr="00497C5F">
        <w:rPr>
          <w:rFonts w:ascii="Times New Roman" w:hAnsi="Times New Roman"/>
          <w:b/>
          <w:sz w:val="24"/>
          <w:szCs w:val="24"/>
        </w:rPr>
        <w:t>в электротехнической промышленности</w:t>
      </w:r>
      <w:r w:rsidR="00447510" w:rsidRPr="00497C5F">
        <w:rPr>
          <w:rFonts w:ascii="Times New Roman" w:hAnsi="Times New Roman"/>
          <w:sz w:val="24"/>
          <w:szCs w:val="24"/>
        </w:rPr>
        <w:t xml:space="preserve"> по итогам января - ию</w:t>
      </w:r>
      <w:r w:rsidRPr="00497C5F">
        <w:rPr>
          <w:rFonts w:ascii="Times New Roman" w:hAnsi="Times New Roman"/>
          <w:sz w:val="24"/>
          <w:szCs w:val="24"/>
        </w:rPr>
        <w:t>л</w:t>
      </w:r>
      <w:r w:rsidR="00447510" w:rsidRPr="00497C5F">
        <w:rPr>
          <w:rFonts w:ascii="Times New Roman" w:hAnsi="Times New Roman"/>
          <w:sz w:val="24"/>
          <w:szCs w:val="24"/>
        </w:rPr>
        <w:t>я 2015 года, в результате снижения в ию</w:t>
      </w:r>
      <w:r w:rsidRPr="00497C5F">
        <w:rPr>
          <w:rFonts w:ascii="Times New Roman" w:hAnsi="Times New Roman"/>
          <w:sz w:val="24"/>
          <w:szCs w:val="24"/>
        </w:rPr>
        <w:t>л</w:t>
      </w:r>
      <w:r w:rsidR="00447510" w:rsidRPr="00497C5F">
        <w:rPr>
          <w:rFonts w:ascii="Times New Roman" w:hAnsi="Times New Roman"/>
          <w:sz w:val="24"/>
          <w:szCs w:val="24"/>
        </w:rPr>
        <w:t xml:space="preserve">е 2015 года по отношению к соответствующему периоду </w:t>
      </w:r>
      <w:r w:rsidR="00C77ABA">
        <w:rPr>
          <w:rFonts w:ascii="Times New Roman" w:hAnsi="Times New Roman"/>
          <w:sz w:val="24"/>
          <w:szCs w:val="24"/>
        </w:rPr>
        <w:t xml:space="preserve">              </w:t>
      </w:r>
      <w:r w:rsidR="00447510" w:rsidRPr="00497C5F">
        <w:rPr>
          <w:rFonts w:ascii="Times New Roman" w:hAnsi="Times New Roman"/>
          <w:sz w:val="24"/>
          <w:szCs w:val="24"/>
        </w:rPr>
        <w:t xml:space="preserve">2014 года объема производства на </w:t>
      </w:r>
      <w:r w:rsidR="00E42E88" w:rsidRPr="00497C5F">
        <w:rPr>
          <w:rFonts w:ascii="Times New Roman" w:hAnsi="Times New Roman"/>
          <w:sz w:val="24"/>
          <w:szCs w:val="24"/>
        </w:rPr>
        <w:t>4,8</w:t>
      </w:r>
      <w:r w:rsidR="00447510" w:rsidRPr="00497C5F">
        <w:rPr>
          <w:rFonts w:ascii="Times New Roman" w:hAnsi="Times New Roman"/>
          <w:sz w:val="24"/>
          <w:szCs w:val="24"/>
        </w:rPr>
        <w:t>%, отмечено падение отраслевого выпуска на 1</w:t>
      </w:r>
      <w:r w:rsidR="00E42E88" w:rsidRPr="00497C5F">
        <w:rPr>
          <w:rFonts w:ascii="Times New Roman" w:hAnsi="Times New Roman"/>
          <w:sz w:val="24"/>
          <w:szCs w:val="24"/>
        </w:rPr>
        <w:t>1</w:t>
      </w:r>
      <w:r w:rsidR="00447510" w:rsidRPr="00497C5F">
        <w:rPr>
          <w:rFonts w:ascii="Times New Roman" w:hAnsi="Times New Roman"/>
          <w:sz w:val="24"/>
          <w:szCs w:val="24"/>
        </w:rPr>
        <w:t>,2%. При этом на НП ЗАО «</w:t>
      </w:r>
      <w:proofErr w:type="spellStart"/>
      <w:r w:rsidR="00447510" w:rsidRPr="00497C5F">
        <w:rPr>
          <w:rFonts w:ascii="Times New Roman" w:hAnsi="Times New Roman"/>
          <w:sz w:val="24"/>
          <w:szCs w:val="24"/>
        </w:rPr>
        <w:t>Электромаш</w:t>
      </w:r>
      <w:proofErr w:type="spellEnd"/>
      <w:r w:rsidR="00447510" w:rsidRPr="00497C5F">
        <w:rPr>
          <w:rFonts w:ascii="Times New Roman" w:hAnsi="Times New Roman"/>
          <w:sz w:val="24"/>
          <w:szCs w:val="24"/>
        </w:rPr>
        <w:t>» (5</w:t>
      </w:r>
      <w:r w:rsidR="00E42E88" w:rsidRPr="00497C5F">
        <w:rPr>
          <w:rFonts w:ascii="Times New Roman" w:hAnsi="Times New Roman"/>
          <w:sz w:val="24"/>
          <w:szCs w:val="24"/>
        </w:rPr>
        <w:t>3</w:t>
      </w:r>
      <w:r w:rsidR="00447510" w:rsidRPr="00497C5F">
        <w:rPr>
          <w:rFonts w:ascii="Times New Roman" w:hAnsi="Times New Roman"/>
          <w:sz w:val="24"/>
          <w:szCs w:val="24"/>
        </w:rPr>
        <w:t>,</w:t>
      </w:r>
      <w:r w:rsidR="00E42E88" w:rsidRPr="00497C5F">
        <w:rPr>
          <w:rFonts w:ascii="Times New Roman" w:hAnsi="Times New Roman"/>
          <w:sz w:val="24"/>
          <w:szCs w:val="24"/>
        </w:rPr>
        <w:t>6</w:t>
      </w:r>
      <w:r w:rsidR="00447510" w:rsidRPr="00497C5F">
        <w:rPr>
          <w:rFonts w:ascii="Times New Roman" w:hAnsi="Times New Roman"/>
          <w:sz w:val="24"/>
          <w:szCs w:val="24"/>
        </w:rPr>
        <w:t>% отраслевого выпуска) в анализируемом периоде наблюдается увеличение товарного выпуска в</w:t>
      </w:r>
      <w:r w:rsidR="0058706A">
        <w:rPr>
          <w:rFonts w:ascii="Times New Roman" w:hAnsi="Times New Roman"/>
          <w:sz w:val="24"/>
          <w:szCs w:val="24"/>
        </w:rPr>
        <w:t xml:space="preserve"> стоимостном выражении на</w:t>
      </w:r>
      <w:r w:rsidR="00447510" w:rsidRPr="00497C5F">
        <w:rPr>
          <w:rFonts w:ascii="Times New Roman" w:hAnsi="Times New Roman"/>
          <w:sz w:val="24"/>
          <w:szCs w:val="24"/>
        </w:rPr>
        <w:t xml:space="preserve"> </w:t>
      </w:r>
      <w:r w:rsidR="00E42E88" w:rsidRPr="00497C5F">
        <w:rPr>
          <w:rFonts w:ascii="Times New Roman" w:hAnsi="Times New Roman"/>
          <w:sz w:val="24"/>
          <w:szCs w:val="24"/>
        </w:rPr>
        <w:t>46,8</w:t>
      </w:r>
      <w:r w:rsidR="00447510" w:rsidRPr="00497C5F">
        <w:rPr>
          <w:rFonts w:ascii="Times New Roman" w:hAnsi="Times New Roman"/>
          <w:sz w:val="24"/>
          <w:szCs w:val="24"/>
        </w:rPr>
        <w:t>%, а на втором ведущем предприятии</w:t>
      </w:r>
      <w:proofErr w:type="gramEnd"/>
      <w:r w:rsidR="00447510" w:rsidRPr="00497C5F">
        <w:rPr>
          <w:rFonts w:ascii="Times New Roman" w:hAnsi="Times New Roman"/>
          <w:sz w:val="24"/>
          <w:szCs w:val="24"/>
        </w:rPr>
        <w:t xml:space="preserve"> отрасли ЗАО «</w:t>
      </w:r>
      <w:proofErr w:type="spellStart"/>
      <w:r w:rsidR="00447510" w:rsidRPr="00497C5F">
        <w:rPr>
          <w:rFonts w:ascii="Times New Roman" w:hAnsi="Times New Roman"/>
          <w:sz w:val="24"/>
          <w:szCs w:val="24"/>
        </w:rPr>
        <w:t>Молдавкабель</w:t>
      </w:r>
      <w:proofErr w:type="spellEnd"/>
      <w:r w:rsidR="00447510" w:rsidRPr="00497C5F">
        <w:rPr>
          <w:rFonts w:ascii="Times New Roman" w:hAnsi="Times New Roman"/>
          <w:sz w:val="24"/>
          <w:szCs w:val="24"/>
        </w:rPr>
        <w:t>» (4</w:t>
      </w:r>
      <w:r w:rsidR="00E42E88" w:rsidRPr="00497C5F">
        <w:rPr>
          <w:rFonts w:ascii="Times New Roman" w:hAnsi="Times New Roman"/>
          <w:sz w:val="24"/>
          <w:szCs w:val="24"/>
        </w:rPr>
        <w:t>3</w:t>
      </w:r>
      <w:r w:rsidR="00447510" w:rsidRPr="00497C5F">
        <w:rPr>
          <w:rFonts w:ascii="Times New Roman" w:hAnsi="Times New Roman"/>
          <w:sz w:val="24"/>
          <w:szCs w:val="24"/>
        </w:rPr>
        <w:t>,</w:t>
      </w:r>
      <w:r w:rsidR="00E42E88" w:rsidRPr="00497C5F">
        <w:rPr>
          <w:rFonts w:ascii="Times New Roman" w:hAnsi="Times New Roman"/>
          <w:sz w:val="24"/>
          <w:szCs w:val="24"/>
        </w:rPr>
        <w:t>2</w:t>
      </w:r>
      <w:r w:rsidR="00447510" w:rsidRPr="00497C5F">
        <w:rPr>
          <w:rFonts w:ascii="Times New Roman" w:hAnsi="Times New Roman"/>
          <w:sz w:val="24"/>
          <w:szCs w:val="24"/>
        </w:rPr>
        <w:t>% отраслевого выпуска) в январе – ию</w:t>
      </w:r>
      <w:r w:rsidR="00E42E88" w:rsidRPr="00497C5F">
        <w:rPr>
          <w:rFonts w:ascii="Times New Roman" w:hAnsi="Times New Roman"/>
          <w:sz w:val="24"/>
          <w:szCs w:val="24"/>
        </w:rPr>
        <w:t>л</w:t>
      </w:r>
      <w:r w:rsidR="00447510" w:rsidRPr="00497C5F">
        <w:rPr>
          <w:rFonts w:ascii="Times New Roman" w:hAnsi="Times New Roman"/>
          <w:sz w:val="24"/>
          <w:szCs w:val="24"/>
        </w:rPr>
        <w:t xml:space="preserve">е 2015 </w:t>
      </w:r>
      <w:r w:rsidR="0058706A">
        <w:rPr>
          <w:rFonts w:ascii="Times New Roman" w:hAnsi="Times New Roman"/>
          <w:sz w:val="24"/>
          <w:szCs w:val="24"/>
        </w:rPr>
        <w:t>отмечено</w:t>
      </w:r>
      <w:r w:rsidR="00447510" w:rsidRPr="00497C5F">
        <w:rPr>
          <w:rFonts w:ascii="Times New Roman" w:hAnsi="Times New Roman"/>
          <w:sz w:val="24"/>
          <w:szCs w:val="24"/>
        </w:rPr>
        <w:t xml:space="preserve"> снижение объемов производства на </w:t>
      </w:r>
      <w:r w:rsidR="00E42E88" w:rsidRPr="00497C5F">
        <w:rPr>
          <w:rFonts w:ascii="Times New Roman" w:hAnsi="Times New Roman"/>
          <w:sz w:val="24"/>
          <w:szCs w:val="24"/>
        </w:rPr>
        <w:t>39,8</w:t>
      </w:r>
      <w:r w:rsidR="00447510" w:rsidRPr="00497C5F">
        <w:rPr>
          <w:rFonts w:ascii="Times New Roman" w:hAnsi="Times New Roman"/>
          <w:sz w:val="24"/>
          <w:szCs w:val="24"/>
        </w:rPr>
        <w:t>%, что вызвано сложной внешнеторговой конъюнктурой;</w:t>
      </w:r>
    </w:p>
    <w:p w:rsidR="00C778DA" w:rsidRDefault="002061DD" w:rsidP="00497C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C5F">
        <w:rPr>
          <w:rFonts w:ascii="Times New Roman" w:hAnsi="Times New Roman"/>
          <w:sz w:val="24"/>
          <w:szCs w:val="24"/>
        </w:rPr>
        <w:t>д</w:t>
      </w:r>
      <w:proofErr w:type="spellEnd"/>
      <w:r w:rsidR="00447510" w:rsidRPr="00497C5F">
        <w:rPr>
          <w:rFonts w:ascii="Times New Roman" w:hAnsi="Times New Roman"/>
          <w:sz w:val="24"/>
          <w:szCs w:val="24"/>
        </w:rPr>
        <w:t xml:space="preserve">) в </w:t>
      </w:r>
      <w:r w:rsidR="00447510" w:rsidRPr="00497C5F">
        <w:rPr>
          <w:rFonts w:ascii="Times New Roman" w:hAnsi="Times New Roman"/>
          <w:b/>
          <w:sz w:val="24"/>
          <w:szCs w:val="24"/>
        </w:rPr>
        <w:t>промышленности строительных материалов</w:t>
      </w:r>
      <w:r w:rsidR="00447510" w:rsidRPr="00497C5F">
        <w:rPr>
          <w:rFonts w:ascii="Times New Roman" w:hAnsi="Times New Roman"/>
          <w:sz w:val="24"/>
          <w:szCs w:val="24"/>
        </w:rPr>
        <w:t xml:space="preserve"> по итогам января – ию</w:t>
      </w:r>
      <w:r w:rsidR="009C3061" w:rsidRPr="00497C5F">
        <w:rPr>
          <w:rFonts w:ascii="Times New Roman" w:hAnsi="Times New Roman"/>
          <w:sz w:val="24"/>
          <w:szCs w:val="24"/>
        </w:rPr>
        <w:t>л</w:t>
      </w:r>
      <w:r w:rsidR="00447510" w:rsidRPr="00497C5F">
        <w:rPr>
          <w:rFonts w:ascii="Times New Roman" w:hAnsi="Times New Roman"/>
          <w:sz w:val="24"/>
          <w:szCs w:val="24"/>
        </w:rPr>
        <w:t>я           2015 года зафиксировано снижение производственных показателей как на крупнейшем предприятии отрасли (ЗАО «</w:t>
      </w:r>
      <w:proofErr w:type="spellStart"/>
      <w:r w:rsidR="00447510" w:rsidRPr="00497C5F">
        <w:rPr>
          <w:rFonts w:ascii="Times New Roman" w:hAnsi="Times New Roman"/>
          <w:sz w:val="24"/>
          <w:szCs w:val="24"/>
        </w:rPr>
        <w:t>Рыбницкий</w:t>
      </w:r>
      <w:proofErr w:type="spellEnd"/>
      <w:r w:rsidR="00447510" w:rsidRPr="00497C5F">
        <w:rPr>
          <w:rFonts w:ascii="Times New Roman" w:hAnsi="Times New Roman"/>
          <w:sz w:val="24"/>
          <w:szCs w:val="24"/>
        </w:rPr>
        <w:t xml:space="preserve"> цементный комбинат» на 35,</w:t>
      </w:r>
      <w:r w:rsidR="009C3061" w:rsidRPr="00497C5F">
        <w:rPr>
          <w:rFonts w:ascii="Times New Roman" w:hAnsi="Times New Roman"/>
          <w:sz w:val="24"/>
          <w:szCs w:val="24"/>
        </w:rPr>
        <w:t>1% до 172,1</w:t>
      </w:r>
      <w:r w:rsidR="00447510" w:rsidRPr="00497C5F">
        <w:rPr>
          <w:rFonts w:ascii="Times New Roman" w:hAnsi="Times New Roman"/>
          <w:sz w:val="24"/>
          <w:szCs w:val="24"/>
        </w:rPr>
        <w:t xml:space="preserve"> млн. руб.), т</w:t>
      </w:r>
      <w:r w:rsidR="009C3061" w:rsidRPr="00497C5F">
        <w:rPr>
          <w:rFonts w:ascii="Times New Roman" w:hAnsi="Times New Roman"/>
          <w:sz w:val="24"/>
          <w:szCs w:val="24"/>
        </w:rPr>
        <w:t>ак и по отрасли в целом (на 35,0</w:t>
      </w:r>
      <w:r w:rsidR="00447510" w:rsidRPr="00497C5F">
        <w:rPr>
          <w:rFonts w:ascii="Times New Roman" w:hAnsi="Times New Roman"/>
          <w:sz w:val="24"/>
          <w:szCs w:val="24"/>
        </w:rPr>
        <w:t xml:space="preserve">% до </w:t>
      </w:r>
      <w:r w:rsidR="009C3061" w:rsidRPr="00497C5F">
        <w:rPr>
          <w:rFonts w:ascii="Times New Roman" w:hAnsi="Times New Roman"/>
          <w:sz w:val="24"/>
          <w:szCs w:val="24"/>
        </w:rPr>
        <w:t>230,3</w:t>
      </w:r>
      <w:r w:rsidR="00447510" w:rsidRPr="00497C5F">
        <w:rPr>
          <w:rFonts w:ascii="Times New Roman" w:hAnsi="Times New Roman"/>
          <w:sz w:val="24"/>
          <w:szCs w:val="24"/>
        </w:rPr>
        <w:t xml:space="preserve"> млн. руб.). Между тем в ию</w:t>
      </w:r>
      <w:r w:rsidR="009C3061" w:rsidRPr="00497C5F">
        <w:rPr>
          <w:rFonts w:ascii="Times New Roman" w:hAnsi="Times New Roman"/>
          <w:sz w:val="24"/>
          <w:szCs w:val="24"/>
        </w:rPr>
        <w:t>л</w:t>
      </w:r>
      <w:r w:rsidR="00447510" w:rsidRPr="00497C5F">
        <w:rPr>
          <w:rFonts w:ascii="Times New Roman" w:hAnsi="Times New Roman"/>
          <w:sz w:val="24"/>
          <w:szCs w:val="24"/>
        </w:rPr>
        <w:t xml:space="preserve">е по отношению к </w:t>
      </w:r>
      <w:r w:rsidR="009C3061" w:rsidRPr="00497C5F">
        <w:rPr>
          <w:rFonts w:ascii="Times New Roman" w:hAnsi="Times New Roman"/>
          <w:sz w:val="24"/>
          <w:szCs w:val="24"/>
        </w:rPr>
        <w:t>июню</w:t>
      </w:r>
      <w:r w:rsidR="00447510" w:rsidRPr="00497C5F">
        <w:rPr>
          <w:rFonts w:ascii="Times New Roman" w:hAnsi="Times New Roman"/>
          <w:sz w:val="24"/>
          <w:szCs w:val="24"/>
        </w:rPr>
        <w:t xml:space="preserve"> 2015 года </w:t>
      </w:r>
      <w:r w:rsidR="0058706A">
        <w:rPr>
          <w:rFonts w:ascii="Times New Roman" w:hAnsi="Times New Roman"/>
          <w:sz w:val="24"/>
          <w:szCs w:val="24"/>
        </w:rPr>
        <w:t xml:space="preserve">в условиях </w:t>
      </w:r>
      <w:r w:rsidR="0058706A" w:rsidRPr="00497C5F">
        <w:rPr>
          <w:rFonts w:ascii="Times New Roman" w:hAnsi="Times New Roman"/>
          <w:sz w:val="24"/>
          <w:szCs w:val="24"/>
        </w:rPr>
        <w:t>жестк</w:t>
      </w:r>
      <w:r w:rsidR="0058706A">
        <w:rPr>
          <w:rFonts w:ascii="Times New Roman" w:hAnsi="Times New Roman"/>
          <w:sz w:val="24"/>
          <w:szCs w:val="24"/>
        </w:rPr>
        <w:t>ой</w:t>
      </w:r>
      <w:r w:rsidR="0058706A" w:rsidRPr="00497C5F">
        <w:rPr>
          <w:rFonts w:ascii="Times New Roman" w:hAnsi="Times New Roman"/>
          <w:sz w:val="24"/>
          <w:szCs w:val="24"/>
        </w:rPr>
        <w:t xml:space="preserve"> конкуренции </w:t>
      </w:r>
      <w:r w:rsidR="0058706A">
        <w:rPr>
          <w:rFonts w:ascii="Times New Roman" w:hAnsi="Times New Roman"/>
          <w:sz w:val="24"/>
          <w:szCs w:val="24"/>
        </w:rPr>
        <w:t>на рынке строительных материалов</w:t>
      </w:r>
      <w:r w:rsidR="0058706A" w:rsidRPr="00497C5F">
        <w:rPr>
          <w:rFonts w:ascii="Times New Roman" w:hAnsi="Times New Roman"/>
          <w:sz w:val="24"/>
          <w:szCs w:val="24"/>
        </w:rPr>
        <w:t xml:space="preserve">, а также </w:t>
      </w:r>
      <w:r w:rsidR="0058706A" w:rsidRPr="00497C5F">
        <w:rPr>
          <w:rFonts w:ascii="Times New Roman" w:hAnsi="Times New Roman"/>
          <w:color w:val="262626"/>
          <w:sz w:val="24"/>
          <w:szCs w:val="24"/>
        </w:rPr>
        <w:t>импор</w:t>
      </w:r>
      <w:r w:rsidR="0058706A">
        <w:rPr>
          <w:rFonts w:ascii="Times New Roman" w:hAnsi="Times New Roman"/>
          <w:color w:val="262626"/>
          <w:sz w:val="24"/>
          <w:szCs w:val="24"/>
        </w:rPr>
        <w:t>та</w:t>
      </w:r>
      <w:r w:rsidR="0058706A" w:rsidRPr="00497C5F">
        <w:rPr>
          <w:rFonts w:ascii="Times New Roman" w:hAnsi="Times New Roman"/>
          <w:color w:val="262626"/>
          <w:sz w:val="24"/>
          <w:szCs w:val="24"/>
        </w:rPr>
        <w:t xml:space="preserve"> товаров из сопредельных государств по более низким ценам</w:t>
      </w:r>
      <w:r w:rsidR="0058706A">
        <w:rPr>
          <w:rFonts w:ascii="Times New Roman" w:hAnsi="Times New Roman"/>
          <w:color w:val="262626"/>
          <w:sz w:val="24"/>
          <w:szCs w:val="24"/>
        </w:rPr>
        <w:t>,</w:t>
      </w:r>
      <w:r w:rsidR="0058706A" w:rsidRPr="00497C5F">
        <w:rPr>
          <w:rFonts w:ascii="Times New Roman" w:hAnsi="Times New Roman"/>
          <w:sz w:val="24"/>
          <w:szCs w:val="24"/>
        </w:rPr>
        <w:t xml:space="preserve"> </w:t>
      </w:r>
      <w:r w:rsidR="00447510" w:rsidRPr="00497C5F">
        <w:rPr>
          <w:rFonts w:ascii="Times New Roman" w:hAnsi="Times New Roman"/>
          <w:sz w:val="24"/>
          <w:szCs w:val="24"/>
        </w:rPr>
        <w:t>о</w:t>
      </w:r>
      <w:r w:rsidR="009C3061" w:rsidRPr="00497C5F">
        <w:rPr>
          <w:rFonts w:ascii="Times New Roman" w:hAnsi="Times New Roman"/>
          <w:sz w:val="24"/>
          <w:szCs w:val="24"/>
        </w:rPr>
        <w:t>трасль демонстрирует рост</w:t>
      </w:r>
      <w:r w:rsidR="00447510" w:rsidRPr="00497C5F">
        <w:rPr>
          <w:rFonts w:ascii="Times New Roman" w:hAnsi="Times New Roman"/>
          <w:sz w:val="24"/>
          <w:szCs w:val="24"/>
        </w:rPr>
        <w:t xml:space="preserve"> объема производства на </w:t>
      </w:r>
      <w:r w:rsidR="009C3061" w:rsidRPr="00497C5F">
        <w:rPr>
          <w:rFonts w:ascii="Times New Roman" w:hAnsi="Times New Roman"/>
          <w:sz w:val="24"/>
          <w:szCs w:val="24"/>
        </w:rPr>
        <w:t>4,7</w:t>
      </w:r>
      <w:r w:rsidR="0058706A">
        <w:rPr>
          <w:rFonts w:ascii="Times New Roman" w:hAnsi="Times New Roman"/>
          <w:sz w:val="24"/>
          <w:szCs w:val="24"/>
        </w:rPr>
        <w:t>%</w:t>
      </w:r>
      <w:r w:rsidR="00C778DA">
        <w:rPr>
          <w:rFonts w:ascii="Times New Roman" w:hAnsi="Times New Roman"/>
          <w:sz w:val="24"/>
          <w:szCs w:val="24"/>
        </w:rPr>
        <w:t>.</w:t>
      </w:r>
    </w:p>
    <w:p w:rsidR="00447510" w:rsidRPr="00497C5F" w:rsidRDefault="00447510" w:rsidP="00497C5F">
      <w:pPr>
        <w:pStyle w:val="11"/>
        <w:ind w:firstLine="709"/>
        <w:jc w:val="both"/>
        <w:rPr>
          <w:noProof/>
        </w:rPr>
      </w:pPr>
      <w:r w:rsidRPr="00497C5F">
        <w:rPr>
          <w:rFonts w:ascii="Times New Roman" w:hAnsi="Times New Roman"/>
          <w:sz w:val="24"/>
          <w:szCs w:val="24"/>
        </w:rPr>
        <w:t xml:space="preserve">В натуральном выражении в рассматриваемом периоде </w:t>
      </w:r>
      <w:r w:rsidR="00C778D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C778DA">
        <w:rPr>
          <w:rFonts w:ascii="Times New Roman" w:hAnsi="Times New Roman"/>
          <w:sz w:val="24"/>
          <w:szCs w:val="24"/>
        </w:rPr>
        <w:t>подотрасли</w:t>
      </w:r>
      <w:proofErr w:type="spellEnd"/>
      <w:r w:rsidR="00C778DA">
        <w:rPr>
          <w:rFonts w:ascii="Times New Roman" w:hAnsi="Times New Roman"/>
          <w:sz w:val="24"/>
          <w:szCs w:val="24"/>
        </w:rPr>
        <w:t xml:space="preserve"> </w:t>
      </w:r>
      <w:r w:rsidRPr="00497C5F">
        <w:rPr>
          <w:rFonts w:ascii="Times New Roman" w:hAnsi="Times New Roman"/>
          <w:sz w:val="24"/>
          <w:szCs w:val="24"/>
        </w:rPr>
        <w:t xml:space="preserve">отмечено снижение производства </w:t>
      </w:r>
      <w:r w:rsidR="00462097" w:rsidRPr="00497C5F">
        <w:rPr>
          <w:rFonts w:ascii="Times New Roman" w:hAnsi="Times New Roman"/>
          <w:sz w:val="24"/>
          <w:szCs w:val="24"/>
        </w:rPr>
        <w:t xml:space="preserve">товарного бетона на 18,3%, </w:t>
      </w:r>
      <w:r w:rsidRPr="00497C5F">
        <w:rPr>
          <w:rFonts w:ascii="Times New Roman" w:hAnsi="Times New Roman"/>
          <w:sz w:val="24"/>
          <w:szCs w:val="24"/>
        </w:rPr>
        <w:t xml:space="preserve">клинкера на 29,0%, цемента на </w:t>
      </w:r>
      <w:r w:rsidR="00462097" w:rsidRPr="00497C5F">
        <w:rPr>
          <w:rFonts w:ascii="Times New Roman" w:hAnsi="Times New Roman"/>
          <w:sz w:val="24"/>
          <w:szCs w:val="24"/>
        </w:rPr>
        <w:t>31,8</w:t>
      </w:r>
      <w:r w:rsidRPr="00497C5F">
        <w:rPr>
          <w:rFonts w:ascii="Times New Roman" w:hAnsi="Times New Roman"/>
          <w:sz w:val="24"/>
          <w:szCs w:val="24"/>
        </w:rPr>
        <w:t>%, и.т.д.</w:t>
      </w:r>
      <w:r w:rsidRPr="00497C5F">
        <w:rPr>
          <w:noProof/>
        </w:rPr>
        <w:t>;</w:t>
      </w:r>
    </w:p>
    <w:p w:rsidR="00447510" w:rsidRPr="00497C5F" w:rsidRDefault="00447510" w:rsidP="00497C5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97C5F">
        <w:rPr>
          <w:noProof/>
        </w:rPr>
        <w:lastRenderedPageBreak/>
        <w:drawing>
          <wp:inline distT="0" distB="0" distL="0" distR="0">
            <wp:extent cx="6086475" cy="1724025"/>
            <wp:effectExtent l="0" t="0" r="0" b="0"/>
            <wp:docPr id="7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7510" w:rsidRPr="00497C5F" w:rsidRDefault="00447510" w:rsidP="00497C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C5F">
        <w:rPr>
          <w:rFonts w:ascii="Times New Roman" w:hAnsi="Times New Roman"/>
          <w:sz w:val="24"/>
          <w:szCs w:val="24"/>
        </w:rPr>
        <w:t>д</w:t>
      </w:r>
      <w:proofErr w:type="spellEnd"/>
      <w:r w:rsidRPr="00497C5F">
        <w:rPr>
          <w:rFonts w:ascii="Times New Roman" w:hAnsi="Times New Roman"/>
          <w:sz w:val="24"/>
          <w:szCs w:val="24"/>
        </w:rPr>
        <w:t>) по итогам января – ию</w:t>
      </w:r>
      <w:r w:rsidR="00462097" w:rsidRPr="00497C5F">
        <w:rPr>
          <w:rFonts w:ascii="Times New Roman" w:hAnsi="Times New Roman"/>
          <w:sz w:val="24"/>
          <w:szCs w:val="24"/>
        </w:rPr>
        <w:t>л</w:t>
      </w:r>
      <w:r w:rsidRPr="00497C5F">
        <w:rPr>
          <w:rFonts w:ascii="Times New Roman" w:hAnsi="Times New Roman"/>
          <w:sz w:val="24"/>
          <w:szCs w:val="24"/>
        </w:rPr>
        <w:t xml:space="preserve">я 2015 года на предприятиях </w:t>
      </w:r>
      <w:r w:rsidRPr="00497C5F">
        <w:rPr>
          <w:rFonts w:ascii="Times New Roman" w:hAnsi="Times New Roman"/>
          <w:b/>
          <w:sz w:val="24"/>
          <w:szCs w:val="24"/>
        </w:rPr>
        <w:t xml:space="preserve">легкой промышленности </w:t>
      </w:r>
      <w:r w:rsidRPr="00497C5F">
        <w:rPr>
          <w:rFonts w:ascii="Times New Roman" w:hAnsi="Times New Roman"/>
          <w:sz w:val="24"/>
          <w:szCs w:val="24"/>
        </w:rPr>
        <w:t>объем отраслевого выпуска в соп</w:t>
      </w:r>
      <w:r w:rsidR="0062492D" w:rsidRPr="00497C5F">
        <w:rPr>
          <w:rFonts w:ascii="Times New Roman" w:hAnsi="Times New Roman"/>
          <w:sz w:val="24"/>
          <w:szCs w:val="24"/>
        </w:rPr>
        <w:t>оставимых ценах сложился на 17,2</w:t>
      </w:r>
      <w:r w:rsidRPr="00497C5F">
        <w:rPr>
          <w:rFonts w:ascii="Times New Roman" w:hAnsi="Times New Roman"/>
          <w:sz w:val="24"/>
          <w:szCs w:val="24"/>
        </w:rPr>
        <w:t>% ниже уровня 2014 года. Определяющее влияние на отраслевой показатель оказывает работа крупнейшего предприятия отрасли ЗАО «</w:t>
      </w:r>
      <w:proofErr w:type="spellStart"/>
      <w:r w:rsidRPr="00497C5F">
        <w:rPr>
          <w:rFonts w:ascii="Times New Roman" w:hAnsi="Times New Roman"/>
          <w:sz w:val="24"/>
          <w:szCs w:val="24"/>
        </w:rPr>
        <w:t>Тиротекс</w:t>
      </w:r>
      <w:proofErr w:type="spellEnd"/>
      <w:r w:rsidRPr="00497C5F">
        <w:rPr>
          <w:rFonts w:ascii="Times New Roman" w:hAnsi="Times New Roman"/>
          <w:sz w:val="24"/>
          <w:szCs w:val="24"/>
        </w:rPr>
        <w:t>» (4</w:t>
      </w:r>
      <w:r w:rsidR="0062492D" w:rsidRPr="00497C5F">
        <w:rPr>
          <w:rFonts w:ascii="Times New Roman" w:hAnsi="Times New Roman"/>
          <w:sz w:val="24"/>
          <w:szCs w:val="24"/>
        </w:rPr>
        <w:t>4</w:t>
      </w:r>
      <w:r w:rsidRPr="00497C5F">
        <w:rPr>
          <w:rFonts w:ascii="Times New Roman" w:hAnsi="Times New Roman"/>
          <w:sz w:val="24"/>
          <w:szCs w:val="24"/>
        </w:rPr>
        <w:t>,</w:t>
      </w:r>
      <w:r w:rsidR="0062492D" w:rsidRPr="00497C5F">
        <w:rPr>
          <w:rFonts w:ascii="Times New Roman" w:hAnsi="Times New Roman"/>
          <w:sz w:val="24"/>
          <w:szCs w:val="24"/>
        </w:rPr>
        <w:t>4</w:t>
      </w:r>
      <w:r w:rsidRPr="00497C5F">
        <w:rPr>
          <w:rFonts w:ascii="Times New Roman" w:hAnsi="Times New Roman"/>
          <w:sz w:val="24"/>
          <w:szCs w:val="24"/>
        </w:rPr>
        <w:t>% отраслевого выпуска), сократившего свой товарный выпуск за рассматриваемый период на 24,</w:t>
      </w:r>
      <w:r w:rsidR="0062492D" w:rsidRPr="00497C5F">
        <w:rPr>
          <w:rFonts w:ascii="Times New Roman" w:hAnsi="Times New Roman"/>
          <w:sz w:val="24"/>
          <w:szCs w:val="24"/>
        </w:rPr>
        <w:t>2</w:t>
      </w:r>
      <w:r w:rsidRPr="00497C5F">
        <w:rPr>
          <w:rFonts w:ascii="Times New Roman" w:hAnsi="Times New Roman"/>
          <w:sz w:val="24"/>
          <w:szCs w:val="24"/>
        </w:rPr>
        <w:t>%. В ию</w:t>
      </w:r>
      <w:r w:rsidR="0062492D" w:rsidRPr="00497C5F">
        <w:rPr>
          <w:rFonts w:ascii="Times New Roman" w:hAnsi="Times New Roman"/>
          <w:sz w:val="24"/>
          <w:szCs w:val="24"/>
        </w:rPr>
        <w:t>л</w:t>
      </w:r>
      <w:r w:rsidRPr="00497C5F">
        <w:rPr>
          <w:rFonts w:ascii="Times New Roman" w:hAnsi="Times New Roman"/>
          <w:sz w:val="24"/>
          <w:szCs w:val="24"/>
        </w:rPr>
        <w:t xml:space="preserve">е по отношению к </w:t>
      </w:r>
      <w:r w:rsidR="0062492D" w:rsidRPr="00497C5F">
        <w:rPr>
          <w:rFonts w:ascii="Times New Roman" w:hAnsi="Times New Roman"/>
          <w:sz w:val="24"/>
          <w:szCs w:val="24"/>
        </w:rPr>
        <w:t>июню</w:t>
      </w:r>
      <w:r w:rsidRPr="00497C5F">
        <w:rPr>
          <w:rFonts w:ascii="Times New Roman" w:hAnsi="Times New Roman"/>
          <w:sz w:val="24"/>
          <w:szCs w:val="24"/>
        </w:rPr>
        <w:t xml:space="preserve"> 2015 года предприятия отрасли демонстрируют </w:t>
      </w:r>
      <w:r w:rsidR="0062492D" w:rsidRPr="00497C5F">
        <w:rPr>
          <w:rFonts w:ascii="Times New Roman" w:hAnsi="Times New Roman"/>
          <w:sz w:val="24"/>
          <w:szCs w:val="24"/>
        </w:rPr>
        <w:t>спад</w:t>
      </w:r>
      <w:r w:rsidRPr="00497C5F">
        <w:rPr>
          <w:rFonts w:ascii="Times New Roman" w:hAnsi="Times New Roman"/>
          <w:sz w:val="24"/>
          <w:szCs w:val="24"/>
        </w:rPr>
        <w:t xml:space="preserve"> объема промышленного производства на </w:t>
      </w:r>
      <w:r w:rsidR="0062492D" w:rsidRPr="00497C5F">
        <w:rPr>
          <w:rFonts w:ascii="Times New Roman" w:hAnsi="Times New Roman"/>
          <w:sz w:val="24"/>
          <w:szCs w:val="24"/>
        </w:rPr>
        <w:t>10,0</w:t>
      </w:r>
      <w:r w:rsidRPr="00497C5F">
        <w:rPr>
          <w:rFonts w:ascii="Times New Roman" w:hAnsi="Times New Roman"/>
          <w:sz w:val="24"/>
          <w:szCs w:val="24"/>
        </w:rPr>
        <w:t>%.</w:t>
      </w:r>
    </w:p>
    <w:p w:rsidR="00447510" w:rsidRPr="00497C5F" w:rsidRDefault="00447510" w:rsidP="00497C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497C5F">
        <w:rPr>
          <w:rFonts w:ascii="Times New Roman" w:hAnsi="Times New Roman"/>
          <w:sz w:val="24"/>
          <w:szCs w:val="24"/>
        </w:rPr>
        <w:t xml:space="preserve">В то же время следует отметить, что достаточно сложной остается ситуация на предприятиях обувной промышленности. Объем производства обуви по </w:t>
      </w:r>
      <w:proofErr w:type="spellStart"/>
      <w:r w:rsidRPr="00497C5F">
        <w:rPr>
          <w:rFonts w:ascii="Times New Roman" w:hAnsi="Times New Roman"/>
          <w:sz w:val="24"/>
          <w:szCs w:val="24"/>
        </w:rPr>
        <w:t>подотрасли</w:t>
      </w:r>
      <w:proofErr w:type="spellEnd"/>
      <w:r w:rsidRPr="00497C5F">
        <w:rPr>
          <w:rFonts w:ascii="Times New Roman" w:hAnsi="Times New Roman"/>
          <w:sz w:val="24"/>
          <w:szCs w:val="24"/>
        </w:rPr>
        <w:t xml:space="preserve"> сократился на </w:t>
      </w:r>
      <w:r w:rsidR="0062492D" w:rsidRPr="00497C5F">
        <w:rPr>
          <w:rFonts w:ascii="Times New Roman" w:hAnsi="Times New Roman"/>
          <w:sz w:val="24"/>
          <w:szCs w:val="24"/>
        </w:rPr>
        <w:t>8</w:t>
      </w:r>
      <w:r w:rsidRPr="00497C5F">
        <w:rPr>
          <w:rFonts w:ascii="Times New Roman" w:hAnsi="Times New Roman"/>
          <w:sz w:val="24"/>
          <w:szCs w:val="24"/>
        </w:rPr>
        <w:t>,8%, что явилось результатом сложной внешнеэкономической ситуации.</w:t>
      </w:r>
    </w:p>
    <w:p w:rsidR="00447510" w:rsidRPr="00497C5F" w:rsidRDefault="00447510" w:rsidP="00497C5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97C5F">
        <w:rPr>
          <w:noProof/>
        </w:rPr>
        <w:drawing>
          <wp:inline distT="0" distB="0" distL="0" distR="0">
            <wp:extent cx="6175804" cy="2199503"/>
            <wp:effectExtent l="19050" t="0" r="0" b="0"/>
            <wp:docPr id="1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7510" w:rsidRPr="00497C5F" w:rsidRDefault="00447510" w:rsidP="00497C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497C5F">
        <w:rPr>
          <w:rFonts w:ascii="Times New Roman" w:hAnsi="Times New Roman"/>
          <w:sz w:val="24"/>
          <w:szCs w:val="24"/>
        </w:rPr>
        <w:t xml:space="preserve">е) в </w:t>
      </w:r>
      <w:r w:rsidRPr="00497C5F">
        <w:rPr>
          <w:rFonts w:ascii="Times New Roman" w:hAnsi="Times New Roman"/>
          <w:b/>
          <w:snapToGrid w:val="0"/>
          <w:sz w:val="24"/>
          <w:szCs w:val="24"/>
        </w:rPr>
        <w:t xml:space="preserve">пищевой промышленности </w:t>
      </w:r>
      <w:r w:rsidRPr="00497C5F">
        <w:rPr>
          <w:rFonts w:ascii="Times New Roman" w:hAnsi="Times New Roman"/>
          <w:snapToGrid w:val="0"/>
          <w:sz w:val="24"/>
          <w:szCs w:val="24"/>
        </w:rPr>
        <w:t>в</w:t>
      </w:r>
      <w:r w:rsidRPr="00497C5F">
        <w:rPr>
          <w:rFonts w:ascii="Times New Roman" w:hAnsi="Times New Roman"/>
          <w:sz w:val="24"/>
          <w:szCs w:val="24"/>
        </w:rPr>
        <w:t xml:space="preserve"> рассматриваемом периоде </w:t>
      </w:r>
      <w:r w:rsidRPr="00497C5F">
        <w:rPr>
          <w:rFonts w:ascii="Times New Roman" w:hAnsi="Times New Roman"/>
          <w:snapToGrid w:val="0"/>
          <w:sz w:val="24"/>
          <w:szCs w:val="24"/>
        </w:rPr>
        <w:t xml:space="preserve">наблюдалось </w:t>
      </w:r>
      <w:r w:rsidRPr="00497C5F">
        <w:rPr>
          <w:rFonts w:ascii="Times New Roman" w:hAnsi="Times New Roman"/>
          <w:sz w:val="24"/>
          <w:szCs w:val="24"/>
        </w:rPr>
        <w:t xml:space="preserve">уменьшение товарного выпуска в сопоставимых ценах на </w:t>
      </w:r>
      <w:r w:rsidR="00ED06E2" w:rsidRPr="00497C5F">
        <w:rPr>
          <w:rFonts w:ascii="Times New Roman" w:hAnsi="Times New Roman"/>
          <w:sz w:val="24"/>
          <w:szCs w:val="24"/>
        </w:rPr>
        <w:t>24,8</w:t>
      </w:r>
      <w:r w:rsidRPr="00497C5F">
        <w:rPr>
          <w:rFonts w:ascii="Times New Roman" w:hAnsi="Times New Roman"/>
          <w:sz w:val="24"/>
          <w:szCs w:val="24"/>
        </w:rPr>
        <w:t>%. При этом в ию</w:t>
      </w:r>
      <w:r w:rsidR="00ED06E2" w:rsidRPr="00497C5F">
        <w:rPr>
          <w:rFonts w:ascii="Times New Roman" w:hAnsi="Times New Roman"/>
          <w:sz w:val="24"/>
          <w:szCs w:val="24"/>
        </w:rPr>
        <w:t>л</w:t>
      </w:r>
      <w:r w:rsidRPr="00497C5F">
        <w:rPr>
          <w:rFonts w:ascii="Times New Roman" w:hAnsi="Times New Roman"/>
          <w:sz w:val="24"/>
          <w:szCs w:val="24"/>
        </w:rPr>
        <w:t xml:space="preserve">е               2015 года по отношению к </w:t>
      </w:r>
      <w:r w:rsidR="00ED06E2" w:rsidRPr="00497C5F">
        <w:rPr>
          <w:rFonts w:ascii="Times New Roman" w:hAnsi="Times New Roman"/>
          <w:sz w:val="24"/>
          <w:szCs w:val="24"/>
        </w:rPr>
        <w:t>июню</w:t>
      </w:r>
      <w:r w:rsidRPr="00497C5F">
        <w:rPr>
          <w:rFonts w:ascii="Times New Roman" w:hAnsi="Times New Roman"/>
          <w:sz w:val="24"/>
          <w:szCs w:val="24"/>
        </w:rPr>
        <w:t xml:space="preserve"> отмечается снижение на </w:t>
      </w:r>
      <w:r w:rsidR="00ED06E2" w:rsidRPr="00497C5F">
        <w:rPr>
          <w:rFonts w:ascii="Times New Roman" w:hAnsi="Times New Roman"/>
          <w:sz w:val="24"/>
          <w:szCs w:val="24"/>
        </w:rPr>
        <w:t>5,3</w:t>
      </w:r>
      <w:r w:rsidRPr="00497C5F">
        <w:rPr>
          <w:rFonts w:ascii="Times New Roman" w:hAnsi="Times New Roman"/>
          <w:sz w:val="24"/>
          <w:szCs w:val="24"/>
        </w:rPr>
        <w:t xml:space="preserve">%, что вызвано </w:t>
      </w:r>
      <w:r w:rsidR="0058706A">
        <w:rPr>
          <w:rFonts w:ascii="Times New Roman" w:hAnsi="Times New Roman"/>
          <w:sz w:val="24"/>
          <w:szCs w:val="24"/>
        </w:rPr>
        <w:t>сокращением</w:t>
      </w:r>
      <w:r w:rsidRPr="00497C5F">
        <w:rPr>
          <w:rFonts w:ascii="Times New Roman" w:hAnsi="Times New Roman"/>
          <w:sz w:val="24"/>
          <w:szCs w:val="24"/>
        </w:rPr>
        <w:t xml:space="preserve"> объемов производства крупнейших предприятий отрасли.</w:t>
      </w:r>
    </w:p>
    <w:p w:rsidR="00447510" w:rsidRPr="00497C5F" w:rsidRDefault="00447510" w:rsidP="00497C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497C5F">
        <w:rPr>
          <w:rFonts w:ascii="Times New Roman" w:hAnsi="Times New Roman"/>
          <w:sz w:val="24"/>
          <w:szCs w:val="24"/>
        </w:rPr>
        <w:t xml:space="preserve">Снижение объемов производства было характерно для ведущего предприятия отрасли ЗАО «Тираспольский винно-коньячный завод «KVINT» на </w:t>
      </w:r>
      <w:r w:rsidR="00ED06E2" w:rsidRPr="00497C5F">
        <w:rPr>
          <w:rFonts w:ascii="Times New Roman" w:hAnsi="Times New Roman"/>
          <w:sz w:val="24"/>
          <w:szCs w:val="24"/>
        </w:rPr>
        <w:t>30,6</w:t>
      </w:r>
      <w:r w:rsidRPr="00497C5F">
        <w:rPr>
          <w:rFonts w:ascii="Times New Roman" w:hAnsi="Times New Roman"/>
          <w:sz w:val="24"/>
          <w:szCs w:val="24"/>
        </w:rPr>
        <w:t>%, что обусловлено падением объемов реализации продукции как на местном рынке, так и за его пределами;</w:t>
      </w:r>
    </w:p>
    <w:p w:rsidR="00447510" w:rsidRPr="00497C5F" w:rsidRDefault="00447510" w:rsidP="00497C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497C5F">
        <w:rPr>
          <w:rFonts w:ascii="Times New Roman" w:hAnsi="Times New Roman"/>
          <w:sz w:val="24"/>
          <w:szCs w:val="24"/>
        </w:rPr>
        <w:t xml:space="preserve">ж) в </w:t>
      </w:r>
      <w:r w:rsidRPr="00497C5F">
        <w:rPr>
          <w:rFonts w:ascii="Times New Roman" w:hAnsi="Times New Roman"/>
          <w:b/>
          <w:sz w:val="24"/>
          <w:szCs w:val="24"/>
        </w:rPr>
        <w:t>мукомольно-крупяной и комбикормовой промышленности</w:t>
      </w:r>
      <w:r w:rsidRPr="00497C5F">
        <w:rPr>
          <w:rFonts w:ascii="Times New Roman" w:hAnsi="Times New Roman"/>
          <w:sz w:val="24"/>
          <w:szCs w:val="24"/>
        </w:rPr>
        <w:t xml:space="preserve"> по итогам января – ию</w:t>
      </w:r>
      <w:r w:rsidR="00ED06E2" w:rsidRPr="00497C5F">
        <w:rPr>
          <w:rFonts w:ascii="Times New Roman" w:hAnsi="Times New Roman"/>
          <w:sz w:val="24"/>
          <w:szCs w:val="24"/>
        </w:rPr>
        <w:t>л</w:t>
      </w:r>
      <w:r w:rsidRPr="00497C5F">
        <w:rPr>
          <w:rFonts w:ascii="Times New Roman" w:hAnsi="Times New Roman"/>
          <w:sz w:val="24"/>
          <w:szCs w:val="24"/>
        </w:rPr>
        <w:t xml:space="preserve">я 2015 года отмечается снижение выпуска готовой продукции в сопоставимых ценах на </w:t>
      </w:r>
      <w:r w:rsidR="00ED06E2" w:rsidRPr="00497C5F">
        <w:rPr>
          <w:rFonts w:ascii="Times New Roman" w:hAnsi="Times New Roman"/>
          <w:sz w:val="24"/>
          <w:szCs w:val="24"/>
        </w:rPr>
        <w:t>17,3</w:t>
      </w:r>
      <w:r w:rsidRPr="00497C5F">
        <w:rPr>
          <w:rFonts w:ascii="Times New Roman" w:hAnsi="Times New Roman"/>
          <w:sz w:val="24"/>
          <w:szCs w:val="24"/>
        </w:rPr>
        <w:t xml:space="preserve">%, что вызвано в основном сокращением объемов производства на ЗАО «Бендерский комбинат хлебопродуктов» на </w:t>
      </w:r>
      <w:r w:rsidR="00ED06E2" w:rsidRPr="00497C5F">
        <w:rPr>
          <w:rFonts w:ascii="Times New Roman" w:hAnsi="Times New Roman"/>
          <w:sz w:val="24"/>
          <w:szCs w:val="24"/>
        </w:rPr>
        <w:t>30,9</w:t>
      </w:r>
      <w:r w:rsidRPr="00497C5F">
        <w:rPr>
          <w:rFonts w:ascii="Times New Roman" w:hAnsi="Times New Roman"/>
          <w:sz w:val="24"/>
          <w:szCs w:val="24"/>
        </w:rPr>
        <w:t>%</w:t>
      </w:r>
      <w:r w:rsidR="00C778DA">
        <w:rPr>
          <w:rFonts w:ascii="Times New Roman" w:hAnsi="Times New Roman"/>
          <w:sz w:val="24"/>
          <w:szCs w:val="24"/>
        </w:rPr>
        <w:t xml:space="preserve">, ввиду </w:t>
      </w:r>
      <w:r w:rsidR="00E63957">
        <w:rPr>
          <w:rFonts w:ascii="Times New Roman" w:hAnsi="Times New Roman"/>
          <w:sz w:val="24"/>
          <w:szCs w:val="24"/>
        </w:rPr>
        <w:t xml:space="preserve">неконкурентоспособности отечественной продукции, на фоне </w:t>
      </w:r>
      <w:proofErr w:type="gramStart"/>
      <w:r w:rsidR="00E63957">
        <w:rPr>
          <w:rFonts w:ascii="Times New Roman" w:hAnsi="Times New Roman"/>
          <w:sz w:val="24"/>
          <w:szCs w:val="24"/>
        </w:rPr>
        <w:t>девальвации валют основных стран партнеров предприятия</w:t>
      </w:r>
      <w:proofErr w:type="gramEnd"/>
      <w:r w:rsidRPr="00497C5F">
        <w:rPr>
          <w:rFonts w:ascii="Times New Roman" w:hAnsi="Times New Roman"/>
          <w:sz w:val="24"/>
          <w:szCs w:val="24"/>
        </w:rPr>
        <w:t>.</w:t>
      </w:r>
    </w:p>
    <w:p w:rsidR="0088511D" w:rsidRDefault="00447510" w:rsidP="00497C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497C5F">
        <w:rPr>
          <w:rFonts w:ascii="Times New Roman" w:hAnsi="Times New Roman"/>
          <w:sz w:val="24"/>
          <w:szCs w:val="24"/>
        </w:rPr>
        <w:t>В натуральном выражении в рассматриваемом периоде отмечено снижение объема производства муки на 2</w:t>
      </w:r>
      <w:r w:rsidR="00ED06E2" w:rsidRPr="00497C5F">
        <w:rPr>
          <w:rFonts w:ascii="Times New Roman" w:hAnsi="Times New Roman"/>
          <w:sz w:val="24"/>
          <w:szCs w:val="24"/>
        </w:rPr>
        <w:t>0,6</w:t>
      </w:r>
      <w:r w:rsidRPr="00497C5F">
        <w:rPr>
          <w:rFonts w:ascii="Times New Roman" w:hAnsi="Times New Roman"/>
          <w:sz w:val="24"/>
          <w:szCs w:val="24"/>
        </w:rPr>
        <w:t>%.</w:t>
      </w:r>
    </w:p>
    <w:p w:rsidR="00D006AC" w:rsidRDefault="00D006AC" w:rsidP="00497C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3957" w:rsidRDefault="00E63957" w:rsidP="00E63957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E63957" w:rsidRDefault="00E63957" w:rsidP="00497C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3957" w:rsidRDefault="00E63957" w:rsidP="00497C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F6B" w:rsidRPr="00E92CCC" w:rsidRDefault="00415F6B" w:rsidP="00415F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92CCC">
        <w:rPr>
          <w:rFonts w:ascii="Times New Roman" w:hAnsi="Times New Roman"/>
          <w:b/>
          <w:sz w:val="24"/>
          <w:szCs w:val="24"/>
          <w:u w:val="single"/>
        </w:rPr>
        <w:lastRenderedPageBreak/>
        <w:t>В</w:t>
      </w:r>
      <w:r w:rsidRPr="00E92CCC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415F6B" w:rsidRPr="00E92CCC" w:rsidRDefault="00415F6B" w:rsidP="00415F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15F6B" w:rsidRPr="00E92CCC" w:rsidRDefault="00415F6B" w:rsidP="00415F6B">
      <w:pPr>
        <w:pStyle w:val="a7"/>
      </w:pPr>
      <w:r w:rsidRPr="00E92CCC">
        <w:t xml:space="preserve">Складывающаяся нестабильная ситуация в сопредельных государствах </w:t>
      </w:r>
      <w:r w:rsidR="0061335D">
        <w:t xml:space="preserve">в совокупности со структурными проблемами в реальном секторе экономики </w:t>
      </w:r>
      <w:r w:rsidRPr="00E92CCC">
        <w:t>продолжа</w:t>
      </w:r>
      <w:r w:rsidR="0061335D">
        <w:t xml:space="preserve">ли </w:t>
      </w:r>
      <w:r w:rsidRPr="00E92CCC">
        <w:t>оказывать негативное влияние на динамику показателей внешнеэкономической деятельности</w:t>
      </w:r>
      <w:r w:rsidR="0061335D">
        <w:t xml:space="preserve"> хозяйствующих субъектов республики</w:t>
      </w:r>
      <w:r w:rsidRPr="00E92CCC">
        <w:t>.</w:t>
      </w:r>
    </w:p>
    <w:p w:rsidR="00415F6B" w:rsidRPr="00E92CCC" w:rsidRDefault="00415F6B" w:rsidP="00415F6B">
      <w:pPr>
        <w:pStyle w:val="2"/>
        <w:tabs>
          <w:tab w:val="left" w:pos="7920"/>
        </w:tabs>
        <w:ind w:firstLine="709"/>
        <w:jc w:val="center"/>
        <w:rPr>
          <w:b/>
          <w:sz w:val="24"/>
          <w:szCs w:val="24"/>
        </w:rPr>
      </w:pPr>
      <w:r w:rsidRPr="00E92CCC">
        <w:rPr>
          <w:b/>
          <w:sz w:val="24"/>
          <w:szCs w:val="24"/>
        </w:rPr>
        <w:t xml:space="preserve">Динамика внешнеторгового оборота в январе-июле 2014 - 2015 г.г., </w:t>
      </w:r>
    </w:p>
    <w:p w:rsidR="00415F6B" w:rsidRPr="00E92CCC" w:rsidRDefault="00415F6B" w:rsidP="00415F6B">
      <w:pPr>
        <w:pStyle w:val="2"/>
        <w:tabs>
          <w:tab w:val="left" w:pos="7920"/>
        </w:tabs>
        <w:ind w:firstLine="709"/>
        <w:jc w:val="center"/>
        <w:rPr>
          <w:b/>
          <w:sz w:val="24"/>
          <w:szCs w:val="24"/>
        </w:rPr>
      </w:pPr>
      <w:r w:rsidRPr="00E92CCC">
        <w:rPr>
          <w:b/>
          <w:sz w:val="24"/>
          <w:szCs w:val="24"/>
        </w:rPr>
        <w:t>млн. долл. США</w:t>
      </w:r>
    </w:p>
    <w:p w:rsidR="00415F6B" w:rsidRPr="00E92CCC" w:rsidRDefault="00415F6B" w:rsidP="00415F6B">
      <w:pPr>
        <w:pStyle w:val="2"/>
        <w:tabs>
          <w:tab w:val="left" w:pos="7920"/>
        </w:tabs>
        <w:ind w:firstLine="0"/>
        <w:jc w:val="center"/>
        <w:rPr>
          <w:b/>
          <w:sz w:val="24"/>
          <w:szCs w:val="24"/>
        </w:rPr>
      </w:pPr>
      <w:r w:rsidRPr="00E92CCC">
        <w:rPr>
          <w:b/>
          <w:noProof/>
          <w:sz w:val="24"/>
          <w:szCs w:val="24"/>
        </w:rPr>
        <w:drawing>
          <wp:inline distT="0" distB="0" distL="0" distR="0">
            <wp:extent cx="5905500" cy="1971675"/>
            <wp:effectExtent l="0" t="0" r="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5F6B" w:rsidRPr="00E92CCC" w:rsidRDefault="00415F6B" w:rsidP="00415F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2CCC">
        <w:rPr>
          <w:rFonts w:ascii="Times New Roman" w:hAnsi="Times New Roman"/>
          <w:sz w:val="24"/>
          <w:szCs w:val="24"/>
        </w:rPr>
        <w:t xml:space="preserve">В январе-июне 2015 года на фоне продолжающейся мировой экономической нестабильности и слабой конъюнктуры рынка для приднестровских товаров совокупный объем внешнеторгового оборота по отношению к базовому показателю 2014 года снизился на 23,3%, при этом объем экспортных и импортных поставок сократился на 17,7% и 25,8% соответственно. </w:t>
      </w:r>
      <w:proofErr w:type="gramStart"/>
      <w:r w:rsidRPr="00E92CCC">
        <w:rPr>
          <w:rFonts w:ascii="Times New Roman" w:hAnsi="Times New Roman"/>
          <w:sz w:val="24"/>
          <w:szCs w:val="24"/>
        </w:rPr>
        <w:t xml:space="preserve">Сравнивая данные показатели за июль текущего года с уровнем июня, необходимо отметить превышение на 12,3% и 2,7% соответственно объемов экспорта и импорта, при этом совокупный внешнеторговый оборот хозяйствующих субъектов увеличился </w:t>
      </w:r>
      <w:r w:rsidR="0061335D">
        <w:rPr>
          <w:rFonts w:ascii="Times New Roman" w:hAnsi="Times New Roman"/>
          <w:sz w:val="24"/>
          <w:szCs w:val="24"/>
        </w:rPr>
        <w:t xml:space="preserve">на 6,3%. </w:t>
      </w:r>
      <w:r w:rsidRPr="00E92CCC">
        <w:rPr>
          <w:rFonts w:ascii="Times New Roman" w:hAnsi="Times New Roman"/>
          <w:sz w:val="24"/>
          <w:szCs w:val="24"/>
        </w:rPr>
        <w:t xml:space="preserve">Вместе с этим экспортные торговые потоки в июле 2015 года на 2,3% сложились ниже базовых показателей июля месяца </w:t>
      </w:r>
      <w:r w:rsidR="0061335D">
        <w:rPr>
          <w:rFonts w:ascii="Times New Roman" w:hAnsi="Times New Roman"/>
          <w:sz w:val="24"/>
          <w:szCs w:val="24"/>
        </w:rPr>
        <w:t xml:space="preserve">            </w:t>
      </w:r>
      <w:r w:rsidRPr="00E92CCC">
        <w:rPr>
          <w:rFonts w:ascii="Times New Roman" w:hAnsi="Times New Roman"/>
          <w:sz w:val="24"/>
          <w:szCs w:val="24"/>
        </w:rPr>
        <w:t>2014 года, импортные – на 29,2% соответственно.</w:t>
      </w:r>
      <w:proofErr w:type="gramEnd"/>
      <w:r w:rsidRPr="00E92CCC">
        <w:rPr>
          <w:rFonts w:ascii="Times New Roman" w:hAnsi="Times New Roman"/>
          <w:sz w:val="24"/>
          <w:szCs w:val="24"/>
        </w:rPr>
        <w:t xml:space="preserve"> Совокупный внешнеторговый оборот в июле текущего года на 20,7% не достиг соответствующего показателя минувшего года.</w:t>
      </w:r>
    </w:p>
    <w:p w:rsidR="00415F6B" w:rsidRPr="00E92CCC" w:rsidRDefault="00415F6B" w:rsidP="00415F6B">
      <w:pPr>
        <w:pStyle w:val="a7"/>
      </w:pPr>
      <w:r w:rsidRPr="00E92CCC">
        <w:t>Товарная структура экспорта в январе-июле текущего года, на фоне неблагоприятной ценовой конъюнктуры на мировых рынках и недостаточном уровне спроса на отечественную продукцию, характеризовалась следующим образом:</w:t>
      </w:r>
    </w:p>
    <w:p w:rsidR="00415F6B" w:rsidRPr="00E92CCC" w:rsidRDefault="00415F6B" w:rsidP="00415F6B">
      <w:pPr>
        <w:pStyle w:val="a7"/>
        <w:jc w:val="center"/>
      </w:pPr>
    </w:p>
    <w:p w:rsidR="00415F6B" w:rsidRPr="00E92CCC" w:rsidRDefault="00415F6B" w:rsidP="00415F6B">
      <w:pPr>
        <w:pStyle w:val="a7"/>
        <w:jc w:val="center"/>
        <w:rPr>
          <w:b/>
        </w:rPr>
      </w:pPr>
      <w:r w:rsidRPr="00E92CCC">
        <w:rPr>
          <w:b/>
        </w:rPr>
        <w:t>Товарная структура экспорта, млн. долл. США</w:t>
      </w:r>
    </w:p>
    <w:p w:rsidR="00415F6B" w:rsidRPr="00E92CCC" w:rsidRDefault="00415F6B" w:rsidP="00415F6B">
      <w:pPr>
        <w:pStyle w:val="a7"/>
        <w:ind w:firstLine="0"/>
        <w:rPr>
          <w:b/>
          <w:noProof/>
        </w:rPr>
      </w:pPr>
      <w:r w:rsidRPr="00E92CCC">
        <w:rPr>
          <w:b/>
          <w:noProof/>
          <w:lang w:eastAsia="ru-RU"/>
        </w:rPr>
        <w:drawing>
          <wp:inline distT="0" distB="0" distL="0" distR="0">
            <wp:extent cx="6038850" cy="2647950"/>
            <wp:effectExtent l="0" t="0" r="0" b="0"/>
            <wp:docPr id="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5F6B" w:rsidRPr="00E92CCC" w:rsidRDefault="00415F6B" w:rsidP="00415F6B">
      <w:pPr>
        <w:pStyle w:val="a7"/>
        <w:rPr>
          <w:b/>
          <w:noProof/>
        </w:rPr>
      </w:pPr>
    </w:p>
    <w:p w:rsidR="00415F6B" w:rsidRPr="00E92CCC" w:rsidRDefault="00415F6B" w:rsidP="00415F6B">
      <w:pPr>
        <w:pStyle w:val="a7"/>
      </w:pPr>
      <w:r w:rsidRPr="00E92CCC">
        <w:lastRenderedPageBreak/>
        <w:t>В товарной структуре экспорта в обозначенном периоде лидирующую позицию при увеличении объема поставок на 32,6% сохраняют топливно-энергетические товары, их доля составила 35,7% от совокупного объема экспорта, расширившись на 13,6 процентных пункта.</w:t>
      </w:r>
    </w:p>
    <w:p w:rsidR="00415F6B" w:rsidRPr="00E92CCC" w:rsidRDefault="00415F6B" w:rsidP="00415F6B">
      <w:pPr>
        <w:pStyle w:val="a7"/>
      </w:pPr>
      <w:r w:rsidRPr="00E92CCC">
        <w:t>Вторыми по величине долевого участия в формировании совокупного объема экспорта в январе-июле текущего года выступили металлы и изделия из них, удельный вес которых сузился до 23,3% против 34,4% в аналогичном периоде минувшего года, при этом их объем в денежном выражении сократился на 44,2%.</w:t>
      </w:r>
    </w:p>
    <w:p w:rsidR="00415F6B" w:rsidRPr="00E92CCC" w:rsidRDefault="00415F6B" w:rsidP="00415F6B">
      <w:pPr>
        <w:pStyle w:val="a7"/>
      </w:pPr>
      <w:r w:rsidRPr="00E92CCC">
        <w:t>Вклад товаров легкой промышленности, на фоне сокращения их объемов на 24,7%, сложился на уровне 17,4% от совокупного экспорта, сократив долевое участие на 1,6 процентных пункта.</w:t>
      </w:r>
    </w:p>
    <w:p w:rsidR="00415F6B" w:rsidRPr="00E92CCC" w:rsidRDefault="00415F6B" w:rsidP="00415F6B">
      <w:pPr>
        <w:pStyle w:val="a7"/>
      </w:pPr>
      <w:r w:rsidRPr="00E92CCC">
        <w:t xml:space="preserve">Экспорт продовольствия в рассматриваемом периоде сократился на 15,2%, уступив 0,4 </w:t>
      </w:r>
      <w:proofErr w:type="gramStart"/>
      <w:r w:rsidRPr="00E92CCC">
        <w:t>процентных</w:t>
      </w:r>
      <w:proofErr w:type="gramEnd"/>
      <w:r w:rsidRPr="00E92CCC">
        <w:t xml:space="preserve"> пункта удельного веса в товарной структуре показателю минувшего года и составил 12,8%.</w:t>
      </w:r>
    </w:p>
    <w:p w:rsidR="00415F6B" w:rsidRPr="00E92CCC" w:rsidRDefault="00415F6B" w:rsidP="00415F6B">
      <w:pPr>
        <w:pStyle w:val="a7"/>
      </w:pPr>
      <w:proofErr w:type="gramStart"/>
      <w:r w:rsidRPr="00E92CCC">
        <w:t>Основными торговыми партнерами Приднестровья по экспортным поставкам в  январе-июле 2015 года были Республика Молдова (48,8% совокупного экспорта, «+»5,3% к уровню января-июля 2014 года), Румыния (17,0%, «+»7,2% к уровню января-июля            2014 года), Российская Федерация (8,2%, «-»54,5% к уровню января-июля 2014 года), Италия (7,4%, «-»20,3% к уровню января-июля 2014 года), Украина (7,6%, «+»14,1% к уровню января-июля 2014 года), Германия (5,3%, «-»2,5% к</w:t>
      </w:r>
      <w:proofErr w:type="gramEnd"/>
      <w:r w:rsidRPr="00E92CCC">
        <w:t xml:space="preserve"> уровню января-июля                 2014 года).</w:t>
      </w:r>
    </w:p>
    <w:p w:rsidR="00415F6B" w:rsidRPr="00E92CCC" w:rsidRDefault="00415F6B" w:rsidP="00415F6B">
      <w:pPr>
        <w:pStyle w:val="a7"/>
        <w:ind w:firstLine="0"/>
      </w:pPr>
      <w:r w:rsidRPr="00E92CCC">
        <w:rPr>
          <w:noProof/>
          <w:lang w:eastAsia="ru-RU"/>
        </w:rPr>
        <w:drawing>
          <wp:inline distT="0" distB="0" distL="0" distR="0">
            <wp:extent cx="6124575" cy="3105150"/>
            <wp:effectExtent l="0" t="0" r="0" b="0"/>
            <wp:docPr id="1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15F6B" w:rsidRPr="00E92CCC" w:rsidRDefault="00415F6B" w:rsidP="00415F6B">
      <w:pPr>
        <w:pStyle w:val="ab"/>
        <w:tabs>
          <w:tab w:val="left" w:pos="900"/>
        </w:tabs>
        <w:spacing w:after="0" w:line="240" w:lineRule="auto"/>
        <w:jc w:val="both"/>
      </w:pPr>
    </w:p>
    <w:p w:rsidR="00415F6B" w:rsidRPr="00E92CCC" w:rsidRDefault="00415F6B" w:rsidP="00415F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CCC">
        <w:rPr>
          <w:rFonts w:ascii="Times New Roman" w:hAnsi="Times New Roman"/>
          <w:sz w:val="24"/>
          <w:szCs w:val="24"/>
        </w:rPr>
        <w:t xml:space="preserve">Динамика структурных составляющих импорта товаров в республику в                   январе-июле 2015 года обуславливалась </w:t>
      </w:r>
      <w:proofErr w:type="spellStart"/>
      <w:r w:rsidRPr="00E92CCC">
        <w:rPr>
          <w:rFonts w:ascii="Times New Roman" w:hAnsi="Times New Roman"/>
          <w:sz w:val="24"/>
          <w:szCs w:val="24"/>
        </w:rPr>
        <w:t>востребованностью</w:t>
      </w:r>
      <w:proofErr w:type="spellEnd"/>
      <w:r w:rsidRPr="00E92CCC">
        <w:rPr>
          <w:rFonts w:ascii="Times New Roman" w:hAnsi="Times New Roman"/>
          <w:sz w:val="24"/>
          <w:szCs w:val="24"/>
        </w:rPr>
        <w:t xml:space="preserve"> крупных предприятий индустрии в сырьевых материалах и ресурсах.</w:t>
      </w:r>
    </w:p>
    <w:p w:rsidR="00415F6B" w:rsidRPr="00E92CCC" w:rsidRDefault="00415F6B" w:rsidP="00415F6B">
      <w:pPr>
        <w:pStyle w:val="a7"/>
      </w:pPr>
      <w:r w:rsidRPr="00E92CCC">
        <w:t xml:space="preserve">Между тем, в товарной структуре импорта, по-прежнему, преобладал ввоз топливно-энергетических товаров, при этом их доля в общей структуре импорта выросла до 54,7% против 45,3% в январе – июле 2014 года, в абсолютной величине их объем снизился на 10,3%. </w:t>
      </w:r>
    </w:p>
    <w:p w:rsidR="00415F6B" w:rsidRPr="00E92CCC" w:rsidRDefault="00415F6B" w:rsidP="00415F6B">
      <w:pPr>
        <w:pStyle w:val="a7"/>
      </w:pPr>
      <w:r w:rsidRPr="00E92CCC">
        <w:t>Импорт металлов и изделий из них в результате приостановки производственных мощностей ОАО «Молдавский металлургический завод» в период января-февраля текущего года, по итогам января-июля сократился на 27,0% от фактического базового показателя, сузив долевое представительство в товарной структуре до 11,7% против 11,9% в базовом периоде 2014 года.</w:t>
      </w:r>
    </w:p>
    <w:p w:rsidR="00415F6B" w:rsidRPr="00E92CCC" w:rsidRDefault="00415F6B" w:rsidP="00415F6B">
      <w:pPr>
        <w:pStyle w:val="a7"/>
      </w:pPr>
      <w:r w:rsidRPr="00E92CCC">
        <w:lastRenderedPageBreak/>
        <w:t>Импортные поставки товаров легкой промышленности в январе-июле 2015 года составили 3,6% от ввезенных товаров против 3,8% в январе-июле 2014 года, в абсолютной величине их объем сократился на 29,9%.</w:t>
      </w:r>
    </w:p>
    <w:p w:rsidR="00415F6B" w:rsidRPr="00E92CCC" w:rsidRDefault="00415F6B" w:rsidP="00415F6B">
      <w:pPr>
        <w:pStyle w:val="a7"/>
      </w:pPr>
      <w:r w:rsidRPr="00E92CCC">
        <w:t>В январе-июле 2015 года на продовольственные товары (сырье) приходилось 7,6% импортных поставок в общем объеме импорта против 10,0% в базовом периоде минувшего года, при этом в денежном эквиваленте ввоз данных товаров сократился на 44,1%.</w:t>
      </w:r>
    </w:p>
    <w:p w:rsidR="00415F6B" w:rsidRPr="00E92CCC" w:rsidRDefault="00415F6B" w:rsidP="00415F6B">
      <w:pPr>
        <w:pStyle w:val="a7"/>
      </w:pPr>
      <w:r w:rsidRPr="00E92CCC">
        <w:t>На импортные поставки машиностроительной продукции в январе-июле 2015 года приходилось 9,4% ввезенных товаров против 10,9% в январе-июле 2014 года, в абсолютной величине их объем сократился на 35,9%.</w:t>
      </w:r>
    </w:p>
    <w:p w:rsidR="00415F6B" w:rsidRPr="00E92CCC" w:rsidRDefault="00415F6B" w:rsidP="00415F6B">
      <w:pPr>
        <w:pStyle w:val="ab"/>
        <w:tabs>
          <w:tab w:val="left" w:pos="900"/>
        </w:tabs>
        <w:spacing w:after="0" w:line="240" w:lineRule="auto"/>
        <w:jc w:val="both"/>
      </w:pPr>
      <w:r w:rsidRPr="00E92CCC">
        <w:rPr>
          <w:noProof/>
        </w:rPr>
        <w:drawing>
          <wp:inline distT="0" distB="0" distL="0" distR="0">
            <wp:extent cx="6038850" cy="2524125"/>
            <wp:effectExtent l="0" t="0" r="0" b="0"/>
            <wp:docPr id="1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15F6B" w:rsidRPr="00E92CCC" w:rsidRDefault="00415F6B" w:rsidP="00415F6B">
      <w:pPr>
        <w:pStyle w:val="a7"/>
        <w:rPr>
          <w:color w:val="000000"/>
        </w:rPr>
      </w:pPr>
    </w:p>
    <w:p w:rsidR="00415F6B" w:rsidRPr="00E92CCC" w:rsidRDefault="00415F6B" w:rsidP="00415F6B">
      <w:pPr>
        <w:pStyle w:val="a7"/>
      </w:pPr>
      <w:r w:rsidRPr="00E92CCC">
        <w:rPr>
          <w:color w:val="000000"/>
        </w:rPr>
        <w:t xml:space="preserve">Главными представителями в сфере импортных операций в обозначенном периоде выступали контрагенты </w:t>
      </w:r>
      <w:r w:rsidRPr="00E92CCC">
        <w:t>Российской Федерации (59,8% совокупного импорта, «-»9,7% к уровню базового показателя 2014 года), Украины (13,4%, «-»31,0%), Республики Молдова (7,5%, «-»25,8%), Германии (4,1%, «-»46,5%), Республики Беларусь (4,4%, «-»64,2%), Италия (2,3%, «-»45,9%), Польша (1,5%, «-»34,6%).</w:t>
      </w:r>
    </w:p>
    <w:p w:rsidR="00415F6B" w:rsidRPr="00DE07F2" w:rsidRDefault="00415F6B" w:rsidP="00415F6B">
      <w:pPr>
        <w:pStyle w:val="a7"/>
        <w:ind w:firstLine="0"/>
      </w:pPr>
      <w:r w:rsidRPr="00E92CCC">
        <w:rPr>
          <w:noProof/>
          <w:lang w:eastAsia="ru-RU"/>
        </w:rPr>
        <w:drawing>
          <wp:inline distT="0" distB="0" distL="0" distR="0">
            <wp:extent cx="5943600" cy="3333750"/>
            <wp:effectExtent l="0" t="0" r="0" b="0"/>
            <wp:docPr id="17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15F6B" w:rsidRPr="00DE07F2" w:rsidRDefault="00415F6B" w:rsidP="00415F6B">
      <w:pPr>
        <w:pStyle w:val="a7"/>
        <w:ind w:left="-851" w:firstLine="0"/>
      </w:pPr>
    </w:p>
    <w:p w:rsidR="00415F6B" w:rsidRDefault="00415F6B" w:rsidP="00497C5F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06AC" w:rsidRPr="00DE07F2" w:rsidRDefault="00D006AC" w:rsidP="00D006A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07F2">
        <w:rPr>
          <w:rFonts w:ascii="Times New Roman" w:hAnsi="Times New Roman"/>
          <w:b/>
          <w:sz w:val="24"/>
          <w:szCs w:val="24"/>
          <w:u w:val="single"/>
        </w:rPr>
        <w:t>Инфляционные процессы</w:t>
      </w:r>
    </w:p>
    <w:p w:rsidR="00D006AC" w:rsidRPr="00DE07F2" w:rsidRDefault="00D006AC" w:rsidP="00D006A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006AC" w:rsidRDefault="00D006AC" w:rsidP="00D00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C28">
        <w:rPr>
          <w:rFonts w:ascii="Times New Roman" w:hAnsi="Times New Roman"/>
          <w:sz w:val="24"/>
          <w:szCs w:val="24"/>
        </w:rPr>
        <w:t xml:space="preserve">После </w:t>
      </w:r>
      <w:r w:rsidRPr="00DD0C28">
        <w:rPr>
          <w:rStyle w:val="ad"/>
          <w:sz w:val="24"/>
          <w:szCs w:val="24"/>
        </w:rPr>
        <w:t xml:space="preserve">незначительного ускорения инфляционных процессов в </w:t>
      </w:r>
      <w:r w:rsidRPr="00DD0C28">
        <w:rPr>
          <w:rStyle w:val="ad"/>
          <w:sz w:val="24"/>
          <w:szCs w:val="24"/>
          <w:lang w:val="en-US"/>
        </w:rPr>
        <w:t>I</w:t>
      </w:r>
      <w:r w:rsidRPr="00DD0C28">
        <w:rPr>
          <w:rStyle w:val="ad"/>
          <w:sz w:val="24"/>
          <w:szCs w:val="24"/>
        </w:rPr>
        <w:t xml:space="preserve"> полугодии 2015 года, в январе-июле на потребительском рынке республики продолжилась тенденция замедления динамики цен. В целом сводный индекс потребительских цен (инфляция) </w:t>
      </w:r>
      <w:r w:rsidRPr="00DD0C28">
        <w:rPr>
          <w:rFonts w:ascii="Times New Roman" w:hAnsi="Times New Roman"/>
          <w:sz w:val="24"/>
          <w:szCs w:val="24"/>
        </w:rPr>
        <w:t>по итогам января-июля 2015 года сложился на уровне 98,71% против 100,91% в январе-июле 2014 года.</w:t>
      </w:r>
      <w:r w:rsidRPr="00DE07F2">
        <w:rPr>
          <w:rFonts w:ascii="Times New Roman" w:hAnsi="Times New Roman"/>
          <w:sz w:val="24"/>
          <w:szCs w:val="24"/>
        </w:rPr>
        <w:t xml:space="preserve"> </w:t>
      </w:r>
    </w:p>
    <w:p w:rsidR="00D006AC" w:rsidRDefault="00D006AC" w:rsidP="00D00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06AC" w:rsidRPr="00DE07F2" w:rsidRDefault="00D006AC" w:rsidP="00D006AC">
      <w:pPr>
        <w:pStyle w:val="ab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>
            <wp:extent cx="5935980" cy="2179320"/>
            <wp:effectExtent l="0" t="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006AC" w:rsidRPr="00DE07F2" w:rsidRDefault="00D006AC" w:rsidP="00D00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06AC" w:rsidRPr="00DD0C28" w:rsidRDefault="00D006AC" w:rsidP="00D00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C28">
        <w:rPr>
          <w:rFonts w:ascii="Times New Roman" w:hAnsi="Times New Roman"/>
          <w:sz w:val="24"/>
          <w:szCs w:val="24"/>
        </w:rPr>
        <w:t>Динамика уровня сводного индекса потребительских цен (инфляция) за предыдущие годы представлена ниже:</w:t>
      </w:r>
    </w:p>
    <w:p w:rsidR="00D006AC" w:rsidRPr="00DD0C28" w:rsidRDefault="00D006AC" w:rsidP="00D006AC">
      <w:pPr>
        <w:pStyle w:val="a7"/>
        <w:rPr>
          <w:rStyle w:val="ad"/>
          <w:color w:val="000000"/>
          <w:szCs w:val="24"/>
        </w:rPr>
      </w:pPr>
    </w:p>
    <w:tbl>
      <w:tblPr>
        <w:tblStyle w:val="af0"/>
        <w:tblW w:w="9747" w:type="dxa"/>
        <w:tblLook w:val="04A0"/>
      </w:tblPr>
      <w:tblGrid>
        <w:gridCol w:w="959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</w:tblGrid>
      <w:tr w:rsidR="00D006AC" w:rsidRPr="00DD0C28" w:rsidTr="0061335D">
        <w:tc>
          <w:tcPr>
            <w:tcW w:w="9747" w:type="dxa"/>
            <w:gridSpan w:val="11"/>
          </w:tcPr>
          <w:p w:rsidR="00D006AC" w:rsidRPr="00DD0C28" w:rsidRDefault="00D006AC" w:rsidP="0061335D">
            <w:pPr>
              <w:pStyle w:val="ab"/>
              <w:spacing w:after="0"/>
              <w:ind w:firstLine="709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Сводный индекс потребительских цен (инфляция) за январь-июль, %</w:t>
            </w:r>
          </w:p>
        </w:tc>
      </w:tr>
      <w:tr w:rsidR="00D006AC" w:rsidRPr="00DD0C28" w:rsidTr="0061335D">
        <w:tc>
          <w:tcPr>
            <w:tcW w:w="959" w:type="dxa"/>
            <w:vAlign w:val="center"/>
          </w:tcPr>
          <w:p w:rsidR="00D006AC" w:rsidRPr="00DD0C28" w:rsidRDefault="00D006AC" w:rsidP="0061335D">
            <w:pPr>
              <w:pStyle w:val="ab"/>
              <w:spacing w:after="0"/>
              <w:jc w:val="center"/>
              <w:rPr>
                <w:rStyle w:val="ad"/>
                <w:b/>
                <w:color w:val="000000"/>
                <w:sz w:val="24"/>
                <w:szCs w:val="24"/>
              </w:rPr>
            </w:pPr>
            <w:r w:rsidRPr="00DD0C28">
              <w:rPr>
                <w:rStyle w:val="ad"/>
                <w:b/>
                <w:color w:val="000000"/>
                <w:sz w:val="24"/>
                <w:szCs w:val="24"/>
              </w:rPr>
              <w:t>2005 г.</w:t>
            </w:r>
          </w:p>
        </w:tc>
        <w:tc>
          <w:tcPr>
            <w:tcW w:w="850" w:type="dxa"/>
            <w:vAlign w:val="center"/>
          </w:tcPr>
          <w:p w:rsidR="00D006AC" w:rsidRPr="00DD0C28" w:rsidRDefault="00D006AC" w:rsidP="0061335D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2006 г.</w:t>
            </w:r>
          </w:p>
        </w:tc>
        <w:tc>
          <w:tcPr>
            <w:tcW w:w="851" w:type="dxa"/>
            <w:vAlign w:val="center"/>
          </w:tcPr>
          <w:p w:rsidR="00D006AC" w:rsidRPr="00DD0C28" w:rsidRDefault="00D006AC" w:rsidP="0061335D">
            <w:pPr>
              <w:ind w:left="-391" w:right="-25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 2007 г.</w:t>
            </w:r>
          </w:p>
        </w:tc>
        <w:tc>
          <w:tcPr>
            <w:tcW w:w="850" w:type="dxa"/>
            <w:vAlign w:val="center"/>
          </w:tcPr>
          <w:p w:rsidR="00D006AC" w:rsidRPr="00DD0C28" w:rsidRDefault="00D006AC" w:rsidP="0061335D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2008 г.</w:t>
            </w:r>
          </w:p>
        </w:tc>
        <w:tc>
          <w:tcPr>
            <w:tcW w:w="851" w:type="dxa"/>
            <w:vAlign w:val="center"/>
          </w:tcPr>
          <w:p w:rsidR="00D006AC" w:rsidRPr="00DD0C28" w:rsidRDefault="00D006AC" w:rsidP="0061335D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2009 г.</w:t>
            </w:r>
          </w:p>
        </w:tc>
        <w:tc>
          <w:tcPr>
            <w:tcW w:w="850" w:type="dxa"/>
            <w:vAlign w:val="center"/>
          </w:tcPr>
          <w:p w:rsidR="00D006AC" w:rsidRPr="00DD0C28" w:rsidRDefault="00D006AC" w:rsidP="0061335D">
            <w:pPr>
              <w:ind w:left="-250" w:righ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2010 г.</w:t>
            </w:r>
          </w:p>
        </w:tc>
        <w:tc>
          <w:tcPr>
            <w:tcW w:w="851" w:type="dxa"/>
            <w:vAlign w:val="center"/>
          </w:tcPr>
          <w:p w:rsidR="00D006AC" w:rsidRPr="00DD0C28" w:rsidRDefault="00D006AC" w:rsidP="0061335D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2011 г.</w:t>
            </w:r>
          </w:p>
        </w:tc>
        <w:tc>
          <w:tcPr>
            <w:tcW w:w="992" w:type="dxa"/>
            <w:vAlign w:val="center"/>
          </w:tcPr>
          <w:p w:rsidR="00D006AC" w:rsidRPr="00DD0C28" w:rsidRDefault="00D006AC" w:rsidP="0061335D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2012 г.</w:t>
            </w:r>
          </w:p>
        </w:tc>
        <w:tc>
          <w:tcPr>
            <w:tcW w:w="992" w:type="dxa"/>
            <w:vAlign w:val="center"/>
          </w:tcPr>
          <w:p w:rsidR="00D006AC" w:rsidRPr="00DD0C28" w:rsidRDefault="00D006AC" w:rsidP="0061335D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2013 г.</w:t>
            </w:r>
          </w:p>
        </w:tc>
        <w:tc>
          <w:tcPr>
            <w:tcW w:w="851" w:type="dxa"/>
            <w:vAlign w:val="center"/>
          </w:tcPr>
          <w:p w:rsidR="00D006AC" w:rsidRPr="00DD0C28" w:rsidRDefault="00D006AC" w:rsidP="0061335D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D006AC" w:rsidRPr="00DD0C28" w:rsidRDefault="00D006AC" w:rsidP="0061335D">
            <w:pPr>
              <w:pStyle w:val="ab"/>
              <w:spacing w:after="0"/>
              <w:ind w:left="-108"/>
              <w:jc w:val="center"/>
              <w:rPr>
                <w:rStyle w:val="ad"/>
                <w:b/>
                <w:color w:val="000000"/>
                <w:sz w:val="24"/>
                <w:szCs w:val="24"/>
              </w:rPr>
            </w:pPr>
            <w:r w:rsidRPr="00DD0C28">
              <w:rPr>
                <w:rStyle w:val="ad"/>
                <w:b/>
                <w:color w:val="000000"/>
                <w:sz w:val="24"/>
                <w:szCs w:val="24"/>
              </w:rPr>
              <w:t>2015 г.</w:t>
            </w:r>
          </w:p>
        </w:tc>
      </w:tr>
      <w:tr w:rsidR="00D006AC" w:rsidRPr="00DD0C28" w:rsidTr="0061335D">
        <w:tc>
          <w:tcPr>
            <w:tcW w:w="959" w:type="dxa"/>
            <w:vAlign w:val="center"/>
          </w:tcPr>
          <w:p w:rsidR="00D006AC" w:rsidRPr="00DD0C28" w:rsidRDefault="00D006AC" w:rsidP="0061335D">
            <w:pPr>
              <w:pStyle w:val="ab"/>
              <w:spacing w:after="0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DD0C28">
              <w:rPr>
                <w:rStyle w:val="ad"/>
                <w:color w:val="000000"/>
                <w:sz w:val="24"/>
                <w:szCs w:val="24"/>
              </w:rPr>
              <w:t>104,34</w:t>
            </w:r>
          </w:p>
        </w:tc>
        <w:tc>
          <w:tcPr>
            <w:tcW w:w="850" w:type="dxa"/>
            <w:vAlign w:val="center"/>
          </w:tcPr>
          <w:p w:rsidR="00D006AC" w:rsidRPr="00DD0C28" w:rsidRDefault="00D006AC" w:rsidP="0061335D">
            <w:pPr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color w:val="333333"/>
                <w:sz w:val="24"/>
                <w:szCs w:val="24"/>
              </w:rPr>
              <w:t>102,39</w:t>
            </w:r>
          </w:p>
        </w:tc>
        <w:tc>
          <w:tcPr>
            <w:tcW w:w="851" w:type="dxa"/>
            <w:vAlign w:val="center"/>
          </w:tcPr>
          <w:p w:rsidR="00D006AC" w:rsidRPr="00DD0C28" w:rsidRDefault="00D006AC" w:rsidP="0061335D">
            <w:pPr>
              <w:ind w:left="-108" w:right="-2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color w:val="333333"/>
                <w:sz w:val="24"/>
                <w:szCs w:val="24"/>
              </w:rPr>
              <w:t>115,81</w:t>
            </w:r>
          </w:p>
        </w:tc>
        <w:tc>
          <w:tcPr>
            <w:tcW w:w="850" w:type="dxa"/>
            <w:vAlign w:val="center"/>
          </w:tcPr>
          <w:p w:rsidR="00D006AC" w:rsidRPr="00DD0C28" w:rsidRDefault="00D006AC" w:rsidP="0061335D">
            <w:pPr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color w:val="333333"/>
                <w:sz w:val="24"/>
                <w:szCs w:val="24"/>
              </w:rPr>
              <w:t>122,57</w:t>
            </w:r>
          </w:p>
        </w:tc>
        <w:tc>
          <w:tcPr>
            <w:tcW w:w="851" w:type="dxa"/>
            <w:vAlign w:val="center"/>
          </w:tcPr>
          <w:p w:rsidR="00D006AC" w:rsidRPr="00DD0C28" w:rsidRDefault="00D006AC" w:rsidP="0061335D">
            <w:pPr>
              <w:ind w:left="-675" w:right="-53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color w:val="333333"/>
                <w:sz w:val="24"/>
                <w:szCs w:val="24"/>
              </w:rPr>
              <w:t>100,72</w:t>
            </w:r>
          </w:p>
        </w:tc>
        <w:tc>
          <w:tcPr>
            <w:tcW w:w="850" w:type="dxa"/>
            <w:vAlign w:val="center"/>
          </w:tcPr>
          <w:p w:rsidR="00D006AC" w:rsidRPr="00DD0C28" w:rsidRDefault="00D006AC" w:rsidP="0061335D">
            <w:pPr>
              <w:ind w:left="-250" w:righ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color w:val="333333"/>
                <w:sz w:val="24"/>
                <w:szCs w:val="24"/>
              </w:rPr>
              <w:t>106,95</w:t>
            </w:r>
          </w:p>
        </w:tc>
        <w:tc>
          <w:tcPr>
            <w:tcW w:w="851" w:type="dxa"/>
            <w:vAlign w:val="center"/>
          </w:tcPr>
          <w:p w:rsidR="00D006AC" w:rsidRPr="00DD0C28" w:rsidRDefault="00D006AC" w:rsidP="0061335D">
            <w:pPr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color w:val="333333"/>
                <w:sz w:val="24"/>
                <w:szCs w:val="24"/>
              </w:rPr>
              <w:t>112,32</w:t>
            </w:r>
          </w:p>
        </w:tc>
        <w:tc>
          <w:tcPr>
            <w:tcW w:w="992" w:type="dxa"/>
            <w:vAlign w:val="center"/>
          </w:tcPr>
          <w:p w:rsidR="00D006AC" w:rsidRPr="00DD0C28" w:rsidRDefault="00D006AC" w:rsidP="0061335D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color w:val="333333"/>
                <w:sz w:val="24"/>
                <w:szCs w:val="24"/>
              </w:rPr>
              <w:t>107,62</w:t>
            </w:r>
          </w:p>
        </w:tc>
        <w:tc>
          <w:tcPr>
            <w:tcW w:w="992" w:type="dxa"/>
            <w:vAlign w:val="center"/>
          </w:tcPr>
          <w:p w:rsidR="00D006AC" w:rsidRPr="00DD0C28" w:rsidRDefault="00D006AC" w:rsidP="0061335D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color w:val="333333"/>
                <w:sz w:val="24"/>
                <w:szCs w:val="24"/>
              </w:rPr>
              <w:t>102,42</w:t>
            </w:r>
          </w:p>
        </w:tc>
        <w:tc>
          <w:tcPr>
            <w:tcW w:w="851" w:type="dxa"/>
          </w:tcPr>
          <w:p w:rsidR="00D006AC" w:rsidRPr="00DD0C28" w:rsidRDefault="00D006AC" w:rsidP="0061335D">
            <w:pPr>
              <w:pStyle w:val="ab"/>
              <w:spacing w:after="0"/>
              <w:ind w:left="-108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DD0C28">
              <w:rPr>
                <w:rStyle w:val="ad"/>
                <w:color w:val="000000"/>
                <w:sz w:val="24"/>
                <w:szCs w:val="24"/>
              </w:rPr>
              <w:t>100,91</w:t>
            </w:r>
          </w:p>
        </w:tc>
        <w:tc>
          <w:tcPr>
            <w:tcW w:w="850" w:type="dxa"/>
          </w:tcPr>
          <w:p w:rsidR="00D006AC" w:rsidRPr="00DD0C28" w:rsidRDefault="00D006AC" w:rsidP="0061335D">
            <w:pPr>
              <w:pStyle w:val="ab"/>
              <w:spacing w:after="0"/>
              <w:ind w:left="-108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DD0C28">
              <w:rPr>
                <w:rStyle w:val="ad"/>
                <w:color w:val="000000"/>
                <w:sz w:val="24"/>
                <w:szCs w:val="24"/>
              </w:rPr>
              <w:t>98,71</w:t>
            </w:r>
          </w:p>
        </w:tc>
      </w:tr>
    </w:tbl>
    <w:p w:rsidR="00D006AC" w:rsidRPr="00DD0C28" w:rsidRDefault="00D006AC" w:rsidP="00D006AC">
      <w:pPr>
        <w:pStyle w:val="a7"/>
        <w:rPr>
          <w:rStyle w:val="ad"/>
          <w:color w:val="000000"/>
          <w:szCs w:val="24"/>
        </w:rPr>
      </w:pPr>
    </w:p>
    <w:p w:rsidR="00D006AC" w:rsidRPr="00D006AC" w:rsidRDefault="00D006AC" w:rsidP="00D006AC">
      <w:pPr>
        <w:pStyle w:val="a7"/>
        <w:rPr>
          <w:rStyle w:val="FontStyle183"/>
          <w:rFonts w:ascii="Times New Roman" w:hAnsi="Times New Roman" w:cs="Times New Roman"/>
          <w:sz w:val="24"/>
          <w:szCs w:val="24"/>
        </w:rPr>
      </w:pPr>
      <w:r w:rsidRPr="00D006AC">
        <w:rPr>
          <w:rStyle w:val="ad"/>
          <w:color w:val="000000"/>
          <w:sz w:val="24"/>
          <w:szCs w:val="24"/>
        </w:rPr>
        <w:t xml:space="preserve">На протяжении января-июля 2015 года </w:t>
      </w:r>
      <w:r w:rsidRPr="00D006AC">
        <w:rPr>
          <w:rStyle w:val="FontStyle183"/>
          <w:rFonts w:ascii="Times New Roman" w:hAnsi="Times New Roman" w:cs="Times New Roman"/>
          <w:sz w:val="24"/>
          <w:szCs w:val="24"/>
        </w:rPr>
        <w:t>инфляционный фон на потребительском рынке формировался в сегменте административно-регулируемых услуг и поддерживался сезонным фактором в сфере товаров.</w:t>
      </w:r>
    </w:p>
    <w:p w:rsidR="00D006AC" w:rsidRPr="00D006AC" w:rsidRDefault="00D006AC" w:rsidP="00D006AC">
      <w:pPr>
        <w:pStyle w:val="30"/>
        <w:shd w:val="clear" w:color="auto" w:fill="auto"/>
        <w:spacing w:line="240" w:lineRule="auto"/>
        <w:ind w:firstLine="709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06A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На фоне устойчивых дефляционных процессов по большинству виду товаров в продовольственном сегменте потребительского рынка (удешевление яиц – на 24,60%, сахара – на 14,86%, сыра – на 16,82%, молока и молочной продукции – на 16,18%, мясопродуктов – на 11,02%, консервов овощных – на 9,16%, макаронных и крупяных изделий – на 3,11%) в совокупности с повышением цен на плодоовощную продукцию </w:t>
      </w:r>
      <w:r w:rsidRPr="00D006AC">
        <w:rPr>
          <w:rStyle w:val="ae"/>
          <w:rFonts w:ascii="Times New Roman" w:hAnsi="Times New Roman" w:cs="Times New Roman"/>
          <w:color w:val="000000"/>
          <w:sz w:val="24"/>
          <w:szCs w:val="24"/>
        </w:rPr>
        <w:br/>
        <w:t>на 13,44%, а также на муку на 4,43%, в</w:t>
      </w:r>
      <w:proofErr w:type="gramEnd"/>
      <w:r w:rsidRPr="00D006A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продовольственном </w:t>
      </w:r>
      <w:proofErr w:type="gramStart"/>
      <w:r w:rsidRPr="00D006AC">
        <w:rPr>
          <w:rStyle w:val="ae"/>
          <w:rFonts w:ascii="Times New Roman" w:hAnsi="Times New Roman" w:cs="Times New Roman"/>
          <w:color w:val="000000"/>
          <w:sz w:val="24"/>
          <w:szCs w:val="24"/>
        </w:rPr>
        <w:t>сегменте</w:t>
      </w:r>
      <w:proofErr w:type="gramEnd"/>
      <w:r w:rsidRPr="00D006A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потребительского рынка в январе-июле 2015 года был зафиксирован выраженный дефляционный тренд – </w:t>
      </w:r>
      <w:r w:rsidRPr="00D006AC">
        <w:rPr>
          <w:rStyle w:val="ae"/>
          <w:rFonts w:ascii="Times New Roman" w:hAnsi="Times New Roman" w:cs="Times New Roman"/>
          <w:color w:val="000000"/>
          <w:sz w:val="24"/>
          <w:szCs w:val="24"/>
        </w:rPr>
        <w:br/>
        <w:t xml:space="preserve">«-»4,87% (в январе-июле 2014 года – «+»0,49%). </w:t>
      </w:r>
    </w:p>
    <w:p w:rsidR="00D006AC" w:rsidRPr="00D006AC" w:rsidRDefault="00D006AC" w:rsidP="00D00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6AC">
        <w:rPr>
          <w:rFonts w:ascii="Times New Roman" w:hAnsi="Times New Roman"/>
          <w:sz w:val="24"/>
          <w:szCs w:val="24"/>
        </w:rPr>
        <w:t xml:space="preserve">В январе-июле 2015 года отмечалась ценовая стабильность в сфере непродовольственных товаров с дефляцией «-»1,72% (в январе-июле 2014 года </w:t>
      </w:r>
      <w:r w:rsidRPr="00D006AC">
        <w:rPr>
          <w:rFonts w:ascii="Times New Roman" w:hAnsi="Times New Roman"/>
          <w:sz w:val="24"/>
          <w:szCs w:val="24"/>
        </w:rPr>
        <w:br/>
        <w:t xml:space="preserve">«-»2,11%). Понижательный ценовой тренд в данном сегменте потребительского рынка установлен по следующим видам товаров: товары бытовой химии (-5,69%), вычислительная техника (-1,66%), </w:t>
      </w:r>
      <w:proofErr w:type="spellStart"/>
      <w:r w:rsidRPr="00D006AC">
        <w:rPr>
          <w:rFonts w:ascii="Times New Roman" w:hAnsi="Times New Roman"/>
          <w:sz w:val="24"/>
          <w:szCs w:val="24"/>
        </w:rPr>
        <w:t>телерадиотовары</w:t>
      </w:r>
      <w:proofErr w:type="spellEnd"/>
      <w:r w:rsidRPr="00D006AC">
        <w:rPr>
          <w:rFonts w:ascii="Times New Roman" w:hAnsi="Times New Roman"/>
          <w:sz w:val="24"/>
          <w:szCs w:val="24"/>
        </w:rPr>
        <w:t xml:space="preserve"> (-1,52%), топливо (бензин) (-5,83%) и др.</w:t>
      </w:r>
    </w:p>
    <w:p w:rsidR="00D006AC" w:rsidRPr="00D006AC" w:rsidRDefault="00D006AC" w:rsidP="00D00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6AC">
        <w:rPr>
          <w:rFonts w:ascii="Times New Roman" w:hAnsi="Times New Roman"/>
          <w:sz w:val="24"/>
          <w:szCs w:val="24"/>
        </w:rPr>
        <w:t xml:space="preserve">В общем повышении стоимости потребительских товаров и услуг на протяжении всего рассматриваемого периода наибольшее влияние оказывала инфляция в сфере цен и тарифов на услуги. По итогам января-июля 2015 года инфляционная нагрузка в данном сегменте достигла 6,39%, снизившись на 0,89 </w:t>
      </w:r>
      <w:proofErr w:type="gramStart"/>
      <w:r w:rsidRPr="00D006AC">
        <w:rPr>
          <w:rFonts w:ascii="Times New Roman" w:hAnsi="Times New Roman"/>
          <w:sz w:val="24"/>
          <w:szCs w:val="24"/>
        </w:rPr>
        <w:t>процентных</w:t>
      </w:r>
      <w:proofErr w:type="gramEnd"/>
      <w:r w:rsidRPr="00D006AC">
        <w:rPr>
          <w:rFonts w:ascii="Times New Roman" w:hAnsi="Times New Roman"/>
          <w:sz w:val="24"/>
          <w:szCs w:val="24"/>
        </w:rPr>
        <w:t xml:space="preserve"> пункта к сопоставимому значению соответствующего периода предыдущего года. Данная тенденция обусловлена принятием на государственном уровне решения о снижении с марта текущего года </w:t>
      </w:r>
      <w:r w:rsidRPr="00D006AC">
        <w:rPr>
          <w:rFonts w:ascii="Times New Roman" w:hAnsi="Times New Roman"/>
          <w:sz w:val="24"/>
          <w:szCs w:val="24"/>
        </w:rPr>
        <w:lastRenderedPageBreak/>
        <w:t>предельных уровней тарифов в сфере Ж</w:t>
      </w:r>
      <w:proofErr w:type="gramStart"/>
      <w:r w:rsidRPr="00D006AC">
        <w:rPr>
          <w:rFonts w:ascii="Times New Roman" w:hAnsi="Times New Roman"/>
          <w:sz w:val="24"/>
          <w:szCs w:val="24"/>
        </w:rPr>
        <w:t>КХ в ср</w:t>
      </w:r>
      <w:proofErr w:type="gramEnd"/>
      <w:r w:rsidRPr="00D006AC">
        <w:rPr>
          <w:rFonts w:ascii="Times New Roman" w:hAnsi="Times New Roman"/>
          <w:sz w:val="24"/>
          <w:szCs w:val="24"/>
        </w:rPr>
        <w:t>еднем на 7,0% к уровню установленных тарифов на 2015 год.</w:t>
      </w:r>
    </w:p>
    <w:p w:rsidR="00D006AC" w:rsidRDefault="00D006AC" w:rsidP="00D00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C28">
        <w:rPr>
          <w:rFonts w:ascii="Times New Roman" w:hAnsi="Times New Roman"/>
          <w:sz w:val="24"/>
          <w:szCs w:val="24"/>
        </w:rPr>
        <w:t xml:space="preserve">Основное влияние на определившейся инфляционный фон в сфере тарифов на услуги в январе-июле 2015 года оказало </w:t>
      </w:r>
      <w:r w:rsidRPr="00DD0C28">
        <w:rPr>
          <w:rStyle w:val="FontStyle183"/>
          <w:rFonts w:ascii="Times New Roman" w:eastAsia="Calibri" w:hAnsi="Times New Roman"/>
          <w:sz w:val="24"/>
          <w:szCs w:val="24"/>
        </w:rPr>
        <w:t xml:space="preserve">повышение стоимости услуг дошкольного воспитания («+»21,84%), медицинских услуг («+»37,67%), услуг правового характера («+»8,94%), а также ритуальных услуг («+»15,15%). Кроме того, весомое инфляционное давление в сфере услуг в обозначенном периоде создало </w:t>
      </w:r>
      <w:r w:rsidRPr="00DD0C28">
        <w:rPr>
          <w:rFonts w:ascii="Times New Roman" w:hAnsi="Times New Roman"/>
          <w:sz w:val="24"/>
          <w:szCs w:val="24"/>
        </w:rPr>
        <w:t>повышение цен на жилищно-коммунальные услуги - на 2,61% (в январе-июле 2014 года – на 10,62%), тарифов на услуги связи - на 8,56% (в январе-июле 2014 года – «+»5,20%).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C28">
        <w:rPr>
          <w:rStyle w:val="FontStyle183"/>
          <w:rFonts w:ascii="Times New Roman" w:eastAsia="Calibri" w:hAnsi="Times New Roman"/>
          <w:sz w:val="24"/>
          <w:szCs w:val="24"/>
        </w:rPr>
        <w:t>В то же время подешевели санаторно-оздоровительные услуги на 3,13%.</w:t>
      </w:r>
    </w:p>
    <w:p w:rsidR="00D006AC" w:rsidRPr="00DD0C28" w:rsidRDefault="00D006AC" w:rsidP="00D00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C28">
        <w:rPr>
          <w:rFonts w:ascii="Times New Roman" w:hAnsi="Times New Roman"/>
          <w:sz w:val="24"/>
          <w:szCs w:val="24"/>
        </w:rPr>
        <w:t>Таким образом, существенную роль в сдерживании инфляционных процессов продолжала оказывать предсказуемая валютная политика. Стабильность курса приднестровского рубля в условиях высокой импортной зависимости от поставок достаточно широкого круга потребительских товаров, позволила не допустить раскручивания инфляционной спирали по аналогии с ситуацией, которая сложилась в ряде стран СНГ.</w:t>
      </w:r>
    </w:p>
    <w:p w:rsidR="00D006AC" w:rsidRPr="00447510" w:rsidRDefault="00D006AC" w:rsidP="00D00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C28">
        <w:rPr>
          <w:rFonts w:ascii="Times New Roman" w:hAnsi="Times New Roman"/>
          <w:sz w:val="24"/>
          <w:szCs w:val="24"/>
        </w:rPr>
        <w:t>Сводный индекс потребительских цен (инфляция) в январе-июле 2015 года в Республике Молдова составил 105,2%, в Украине – 139,3%, в Российской Федерации – 109,4</w:t>
      </w:r>
      <w:r>
        <w:rPr>
          <w:rFonts w:ascii="Times New Roman" w:hAnsi="Times New Roman"/>
          <w:sz w:val="24"/>
          <w:szCs w:val="24"/>
        </w:rPr>
        <w:t>%.</w:t>
      </w:r>
    </w:p>
    <w:sectPr w:rsidR="00D006AC" w:rsidRPr="00447510" w:rsidSect="0088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10"/>
    <w:rsid w:val="000A234F"/>
    <w:rsid w:val="000F2EE0"/>
    <w:rsid w:val="001505AC"/>
    <w:rsid w:val="002009CD"/>
    <w:rsid w:val="002061DD"/>
    <w:rsid w:val="00273DDA"/>
    <w:rsid w:val="002D04E6"/>
    <w:rsid w:val="00415F6B"/>
    <w:rsid w:val="00436D87"/>
    <w:rsid w:val="00447510"/>
    <w:rsid w:val="0045111B"/>
    <w:rsid w:val="00462097"/>
    <w:rsid w:val="00497C5F"/>
    <w:rsid w:val="005403F3"/>
    <w:rsid w:val="0058706A"/>
    <w:rsid w:val="005C559D"/>
    <w:rsid w:val="0061335D"/>
    <w:rsid w:val="0062492D"/>
    <w:rsid w:val="0066076B"/>
    <w:rsid w:val="0069533C"/>
    <w:rsid w:val="00767F01"/>
    <w:rsid w:val="00785469"/>
    <w:rsid w:val="007D46E3"/>
    <w:rsid w:val="007F0E28"/>
    <w:rsid w:val="00825878"/>
    <w:rsid w:val="0088511D"/>
    <w:rsid w:val="008E33C9"/>
    <w:rsid w:val="009C3061"/>
    <w:rsid w:val="00A120F5"/>
    <w:rsid w:val="00A25D6A"/>
    <w:rsid w:val="00A76B1B"/>
    <w:rsid w:val="00AB7B1F"/>
    <w:rsid w:val="00B3234D"/>
    <w:rsid w:val="00C778DA"/>
    <w:rsid w:val="00C77ABA"/>
    <w:rsid w:val="00C97E2B"/>
    <w:rsid w:val="00CE08A1"/>
    <w:rsid w:val="00CE1F10"/>
    <w:rsid w:val="00D006AC"/>
    <w:rsid w:val="00E42E88"/>
    <w:rsid w:val="00E63957"/>
    <w:rsid w:val="00ED06E2"/>
    <w:rsid w:val="00F71546"/>
    <w:rsid w:val="00F83C04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5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5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4475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447510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447510"/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Без интервала Знак"/>
    <w:link w:val="a7"/>
    <w:uiPriority w:val="1"/>
    <w:locked/>
    <w:rsid w:val="00447510"/>
    <w:rPr>
      <w:rFonts w:ascii="Times New Roman" w:hAnsi="Times New Roman" w:cs="Times New Roman"/>
      <w:sz w:val="24"/>
    </w:rPr>
  </w:style>
  <w:style w:type="paragraph" w:styleId="a7">
    <w:name w:val="No Spacing"/>
    <w:link w:val="a6"/>
    <w:uiPriority w:val="1"/>
    <w:qFormat/>
    <w:rsid w:val="0044751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8">
    <w:name w:val="List Paragraph"/>
    <w:basedOn w:val="a"/>
    <w:uiPriority w:val="99"/>
    <w:qFormat/>
    <w:rsid w:val="00447510"/>
    <w:pPr>
      <w:ind w:left="720"/>
      <w:contextualSpacing/>
    </w:pPr>
  </w:style>
  <w:style w:type="paragraph" w:customStyle="1" w:styleId="11">
    <w:name w:val="Без интервала1"/>
    <w:uiPriority w:val="99"/>
    <w:rsid w:val="004475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5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D006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006AC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basedOn w:val="a0"/>
    <w:rsid w:val="00D006AC"/>
    <w:rPr>
      <w:rFonts w:ascii="Times New Roman" w:hAnsi="Times New Roman" w:cs="Times New Roman"/>
      <w:sz w:val="27"/>
      <w:szCs w:val="27"/>
      <w:u w:val="none"/>
    </w:rPr>
  </w:style>
  <w:style w:type="character" w:customStyle="1" w:styleId="FontStyle183">
    <w:name w:val="Font Style183"/>
    <w:basedOn w:val="a0"/>
    <w:rsid w:val="00D006AC"/>
    <w:rPr>
      <w:rFonts w:ascii="Sylfaen" w:hAnsi="Sylfaen" w:cs="Sylfaen"/>
      <w:sz w:val="20"/>
      <w:szCs w:val="20"/>
    </w:rPr>
  </w:style>
  <w:style w:type="character" w:customStyle="1" w:styleId="3">
    <w:name w:val="Основной текст (3)_"/>
    <w:basedOn w:val="a0"/>
    <w:link w:val="30"/>
    <w:rsid w:val="00D006AC"/>
    <w:rPr>
      <w:b/>
      <w:bCs/>
      <w:sz w:val="27"/>
      <w:szCs w:val="27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D006AC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06AC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">
    <w:name w:val="Подпись к таблице"/>
    <w:basedOn w:val="a"/>
    <w:link w:val="ae"/>
    <w:rsid w:val="00D006AC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table" w:styleId="af0">
    <w:name w:val="Table Grid"/>
    <w:basedOn w:val="a1"/>
    <w:uiPriority w:val="59"/>
    <w:rsid w:val="00D00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новной текст с отступом 2"/>
    <w:basedOn w:val="a"/>
    <w:uiPriority w:val="99"/>
    <w:rsid w:val="00415F6B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3.5209487702926113E-3"/>
          <c:y val="0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3170020414114998E-2"/>
          <c:y val="8.5540200332101343E-2"/>
          <c:w val="0.90368892777291621"/>
          <c:h val="0.75935561626225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7"/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4.1946419419466092E-2"/>
                  <c:y val="6.872309812468620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25,2%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1219220388970728E-2"/>
                  <c:y val="-4.3494563179602621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40,1%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1.1830499986088443E-3"/>
                  <c:y val="0.179034788281522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11,9%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1.2950854641403121E-2"/>
                  <c:y val="1.799775028121494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10,3%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4.3034509575191976E-2"/>
                  <c:y val="1.25796775403074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4,5%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6074174160182794"/>
                  <c:y val="-3.61087670517670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8,0%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1288.9000000000001</c:v>
                </c:pt>
                <c:pt idx="1">
                  <c:v>2055.3000000000002</c:v>
                </c:pt>
                <c:pt idx="2" formatCode="0.0">
                  <c:v>609.20000000000005</c:v>
                </c:pt>
                <c:pt idx="3">
                  <c:v>528.29999999999995</c:v>
                </c:pt>
                <c:pt idx="4" formatCode="0.0">
                  <c:v>230.3</c:v>
                </c:pt>
                <c:pt idx="5">
                  <c:v>408.79999999999922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52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тыс. долл. США</a:t>
            </a:r>
          </a:p>
        </c:rich>
      </c:tx>
      <c:layout>
        <c:manualLayout>
          <c:xMode val="edge"/>
          <c:yMode val="edge"/>
          <c:x val="0.18068927231685464"/>
          <c:y val="3.184065182036299E-3"/>
        </c:manualLayout>
      </c:layout>
      <c:spPr>
        <a:noFill/>
        <a:ln w="24880">
          <a:noFill/>
        </a:ln>
      </c:spPr>
    </c:title>
    <c:plotArea>
      <c:layout>
        <c:manualLayout>
          <c:layoutTarget val="inner"/>
          <c:xMode val="edge"/>
          <c:yMode val="edge"/>
          <c:x val="0.16854326594755592"/>
          <c:y val="9.5127127513968734E-2"/>
          <c:w val="0.81815864774290459"/>
          <c:h val="0.542687792860248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июль 2014 г.</c:v>
                </c:pt>
              </c:strCache>
            </c:strRef>
          </c:tx>
          <c:dLbls>
            <c:dLbl>
              <c:idx val="0"/>
              <c:layout>
                <c:manualLayout>
                  <c:x val="-8.3339660302960208E-3"/>
                  <c:y val="1.81160330418820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38,0*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50602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14,7*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863794464665E-3"/>
                  <c:y val="1.0085620365415958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4136825227152014E-3"/>
                  <c:y val="1.607656347281780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13,0*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12,4*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62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159889.79999999999</c:v>
                </c:pt>
                <c:pt idx="1">
                  <c:v>62063.6</c:v>
                </c:pt>
                <c:pt idx="2">
                  <c:v>23086.9</c:v>
                </c:pt>
                <c:pt idx="3">
                  <c:v>32025.4</c:v>
                </c:pt>
                <c:pt idx="4">
                  <c:v>18781</c:v>
                </c:pt>
                <c:pt idx="5">
                  <c:v>54561.7</c:v>
                </c:pt>
                <c:pt idx="6">
                  <c:v>52357.9</c:v>
                </c:pt>
                <c:pt idx="7">
                  <c:v>18522.099999999937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июль 2015 г.</c:v>
                </c:pt>
              </c:strCache>
            </c:strRef>
          </c:tx>
          <c:dLbls>
            <c:dLbl>
              <c:idx val="0"/>
              <c:layout>
                <c:manualLayout>
                  <c:x val="1.0286665386338907E-2"/>
                  <c:y val="1.660499961776695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48,8*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388888888888958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9796100447359534E-3"/>
                  <c:y val="4.383980368964817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7,6*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7.6681239106387014E-3"/>
                  <c:y val="7.936170555367633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3024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17,0*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87604037867E-3"/>
                  <c:y val="9.9196496143505019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2,0*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3,7*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168319.7</c:v>
                </c:pt>
                <c:pt idx="1">
                  <c:v>28215.1</c:v>
                </c:pt>
                <c:pt idx="2">
                  <c:v>26342.7</c:v>
                </c:pt>
                <c:pt idx="3">
                  <c:v>25537.599999999959</c:v>
                </c:pt>
                <c:pt idx="4">
                  <c:v>18313.5</c:v>
                </c:pt>
                <c:pt idx="5">
                  <c:v>58509</c:v>
                </c:pt>
                <c:pt idx="6">
                  <c:v>7036.6</c:v>
                </c:pt>
                <c:pt idx="7">
                  <c:v>12804.299999999987</c:v>
                </c:pt>
              </c:numCache>
            </c:numRef>
          </c:val>
        </c:ser>
        <c:dLbls>
          <c:showVal val="1"/>
        </c:dLbls>
        <c:axId val="64418944"/>
        <c:axId val="64420480"/>
      </c:barChart>
      <c:catAx>
        <c:axId val="64418944"/>
        <c:scaling>
          <c:orientation val="minMax"/>
        </c:scaling>
        <c:axPos val="b"/>
        <c:numFmt formatCode="General" sourceLinked="1"/>
        <c:tickLblPos val="nextTo"/>
        <c:crossAx val="64420480"/>
        <c:crosses val="autoZero"/>
        <c:auto val="1"/>
        <c:lblAlgn val="ctr"/>
        <c:lblOffset val="100"/>
      </c:catAx>
      <c:valAx>
        <c:axId val="64420480"/>
        <c:scaling>
          <c:orientation val="minMax"/>
          <c:max val="170000"/>
          <c:min val="2000"/>
        </c:scaling>
        <c:axPos val="l"/>
        <c:title>
          <c:tx>
            <c:rich>
              <a:bodyPr rot="0" vert="horz"/>
              <a:lstStyle/>
              <a:p>
                <a:pPr algn="ctr">
                  <a:defRPr sz="107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62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</a:t>
                </a:r>
                <a:r>
                  <a:rPr lang="ru-RU" sz="862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80935311995953119"/>
              <c:y val="0.11114144787629122"/>
            </c:manualLayout>
          </c:layout>
          <c:spPr>
            <a:noFill/>
            <a:ln w="24880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18944"/>
        <c:crosses val="autoZero"/>
        <c:crossBetween val="between"/>
        <c:majorUnit val="10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64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18325434439178717"/>
          <c:y val="0.95114006514658733"/>
          <c:w val="0.71406003159558673"/>
          <c:h val="5.2117263843649571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0873792195533936"/>
          <c:y val="6.4418362798989738E-4"/>
        </c:manualLayout>
      </c:layout>
      <c:spPr>
        <a:noFill/>
        <a:ln w="28727">
          <a:noFill/>
        </a:ln>
      </c:spPr>
    </c:title>
    <c:plotArea>
      <c:layout>
        <c:manualLayout>
          <c:layoutTarget val="inner"/>
          <c:xMode val="edge"/>
          <c:yMode val="edge"/>
          <c:x val="7.8755551436484619E-2"/>
          <c:y val="5.578263881194756E-2"/>
          <c:w val="0.96291208791208749"/>
          <c:h val="0.3736177883424957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июль 2014 г.</c:v>
                </c:pt>
              </c:strCache>
            </c:strRef>
          </c:tx>
          <c:dLbls>
            <c:dLbl>
              <c:idx val="0"/>
              <c:layout>
                <c:manualLayout>
                  <c:x val="-5.146938139947899E-3"/>
                  <c:y val="2.306033678653444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45,3*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11,9*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-1.3042927798846641E-3"/>
                  <c:y val="1.8925405541557864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10,0*</a:t>
                    </a:r>
                    <a:endParaRPr lang="en-US" sz="1000"/>
                  </a:p>
                </c:rich>
              </c:tx>
              <c:dLblPos val="outEnd"/>
            </c:dLbl>
            <c:dLbl>
              <c:idx val="3"/>
              <c:layout>
                <c:manualLayout>
                  <c:x val="2.1643193654421089E-3"/>
                  <c:y val="2.944386668647569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10,9*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3,8*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2.6432184935873612E-3"/>
                  <c:y val="1.480631902144307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18,0*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8</a:t>
                    </a:r>
                    <a:r>
                      <a:rPr lang="en-US" sz="1000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 anchor="ctr" anchorCtr="0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437.1</c:v>
                </c:pt>
                <c:pt idx="1">
                  <c:v>114.6</c:v>
                </c:pt>
                <c:pt idx="2">
                  <c:v>97</c:v>
                </c:pt>
                <c:pt idx="3" formatCode="General">
                  <c:v>105.4</c:v>
                </c:pt>
                <c:pt idx="4">
                  <c:v>37</c:v>
                </c:pt>
                <c:pt idx="5">
                  <c:v>174.19999999999993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июль 2015 г.</c:v>
                </c:pt>
              </c:strCache>
            </c:strRef>
          </c:tx>
          <c:dLbls>
            <c:dLbl>
              <c:idx val="0"/>
              <c:layout>
                <c:manualLayout>
                  <c:x val="1.3667999701930045E-2"/>
                  <c:y val="1.105016589907394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54,7*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7.2278662328092713E-3"/>
                  <c:y val="1.670361016193735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11,7*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7.8853360982597022E-3"/>
                  <c:y val="1.24836894616984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7,6*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9,4*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0924639230358411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3,6*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1.2116379774294774E-2"/>
                  <c:y val="9.257069281434160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13,0*</a:t>
                    </a:r>
                    <a:endParaRPr lang="en-US" sz="1000"/>
                  </a:p>
                </c:rich>
              </c:tx>
              <c:dLblPos val="outEnd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9,</a:t>
                    </a:r>
                    <a:r>
                      <a:rPr lang="ru-RU" sz="1000" b="1"/>
                      <a:t>6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8946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391.9</c:v>
                </c:pt>
                <c:pt idx="1">
                  <c:v>83.7</c:v>
                </c:pt>
                <c:pt idx="2">
                  <c:v>54.3</c:v>
                </c:pt>
                <c:pt idx="3">
                  <c:v>67.599999999999994</c:v>
                </c:pt>
                <c:pt idx="4">
                  <c:v>25.9</c:v>
                </c:pt>
                <c:pt idx="5">
                  <c:v>93.000000000000057</c:v>
                </c:pt>
              </c:numCache>
            </c:numRef>
          </c:val>
        </c:ser>
        <c:gapWidth val="160"/>
        <c:axId val="64735104"/>
        <c:axId val="64736640"/>
      </c:barChart>
      <c:catAx>
        <c:axId val="64735104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64736640"/>
        <c:crosses val="autoZero"/>
        <c:lblAlgn val="ctr"/>
        <c:lblOffset val="160"/>
        <c:tickLblSkip val="1"/>
        <c:tickMarkSkip val="1"/>
      </c:catAx>
      <c:valAx>
        <c:axId val="6473664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*-удельный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вес в общем 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3865758540200652"/>
              <c:y val="6.6576571950317034E-2"/>
            </c:manualLayout>
          </c:layout>
          <c:spPr>
            <a:noFill/>
            <a:ln w="28727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64735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1971350574403565E-2"/>
          <c:y val="0.93962291071669124"/>
          <c:w val="0.87296413539101581"/>
          <c:h val="6.0377089283308823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млн. долл. США</a:t>
            </a:r>
          </a:p>
        </c:rich>
      </c:tx>
      <c:layout>
        <c:manualLayout>
          <c:xMode val="edge"/>
          <c:yMode val="edge"/>
          <c:x val="0.35942501039829139"/>
          <c:y val="3.0837508947745289E-3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23805131787708791"/>
          <c:y val="3.6274836191794356E-2"/>
          <c:w val="0.79102290492376959"/>
          <c:h val="0.585938757655293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июль 2014 г.</c:v>
                </c:pt>
              </c:strCache>
            </c:strRef>
          </c:tx>
          <c:dLbls>
            <c:dLbl>
              <c:idx val="0"/>
              <c:layout>
                <c:manualLayout>
                  <c:x val="-3.0228500849158561E-3"/>
                  <c:y val="4.24188698267030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49,5*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5.0532194114034342E-3"/>
                  <c:y val="9.733556032768774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14,5*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8568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7404662652803E-3"/>
                  <c:y val="1.875267247223236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9,2*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618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3.301493051073541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7.4268010433377434E-3"/>
                  <c:y val="1.48698884758364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422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8,5*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442085.7</c:v>
                </c:pt>
                <c:pt idx="1">
                  <c:v>129929.9</c:v>
                </c:pt>
                <c:pt idx="2">
                  <c:v>67566.2</c:v>
                </c:pt>
                <c:pt idx="3">
                  <c:v>82162.7</c:v>
                </c:pt>
                <c:pt idx="4">
                  <c:v>51458</c:v>
                </c:pt>
                <c:pt idx="5">
                  <c:v>28757.9</c:v>
                </c:pt>
                <c:pt idx="6">
                  <c:v>15458.5</c:v>
                </c:pt>
                <c:pt idx="7">
                  <c:v>75592.100000000035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июль 2015 г.</c:v>
                </c:pt>
              </c:strCache>
            </c:strRef>
          </c:tx>
          <c:dLbls>
            <c:dLbl>
              <c:idx val="0"/>
              <c:layout>
                <c:manualLayout>
                  <c:x val="1.8424049452834823E-2"/>
                  <c:y val="1.2121212121212118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59,8*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6138030823070193E-2"/>
                  <c:y val="6.5358830146231856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13,4*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1029488960938721E-2"/>
                  <c:y val="1.3131007630668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19484329386E-3"/>
                  <c:y val="1.7600945577167109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687972827047E-3"/>
                  <c:y val="-1.7764335749422626E-4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1.1574002944753857E-2"/>
                  <c:y val="9.456264775413754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763651494778E-2"/>
                  <c:y val="7.5461489299653928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399073.4</c:v>
                </c:pt>
                <c:pt idx="1">
                  <c:v>89670</c:v>
                </c:pt>
                <c:pt idx="2">
                  <c:v>50155.1</c:v>
                </c:pt>
                <c:pt idx="3">
                  <c:v>29379.4</c:v>
                </c:pt>
                <c:pt idx="4">
                  <c:v>27549.7</c:v>
                </c:pt>
                <c:pt idx="5">
                  <c:v>15559.7</c:v>
                </c:pt>
                <c:pt idx="6">
                  <c:v>10116.6</c:v>
                </c:pt>
                <c:pt idx="7">
                  <c:v>46238.100000000086</c:v>
                </c:pt>
              </c:numCache>
            </c:numRef>
          </c:val>
        </c:ser>
        <c:dLbls>
          <c:showVal val="1"/>
        </c:dLbls>
        <c:axId val="64959616"/>
        <c:axId val="64961152"/>
      </c:barChart>
      <c:catAx>
        <c:axId val="64959616"/>
        <c:scaling>
          <c:orientation val="minMax"/>
        </c:scaling>
        <c:axPos val="b"/>
        <c:numFmt formatCode="General" sourceLinked="1"/>
        <c:tickLblPos val="nextTo"/>
        <c:crossAx val="64961152"/>
        <c:crosses val="autoZero"/>
        <c:auto val="1"/>
        <c:lblAlgn val="ctr"/>
        <c:lblOffset val="100"/>
      </c:catAx>
      <c:valAx>
        <c:axId val="64961152"/>
        <c:scaling>
          <c:orientation val="minMax"/>
          <c:max val="445000"/>
          <c:min val="3000"/>
        </c:scaling>
        <c:delete val="1"/>
        <c:axPos val="l"/>
        <c:title>
          <c:tx>
            <c:rich>
              <a:bodyPr rot="0" vert="horz"/>
              <a:lstStyle/>
              <a:p>
                <a:pPr algn="ctr">
                  <a:defRPr sz="8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0.73269136439912774"/>
              <c:y val="0.12238829237254434"/>
            </c:manualLayout>
          </c:layout>
          <c:spPr>
            <a:noFill/>
            <a:ln w="25398">
              <a:noFill/>
            </a:ln>
          </c:spPr>
        </c:title>
        <c:numFmt formatCode="#,##0.0" sourceLinked="1"/>
        <c:tickLblPos val="nextTo"/>
        <c:crossAx val="64959616"/>
        <c:crosses val="autoZero"/>
        <c:crossBetween val="between"/>
        <c:majorUnit val="1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20808314826031371"/>
          <c:y val="0.94768353955755535"/>
          <c:w val="0.69195046439628483"/>
          <c:h val="5.0793650793650794E-2"/>
        </c:manualLayout>
      </c:layout>
      <c:txPr>
        <a:bodyPr/>
        <a:lstStyle/>
        <a:p>
          <a:pPr>
            <a:defRPr sz="8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32115744427077708"/>
          <c:y val="0"/>
        </c:manualLayout>
      </c:layout>
    </c:title>
    <c:plotArea>
      <c:layout>
        <c:manualLayout>
          <c:layoutTarget val="inner"/>
          <c:xMode val="edge"/>
          <c:yMode val="edge"/>
          <c:x val="0.22829254815548594"/>
          <c:y val="0.13873823027366344"/>
          <c:w val="0.77253662580566296"/>
          <c:h val="0.4659079253024470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январь-июль 2014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4.7312835895514417E-3"/>
                  <c:y val="1.905832638935657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+0,91%*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8.547058958454163E-3"/>
                  <c:y val="2.337617280598549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+0,49%*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0709267888368904E-3"/>
                  <c:y val="2.488849732944220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-2,11%*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5.4944442806072503E-3"/>
                  <c:y val="2.122213171629409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+7,28%*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100.91000000000012</c:v>
                </c:pt>
                <c:pt idx="1">
                  <c:v>100.49000000000002</c:v>
                </c:pt>
                <c:pt idx="2">
                  <c:v>97.89</c:v>
                </c:pt>
                <c:pt idx="3">
                  <c:v>107.28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январь-июль 2015 года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9.8082777106045273E-3"/>
                  <c:y val="2.751581339688860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-1,29%*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9.5998767944270591E-3"/>
                  <c:y val="2.5444736074657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-4,87%*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1736641534040455E-2"/>
                  <c:y val="2.806747058715585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-1,72%*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1.2097902556187956E-2"/>
                  <c:y val="2.760229683933188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+6,39%*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0">
                  <c:v>98.710000000000022</c:v>
                </c:pt>
                <c:pt idx="1">
                  <c:v>95.13</c:v>
                </c:pt>
                <c:pt idx="2" formatCode="0.00">
                  <c:v>98.28</c:v>
                </c:pt>
                <c:pt idx="3" formatCode="0.00">
                  <c:v>106.39</c:v>
                </c:pt>
              </c:numCache>
            </c:numRef>
          </c:val>
        </c:ser>
        <c:axId val="64935808"/>
        <c:axId val="64937344"/>
      </c:barChart>
      <c:catAx>
        <c:axId val="64935808"/>
        <c:scaling>
          <c:orientation val="minMax"/>
        </c:scaling>
        <c:axPos val="b"/>
        <c:tickLblPos val="nextTo"/>
        <c:crossAx val="64937344"/>
        <c:crosses val="autoZero"/>
        <c:auto val="1"/>
        <c:lblAlgn val="ctr"/>
        <c:lblOffset val="100"/>
      </c:catAx>
      <c:valAx>
        <c:axId val="6493734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0"/>
              <c:y val="0.64178138134831064"/>
            </c:manualLayout>
          </c:layout>
        </c:title>
        <c:numFmt formatCode="0.00" sourceLinked="1"/>
        <c:tickLblPos val="nextTo"/>
        <c:crossAx val="64935808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9133544996029762"/>
          <c:y val="4.1062258522032574E-3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054672990437602"/>
          <c:w val="0.65214104582513233"/>
          <c:h val="0.799837206902052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explosion val="29"/>
          <c:dPt>
            <c:idx val="0"/>
            <c:explosion val="16"/>
          </c:dPt>
          <c:dPt>
            <c:idx val="1"/>
            <c:explosion val="1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7"/>
          </c:dPt>
          <c:dPt>
            <c:idx val="3"/>
            <c:explosion val="24"/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2.4835362108019052E-2"/>
                  <c:y val="-1.0232182515647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29,8%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8989041661377316E-2"/>
                  <c:y val="1.28557287219568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30,6%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102169012373508E-2"/>
                  <c:y val="0.1598544948722557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12,9%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8279730542378361E-3"/>
                  <c:y val="-3.32494346810287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12,3%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5.1578140174097275E-3"/>
                  <c:y val="-4.65643191249138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6,2%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5.6702284793595931E-2"/>
                  <c:y val="-5.5223570751663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8,2%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 formatCode="General">
                  <c:v>1693.4</c:v>
                </c:pt>
                <c:pt idx="1">
                  <c:v>1738.9</c:v>
                </c:pt>
                <c:pt idx="2">
                  <c:v>735.5</c:v>
                </c:pt>
                <c:pt idx="3" formatCode="General">
                  <c:v>702.1</c:v>
                </c:pt>
                <c:pt idx="4" formatCode="General">
                  <c:v>354.4</c:v>
                </c:pt>
                <c:pt idx="5">
                  <c:v>468.09999999999923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238384324096896"/>
          <c:y val="0.22293542184232379"/>
          <c:w val="0.373446601617547"/>
          <c:h val="0.7760158322455708"/>
        </c:manualLayout>
      </c:layout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Динамина промышленного производства </a:t>
            </a:r>
            <a:r>
              <a:rPr lang="ru-RU" sz="1100" b="0">
                <a:latin typeface="Times New Roman" pitchFamily="18" charset="0"/>
                <a:cs typeface="Times New Roman" pitchFamily="18" charset="0"/>
              </a:rPr>
              <a:t>(в сопоставимых ценах), млн. руб.</a:t>
            </a:r>
          </a:p>
        </c:rich>
      </c:tx>
      <c:layout>
        <c:manualLayout>
          <c:xMode val="edge"/>
          <c:yMode val="edge"/>
          <c:x val="0.15201094368698448"/>
          <c:y val="2.7023407788312266E-3"/>
        </c:manualLayout>
      </c:layout>
      <c:spPr>
        <a:noFill/>
        <a:ln w="24917">
          <a:noFill/>
        </a:ln>
      </c:spPr>
    </c:title>
    <c:plotArea>
      <c:layout>
        <c:manualLayout>
          <c:layoutTarget val="inner"/>
          <c:xMode val="edge"/>
          <c:yMode val="edge"/>
          <c:x val="0.1079373810885695"/>
          <c:y val="0.15664309818415556"/>
          <c:w val="0.86842353361162161"/>
          <c:h val="0.5696405806417055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1.4580979575355309E-2"/>
                  <c:y val="-5.270341207349091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315224333334E-2"/>
                  <c:y val="6.990507243863246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77,0%*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9422943011244932E-2"/>
                  <c:y val="7.130875160428737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3237619491112411E-2"/>
                  <c:y val="-5.399289374542613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4.5216216104855024E-2"/>
                  <c:y val="0.10639187958648083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97,4%*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4.5683630205564964E-2"/>
                  <c:y val="8.653543307086673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3.6785486821875241E-2"/>
                  <c:y val="0.12217258556966093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4.7561489126069494E-2"/>
                  <c:y val="-4.573613550104903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3.9175033569027212E-2"/>
                  <c:y val="7.832663003455710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285911841665088E-2"/>
                  <c:y val="6.76594859604813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1.8433179723502759E-2"/>
                  <c:y val="5.329213093646393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78,0%*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4.025157232704406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598.20000000000005</c:v>
                </c:pt>
                <c:pt idx="1">
                  <c:v>607.70000000000005</c:v>
                </c:pt>
                <c:pt idx="2">
                  <c:v>710.2</c:v>
                </c:pt>
                <c:pt idx="3">
                  <c:v>688</c:v>
                </c:pt>
                <c:pt idx="4">
                  <c:v>760.7</c:v>
                </c:pt>
                <c:pt idx="5">
                  <c:v>851.3</c:v>
                </c:pt>
                <c:pt idx="6">
                  <c:v>904.8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-3.1191320865111692E-2"/>
                  <c:y val="-0.1007954362847502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123,9%*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523735357256184E-2"/>
                  <c:y val="-6.717078867344228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140,3%*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5617045122106993E-2"/>
                  <c:y val="-7.662885751615848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136,4%*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4.0498234423994254E-3"/>
                  <c:y val="-2.010639474663367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171,4%*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5040729798885027E-2"/>
                  <c:y val="-7.51057903476354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204,3%*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6.026774125761772E-3"/>
                  <c:y val="-4.265573946113879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188,0%*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1.4066456530646188E-2"/>
                  <c:y val="-7.044833681504097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2.4844720496894412E-2"/>
                  <c:y val="6.756756756756757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5.1702223466270833E-2"/>
                  <c:y val="-5.405389074567193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102,7%*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3106564925133974E-2"/>
                  <c:y val="-4.498347778470210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100,7%*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1.6486347243689182E-2"/>
                  <c:y val="-5.442172246454811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2.026342451874368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81,8%*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729.2</c:v>
                </c:pt>
                <c:pt idx="1">
                  <c:v>789.1</c:v>
                </c:pt>
                <c:pt idx="2">
                  <c:v>771.5</c:v>
                </c:pt>
                <c:pt idx="3">
                  <c:v>846.8</c:v>
                </c:pt>
                <c:pt idx="4">
                  <c:v>781.4</c:v>
                </c:pt>
                <c:pt idx="5">
                  <c:v>902.6</c:v>
                </c:pt>
                <c:pt idx="6">
                  <c:v>871.8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598.20000000000005</c:v>
                </c:pt>
                <c:pt idx="1">
                  <c:v>607.70000000000005</c:v>
                </c:pt>
                <c:pt idx="2">
                  <c:v>710.2</c:v>
                </c:pt>
                <c:pt idx="3">
                  <c:v>688</c:v>
                </c:pt>
                <c:pt idx="4">
                  <c:v>760.7</c:v>
                </c:pt>
                <c:pt idx="5">
                  <c:v>851.3</c:v>
                </c:pt>
                <c:pt idx="6">
                  <c:v>904.8</c:v>
                </c:pt>
              </c:numCache>
            </c:numRef>
          </c:val>
        </c:ser>
        <c:marker val="1"/>
        <c:axId val="63227776"/>
        <c:axId val="63418368"/>
      </c:lineChart>
      <c:catAx>
        <c:axId val="63227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5.914639340870644E-4"/>
              <c:y val="0.85038459478279504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418368"/>
        <c:crosses val="autoZero"/>
        <c:auto val="1"/>
        <c:lblAlgn val="ctr"/>
        <c:lblOffset val="100"/>
      </c:catAx>
      <c:valAx>
        <c:axId val="63418368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22777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9074961783623191"/>
          <c:y val="0.92081846911993148"/>
          <c:w val="0.23783730330411995"/>
          <c:h val="7.4866310160428745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2.8458750348514132E-2"/>
          <c:w val="0.91969598134814701"/>
          <c:h val="0.5081278823198045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июль 2014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-6.4136825227152014E-3"/>
                  <c:y val="1.532567049808440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2,8 р.*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-1.8105689544712469E-3"/>
                  <c:y val="1.532568885163119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93 р.*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2.5467874773270937E-3"/>
                  <c:y val="1.285068133606636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115,9*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93,8*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39094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68,0*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67,2*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2.4342075350817392E-3"/>
                  <c:y val="5.7543187329720915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121,4*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8.268832537665128E-3"/>
                  <c:y val="7.852060317555363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88,6*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2.8538362154223521E-3"/>
                  <c:y val="1.453967679327439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75,2*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58931186863E-3"/>
                  <c:y val="7.9522786924362786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124,1*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9.8714117428234868E-3"/>
                  <c:y val="2.8825484266938005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84,6*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246.1</c:v>
                </c:pt>
                <c:pt idx="1">
                  <c:v>259.5</c:v>
                </c:pt>
                <c:pt idx="2">
                  <c:v>15.2</c:v>
                </c:pt>
                <c:pt idx="3">
                  <c:v>20.6</c:v>
                </c:pt>
                <c:pt idx="4">
                  <c:v>16.8</c:v>
                </c:pt>
                <c:pt idx="5">
                  <c:v>3.2</c:v>
                </c:pt>
                <c:pt idx="6">
                  <c:v>79.5</c:v>
                </c:pt>
                <c:pt idx="7">
                  <c:v>115.4</c:v>
                </c:pt>
                <c:pt idx="8">
                  <c:v>96.6</c:v>
                </c:pt>
                <c:pt idx="9">
                  <c:v>17.399999999999999</c:v>
                </c:pt>
                <c:pt idx="10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июль 2015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1.2242131150928969E-2"/>
                  <c:y val="1.983653184036416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131,2*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2.2724616115898887E-2"/>
                  <c:y val="1.961498158737764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112,8*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1.0671106493246372E-2"/>
                  <c:y val="-3.667195592946374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25,5*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1.0178059650614225E-2"/>
                  <c:y val="-3.706760792832013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95,0*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9650614225E-2"/>
                  <c:y val="-4.095131786687583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95,2*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6.4136825227152014E-3"/>
                  <c:y val="-3.441335790473004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52,0*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4.0468720937442996E-3"/>
                  <c:y val="-8.211051565322395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66,4*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1.0791652112433041E-2"/>
                  <c:y val="1.061896674680370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84,2*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7087068840804347E-2"/>
                  <c:y val="2.3152999411195276E-4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86,4*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86,3*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1.3816107632215351E-2"/>
                  <c:y val="-2.070037823218863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134,5</a:t>
                    </a:r>
                    <a:r>
                      <a:rPr lang="ru-RU" sz="750" b="1" baseline="0"/>
                      <a:t>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322.89999999999969</c:v>
                </c:pt>
                <c:pt idx="1">
                  <c:v>292.7</c:v>
                </c:pt>
                <c:pt idx="2">
                  <c:v>3.9</c:v>
                </c:pt>
                <c:pt idx="3">
                  <c:v>19.600000000000001</c:v>
                </c:pt>
                <c:pt idx="4">
                  <c:v>16</c:v>
                </c:pt>
                <c:pt idx="5">
                  <c:v>1.6</c:v>
                </c:pt>
                <c:pt idx="6">
                  <c:v>52.8</c:v>
                </c:pt>
                <c:pt idx="7">
                  <c:v>97.2</c:v>
                </c:pt>
                <c:pt idx="8">
                  <c:v>83.5</c:v>
                </c:pt>
                <c:pt idx="9">
                  <c:v>15</c:v>
                </c:pt>
                <c:pt idx="10">
                  <c:v>-0.2</c:v>
                </c:pt>
              </c:numCache>
            </c:numRef>
          </c:val>
        </c:ser>
        <c:shape val="cylinder"/>
        <c:axId val="63138816"/>
        <c:axId val="63267584"/>
        <c:axId val="0"/>
      </c:bar3DChart>
      <c:catAx>
        <c:axId val="63138816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63267584"/>
        <c:crosses val="autoZero"/>
        <c:auto val="1"/>
        <c:lblAlgn val="ctr"/>
        <c:lblOffset val="100"/>
      </c:catAx>
      <c:valAx>
        <c:axId val="63267584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3138816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3.2109120218240479E-2"/>
          <c:y val="0.93975903614459733"/>
          <c:w val="0.43969925806518279"/>
          <c:h val="6.425702811244979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в отрасли электроэнергетика,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0371005094951369"/>
          <c:y val="0"/>
        </c:manualLayout>
      </c:layout>
      <c:spPr>
        <a:noFill/>
        <a:ln w="21571">
          <a:noFill/>
        </a:ln>
      </c:spPr>
    </c:title>
    <c:plotArea>
      <c:layout>
        <c:manualLayout>
          <c:layoutTarget val="inner"/>
          <c:xMode val="edge"/>
          <c:yMode val="edge"/>
          <c:x val="0.41592156862745705"/>
          <c:y val="0.21069898520749714"/>
          <c:w val="0.50221568627450985"/>
          <c:h val="0.6054815728679074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6.34815501003551E-3"/>
                  <c:y val="1.1699505303772579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161,2%*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7.6277597653234604E-3"/>
                  <c:y val="1.368216069765477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141,5%*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10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98,2%*</a:t>
                    </a:r>
                    <a:endParaRPr lang="en-US" sz="85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1738.9</c:v>
                </c:pt>
                <c:pt idx="1">
                  <c:v>1429.8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5.526323915392946E-3"/>
                  <c:y val="3.3687724518306236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118,2</a:t>
                    </a:r>
                    <a:r>
                      <a:rPr lang="ru-RU" sz="850" baseline="0"/>
                      <a:t> %*</a:t>
                    </a:r>
                    <a:endParaRPr lang="en-US" sz="850"/>
                  </a:p>
                </c:rich>
              </c:tx>
              <c:dLblPos val="outEnd"/>
            </c:dLbl>
            <c:dLbl>
              <c:idx val="1"/>
              <c:layout>
                <c:manualLayout>
                  <c:x val="-3.143430600586701E-3"/>
                  <c:y val="3.5027879579568734E-3"/>
                </c:manualLayout>
              </c:layout>
              <c:tx>
                <c:rich>
                  <a:bodyPr/>
                  <a:lstStyle/>
                  <a:p>
                    <a:pPr>
                      <a:defRPr sz="85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0"/>
                      <a:t>121,8%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10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95,2%*</a:t>
                    </a:r>
                    <a:endParaRPr lang="en-US" sz="85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5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2055.3000000000002</c:v>
                </c:pt>
                <c:pt idx="1">
                  <c:v>1741</c:v>
                </c:pt>
              </c:numCache>
            </c:numRef>
          </c:val>
        </c:ser>
        <c:dLbls>
          <c:showVal val="1"/>
        </c:dLbls>
        <c:axId val="63535744"/>
        <c:axId val="63783296"/>
      </c:barChart>
      <c:catAx>
        <c:axId val="63535744"/>
        <c:scaling>
          <c:orientation val="minMax"/>
        </c:scaling>
        <c:axPos val="l"/>
        <c:numFmt formatCode="General" sourceLinked="1"/>
        <c:tickLblPos val="nextTo"/>
        <c:crossAx val="63783296"/>
        <c:crosses val="autoZero"/>
        <c:auto val="1"/>
        <c:lblAlgn val="ctr"/>
        <c:lblOffset val="100"/>
      </c:catAx>
      <c:valAx>
        <c:axId val="6378329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9219445395"/>
            </c:manualLayout>
          </c:layout>
          <c:spPr>
            <a:noFill/>
            <a:ln w="21571">
              <a:noFill/>
            </a:ln>
          </c:spPr>
        </c:title>
        <c:numFmt formatCode="0.0" sourceLinked="1"/>
        <c:tickLblPos val="nextTo"/>
        <c:crossAx val="63535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42195460861564"/>
          <c:y val="6.0715797622072104E-2"/>
          <c:w val="7.0720256982802404E-2"/>
          <c:h val="0.3181598767545378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промышленность строительных материалов, </a:t>
            </a:r>
          </a:p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12566616966306438"/>
          <c:y val="0"/>
        </c:manualLayout>
      </c:layout>
      <c:spPr>
        <a:noFill/>
        <a:ln w="20926">
          <a:noFill/>
        </a:ln>
      </c:spPr>
    </c:title>
    <c:plotArea>
      <c:layout>
        <c:manualLayout>
          <c:layoutTarget val="inner"/>
          <c:xMode val="edge"/>
          <c:yMode val="edge"/>
          <c:x val="0.22358935180050851"/>
          <c:y val="0.18959555636940917"/>
          <c:w val="0.70006103697131761"/>
          <c:h val="0.6133228926494833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5400000" scaled="0"/>
            </a:gradFill>
            <a:ln w="20926">
              <a:noFill/>
            </a:ln>
          </c:spPr>
          <c:dLbls>
            <c:dLbl>
              <c:idx val="0"/>
              <c:layout>
                <c:manualLayout>
                  <c:x val="-6.4906205973079834E-3"/>
                  <c:y val="6.201766215687173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161,7%*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8.346374543557650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184,3%*</a:t>
                    </a:r>
                  </a:p>
                </c:rich>
              </c:tx>
            </c:dLbl>
            <c:dLbl>
              <c:idx val="2"/>
              <c:layout>
                <c:manualLayout>
                  <c:x val="1.0432803880735565E-2"/>
                  <c:y val="2.8423444259767116E-17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111,7%*</a:t>
                    </a:r>
                    <a:endParaRPr lang="en-US" sz="1000"/>
                  </a:p>
                </c:rich>
              </c:tx>
              <c:dLblPos val="outEnd"/>
            </c:dLbl>
            <c:spPr>
              <a:noFill/>
              <a:ln w="20926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"РЦК"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354.4</c:v>
                </c:pt>
                <c:pt idx="1">
                  <c:v>265.2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BEAC7"/>
                </a:gs>
                <a:gs pos="17999">
                  <a:srgbClr val="FEE7F2"/>
                </a:gs>
                <a:gs pos="36000">
                  <a:srgbClr val="FAC77D"/>
                </a:gs>
                <a:gs pos="61000">
                  <a:srgbClr val="FBA97D"/>
                </a:gs>
                <a:gs pos="82001">
                  <a:srgbClr val="FBD49C"/>
                </a:gs>
                <a:gs pos="100000">
                  <a:srgbClr val="FEE7F2"/>
                </a:gs>
              </a:gsLst>
              <a:lin ang="5400000" scaled="0"/>
            </a:gradFill>
            <a:ln w="20926">
              <a:noFill/>
            </a:ln>
          </c:spPr>
          <c:dLbls>
            <c:dLbl>
              <c:idx val="0"/>
              <c:layout>
                <c:manualLayout>
                  <c:x val="-1.1582730562435835E-2"/>
                  <c:y val="-6.5791776027997991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65,0% *</a:t>
                    </a:r>
                  </a:p>
                </c:rich>
              </c:tx>
              <c:spPr>
                <a:noFill/>
                <a:ln w="20926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7.5347389088101626E-4"/>
                  <c:y val="-7.0196197850959877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64,9% *</a:t>
                    </a:r>
                  </a:p>
                </c:rich>
              </c:tx>
              <c:spPr>
                <a:noFill/>
                <a:ln w="20926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0"/>
                  <c:y val="-1.24031007751938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81,5%*</a:t>
                    </a:r>
                    <a:endParaRPr lang="en-US" sz="1000"/>
                  </a:p>
                </c:rich>
              </c:tx>
              <c:dLblPos val="outEnd"/>
            </c:dLbl>
            <c:spPr>
              <a:noFill/>
              <a:ln w="20926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"РЦК"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230.3</c:v>
                </c:pt>
                <c:pt idx="1">
                  <c:v>172.1</c:v>
                </c:pt>
              </c:numCache>
            </c:numRef>
          </c:val>
        </c:ser>
        <c:dLbls>
          <c:showVal val="1"/>
        </c:dLbls>
        <c:axId val="63789312"/>
        <c:axId val="63701376"/>
      </c:barChart>
      <c:catAx>
        <c:axId val="6378931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63701376"/>
        <c:crosses val="autoZero"/>
        <c:auto val="1"/>
        <c:lblAlgn val="ctr"/>
        <c:lblOffset val="100"/>
      </c:catAx>
      <c:valAx>
        <c:axId val="6370137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9504689105"/>
            </c:manualLayout>
          </c:layout>
          <c:spPr>
            <a:noFill/>
            <a:ln w="20926">
              <a:noFill/>
            </a:ln>
          </c:spPr>
        </c:title>
        <c:numFmt formatCode="General" sourceLinked="1"/>
        <c:tickLblPos val="nextTo"/>
        <c:crossAx val="6378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340911611400765"/>
          <c:y val="0.13129798001769397"/>
          <c:w val="9.6590930903112368E-2"/>
          <c:h val="0.20006264410318875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легкая промышленность,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3817983860886777"/>
          <c:y val="4.6192253431798024E-2"/>
        </c:manualLayout>
      </c:layout>
      <c:spPr>
        <a:noFill/>
        <a:ln w="19217">
          <a:noFill/>
        </a:ln>
      </c:spPr>
    </c:title>
    <c:plotArea>
      <c:layout>
        <c:manualLayout>
          <c:layoutTarget val="inner"/>
          <c:xMode val="edge"/>
          <c:yMode val="edge"/>
          <c:x val="0.35836071416999365"/>
          <c:y val="0.18870710605619537"/>
          <c:w val="0.56869139042805716"/>
          <c:h val="0.6417248575635566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-6.1643795690407271E-3"/>
                  <c:y val="-7.0179490548546823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91,0%*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1.028691972737469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80,3%*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100,3%*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735.5</c:v>
                </c:pt>
                <c:pt idx="1">
                  <c:v>356.9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dLbls>
            <c:dLbl>
              <c:idx val="0"/>
              <c:layout>
                <c:manualLayout>
                  <c:x val="-4.6703230866782909E-3"/>
                  <c:y val="-9.5803461054611207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82,8%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5.7644316432322103E-5"/>
                  <c:y val="-3.9668052282720292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75,8%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89,3%*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609.20000000000005</c:v>
                </c:pt>
                <c:pt idx="1">
                  <c:v>270.7</c:v>
                </c:pt>
              </c:numCache>
            </c:numRef>
          </c:val>
        </c:ser>
        <c:dLbls>
          <c:showVal val="1"/>
        </c:dLbls>
        <c:axId val="63761024"/>
        <c:axId val="64119168"/>
      </c:barChart>
      <c:catAx>
        <c:axId val="6376102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64119168"/>
        <c:crosses val="autoZero"/>
        <c:auto val="1"/>
        <c:lblAlgn val="ctr"/>
        <c:lblOffset val="100"/>
      </c:catAx>
      <c:valAx>
        <c:axId val="6411916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5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spPr>
            <a:noFill/>
            <a:ln w="19217">
              <a:noFill/>
            </a:ln>
          </c:spPr>
        </c:title>
        <c:numFmt formatCode="General" sourceLinked="1"/>
        <c:tickLblPos val="nextTo"/>
        <c:crossAx val="63761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781244936975459"/>
          <c:y val="0.20889827795915755"/>
          <c:w val="7.9922069926445405E-2"/>
          <c:h val="0.20045835733948056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4087775172682055"/>
          <c:y val="7.6301919659145984E-2"/>
          <c:w val="0.63252442842235079"/>
          <c:h val="0.5703357932276402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июль 2014 года</c:v>
                </c:pt>
              </c:strCache>
            </c:strRef>
          </c:tx>
          <c:dLbls>
            <c:dLbl>
              <c:idx val="0"/>
              <c:layout>
                <c:manualLayout>
                  <c:x val="-6.8845991025315622E-3"/>
                  <c:y val="5.0545855681083255E-3"/>
                </c:manualLayout>
              </c:layout>
              <c:tx>
                <c:rich>
                  <a:bodyPr/>
                  <a:lstStyle/>
                  <a:p>
                    <a:r>
                      <a:rPr lang="ru-RU" sz="880"/>
                      <a:t>+25,4*</a:t>
                    </a:r>
                    <a:endParaRPr lang="en-US" sz="900"/>
                  </a:p>
                </c:rich>
              </c:tx>
              <c:dLblPos val="outEnd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880"/>
                      <a:t>+70,1*</a:t>
                    </a:r>
                    <a:endParaRPr lang="en-US" sz="900"/>
                  </a:p>
                </c:rich>
              </c:tx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880"/>
                      <a:t>+12,3*</a:t>
                    </a:r>
                    <a:endParaRPr lang="en-US" sz="900"/>
                  </a:p>
                </c:rich>
              </c:tx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/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1394.2</c:v>
                </c:pt>
                <c:pt idx="1">
                  <c:v>428.9</c:v>
                </c:pt>
                <c:pt idx="2">
                  <c:v>965.3</c:v>
                </c:pt>
                <c:pt idx="3">
                  <c:v>-536.4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июль 2015 года</c:v>
                </c:pt>
              </c:strCache>
            </c:strRef>
          </c:tx>
          <c:dLbls>
            <c:dLbl>
              <c:idx val="0"/>
              <c:layout>
                <c:manualLayout>
                  <c:x val="4.8192771084338046E-2"/>
                  <c:y val="5.9790732436473312E-3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-23,3*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3.4423407917383859E-2"/>
                  <c:y val="-5.9790732436473312E-3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-17,7*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8192771084338046E-2"/>
                  <c:y val="1.195814648729447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-25,8*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1069.3</c:v>
                </c:pt>
                <c:pt idx="1">
                  <c:v>353</c:v>
                </c:pt>
                <c:pt idx="2">
                  <c:v>716.4</c:v>
                </c:pt>
                <c:pt idx="3">
                  <c:v>-363.4</c:v>
                </c:pt>
              </c:numCache>
            </c:numRef>
          </c:val>
        </c:ser>
        <c:gapWidth val="50"/>
        <c:overlap val="60"/>
        <c:axId val="64071552"/>
        <c:axId val="64073088"/>
      </c:barChart>
      <c:catAx>
        <c:axId val="64071552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4073088"/>
        <c:crosses val="autoZero"/>
        <c:lblAlgn val="ctr"/>
        <c:lblOffset val="20"/>
        <c:tickMarkSkip val="1"/>
      </c:catAx>
      <c:valAx>
        <c:axId val="64073088"/>
        <c:scaling>
          <c:orientation val="minMax"/>
          <c:max val="1400"/>
          <c:min val="-600"/>
        </c:scaling>
        <c:axPos val="l"/>
        <c:title>
          <c:tx>
            <c:rich>
              <a:bodyPr rot="0" vert="horz"/>
              <a:lstStyle/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прироста (спада) в % к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предыдущему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году</a:t>
                </a:r>
              </a:p>
            </c:rich>
          </c:tx>
          <c:layout>
            <c:manualLayout>
              <c:xMode val="edge"/>
              <c:yMode val="edge"/>
              <c:x val="2.5315214630429378E-2"/>
              <c:y val="2.5052373040526012E-3"/>
            </c:manualLayout>
          </c:layout>
          <c:spPr>
            <a:noFill/>
            <a:ln w="24830">
              <a:noFill/>
            </a:ln>
          </c:spPr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4071552"/>
        <c:crosses val="autoZero"/>
        <c:crossBetween val="between"/>
        <c:majorUnit val="200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8801261829653024E-2"/>
          <c:y val="3.155006703298778E-2"/>
          <c:w val="0.92836811128945951"/>
          <c:h val="0.4264484044757563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июль 2014 год</c:v>
                </c:pt>
              </c:strCache>
            </c:strRef>
          </c:tx>
          <c:dLbls>
            <c:dLbl>
              <c:idx val="0"/>
              <c:layout>
                <c:manualLayout>
                  <c:x val="-6.4205933248880232E-3"/>
                  <c:y val="1.547612303857703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34,4*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-4.2803638309256934E-3"/>
                  <c:y val="2.02020202020202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22,1*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-8.5608146876613566E-3"/>
                  <c:y val="1.5245580341754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19,0*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12,4*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2.1401819154629018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3,8*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6,1*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2,2*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147.5</c:v>
                </c:pt>
                <c:pt idx="1">
                  <c:v>95</c:v>
                </c:pt>
                <c:pt idx="2">
                  <c:v>81.3</c:v>
                </c:pt>
                <c:pt idx="3">
                  <c:v>53.2</c:v>
                </c:pt>
                <c:pt idx="4">
                  <c:v>16.2</c:v>
                </c:pt>
                <c:pt idx="5">
                  <c:v>26.3</c:v>
                </c:pt>
                <c:pt idx="6">
                  <c:v>9.3999999999999879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июль 2015 год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23,3*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35,7*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17,4*</a:t>
                    </a:r>
                  </a:p>
                  <a:p>
                    <a:endParaRPr lang="en-US"/>
                  </a:p>
                </c:rich>
              </c:tx>
              <c:dLblPos val="outEnd"/>
            </c:dLbl>
            <c:dLbl>
              <c:idx val="3"/>
              <c:layout>
                <c:manualLayout>
                  <c:x val="8.5607276618512567E-3"/>
                  <c:y val="1.0101010101010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12,8*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4,3*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4,0*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82.4</c:v>
                </c:pt>
                <c:pt idx="1">
                  <c:v>126</c:v>
                </c:pt>
                <c:pt idx="2">
                  <c:v>61.2</c:v>
                </c:pt>
                <c:pt idx="3">
                  <c:v>45.1</c:v>
                </c:pt>
                <c:pt idx="4">
                  <c:v>15.3</c:v>
                </c:pt>
                <c:pt idx="5">
                  <c:v>14.2</c:v>
                </c:pt>
                <c:pt idx="6">
                  <c:v>8.7999999999999847</c:v>
                </c:pt>
              </c:numCache>
            </c:numRef>
          </c:val>
        </c:ser>
        <c:dLbls>
          <c:showVal val="1"/>
        </c:dLbls>
        <c:gapWidth val="160"/>
        <c:axId val="64444288"/>
        <c:axId val="64445824"/>
      </c:barChart>
      <c:catAx>
        <c:axId val="64444288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45824"/>
        <c:crosses val="autoZero"/>
        <c:lblAlgn val="ctr"/>
        <c:lblOffset val="160"/>
        <c:tickLblSkip val="1"/>
        <c:tickMarkSkip val="1"/>
      </c:catAx>
      <c:valAx>
        <c:axId val="6444582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78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3330801499"/>
              <c:y val="4.7138206436642023E-2"/>
            </c:manualLayout>
          </c:layout>
          <c:spPr>
            <a:noFill/>
            <a:ln w="24878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44288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022508038585209"/>
          <c:y val="0.93087557603687365"/>
          <c:w val="0.73472668810289465"/>
          <c:h val="7.373271889400949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C520-0B00-4033-8056-E20143D6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grecha-m</dc:creator>
  <cp:keywords/>
  <dc:description/>
  <cp:lastModifiedBy>grecha-m</cp:lastModifiedBy>
  <cp:revision>4</cp:revision>
  <cp:lastPrinted>2015-08-24T12:01:00Z</cp:lastPrinted>
  <dcterms:created xsi:type="dcterms:W3CDTF">2015-08-21T12:21:00Z</dcterms:created>
  <dcterms:modified xsi:type="dcterms:W3CDTF">2015-08-24T12:03:00Z</dcterms:modified>
</cp:coreProperties>
</file>