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C8" w:rsidRPr="00D00E65" w:rsidRDefault="009254C8" w:rsidP="009254C8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00E65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476E">
        <w:rPr>
          <w:rFonts w:ascii="Times New Roman" w:hAnsi="Times New Roman" w:cs="Times New Roman"/>
          <w:sz w:val="24"/>
          <w:szCs w:val="24"/>
        </w:rPr>
        <w:t>апреле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6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00E65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9254C8" w:rsidRPr="00AB48DD" w:rsidRDefault="009254C8" w:rsidP="00925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4C8" w:rsidRDefault="009254C8" w:rsidP="009254C8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AB48DD">
        <w:t>охраняющиеся ограничения и барьеры при осуществлении внешнеэкономической деятельности</w:t>
      </w:r>
      <w:r>
        <w:t xml:space="preserve"> в совокупности</w:t>
      </w:r>
      <w:r w:rsidRPr="004F18DF">
        <w:t xml:space="preserve"> </w:t>
      </w:r>
      <w:r>
        <w:t xml:space="preserve">с </w:t>
      </w:r>
      <w:r w:rsidRPr="00AB48DD">
        <w:t>потер</w:t>
      </w:r>
      <w:r>
        <w:t>ей</w:t>
      </w:r>
      <w:r w:rsidRPr="00AB48DD">
        <w:t xml:space="preserve"> рынков сбыта вследствие приостановки деятельности внешних заказчиков продукции и торгово-закупочных предприятий</w:t>
      </w:r>
      <w:r w:rsidRPr="00511F0A">
        <w:t xml:space="preserve"> </w:t>
      </w:r>
      <w:r>
        <w:t>усиливают риски осуществления внешнеэкономической деятельности хозяйствующими субъектами республики и отражаются на динамике промышленного производства.</w:t>
      </w:r>
    </w:p>
    <w:p w:rsidR="009254C8" w:rsidRDefault="009254C8" w:rsidP="009254C8">
      <w:pPr>
        <w:pStyle w:val="a3"/>
        <w:spacing w:before="0" w:beforeAutospacing="0" w:after="0" w:afterAutospacing="0"/>
        <w:ind w:firstLine="709"/>
        <w:jc w:val="both"/>
      </w:pPr>
    </w:p>
    <w:p w:rsidR="009254C8" w:rsidRPr="009254C8" w:rsidRDefault="009254C8" w:rsidP="009254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0227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9254C8" w:rsidRPr="00590227" w:rsidRDefault="009254C8" w:rsidP="009254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 xml:space="preserve">Ситуация в индустриальном секторе республики в </w:t>
      </w:r>
      <w:r w:rsidR="0019476E">
        <w:rPr>
          <w:rFonts w:ascii="Times New Roman" w:hAnsi="Times New Roman"/>
          <w:sz w:val="24"/>
          <w:szCs w:val="24"/>
        </w:rPr>
        <w:t>январе-апреле текущего года</w:t>
      </w:r>
      <w:r w:rsidRPr="00590227">
        <w:rPr>
          <w:rFonts w:ascii="Times New Roman" w:hAnsi="Times New Roman"/>
          <w:sz w:val="24"/>
          <w:szCs w:val="24"/>
        </w:rPr>
        <w:t xml:space="preserve"> складывалась под влиянием ряда как внешних, так и внутренних факторов, а также рисков осуществления внешнеэкономической деятельности хозяйствующими субъектами республики. </w:t>
      </w:r>
      <w:proofErr w:type="gramStart"/>
      <w:r w:rsidRPr="00590227">
        <w:rPr>
          <w:rFonts w:ascii="Times New Roman" w:hAnsi="Times New Roman"/>
          <w:sz w:val="24"/>
          <w:szCs w:val="24"/>
        </w:rPr>
        <w:t>Объем п</w:t>
      </w:r>
      <w:r w:rsidRPr="00590227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590227">
        <w:rPr>
          <w:rFonts w:ascii="Times New Roman" w:hAnsi="Times New Roman"/>
          <w:sz w:val="24"/>
          <w:szCs w:val="24"/>
        </w:rPr>
        <w:t xml:space="preserve"> (без учета субъектов малого предпринимательства) в целом за январь – апрель </w:t>
      </w:r>
      <w:r w:rsidRPr="00590227">
        <w:rPr>
          <w:rFonts w:ascii="Times New Roman" w:hAnsi="Times New Roman"/>
          <w:snapToGrid w:val="0"/>
          <w:sz w:val="24"/>
          <w:szCs w:val="24"/>
        </w:rPr>
        <w:t xml:space="preserve">2015 года </w:t>
      </w:r>
      <w:r w:rsidRPr="00590227">
        <w:rPr>
          <w:rFonts w:ascii="Times New Roman" w:hAnsi="Times New Roman"/>
          <w:sz w:val="24"/>
          <w:szCs w:val="24"/>
        </w:rPr>
        <w:t>составил в абсолютной величине 2 604,0 млн. руб., что ниже аналогичного показателя прошлого года на 17,0%. Между тем, значение показателя, достигнутое в апреле 2015 года сложилось на 14,2% ниже показателя декабря 2014 года, составив в абсолютном выражении 688,0 млн. руб.</w:t>
      </w:r>
      <w:proofErr w:type="gramEnd"/>
    </w:p>
    <w:p w:rsidR="009254C8" w:rsidRPr="009254C8" w:rsidRDefault="009254C8" w:rsidP="009254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431800</wp:posOffset>
            </wp:positionV>
            <wp:extent cx="2695575" cy="1562100"/>
            <wp:effectExtent l="19050" t="0" r="0" b="0"/>
            <wp:wrapTight wrapText="bothSides">
              <wp:wrapPolygon edited="0">
                <wp:start x="-153" y="0"/>
                <wp:lineTo x="-153" y="21337"/>
                <wp:lineTo x="21524" y="21337"/>
                <wp:lineTo x="21524" y="0"/>
                <wp:lineTo x="-153" y="0"/>
              </wp:wrapPolygon>
            </wp:wrapTight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384175</wp:posOffset>
            </wp:positionV>
            <wp:extent cx="3670935" cy="1609725"/>
            <wp:effectExtent l="19050" t="0" r="5715" b="0"/>
            <wp:wrapTight wrapText="bothSides">
              <wp:wrapPolygon edited="0">
                <wp:start x="-112" y="0"/>
                <wp:lineTo x="-112" y="21217"/>
                <wp:lineTo x="21634" y="21217"/>
                <wp:lineTo x="21634" y="0"/>
                <wp:lineTo x="-112" y="0"/>
              </wp:wrapPolygon>
            </wp:wrapTight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590227">
        <w:rPr>
          <w:rFonts w:ascii="Times New Roman" w:hAnsi="Times New Roman"/>
          <w:sz w:val="24"/>
          <w:szCs w:val="24"/>
        </w:rPr>
        <w:t>Отраслевая структура промышленного производства по итогам января - апреля 2015 года выглядела следующим образом:</w:t>
      </w:r>
    </w:p>
    <w:p w:rsidR="009254C8" w:rsidRPr="00590227" w:rsidRDefault="009254C8" w:rsidP="009254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 xml:space="preserve">Так увеличение объемов производства в электроэнергетике позволило сохранить лидирующую позицию в структуре выпуска – 45,9% (33,9% в январе-апреле 2014 года). На металлургию в результате приостановки производственных мощностей </w:t>
      </w:r>
      <w:r w:rsidRPr="00590227">
        <w:rPr>
          <w:rFonts w:ascii="Times New Roman" w:hAnsi="Times New Roman"/>
          <w:sz w:val="24"/>
          <w:szCs w:val="24"/>
        </w:rPr>
        <w:br/>
        <w:t>ОАО «Молдавский металлургический завод» в период января-февраля текущего</w:t>
      </w:r>
      <w:r w:rsidRPr="00590227">
        <w:rPr>
          <w:sz w:val="24"/>
          <w:szCs w:val="24"/>
        </w:rPr>
        <w:t xml:space="preserve"> </w:t>
      </w:r>
      <w:r w:rsidRPr="00590227">
        <w:rPr>
          <w:rFonts w:ascii="Times New Roman" w:hAnsi="Times New Roman"/>
          <w:sz w:val="24"/>
          <w:szCs w:val="24"/>
        </w:rPr>
        <w:t>года, в рассматриваемом периоде приходилось 19,7% выпуска в промышленности, против 28,2% в январе-апреле 2014 года. Предприятия легкой и пищевой промышленности сформировали 12,2% и 10,2% товарного выпуска соответственно, против 13,8% и 12,2% в аналогичном периоде 2014 года.</w:t>
      </w:r>
    </w:p>
    <w:p w:rsidR="009254C8" w:rsidRPr="00590227" w:rsidRDefault="009254C8" w:rsidP="009254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>Анализируя показатели промышленного производства в апреле 2015 года, необходимо отметить, что в данном месяце допущен спад промышленного производства в целом по отрасли к уровню апреля 2014 года на 18,8%, по отношению к марту месяцу текущего года спад промышленного производства составил 3,1%.</w:t>
      </w:r>
    </w:p>
    <w:p w:rsidR="009254C8" w:rsidRPr="00590227" w:rsidRDefault="009254C8" w:rsidP="009254C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227">
        <w:rPr>
          <w:noProof/>
        </w:rPr>
        <w:drawing>
          <wp:inline distT="0" distB="0" distL="0" distR="0">
            <wp:extent cx="6067425" cy="186690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54C8" w:rsidRPr="00590227" w:rsidRDefault="009254C8" w:rsidP="009254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lastRenderedPageBreak/>
        <w:t>Помесячная динамика промышленного производства показывает снижение объемов производства по отдельным отраслям промышленности и промышленным предприятиям.</w:t>
      </w:r>
    </w:p>
    <w:p w:rsidR="009254C8" w:rsidRPr="008D7E30" w:rsidRDefault="009254C8" w:rsidP="009254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>В разрезе отраслей динамика промышленного производства в апреле 2015 года выглядит следующим образом.</w:t>
      </w:r>
    </w:p>
    <w:p w:rsidR="009254C8" w:rsidRPr="008D7E30" w:rsidRDefault="009254C8" w:rsidP="009254C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D7E30">
        <w:rPr>
          <w:b/>
        </w:rPr>
        <w:t>Динамика промышленной продукции в разрезе отраслей, млн. руб.</w:t>
      </w:r>
    </w:p>
    <w:p w:rsidR="009254C8" w:rsidRPr="008D7E30" w:rsidRDefault="009254C8" w:rsidP="009254C8">
      <w:pPr>
        <w:pStyle w:val="a7"/>
        <w:ind w:firstLine="0"/>
        <w:jc w:val="center"/>
        <w:rPr>
          <w:b/>
        </w:rPr>
      </w:pPr>
      <w:r w:rsidRPr="008D7E30">
        <w:rPr>
          <w:rFonts w:eastAsia="Times New Roman"/>
          <w:b/>
          <w:noProof/>
          <w:lang w:eastAsia="ru-RU"/>
        </w:rPr>
        <w:drawing>
          <wp:inline distT="0" distB="0" distL="0" distR="0">
            <wp:extent cx="5991225" cy="2505075"/>
            <wp:effectExtent l="19050" t="0" r="28575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C8" w:rsidRPr="00590227" w:rsidRDefault="009254C8" w:rsidP="009254C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 xml:space="preserve">В разрезе </w:t>
      </w:r>
      <w:proofErr w:type="spellStart"/>
      <w:r w:rsidRPr="00590227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590227">
        <w:rPr>
          <w:rFonts w:ascii="Times New Roman" w:hAnsi="Times New Roman"/>
          <w:sz w:val="24"/>
          <w:szCs w:val="24"/>
        </w:rPr>
        <w:t xml:space="preserve"> промышленности в январе - апреле 2015 года увеличение промышленного производства по отношению к аналогичному периоду 2014 года отмечено в </w:t>
      </w:r>
      <w:proofErr w:type="gramStart"/>
      <w:r w:rsidRPr="00590227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59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227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590227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9254C8" w:rsidRPr="00590227" w:rsidRDefault="009254C8" w:rsidP="009254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 xml:space="preserve">а) в </w:t>
      </w:r>
      <w:r w:rsidRPr="00590227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590227">
        <w:rPr>
          <w:rFonts w:ascii="Times New Roman" w:hAnsi="Times New Roman"/>
          <w:sz w:val="24"/>
          <w:szCs w:val="24"/>
        </w:rPr>
        <w:t xml:space="preserve"> республики отмечается увеличение выработки электроэнергии в натуральном выражении в целом по отрасли на 13,6% по сравнению с соответствующим периодом 2014 года, в стоимостном выражении товарный выпуск отрасли вырос на 12,3%. </w:t>
      </w:r>
    </w:p>
    <w:p w:rsidR="009254C8" w:rsidRPr="008D7E30" w:rsidRDefault="009254C8" w:rsidP="009254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>В целом объем производства на крупнейшем предприятии электроэнергетической отрасли ЗАО «Молдавская ГРЭС» в течение рассматриваемого периода увеличился на 15,6%;</w:t>
      </w:r>
    </w:p>
    <w:p w:rsidR="009254C8" w:rsidRPr="008D7E30" w:rsidRDefault="009254C8" w:rsidP="009254C8">
      <w:pPr>
        <w:pStyle w:val="a8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D7E30">
        <w:rPr>
          <w:noProof/>
        </w:rPr>
        <w:drawing>
          <wp:inline distT="0" distB="0" distL="0" distR="0">
            <wp:extent cx="6477000" cy="2066925"/>
            <wp:effectExtent l="1905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4C8" w:rsidRPr="00590227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 xml:space="preserve">б) предприятия </w:t>
      </w:r>
      <w:r w:rsidRPr="00590227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Pr="00590227">
        <w:rPr>
          <w:rFonts w:ascii="Times New Roman" w:hAnsi="Times New Roman"/>
          <w:sz w:val="24"/>
          <w:szCs w:val="24"/>
        </w:rPr>
        <w:t xml:space="preserve"> в рассматриваемом периоде демонстрируют увеличение объема производства по отношению к сопоставимому периоду прошлого года на 8,6%. Данная динамика отраслевых показателей обусловлена значительным увеличением промышленного производства на ЗАО «Российское предприятие «Бендерский машиностроительный завод» (на 27,7%), что связано с увеличением числа заказов со стороны российских контрагентов;</w:t>
      </w:r>
    </w:p>
    <w:p w:rsidR="009254C8" w:rsidRDefault="009254C8" w:rsidP="00925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90227">
        <w:rPr>
          <w:rFonts w:ascii="Times New Roman" w:hAnsi="Times New Roman"/>
          <w:color w:val="000000"/>
          <w:sz w:val="24"/>
          <w:szCs w:val="24"/>
        </w:rPr>
        <w:t xml:space="preserve">в) в </w:t>
      </w:r>
      <w:r w:rsidRPr="00590227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590227">
        <w:rPr>
          <w:rFonts w:ascii="Times New Roman" w:hAnsi="Times New Roman"/>
          <w:color w:val="000000"/>
          <w:sz w:val="24"/>
          <w:szCs w:val="24"/>
        </w:rPr>
        <w:t xml:space="preserve"> на фоне увеличения спроса на отечественную полиграфическую продукцию, совокупная стоимостная величина товарного выпуска отрасли в январе – апреле 2015 года увеличилась к базисному значению 2014 года в 3,0 раза, что вызвано увеличением объемов производства на ГУИП Типография «Полиграфист» в 3,8 раз, в результате</w:t>
      </w:r>
      <w:r w:rsidRPr="008D7E30">
        <w:rPr>
          <w:rFonts w:ascii="Times New Roman" w:hAnsi="Times New Roman"/>
          <w:color w:val="000000"/>
          <w:sz w:val="24"/>
          <w:szCs w:val="24"/>
        </w:rPr>
        <w:t xml:space="preserve"> расширения потребительского спроса </w:t>
      </w:r>
      <w:r w:rsidRPr="008D7E30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такие виды продукции как книги (в </w:t>
      </w:r>
      <w:r>
        <w:rPr>
          <w:rFonts w:ascii="Times New Roman" w:hAnsi="Times New Roman"/>
          <w:color w:val="000000"/>
          <w:sz w:val="24"/>
          <w:szCs w:val="24"/>
        </w:rPr>
        <w:t>26,3</w:t>
      </w:r>
      <w:r w:rsidRPr="008D7E30">
        <w:rPr>
          <w:rFonts w:ascii="Times New Roman" w:hAnsi="Times New Roman"/>
          <w:color w:val="000000"/>
          <w:sz w:val="24"/>
          <w:szCs w:val="24"/>
        </w:rPr>
        <w:t xml:space="preserve"> раз), этикеточные обертки</w:t>
      </w:r>
      <w:proofErr w:type="gramEnd"/>
      <w:r w:rsidRPr="008D7E30">
        <w:rPr>
          <w:rFonts w:ascii="Times New Roman" w:hAnsi="Times New Roman"/>
          <w:color w:val="000000"/>
          <w:sz w:val="24"/>
          <w:szCs w:val="24"/>
        </w:rPr>
        <w:t xml:space="preserve"> («+» </w:t>
      </w:r>
      <w:r>
        <w:rPr>
          <w:rFonts w:ascii="Times New Roman" w:hAnsi="Times New Roman"/>
          <w:color w:val="000000"/>
          <w:sz w:val="24"/>
          <w:szCs w:val="24"/>
        </w:rPr>
        <w:t>26,4</w:t>
      </w:r>
      <w:r w:rsidRPr="008D7E30">
        <w:rPr>
          <w:rFonts w:ascii="Times New Roman" w:hAnsi="Times New Roman"/>
          <w:color w:val="000000"/>
          <w:sz w:val="24"/>
          <w:szCs w:val="24"/>
        </w:rPr>
        <w:t>%),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7E30">
        <w:rPr>
          <w:rFonts w:ascii="Times New Roman" w:hAnsi="Times New Roman"/>
          <w:color w:val="000000"/>
          <w:sz w:val="24"/>
          <w:szCs w:val="24"/>
        </w:rPr>
        <w:t xml:space="preserve">бланочную продукцию («+» </w:t>
      </w:r>
      <w:r>
        <w:rPr>
          <w:rFonts w:ascii="Times New Roman" w:hAnsi="Times New Roman"/>
          <w:color w:val="000000"/>
          <w:sz w:val="24"/>
          <w:szCs w:val="24"/>
        </w:rPr>
        <w:t>23,9</w:t>
      </w:r>
      <w:r w:rsidRPr="008D7E30">
        <w:rPr>
          <w:rFonts w:ascii="Times New Roman" w:hAnsi="Times New Roman"/>
          <w:color w:val="000000"/>
          <w:sz w:val="24"/>
          <w:szCs w:val="24"/>
        </w:rPr>
        <w:t>%), и др.</w:t>
      </w:r>
    </w:p>
    <w:p w:rsidR="009254C8" w:rsidRPr="00590227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 xml:space="preserve">Вместе с этим в январе - апреле 2015 года спад промышленного производства по отношению к аналогичному периоду 2014 года наблюдается в </w:t>
      </w:r>
      <w:proofErr w:type="gramStart"/>
      <w:r w:rsidRPr="00590227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59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227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590227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9254C8" w:rsidRPr="00590227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 xml:space="preserve">а) в </w:t>
      </w:r>
      <w:r w:rsidRPr="00590227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590227">
        <w:rPr>
          <w:rFonts w:ascii="Times New Roman" w:hAnsi="Times New Roman"/>
          <w:sz w:val="24"/>
          <w:szCs w:val="24"/>
        </w:rPr>
        <w:t>по итогам января - апреля 2015 года отмечено снижение производства стали на 30,4%, проката черных металлов на 42,2%. В целом по отрасли объем производства в стоимостном выражении в январе – апреле 2015 года на 42,0% не достиг базового показателя 2014 года. При этом в апреле месяце, в связи с возобновлением деятельности ОАО «Молдавский металлургический завод» объем производства отрасли увеличился по отношению к марту месяцу на 43,8%;</w:t>
      </w:r>
    </w:p>
    <w:p w:rsidR="009254C8" w:rsidRPr="00590227" w:rsidRDefault="009254C8" w:rsidP="00925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227">
        <w:rPr>
          <w:rFonts w:ascii="Times New Roman" w:hAnsi="Times New Roman"/>
          <w:sz w:val="24"/>
          <w:szCs w:val="24"/>
        </w:rPr>
        <w:t>б)</w:t>
      </w:r>
      <w:r w:rsidRPr="00590227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Pr="00590227">
        <w:rPr>
          <w:rFonts w:ascii="Times New Roman" w:hAnsi="Times New Roman"/>
          <w:sz w:val="24"/>
          <w:szCs w:val="24"/>
        </w:rPr>
        <w:t>по итогам января – апреля 2015 года наблюдается падение уровня производства на 22,8% к уровню 2014 года. Основное негативное влияние на отрицательную динамику отрасли в 2015 году оказало снижение объемов производства крупнейшего предприятия отрасли ЗАО «Завод «</w:t>
      </w:r>
      <w:proofErr w:type="spellStart"/>
      <w:r w:rsidRPr="00590227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590227">
        <w:rPr>
          <w:rFonts w:ascii="Times New Roman" w:hAnsi="Times New Roman"/>
          <w:sz w:val="24"/>
          <w:szCs w:val="24"/>
        </w:rPr>
        <w:t>» (на 24,8%), что обусловлено сложной внешнеторговой конъюнктурой (90% экспорта ориентировано на Российскую Федерацию);</w:t>
      </w:r>
    </w:p>
    <w:p w:rsidR="009254C8" w:rsidRPr="00967060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227">
        <w:rPr>
          <w:rFonts w:ascii="Times New Roman" w:hAnsi="Times New Roman"/>
          <w:sz w:val="24"/>
          <w:szCs w:val="24"/>
        </w:rPr>
        <w:t xml:space="preserve">в) </w:t>
      </w:r>
      <w:r w:rsidRPr="00590227">
        <w:rPr>
          <w:rFonts w:ascii="Times New Roman" w:hAnsi="Times New Roman"/>
          <w:b/>
          <w:sz w:val="24"/>
          <w:szCs w:val="24"/>
        </w:rPr>
        <w:t>в электротехнической промышленности</w:t>
      </w:r>
      <w:r w:rsidRPr="00590227">
        <w:rPr>
          <w:rFonts w:ascii="Times New Roman" w:hAnsi="Times New Roman"/>
          <w:sz w:val="24"/>
          <w:szCs w:val="24"/>
        </w:rPr>
        <w:t xml:space="preserve"> по итогам января - апреля 2015 года, в результате снижения в апреле 2015 года по отношению к соответствующему периоду 2014 года объема производства на 47,2%, отмечено падение отраслевого выпуска на 11,7%. При этом на НП ЗАО «</w:t>
      </w:r>
      <w:proofErr w:type="spellStart"/>
      <w:r w:rsidRPr="00590227">
        <w:rPr>
          <w:rFonts w:ascii="Times New Roman" w:hAnsi="Times New Roman"/>
          <w:sz w:val="24"/>
          <w:szCs w:val="24"/>
        </w:rPr>
        <w:t>Электромаш</w:t>
      </w:r>
      <w:proofErr w:type="spellEnd"/>
      <w:r w:rsidRPr="00590227">
        <w:rPr>
          <w:rFonts w:ascii="Times New Roman" w:hAnsi="Times New Roman"/>
          <w:sz w:val="24"/>
          <w:szCs w:val="24"/>
        </w:rPr>
        <w:t>» (53,4% отраслевого выпуска) увеличение товарного выпуска в стоимостном выражении составило 78,4%, а на втором ведущем предприятии отрасли ЗАО «</w:t>
      </w:r>
      <w:proofErr w:type="spellStart"/>
      <w:r w:rsidRPr="00590227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Pr="00590227">
        <w:rPr>
          <w:rFonts w:ascii="Times New Roman" w:hAnsi="Times New Roman"/>
          <w:sz w:val="24"/>
          <w:szCs w:val="24"/>
        </w:rPr>
        <w:t>» (2,9</w:t>
      </w:r>
      <w:proofErr w:type="gramEnd"/>
      <w:r w:rsidRPr="00590227">
        <w:rPr>
          <w:rFonts w:ascii="Times New Roman" w:hAnsi="Times New Roman"/>
          <w:sz w:val="24"/>
          <w:szCs w:val="24"/>
        </w:rPr>
        <w:t xml:space="preserve">% отраслевого выпуска) в январе – апреле 2015 наблюдается снижение объемов производства на 54,1%, что вызвано сложной </w:t>
      </w:r>
      <w:r w:rsidRPr="00967060">
        <w:rPr>
          <w:rFonts w:ascii="Times New Roman" w:hAnsi="Times New Roman"/>
          <w:sz w:val="24"/>
          <w:szCs w:val="24"/>
        </w:rPr>
        <w:t>внешнеторговой конъюнктурой;</w:t>
      </w:r>
    </w:p>
    <w:p w:rsidR="009254C8" w:rsidRPr="00632A44" w:rsidRDefault="009254C8" w:rsidP="009254C8">
      <w:pPr>
        <w:pStyle w:val="11"/>
        <w:ind w:firstLine="709"/>
        <w:jc w:val="both"/>
        <w:rPr>
          <w:noProof/>
        </w:rPr>
      </w:pPr>
      <w:r w:rsidRPr="00967060">
        <w:rPr>
          <w:rFonts w:ascii="Times New Roman" w:hAnsi="Times New Roman"/>
          <w:sz w:val="24"/>
          <w:szCs w:val="24"/>
        </w:rPr>
        <w:t xml:space="preserve">г) в </w:t>
      </w:r>
      <w:r w:rsidRPr="00967060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Pr="00967060">
        <w:rPr>
          <w:rFonts w:ascii="Times New Roman" w:hAnsi="Times New Roman"/>
          <w:sz w:val="24"/>
          <w:szCs w:val="24"/>
        </w:rPr>
        <w:t xml:space="preserve"> по итогам января – апреля            2015 года зафиксировано снижение производственных показателей как на крупнейшем предприятии отрасли (ЗАО «</w:t>
      </w:r>
      <w:proofErr w:type="spellStart"/>
      <w:r w:rsidRPr="00967060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967060">
        <w:rPr>
          <w:rFonts w:ascii="Times New Roman" w:hAnsi="Times New Roman"/>
          <w:sz w:val="24"/>
          <w:szCs w:val="24"/>
        </w:rPr>
        <w:t xml:space="preserve"> цементный комбинат» на 42,9% до 54,8 млн. руб.), так и по отрасли в целом (на 42,6% до 132,4 млн. руб.). В апреле по отношению к марту 2015 года отрасль демонстрирует спад объема производства на 40,3%. В натуральном выражении в рассматриваемом</w:t>
      </w:r>
      <w:r w:rsidRPr="00632A44">
        <w:rPr>
          <w:rFonts w:ascii="Times New Roman" w:hAnsi="Times New Roman"/>
          <w:sz w:val="24"/>
          <w:szCs w:val="24"/>
        </w:rPr>
        <w:t xml:space="preserve"> периоде отмечено </w:t>
      </w:r>
      <w:r>
        <w:rPr>
          <w:rFonts w:ascii="Times New Roman" w:hAnsi="Times New Roman"/>
          <w:sz w:val="24"/>
          <w:szCs w:val="24"/>
        </w:rPr>
        <w:t>снижение</w:t>
      </w:r>
      <w:r w:rsidRPr="00632A44">
        <w:rPr>
          <w:rFonts w:ascii="Times New Roman" w:hAnsi="Times New Roman"/>
          <w:sz w:val="24"/>
          <w:szCs w:val="24"/>
        </w:rPr>
        <w:t xml:space="preserve"> производства клинкера на </w:t>
      </w:r>
      <w:r>
        <w:rPr>
          <w:rFonts w:ascii="Times New Roman" w:hAnsi="Times New Roman"/>
          <w:sz w:val="24"/>
          <w:szCs w:val="24"/>
        </w:rPr>
        <w:t>51,5</w:t>
      </w:r>
      <w:r w:rsidRPr="00632A4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632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цемента на 41,7</w:t>
      </w:r>
      <w:r w:rsidRPr="00632A44">
        <w:rPr>
          <w:rFonts w:ascii="Times New Roman" w:hAnsi="Times New Roman"/>
          <w:sz w:val="24"/>
          <w:szCs w:val="24"/>
        </w:rPr>
        <w:t>%, и.т.д.</w:t>
      </w:r>
      <w:r w:rsidRPr="00632A44">
        <w:rPr>
          <w:noProof/>
        </w:rPr>
        <w:t>;</w:t>
      </w:r>
    </w:p>
    <w:p w:rsidR="009254C8" w:rsidRPr="00632A44" w:rsidRDefault="009254C8" w:rsidP="009254C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2A44">
        <w:rPr>
          <w:noProof/>
        </w:rPr>
        <w:drawing>
          <wp:inline distT="0" distB="0" distL="0" distR="0">
            <wp:extent cx="6086475" cy="1724025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54C8" w:rsidRPr="00967060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060">
        <w:rPr>
          <w:rFonts w:ascii="Times New Roman" w:hAnsi="Times New Roman"/>
          <w:sz w:val="24"/>
          <w:szCs w:val="24"/>
        </w:rPr>
        <w:t>д</w:t>
      </w:r>
      <w:proofErr w:type="spellEnd"/>
      <w:r w:rsidRPr="00967060">
        <w:rPr>
          <w:rFonts w:ascii="Times New Roman" w:hAnsi="Times New Roman"/>
          <w:sz w:val="24"/>
          <w:szCs w:val="24"/>
        </w:rPr>
        <w:t xml:space="preserve">) по итогам января – апреля 2015 года на предприятиях </w:t>
      </w:r>
      <w:r w:rsidRPr="00967060">
        <w:rPr>
          <w:rFonts w:ascii="Times New Roman" w:hAnsi="Times New Roman"/>
          <w:b/>
          <w:sz w:val="24"/>
          <w:szCs w:val="24"/>
        </w:rPr>
        <w:t xml:space="preserve">легкой промышленности, </w:t>
      </w:r>
      <w:r w:rsidRPr="00967060">
        <w:rPr>
          <w:rFonts w:ascii="Times New Roman" w:hAnsi="Times New Roman"/>
          <w:sz w:val="24"/>
          <w:szCs w:val="24"/>
        </w:rPr>
        <w:t>на фоне существенных колебаний и неритмичной работы, объем отраслевого выпуска в сопоставимых ценах сложился на 24,7% ниже уровня 2014 года. Определяющее влияние на отраслевой показатель оказывает работа крупнейшего предприятия отрасли ЗАО «</w:t>
      </w:r>
      <w:proofErr w:type="spellStart"/>
      <w:r w:rsidRPr="00967060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967060">
        <w:rPr>
          <w:rFonts w:ascii="Times New Roman" w:hAnsi="Times New Roman"/>
          <w:sz w:val="24"/>
          <w:szCs w:val="24"/>
        </w:rPr>
        <w:t>» (45,2% отраслевого выпуска), сократившего свой товарный выпуск за рассматриваемый период на 32,4%. В апреле по отношению к марту 2015 года предприятия отрасли демонстрируют спад промышленного производства на 24,1%.</w:t>
      </w:r>
    </w:p>
    <w:p w:rsidR="009254C8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67060">
        <w:rPr>
          <w:rFonts w:ascii="Times New Roman" w:hAnsi="Times New Roman"/>
          <w:sz w:val="24"/>
          <w:szCs w:val="24"/>
        </w:rPr>
        <w:t>В то же</w:t>
      </w:r>
      <w:r w:rsidRPr="008D7E30">
        <w:rPr>
          <w:rFonts w:ascii="Times New Roman" w:hAnsi="Times New Roman"/>
          <w:sz w:val="24"/>
          <w:szCs w:val="24"/>
        </w:rPr>
        <w:t xml:space="preserve"> время следует отметить, что в более сложной ситуации находятся предприятия обувной промышленности. Объем производства обуви по </w:t>
      </w:r>
      <w:proofErr w:type="spellStart"/>
      <w:r w:rsidRPr="008D7E30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8D7E30">
        <w:rPr>
          <w:rFonts w:ascii="Times New Roman" w:hAnsi="Times New Roman"/>
          <w:sz w:val="24"/>
          <w:szCs w:val="24"/>
        </w:rPr>
        <w:t xml:space="preserve"> сократился на </w:t>
      </w:r>
      <w:r>
        <w:rPr>
          <w:rFonts w:ascii="Times New Roman" w:hAnsi="Times New Roman"/>
          <w:sz w:val="24"/>
          <w:szCs w:val="24"/>
        </w:rPr>
        <w:t>13,</w:t>
      </w:r>
      <w:r w:rsidRPr="008D7E30">
        <w:rPr>
          <w:rFonts w:ascii="Times New Roman" w:hAnsi="Times New Roman"/>
          <w:sz w:val="24"/>
          <w:szCs w:val="24"/>
        </w:rPr>
        <w:t>5%, что явилось результатом сложной внешнеэкономической ситуации.</w:t>
      </w:r>
    </w:p>
    <w:p w:rsidR="009254C8" w:rsidRDefault="009254C8" w:rsidP="009254C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75804" cy="2199503"/>
            <wp:effectExtent l="19050" t="0" r="0" b="0"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54C8" w:rsidRPr="00967060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67060">
        <w:rPr>
          <w:rFonts w:ascii="Times New Roman" w:hAnsi="Times New Roman"/>
          <w:sz w:val="24"/>
          <w:szCs w:val="24"/>
        </w:rPr>
        <w:t xml:space="preserve">е) в </w:t>
      </w:r>
      <w:r w:rsidRPr="00967060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967060">
        <w:rPr>
          <w:rFonts w:ascii="Times New Roman" w:hAnsi="Times New Roman"/>
          <w:snapToGrid w:val="0"/>
          <w:sz w:val="24"/>
          <w:szCs w:val="24"/>
        </w:rPr>
        <w:t>в</w:t>
      </w:r>
      <w:r w:rsidRPr="00967060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Pr="00967060">
        <w:rPr>
          <w:rFonts w:ascii="Times New Roman" w:hAnsi="Times New Roman"/>
          <w:snapToGrid w:val="0"/>
          <w:sz w:val="24"/>
          <w:szCs w:val="24"/>
        </w:rPr>
        <w:t xml:space="preserve">наблюдалось </w:t>
      </w:r>
      <w:r w:rsidRPr="00967060">
        <w:rPr>
          <w:rFonts w:ascii="Times New Roman" w:hAnsi="Times New Roman"/>
          <w:sz w:val="24"/>
          <w:szCs w:val="24"/>
        </w:rPr>
        <w:t xml:space="preserve">уменьшение товарного выпуска в сопоставимых ценах на 30,5%. </w:t>
      </w:r>
    </w:p>
    <w:p w:rsidR="009254C8" w:rsidRPr="00967060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67060">
        <w:rPr>
          <w:rFonts w:ascii="Times New Roman" w:hAnsi="Times New Roman"/>
          <w:sz w:val="24"/>
          <w:szCs w:val="24"/>
        </w:rPr>
        <w:t>Снижение объемов производства было характерно для ведущего предприятия отрасли ЗАО «Тираспольский винно-коньячный завод «KVINT» на 49,4%, что обусловлено падением объемов реализации продукции как на местном рынке, так и за его пределами;</w:t>
      </w:r>
    </w:p>
    <w:p w:rsidR="009254C8" w:rsidRPr="00967060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67060">
        <w:rPr>
          <w:rFonts w:ascii="Times New Roman" w:hAnsi="Times New Roman"/>
          <w:sz w:val="24"/>
          <w:szCs w:val="24"/>
        </w:rPr>
        <w:t xml:space="preserve">ж) в </w:t>
      </w:r>
      <w:r w:rsidRPr="00967060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Pr="00967060">
        <w:rPr>
          <w:rFonts w:ascii="Times New Roman" w:hAnsi="Times New Roman"/>
          <w:sz w:val="24"/>
          <w:szCs w:val="24"/>
        </w:rPr>
        <w:t xml:space="preserve"> по итогам января – апреля 2015 года отмечается снижение выпуска готовой продукции в сопоставимых ценах на 16,3%, что вызвано в основном сокращением объемов производства на ЗАО «Бендерский комбинат хлебопродуктов» на 40,0%. </w:t>
      </w:r>
    </w:p>
    <w:p w:rsidR="009254C8" w:rsidRPr="00967060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67060">
        <w:rPr>
          <w:rFonts w:ascii="Times New Roman" w:hAnsi="Times New Roman"/>
          <w:sz w:val="24"/>
          <w:szCs w:val="24"/>
        </w:rPr>
        <w:t>В натуральном выражении в рассматриваемом периоде отмечено снижение объема производства муки на 23,4% и круп на 6,2%.</w:t>
      </w:r>
    </w:p>
    <w:p w:rsidR="009254C8" w:rsidRDefault="009254C8" w:rsidP="009254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060">
        <w:rPr>
          <w:rFonts w:ascii="Times New Roman" w:hAnsi="Times New Roman"/>
          <w:sz w:val="24"/>
          <w:szCs w:val="24"/>
        </w:rPr>
        <w:t>Таким образом, макроэкономические условия развития экономики республики в январе - апреле 2015 года на фоне усугубления негативных тенденций в части внешнеэкономической ситуации, падения деловой активности хозяйствующих субъектов обусловили необходимость принятия неоднозначных решений для улучшения институциональной среды функционирования бизнеса, а также взаимодействие реального и финансового секторов в целях недопущения более существенной экономической дестабилизации.</w:t>
      </w:r>
      <w:proofErr w:type="gramEnd"/>
    </w:p>
    <w:p w:rsidR="009254C8" w:rsidRDefault="009254C8" w:rsidP="009254C8">
      <w:pPr>
        <w:pStyle w:val="a3"/>
        <w:spacing w:before="0" w:beforeAutospacing="0" w:after="0" w:afterAutospacing="0"/>
        <w:ind w:firstLine="709"/>
        <w:jc w:val="both"/>
      </w:pPr>
    </w:p>
    <w:p w:rsidR="00656811" w:rsidRPr="00674D62" w:rsidRDefault="00656811" w:rsidP="00674D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462E">
        <w:rPr>
          <w:rFonts w:ascii="Times New Roman" w:hAnsi="Times New Roman"/>
          <w:b/>
          <w:sz w:val="24"/>
          <w:szCs w:val="24"/>
          <w:u w:val="single"/>
        </w:rPr>
        <w:t>В</w:t>
      </w:r>
      <w:r w:rsidRPr="0071462E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656811" w:rsidRPr="0071462E" w:rsidRDefault="00656811" w:rsidP="00656811">
      <w:pPr>
        <w:pStyle w:val="a7"/>
      </w:pPr>
      <w:r w:rsidRPr="0071462E">
        <w:rPr>
          <w:snapToGrid w:val="0"/>
        </w:rPr>
        <w:t>Спад</w:t>
      </w:r>
      <w:r w:rsidRPr="0071462E">
        <w:t xml:space="preserve"> производства и складывающаяся нестабильная ситуация в сопредельных государствах продолжают оказывать негативное влияние на динамику показателей внешнеэкономической деятельности.</w:t>
      </w:r>
    </w:p>
    <w:p w:rsidR="00656811" w:rsidRDefault="00656811" w:rsidP="00656811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71462E">
        <w:rPr>
          <w:b/>
          <w:sz w:val="24"/>
          <w:szCs w:val="24"/>
        </w:rPr>
        <w:t>Динамика внешнеторгового оборота в январе-апреле 2014 - 2015 г.г.</w:t>
      </w:r>
      <w:r>
        <w:rPr>
          <w:b/>
          <w:sz w:val="24"/>
          <w:szCs w:val="24"/>
        </w:rPr>
        <w:t xml:space="preserve">, </w:t>
      </w:r>
    </w:p>
    <w:p w:rsidR="00656811" w:rsidRPr="0071462E" w:rsidRDefault="00656811" w:rsidP="00656811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млн. долл. США</w:t>
      </w:r>
    </w:p>
    <w:p w:rsidR="00656811" w:rsidRPr="0071462E" w:rsidRDefault="00656811" w:rsidP="00656811">
      <w:pPr>
        <w:pStyle w:val="2"/>
        <w:tabs>
          <w:tab w:val="left" w:pos="7920"/>
        </w:tabs>
        <w:ind w:firstLine="0"/>
        <w:jc w:val="center"/>
        <w:rPr>
          <w:b/>
          <w:sz w:val="24"/>
          <w:szCs w:val="24"/>
        </w:rPr>
      </w:pPr>
      <w:r w:rsidRPr="0071462E">
        <w:rPr>
          <w:b/>
          <w:noProof/>
          <w:sz w:val="24"/>
          <w:szCs w:val="24"/>
        </w:rPr>
        <w:drawing>
          <wp:inline distT="0" distB="0" distL="0" distR="0">
            <wp:extent cx="5905500" cy="2076450"/>
            <wp:effectExtent l="1905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6811" w:rsidRPr="0071462E" w:rsidRDefault="00656811" w:rsidP="0065681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2E">
        <w:rPr>
          <w:rFonts w:ascii="Times New Roman" w:hAnsi="Times New Roman"/>
          <w:sz w:val="24"/>
          <w:szCs w:val="24"/>
        </w:rPr>
        <w:t xml:space="preserve">В январе-апреле 2015 года на фоне продолжающейся мировой экономической нестабильности и слабой конъюнктуры рынка для приднестровских товаров совокупный объем внешнеторгового оборота хозяйствующих субъектов Республики по отношению к </w:t>
      </w:r>
      <w:r w:rsidRPr="0071462E">
        <w:rPr>
          <w:rFonts w:ascii="Times New Roman" w:hAnsi="Times New Roman"/>
          <w:sz w:val="24"/>
          <w:szCs w:val="24"/>
        </w:rPr>
        <w:lastRenderedPageBreak/>
        <w:t>базовому показателю 2014 года снизился на 21,8%, при этом объем экспортных и импортных поставок сократился на 25,</w:t>
      </w:r>
      <w:r>
        <w:rPr>
          <w:rFonts w:ascii="Times New Roman" w:hAnsi="Times New Roman"/>
          <w:sz w:val="24"/>
          <w:szCs w:val="24"/>
        </w:rPr>
        <w:t>1</w:t>
      </w:r>
      <w:r w:rsidRPr="0071462E">
        <w:rPr>
          <w:rFonts w:ascii="Times New Roman" w:hAnsi="Times New Roman"/>
          <w:sz w:val="24"/>
          <w:szCs w:val="24"/>
        </w:rPr>
        <w:t xml:space="preserve">% и 20,3% соответственно. </w:t>
      </w:r>
      <w:proofErr w:type="gramStart"/>
      <w:r w:rsidRPr="0071462E">
        <w:rPr>
          <w:rFonts w:ascii="Times New Roman" w:hAnsi="Times New Roman"/>
          <w:sz w:val="24"/>
          <w:szCs w:val="24"/>
        </w:rPr>
        <w:t>Сравнивая данные показатели за апрель текущего года с уровнем марта, необходимо отметить превышение на 5,</w:t>
      </w:r>
      <w:r>
        <w:rPr>
          <w:rFonts w:ascii="Times New Roman" w:hAnsi="Times New Roman"/>
          <w:sz w:val="24"/>
          <w:szCs w:val="24"/>
        </w:rPr>
        <w:t>8</w:t>
      </w:r>
      <w:r w:rsidRPr="0071462E">
        <w:rPr>
          <w:rFonts w:ascii="Times New Roman" w:hAnsi="Times New Roman"/>
          <w:sz w:val="24"/>
          <w:szCs w:val="24"/>
        </w:rPr>
        <w:t>% и 0,</w:t>
      </w:r>
      <w:r>
        <w:rPr>
          <w:rFonts w:ascii="Times New Roman" w:hAnsi="Times New Roman"/>
          <w:sz w:val="24"/>
          <w:szCs w:val="24"/>
        </w:rPr>
        <w:t>6</w:t>
      </w:r>
      <w:r w:rsidRPr="0071462E">
        <w:rPr>
          <w:rFonts w:ascii="Times New Roman" w:hAnsi="Times New Roman"/>
          <w:sz w:val="24"/>
          <w:szCs w:val="24"/>
        </w:rPr>
        <w:t>% объемов экспорта и импорта</w:t>
      </w:r>
      <w:r w:rsidR="0019476E" w:rsidRPr="0019476E">
        <w:rPr>
          <w:rFonts w:ascii="Times New Roman" w:hAnsi="Times New Roman"/>
          <w:sz w:val="24"/>
          <w:szCs w:val="24"/>
        </w:rPr>
        <w:t xml:space="preserve"> </w:t>
      </w:r>
      <w:r w:rsidR="0019476E" w:rsidRPr="0071462E">
        <w:rPr>
          <w:rFonts w:ascii="Times New Roman" w:hAnsi="Times New Roman"/>
          <w:sz w:val="24"/>
          <w:szCs w:val="24"/>
        </w:rPr>
        <w:t>соответственно</w:t>
      </w:r>
      <w:r w:rsidRPr="0071462E">
        <w:rPr>
          <w:rFonts w:ascii="Times New Roman" w:hAnsi="Times New Roman"/>
          <w:sz w:val="24"/>
          <w:szCs w:val="24"/>
        </w:rPr>
        <w:t xml:space="preserve">, при этом совокупный внешнеторговый оборот хозяйствующих субъектов также вырос на </w:t>
      </w:r>
      <w:r>
        <w:rPr>
          <w:rFonts w:ascii="Times New Roman" w:hAnsi="Times New Roman"/>
          <w:sz w:val="24"/>
          <w:szCs w:val="24"/>
        </w:rPr>
        <w:t>2,</w:t>
      </w:r>
      <w:r w:rsidRPr="0071462E">
        <w:rPr>
          <w:rFonts w:ascii="Times New Roman" w:hAnsi="Times New Roman"/>
          <w:sz w:val="24"/>
          <w:szCs w:val="24"/>
        </w:rPr>
        <w:t xml:space="preserve">1%. </w:t>
      </w:r>
      <w:r w:rsidR="0019476E">
        <w:rPr>
          <w:rFonts w:ascii="Times New Roman" w:hAnsi="Times New Roman"/>
          <w:sz w:val="24"/>
          <w:szCs w:val="24"/>
        </w:rPr>
        <w:t>Вместе с этим э</w:t>
      </w:r>
      <w:r w:rsidRPr="0071462E">
        <w:rPr>
          <w:rFonts w:ascii="Times New Roman" w:hAnsi="Times New Roman"/>
          <w:sz w:val="24"/>
          <w:szCs w:val="24"/>
        </w:rPr>
        <w:t>кспортные торговые потоки в апреле 2015 года на 29,</w:t>
      </w:r>
      <w:r>
        <w:rPr>
          <w:rFonts w:ascii="Times New Roman" w:hAnsi="Times New Roman"/>
          <w:sz w:val="24"/>
          <w:szCs w:val="24"/>
        </w:rPr>
        <w:t>6</w:t>
      </w:r>
      <w:r w:rsidRPr="0071462E">
        <w:rPr>
          <w:rFonts w:ascii="Times New Roman" w:hAnsi="Times New Roman"/>
          <w:sz w:val="24"/>
          <w:szCs w:val="24"/>
        </w:rPr>
        <w:t>% сложились ниже базовых показателей апреля месяца 2014 года, импортные – на 13,0% соответственно.</w:t>
      </w:r>
      <w:proofErr w:type="gramEnd"/>
      <w:r w:rsidRPr="0071462E">
        <w:rPr>
          <w:rFonts w:ascii="Times New Roman" w:hAnsi="Times New Roman"/>
          <w:sz w:val="24"/>
          <w:szCs w:val="24"/>
        </w:rPr>
        <w:t xml:space="preserve"> Совокупный внешнеторговый оборот в апреле текущего года на 18,8% не достиг соответствующего показателя минувшего года.</w:t>
      </w:r>
    </w:p>
    <w:p w:rsidR="00656811" w:rsidRPr="0071462E" w:rsidRDefault="00656811" w:rsidP="00656811">
      <w:pPr>
        <w:pStyle w:val="a7"/>
      </w:pPr>
      <w:r w:rsidRPr="0071462E">
        <w:t>Товарная структура экспорта в январе-</w:t>
      </w:r>
      <w:r>
        <w:t>апреле</w:t>
      </w:r>
      <w:r w:rsidRPr="0071462E">
        <w:t xml:space="preserve"> текущего года, на фоне неблагоприятной ценовой конъюнктуры на мировых рынках и недостаточном уровне спроса на отечественную продукцию, характеризовалась следующим образом:</w:t>
      </w:r>
    </w:p>
    <w:p w:rsidR="00656811" w:rsidRPr="0071462E" w:rsidRDefault="00656811" w:rsidP="00656811">
      <w:pPr>
        <w:pStyle w:val="a7"/>
        <w:jc w:val="center"/>
      </w:pPr>
    </w:p>
    <w:p w:rsidR="00656811" w:rsidRPr="0071462E" w:rsidRDefault="00656811" w:rsidP="00656811">
      <w:pPr>
        <w:pStyle w:val="a7"/>
        <w:jc w:val="center"/>
        <w:rPr>
          <w:b/>
        </w:rPr>
      </w:pPr>
      <w:r w:rsidRPr="0071462E">
        <w:rPr>
          <w:b/>
        </w:rPr>
        <w:t>Товарная структура экспорта, млн. долл. США</w:t>
      </w:r>
    </w:p>
    <w:p w:rsidR="00656811" w:rsidRPr="0071462E" w:rsidRDefault="00656811" w:rsidP="00656811">
      <w:pPr>
        <w:pStyle w:val="a7"/>
        <w:ind w:firstLine="0"/>
        <w:rPr>
          <w:b/>
          <w:noProof/>
        </w:rPr>
      </w:pPr>
      <w:r w:rsidRPr="0071462E">
        <w:rPr>
          <w:b/>
          <w:noProof/>
          <w:lang w:eastAsia="ru-RU"/>
        </w:rPr>
        <w:drawing>
          <wp:inline distT="0" distB="0" distL="0" distR="0">
            <wp:extent cx="5896051" cy="2538375"/>
            <wp:effectExtent l="0" t="0" r="0" b="0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6811" w:rsidRPr="0071462E" w:rsidRDefault="00656811" w:rsidP="00656811">
      <w:pPr>
        <w:pStyle w:val="a7"/>
        <w:ind w:firstLine="0"/>
        <w:rPr>
          <w:b/>
          <w:noProof/>
        </w:rPr>
      </w:pPr>
    </w:p>
    <w:p w:rsidR="00656811" w:rsidRPr="0071462E" w:rsidRDefault="00656811" w:rsidP="00656811">
      <w:pPr>
        <w:pStyle w:val="a7"/>
      </w:pPr>
      <w:r w:rsidRPr="0071462E">
        <w:t>В товарной структуре экспорта в обозначенном периоде лидирующую позицию при увеличении объема поставок на 28,0% сохраняют топливно-энергетические товары, их доля составила 39,2% от совокупного объема экспорта, расширившись на 16,2 процентных пункта.</w:t>
      </w:r>
    </w:p>
    <w:p w:rsidR="00656811" w:rsidRPr="0071462E" w:rsidRDefault="00656811" w:rsidP="00656811">
      <w:pPr>
        <w:pStyle w:val="a7"/>
      </w:pPr>
      <w:r w:rsidRPr="0071462E">
        <w:t>Втор</w:t>
      </w:r>
      <w:r>
        <w:t>ыми</w:t>
      </w:r>
      <w:r w:rsidRPr="0071462E">
        <w:t xml:space="preserve"> по величине долевого участия в формировании совокупного объема экспорта в январе-апреле текущего года выступили металлы и изделия из них, удельный вес которых достиг 19,</w:t>
      </w:r>
      <w:r>
        <w:t>4</w:t>
      </w:r>
      <w:r w:rsidRPr="0071462E">
        <w:t>% против 32,2% в аналогичном периоде минувшего года, однако их объем в денежном выражении сократился на 54,7%.</w:t>
      </w:r>
    </w:p>
    <w:p w:rsidR="00656811" w:rsidRPr="0071462E" w:rsidRDefault="00656811" w:rsidP="00656811">
      <w:pPr>
        <w:pStyle w:val="a7"/>
      </w:pPr>
      <w:r w:rsidRPr="0071462E">
        <w:t>Вклад товаров легкой промышленности, на фоне сокращения их объемов на 29,9%, сложился на уровне 18,4% от совокупного экспорта, сократив долевое участие на 1,3 процентных пункта.</w:t>
      </w:r>
    </w:p>
    <w:p w:rsidR="00656811" w:rsidRPr="0071462E" w:rsidRDefault="00656811" w:rsidP="00656811">
      <w:pPr>
        <w:pStyle w:val="a7"/>
      </w:pPr>
      <w:r w:rsidRPr="0071462E">
        <w:t>Экспорт продовольствия в рассматриваемом периоде сократился на 38,3%, уступив 2,</w:t>
      </w:r>
      <w:r>
        <w:t>6</w:t>
      </w:r>
      <w:r w:rsidRPr="0071462E">
        <w:t xml:space="preserve"> </w:t>
      </w:r>
      <w:proofErr w:type="gramStart"/>
      <w:r w:rsidRPr="0071462E">
        <w:t>процентных</w:t>
      </w:r>
      <w:proofErr w:type="gramEnd"/>
      <w:r w:rsidRPr="0071462E">
        <w:t xml:space="preserve"> пункта удельного веса в товарной структуре показателю минувшего года и составил 12,</w:t>
      </w:r>
      <w:r>
        <w:t>5</w:t>
      </w:r>
      <w:r w:rsidRPr="0071462E">
        <w:t>%.</w:t>
      </w:r>
    </w:p>
    <w:p w:rsidR="00656811" w:rsidRPr="0071462E" w:rsidRDefault="00656811" w:rsidP="00656811">
      <w:pPr>
        <w:pStyle w:val="a7"/>
      </w:pPr>
      <w:proofErr w:type="gramStart"/>
      <w:r w:rsidRPr="0071462E">
        <w:t>Основными торговыми партнерами Приднестровья по экспортным поставкам в  январе-апреле 2015 года были Республика Молдова (52,0% совокупного экспорта,             «+» 5,1% к уровню января-апреля 2014 года), Румыния (12,9%, «-» 6,9% к уровню января-апреля 2014 года), Российская Федерация (8,6%, «-» 50,6% к уровню января-апреля 2014 года), Италия (7,6%, «-» 23,8% к уровню января-апреля 2014 года), Украина (6,9%, «-» 15,4% к уровню января-апреля 2014 года).</w:t>
      </w:r>
      <w:proofErr w:type="gramEnd"/>
    </w:p>
    <w:p w:rsidR="00656811" w:rsidRPr="0071462E" w:rsidRDefault="00656811" w:rsidP="00656811">
      <w:pPr>
        <w:pStyle w:val="a7"/>
        <w:ind w:firstLine="0"/>
      </w:pPr>
      <w:r w:rsidRPr="0071462E">
        <w:rPr>
          <w:noProof/>
          <w:lang w:eastAsia="ru-RU"/>
        </w:rPr>
        <w:lastRenderedPageBreak/>
        <w:drawing>
          <wp:inline distT="0" distB="0" distL="0" distR="0">
            <wp:extent cx="6124575" cy="3105150"/>
            <wp:effectExtent l="0" t="0" r="0" b="0"/>
            <wp:docPr id="10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6811" w:rsidRPr="0071462E" w:rsidRDefault="00656811" w:rsidP="0065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62E">
        <w:rPr>
          <w:rFonts w:ascii="Times New Roman" w:hAnsi="Times New Roman"/>
          <w:sz w:val="24"/>
          <w:szCs w:val="24"/>
        </w:rPr>
        <w:t xml:space="preserve">Динамика структурных составляющих импорта товаров в республику в                   январе-апреле 2015 года обуславливалась </w:t>
      </w:r>
      <w:proofErr w:type="spellStart"/>
      <w:r w:rsidRPr="0071462E">
        <w:rPr>
          <w:rFonts w:ascii="Times New Roman" w:hAnsi="Times New Roman"/>
          <w:sz w:val="24"/>
          <w:szCs w:val="24"/>
        </w:rPr>
        <w:t>востребованостью</w:t>
      </w:r>
      <w:proofErr w:type="spellEnd"/>
      <w:r w:rsidRPr="0071462E">
        <w:rPr>
          <w:rFonts w:ascii="Times New Roman" w:hAnsi="Times New Roman"/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656811" w:rsidRPr="0071462E" w:rsidRDefault="00656811" w:rsidP="00656811">
      <w:pPr>
        <w:pStyle w:val="a7"/>
      </w:pPr>
      <w:r w:rsidRPr="0071462E">
        <w:t xml:space="preserve">Между тем, в товарной структуре импорта, по-прежнему, преобладал ввоз топливно-энергетических товаров, при этом их доля в общей структуре импорта выросла до 62,2% против 47,3% в январе – апреле 2014 года, в абсолютной величине их объем вырос на 4,9%. </w:t>
      </w:r>
    </w:p>
    <w:p w:rsidR="00656811" w:rsidRPr="0071462E" w:rsidRDefault="00656811" w:rsidP="00656811">
      <w:pPr>
        <w:pStyle w:val="a7"/>
      </w:pPr>
      <w:r w:rsidRPr="0071462E">
        <w:t>Импорт металлов и изделий из них в результате приостановки производственных мощностей ОАО «Молдавский металлургический завод» в период января-февраля текущего года, по итогам января-апреля сократился на 47,0% от фактического базового показателя, сузив долевое представительство в товарной структуре до 7,0% против 10,5% в базовом периоде 2014 года.</w:t>
      </w:r>
    </w:p>
    <w:p w:rsidR="00656811" w:rsidRPr="0071462E" w:rsidRDefault="00656811" w:rsidP="00656811">
      <w:pPr>
        <w:pStyle w:val="a7"/>
      </w:pPr>
      <w:r w:rsidRPr="0071462E">
        <w:t>Импортные поставки товаров легкой промышленности в январе-апреле 2015 года составили 2,8% от ввезенных товаров против 3,4% в январе-апреле 2014 года, в абсолютной величине их объем сократился на 35,3%.</w:t>
      </w:r>
    </w:p>
    <w:p w:rsidR="00656811" w:rsidRPr="0071462E" w:rsidRDefault="00656811" w:rsidP="00656811">
      <w:pPr>
        <w:pStyle w:val="a7"/>
      </w:pPr>
      <w:r w:rsidRPr="0071462E">
        <w:t>В январе-апреле 2015 года на продовольственные товары (сырье) приходилось 6,9% импортных поставок в общем объеме импорта против 11,3% в базовом периоде минувшего года, при этом в денежном эквиваленте ввоз данных товаров сократился на 51,3%.</w:t>
      </w:r>
    </w:p>
    <w:p w:rsidR="00656811" w:rsidRPr="0071462E" w:rsidRDefault="00656811" w:rsidP="00656811">
      <w:pPr>
        <w:pStyle w:val="a7"/>
      </w:pPr>
      <w:r w:rsidRPr="0071462E">
        <w:t>На импортные поставки машиностроительной продукции в январе-апреле 2015 года приходилось 10,0% ввезенных товаров против 10,3% в январе-апреле 2014 года, в абсолютной величине их объем сократился на 23,2%.</w:t>
      </w:r>
    </w:p>
    <w:p w:rsidR="00656811" w:rsidRPr="0071462E" w:rsidRDefault="00656811" w:rsidP="00656811">
      <w:pPr>
        <w:pStyle w:val="ab"/>
        <w:tabs>
          <w:tab w:val="left" w:pos="900"/>
        </w:tabs>
        <w:spacing w:after="0" w:line="240" w:lineRule="auto"/>
        <w:jc w:val="both"/>
      </w:pPr>
      <w:r w:rsidRPr="0071462E">
        <w:rPr>
          <w:noProof/>
        </w:rPr>
        <w:drawing>
          <wp:inline distT="0" distB="0" distL="0" distR="0">
            <wp:extent cx="6042355" cy="2509114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6811" w:rsidRPr="0071462E" w:rsidRDefault="00656811" w:rsidP="00656811">
      <w:pPr>
        <w:pStyle w:val="a7"/>
      </w:pPr>
      <w:r w:rsidRPr="0071462E">
        <w:rPr>
          <w:color w:val="000000"/>
        </w:rPr>
        <w:lastRenderedPageBreak/>
        <w:t xml:space="preserve">Главными представителями в сфере импортных операций в обозначенном периоде выступали контрагенты </w:t>
      </w:r>
      <w:r w:rsidRPr="0071462E">
        <w:t>Российской Федерации (64,7% совокупного импорта, «+» 4,0% к уровню базового показателя 2014 года), Украины (8,2%, «-»54,6%), Республики Молдова (5,5%, «-»26,9%), Германии (3,6%, «-»45,2%), Республики Беларусь (2,9%, «-» 53,6%).</w:t>
      </w:r>
    </w:p>
    <w:p w:rsidR="00656811" w:rsidRDefault="00656811" w:rsidP="00656811">
      <w:pPr>
        <w:pStyle w:val="a7"/>
        <w:ind w:hanging="709"/>
      </w:pPr>
      <w:r w:rsidRPr="0071462E">
        <w:rPr>
          <w:noProof/>
          <w:lang w:eastAsia="ru-RU"/>
        </w:rPr>
        <w:drawing>
          <wp:inline distT="0" distB="0" distL="0" distR="0">
            <wp:extent cx="6715125" cy="3143250"/>
            <wp:effectExtent l="0" t="0" r="0" b="0"/>
            <wp:docPr id="1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6811" w:rsidRDefault="00656811" w:rsidP="009254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6811" w:rsidRPr="00D12058" w:rsidRDefault="009254C8" w:rsidP="00674D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2058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9254C8" w:rsidRPr="009254C8" w:rsidRDefault="009254C8" w:rsidP="009254C8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254C8">
        <w:rPr>
          <w:rStyle w:val="ad"/>
          <w:sz w:val="24"/>
          <w:szCs w:val="24"/>
        </w:rPr>
        <w:t xml:space="preserve">В январе-апреле 2015 года на потребительском рынке республики продолжилась тенденция замедления динамики цен. В целом сводный индекс потребительских цен (инфляция) </w:t>
      </w:r>
      <w:r w:rsidRPr="009254C8">
        <w:rPr>
          <w:rFonts w:ascii="Times New Roman" w:hAnsi="Times New Roman"/>
          <w:sz w:val="24"/>
          <w:szCs w:val="24"/>
        </w:rPr>
        <w:t xml:space="preserve">по итогам января-апреля 2015 года сложился на уровне 99,06% против 100,80% в январе-апреле 2014 года. </w:t>
      </w:r>
    </w:p>
    <w:p w:rsidR="009254C8" w:rsidRPr="00FB365A" w:rsidRDefault="009254C8" w:rsidP="009254C8">
      <w:pPr>
        <w:pStyle w:val="ab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FB365A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6400800" cy="1989734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54C8" w:rsidRDefault="009254C8" w:rsidP="00925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365A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(инфляция) за предыдущие годы представлена ниже:</w:t>
      </w:r>
    </w:p>
    <w:p w:rsidR="009254C8" w:rsidRPr="00FB365A" w:rsidRDefault="009254C8" w:rsidP="00925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747" w:type="dxa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9254C8" w:rsidRPr="00FB365A" w:rsidTr="0019476E">
        <w:tc>
          <w:tcPr>
            <w:tcW w:w="9747" w:type="dxa"/>
            <w:gridSpan w:val="11"/>
          </w:tcPr>
          <w:p w:rsidR="009254C8" w:rsidRPr="00FB365A" w:rsidRDefault="009254C8" w:rsidP="0019476E">
            <w:pPr>
              <w:pStyle w:val="ab"/>
              <w:spacing w:after="0"/>
              <w:jc w:val="center"/>
              <w:rPr>
                <w:rStyle w:val="ad"/>
                <w:color w:val="000000"/>
              </w:rPr>
            </w:pPr>
            <w:r w:rsidRPr="00FB365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Сводный индекс потребительских цен (инфляция) за январь-апрель, %</w:t>
            </w:r>
          </w:p>
        </w:tc>
      </w:tr>
      <w:tr w:rsidR="009254C8" w:rsidRPr="00FB365A" w:rsidTr="0019476E">
        <w:tc>
          <w:tcPr>
            <w:tcW w:w="959" w:type="dxa"/>
            <w:vAlign w:val="center"/>
          </w:tcPr>
          <w:p w:rsidR="009254C8" w:rsidRPr="009254C8" w:rsidRDefault="009254C8" w:rsidP="0019476E">
            <w:pPr>
              <w:pStyle w:val="ab"/>
              <w:spacing w:after="0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9254C8">
              <w:rPr>
                <w:rStyle w:val="ad"/>
                <w:b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850" w:type="dxa"/>
            <w:vAlign w:val="center"/>
          </w:tcPr>
          <w:p w:rsidR="009254C8" w:rsidRPr="009254C8" w:rsidRDefault="009254C8" w:rsidP="0019476E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254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2006 г.</w:t>
            </w:r>
          </w:p>
        </w:tc>
        <w:tc>
          <w:tcPr>
            <w:tcW w:w="851" w:type="dxa"/>
            <w:vAlign w:val="center"/>
          </w:tcPr>
          <w:p w:rsidR="009254C8" w:rsidRPr="009254C8" w:rsidRDefault="009254C8" w:rsidP="0019476E">
            <w:pPr>
              <w:ind w:left="-391" w:right="-2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2  </w:t>
            </w:r>
            <w:r w:rsidRPr="009254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2007 г.</w:t>
            </w:r>
          </w:p>
        </w:tc>
        <w:tc>
          <w:tcPr>
            <w:tcW w:w="850" w:type="dxa"/>
            <w:vAlign w:val="center"/>
          </w:tcPr>
          <w:p w:rsidR="009254C8" w:rsidRPr="009254C8" w:rsidRDefault="009254C8" w:rsidP="0019476E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254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2008 г.</w:t>
            </w:r>
          </w:p>
        </w:tc>
        <w:tc>
          <w:tcPr>
            <w:tcW w:w="851" w:type="dxa"/>
            <w:vAlign w:val="center"/>
          </w:tcPr>
          <w:p w:rsidR="009254C8" w:rsidRPr="009254C8" w:rsidRDefault="009254C8" w:rsidP="0019476E">
            <w:pPr>
              <w:ind w:hanging="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254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2009 г.</w:t>
            </w:r>
          </w:p>
        </w:tc>
        <w:tc>
          <w:tcPr>
            <w:tcW w:w="850" w:type="dxa"/>
            <w:vAlign w:val="center"/>
          </w:tcPr>
          <w:p w:rsidR="009254C8" w:rsidRPr="009254C8" w:rsidRDefault="009254C8" w:rsidP="0019476E">
            <w:pPr>
              <w:ind w:left="-250" w:firstLine="142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254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2010 г.</w:t>
            </w:r>
          </w:p>
        </w:tc>
        <w:tc>
          <w:tcPr>
            <w:tcW w:w="851" w:type="dxa"/>
            <w:vAlign w:val="center"/>
          </w:tcPr>
          <w:p w:rsidR="009254C8" w:rsidRPr="009254C8" w:rsidRDefault="009254C8" w:rsidP="0019476E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254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2011 г.</w:t>
            </w:r>
          </w:p>
        </w:tc>
        <w:tc>
          <w:tcPr>
            <w:tcW w:w="992" w:type="dxa"/>
            <w:vAlign w:val="center"/>
          </w:tcPr>
          <w:p w:rsidR="009254C8" w:rsidRPr="009254C8" w:rsidRDefault="009254C8" w:rsidP="0019476E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254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2012 г.</w:t>
            </w:r>
          </w:p>
        </w:tc>
        <w:tc>
          <w:tcPr>
            <w:tcW w:w="992" w:type="dxa"/>
            <w:vAlign w:val="center"/>
          </w:tcPr>
          <w:p w:rsidR="009254C8" w:rsidRPr="009254C8" w:rsidRDefault="009254C8" w:rsidP="0019476E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254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2013 г.</w:t>
            </w:r>
          </w:p>
        </w:tc>
        <w:tc>
          <w:tcPr>
            <w:tcW w:w="851" w:type="dxa"/>
            <w:vAlign w:val="center"/>
          </w:tcPr>
          <w:p w:rsidR="009254C8" w:rsidRPr="009254C8" w:rsidRDefault="009254C8" w:rsidP="0019476E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254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9254C8" w:rsidRPr="009254C8" w:rsidRDefault="009254C8" w:rsidP="0019476E">
            <w:pPr>
              <w:pStyle w:val="ab"/>
              <w:spacing w:after="0"/>
              <w:ind w:left="-108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9254C8">
              <w:rPr>
                <w:rStyle w:val="ad"/>
                <w:b/>
                <w:color w:val="000000"/>
                <w:sz w:val="24"/>
                <w:szCs w:val="24"/>
              </w:rPr>
              <w:t>2015 г.</w:t>
            </w:r>
          </w:p>
        </w:tc>
      </w:tr>
      <w:tr w:rsidR="009254C8" w:rsidRPr="00FB365A" w:rsidTr="0019476E">
        <w:tc>
          <w:tcPr>
            <w:tcW w:w="959" w:type="dxa"/>
            <w:vAlign w:val="center"/>
          </w:tcPr>
          <w:p w:rsidR="009254C8" w:rsidRPr="00FB365A" w:rsidRDefault="009254C8" w:rsidP="0019476E">
            <w:pPr>
              <w:pStyle w:val="ab"/>
              <w:spacing w:after="0"/>
              <w:jc w:val="center"/>
              <w:rPr>
                <w:rStyle w:val="ad"/>
                <w:color w:val="000000"/>
                <w:szCs w:val="24"/>
              </w:rPr>
            </w:pPr>
            <w:r w:rsidRPr="00FB365A">
              <w:rPr>
                <w:rStyle w:val="ad"/>
                <w:color w:val="000000"/>
                <w:szCs w:val="24"/>
              </w:rPr>
              <w:t>105,64</w:t>
            </w:r>
          </w:p>
        </w:tc>
        <w:tc>
          <w:tcPr>
            <w:tcW w:w="850" w:type="dxa"/>
            <w:vAlign w:val="center"/>
          </w:tcPr>
          <w:p w:rsidR="009254C8" w:rsidRPr="00FB365A" w:rsidRDefault="009254C8" w:rsidP="0019476E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365A">
              <w:rPr>
                <w:rFonts w:ascii="Times New Roman" w:hAnsi="Times New Roman"/>
                <w:color w:val="333333"/>
                <w:sz w:val="24"/>
                <w:szCs w:val="24"/>
              </w:rPr>
              <w:t>105,46</w:t>
            </w:r>
          </w:p>
        </w:tc>
        <w:tc>
          <w:tcPr>
            <w:tcW w:w="851" w:type="dxa"/>
            <w:vAlign w:val="center"/>
          </w:tcPr>
          <w:p w:rsidR="009254C8" w:rsidRPr="00FB365A" w:rsidRDefault="009254C8" w:rsidP="0019476E">
            <w:pPr>
              <w:ind w:left="-108" w:right="-2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365A">
              <w:rPr>
                <w:rFonts w:ascii="Times New Roman" w:hAnsi="Times New Roman"/>
                <w:color w:val="333333"/>
                <w:sz w:val="24"/>
                <w:szCs w:val="24"/>
              </w:rPr>
              <w:t>108,56</w:t>
            </w:r>
          </w:p>
        </w:tc>
        <w:tc>
          <w:tcPr>
            <w:tcW w:w="850" w:type="dxa"/>
            <w:vAlign w:val="center"/>
          </w:tcPr>
          <w:p w:rsidR="009254C8" w:rsidRPr="00FB365A" w:rsidRDefault="009254C8" w:rsidP="0019476E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365A">
              <w:rPr>
                <w:rFonts w:ascii="Times New Roman" w:hAnsi="Times New Roman"/>
                <w:color w:val="333333"/>
                <w:sz w:val="24"/>
                <w:szCs w:val="24"/>
              </w:rPr>
              <w:t>115,78</w:t>
            </w:r>
          </w:p>
        </w:tc>
        <w:tc>
          <w:tcPr>
            <w:tcW w:w="851" w:type="dxa"/>
            <w:vAlign w:val="center"/>
          </w:tcPr>
          <w:p w:rsidR="009254C8" w:rsidRPr="00FB365A" w:rsidRDefault="009254C8" w:rsidP="0019476E">
            <w:pPr>
              <w:ind w:hanging="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365A">
              <w:rPr>
                <w:rFonts w:ascii="Times New Roman" w:hAnsi="Times New Roman"/>
                <w:color w:val="333333"/>
                <w:sz w:val="24"/>
                <w:szCs w:val="24"/>
              </w:rPr>
              <w:t>99,63</w:t>
            </w:r>
          </w:p>
        </w:tc>
        <w:tc>
          <w:tcPr>
            <w:tcW w:w="850" w:type="dxa"/>
            <w:vAlign w:val="center"/>
          </w:tcPr>
          <w:p w:rsidR="009254C8" w:rsidRPr="00FB365A" w:rsidRDefault="009254C8" w:rsidP="0019476E">
            <w:pPr>
              <w:ind w:left="-250" w:firstLine="14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365A">
              <w:rPr>
                <w:rFonts w:ascii="Times New Roman" w:hAnsi="Times New Roman"/>
                <w:color w:val="333333"/>
                <w:sz w:val="24"/>
                <w:szCs w:val="24"/>
              </w:rPr>
              <w:t>107,31</w:t>
            </w:r>
          </w:p>
        </w:tc>
        <w:tc>
          <w:tcPr>
            <w:tcW w:w="851" w:type="dxa"/>
            <w:vAlign w:val="center"/>
          </w:tcPr>
          <w:p w:rsidR="009254C8" w:rsidRPr="00FB365A" w:rsidRDefault="009254C8" w:rsidP="0019476E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365A">
              <w:rPr>
                <w:rFonts w:ascii="Times New Roman" w:hAnsi="Times New Roman"/>
                <w:color w:val="333333"/>
                <w:sz w:val="24"/>
                <w:szCs w:val="24"/>
              </w:rPr>
              <w:t>108,51</w:t>
            </w:r>
          </w:p>
        </w:tc>
        <w:tc>
          <w:tcPr>
            <w:tcW w:w="992" w:type="dxa"/>
            <w:vAlign w:val="center"/>
          </w:tcPr>
          <w:p w:rsidR="009254C8" w:rsidRPr="00FB365A" w:rsidRDefault="009254C8" w:rsidP="0019476E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365A">
              <w:rPr>
                <w:rFonts w:ascii="Times New Roman" w:hAnsi="Times New Roman"/>
                <w:color w:val="333333"/>
                <w:sz w:val="24"/>
                <w:szCs w:val="24"/>
              </w:rPr>
              <w:t>106,60</w:t>
            </w:r>
          </w:p>
        </w:tc>
        <w:tc>
          <w:tcPr>
            <w:tcW w:w="992" w:type="dxa"/>
            <w:vAlign w:val="center"/>
          </w:tcPr>
          <w:p w:rsidR="009254C8" w:rsidRPr="00FB365A" w:rsidRDefault="009254C8" w:rsidP="0019476E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365A">
              <w:rPr>
                <w:rFonts w:ascii="Times New Roman" w:hAnsi="Times New Roman"/>
                <w:color w:val="333333"/>
                <w:sz w:val="24"/>
                <w:szCs w:val="24"/>
              </w:rPr>
              <w:t>102,56</w:t>
            </w:r>
          </w:p>
        </w:tc>
        <w:tc>
          <w:tcPr>
            <w:tcW w:w="851" w:type="dxa"/>
          </w:tcPr>
          <w:p w:rsidR="009254C8" w:rsidRPr="00FB365A" w:rsidRDefault="009254C8" w:rsidP="0019476E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Cs w:val="24"/>
              </w:rPr>
            </w:pPr>
            <w:r w:rsidRPr="00FB365A">
              <w:rPr>
                <w:rStyle w:val="ad"/>
                <w:color w:val="000000"/>
                <w:szCs w:val="24"/>
              </w:rPr>
              <w:t>100,80</w:t>
            </w:r>
          </w:p>
        </w:tc>
        <w:tc>
          <w:tcPr>
            <w:tcW w:w="850" w:type="dxa"/>
          </w:tcPr>
          <w:p w:rsidR="009254C8" w:rsidRPr="00FB365A" w:rsidRDefault="009254C8" w:rsidP="0019476E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Cs w:val="24"/>
              </w:rPr>
            </w:pPr>
            <w:r w:rsidRPr="00FB365A">
              <w:rPr>
                <w:rStyle w:val="ad"/>
                <w:color w:val="000000"/>
                <w:szCs w:val="24"/>
              </w:rPr>
              <w:t>99,06</w:t>
            </w:r>
          </w:p>
        </w:tc>
      </w:tr>
    </w:tbl>
    <w:p w:rsidR="009254C8" w:rsidRDefault="009254C8" w:rsidP="009254C8">
      <w:pPr>
        <w:pStyle w:val="a7"/>
        <w:rPr>
          <w:rStyle w:val="ad"/>
          <w:color w:val="000000"/>
          <w:szCs w:val="24"/>
        </w:rPr>
      </w:pPr>
    </w:p>
    <w:p w:rsidR="009254C8" w:rsidRPr="009254C8" w:rsidRDefault="009254C8" w:rsidP="009254C8">
      <w:pPr>
        <w:pStyle w:val="a7"/>
        <w:rPr>
          <w:rStyle w:val="FontStyle183"/>
          <w:rFonts w:ascii="Times New Roman" w:hAnsi="Times New Roman" w:cs="Times New Roman"/>
          <w:sz w:val="24"/>
          <w:szCs w:val="24"/>
        </w:rPr>
      </w:pPr>
      <w:r w:rsidRPr="009254C8">
        <w:rPr>
          <w:rStyle w:val="ad"/>
          <w:color w:val="000000"/>
          <w:sz w:val="24"/>
          <w:szCs w:val="24"/>
        </w:rPr>
        <w:t xml:space="preserve">На протяжении января-апреля 2015 года </w:t>
      </w:r>
      <w:r w:rsidRPr="009254C8">
        <w:rPr>
          <w:rStyle w:val="FontStyle183"/>
          <w:rFonts w:ascii="Times New Roman" w:hAnsi="Times New Roman" w:cs="Times New Roman"/>
          <w:sz w:val="24"/>
          <w:szCs w:val="24"/>
        </w:rPr>
        <w:t>инфляционный фон на потребительском рынке формировался в сегменте административно-регулируемых услуг и поддерживался сезонным фактором в сфере товаров.</w:t>
      </w:r>
    </w:p>
    <w:p w:rsidR="009254C8" w:rsidRPr="009254C8" w:rsidRDefault="009254C8" w:rsidP="009254C8">
      <w:pPr>
        <w:pStyle w:val="30"/>
        <w:shd w:val="clear" w:color="auto" w:fill="auto"/>
        <w:spacing w:line="240" w:lineRule="auto"/>
        <w:ind w:firstLine="709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54C8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На фоне устойчивых дефляционных процессов по большинству виду товаров в продовольственном сегменте потребительского рынка (удешевление яиц – на 25,70%, сахара – на 12,87%, сыра – на 10,96%, молока и молочной продукции – на 9,83%, мясопродуктов – на 7,32%, консервов овощных – на 7,40%, макаронных и крупяных </w:t>
      </w:r>
      <w:r w:rsidRPr="009254C8">
        <w:rPr>
          <w:rStyle w:val="ae"/>
          <w:rFonts w:ascii="Times New Roman" w:hAnsi="Times New Roman" w:cs="Times New Roman"/>
          <w:color w:val="000000"/>
          <w:sz w:val="24"/>
          <w:szCs w:val="24"/>
        </w:rPr>
        <w:lastRenderedPageBreak/>
        <w:t>изделий – на 1,35%) в совокупности с повышением цен на плодоовощную продукцию на 7,43%, а также на муку на 4,42%, в</w:t>
      </w:r>
      <w:proofErr w:type="gramEnd"/>
      <w:r w:rsidRPr="009254C8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продовольственном </w:t>
      </w:r>
      <w:proofErr w:type="gramStart"/>
      <w:r w:rsidRPr="009254C8">
        <w:rPr>
          <w:rStyle w:val="ae"/>
          <w:rFonts w:ascii="Times New Roman" w:hAnsi="Times New Roman" w:cs="Times New Roman"/>
          <w:color w:val="000000"/>
          <w:sz w:val="24"/>
          <w:szCs w:val="24"/>
        </w:rPr>
        <w:t>сегменте</w:t>
      </w:r>
      <w:proofErr w:type="gramEnd"/>
      <w:r w:rsidRPr="009254C8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потребительского рынка в январе-апреле 2015 года был зафиксирован выраженный дефляционный тренд – </w:t>
      </w:r>
      <w:r w:rsidRPr="009254C8">
        <w:rPr>
          <w:rStyle w:val="ae"/>
          <w:rFonts w:ascii="Times New Roman" w:hAnsi="Times New Roman" w:cs="Times New Roman"/>
          <w:color w:val="000000"/>
          <w:sz w:val="24"/>
          <w:szCs w:val="24"/>
        </w:rPr>
        <w:br/>
        <w:t xml:space="preserve">«-»3,69% (в январе-апреле 2014 года – «+»1,75%). </w:t>
      </w:r>
    </w:p>
    <w:p w:rsidR="009254C8" w:rsidRPr="009254C8" w:rsidRDefault="009254C8" w:rsidP="00925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4C8">
        <w:rPr>
          <w:rFonts w:ascii="Times New Roman" w:hAnsi="Times New Roman"/>
          <w:sz w:val="24"/>
          <w:szCs w:val="24"/>
        </w:rPr>
        <w:t xml:space="preserve">В январе-апреле 2015 года отмечалась ценовая стабильность в сфере непродовольственных товаров с дефляцией «-»1,70% (в январе-апреле 2014 года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254C8">
        <w:rPr>
          <w:rFonts w:ascii="Times New Roman" w:hAnsi="Times New Roman"/>
          <w:sz w:val="24"/>
          <w:szCs w:val="24"/>
        </w:rPr>
        <w:t xml:space="preserve">«-»1,80%). Понижательный ценовой тренд в данном сегменте потребительского рынка установлен по следующим видам товаров: товары бытовой химии (-5,16%), вычислительная техника (-1,18%), </w:t>
      </w:r>
      <w:proofErr w:type="spellStart"/>
      <w:r w:rsidRPr="009254C8">
        <w:rPr>
          <w:rFonts w:ascii="Times New Roman" w:hAnsi="Times New Roman"/>
          <w:sz w:val="24"/>
          <w:szCs w:val="24"/>
        </w:rPr>
        <w:t>телерадиотовары</w:t>
      </w:r>
      <w:proofErr w:type="spellEnd"/>
      <w:r w:rsidRPr="009254C8">
        <w:rPr>
          <w:rFonts w:ascii="Times New Roman" w:hAnsi="Times New Roman"/>
          <w:sz w:val="24"/>
          <w:szCs w:val="24"/>
        </w:rPr>
        <w:t xml:space="preserve"> (-0,42%), топливо (бензин) (-8,16%) и др.</w:t>
      </w:r>
    </w:p>
    <w:p w:rsidR="009254C8" w:rsidRPr="009254C8" w:rsidRDefault="009254C8" w:rsidP="00925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4C8">
        <w:rPr>
          <w:rFonts w:ascii="Times New Roman" w:hAnsi="Times New Roman"/>
          <w:sz w:val="24"/>
          <w:szCs w:val="24"/>
        </w:rPr>
        <w:t xml:space="preserve">В общем повышении стоимости потребительских товаров и услуг на протяжении всего рассматриваемого периода наибольшее влияние оказывала инфляция в сфере цен и тарифов на услуги. По итогам января-апреля 2015 года инфляционная нагрузка в данном сегменте возросла до 5,68%, что превысило сопоставимое значение предыдущего периода на 2,18 </w:t>
      </w:r>
      <w:proofErr w:type="gramStart"/>
      <w:r w:rsidRPr="009254C8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9254C8">
        <w:rPr>
          <w:rFonts w:ascii="Times New Roman" w:hAnsi="Times New Roman"/>
          <w:sz w:val="24"/>
          <w:szCs w:val="24"/>
        </w:rPr>
        <w:t xml:space="preserve"> пункта. Однако</w:t>
      </w:r>
      <w:proofErr w:type="gramStart"/>
      <w:r w:rsidRPr="009254C8">
        <w:rPr>
          <w:rFonts w:ascii="Times New Roman" w:hAnsi="Times New Roman"/>
          <w:sz w:val="24"/>
          <w:szCs w:val="24"/>
        </w:rPr>
        <w:t>,</w:t>
      </w:r>
      <w:proofErr w:type="gramEnd"/>
      <w:r w:rsidRPr="009254C8">
        <w:rPr>
          <w:rFonts w:ascii="Times New Roman" w:hAnsi="Times New Roman"/>
          <w:sz w:val="24"/>
          <w:szCs w:val="24"/>
        </w:rPr>
        <w:t xml:space="preserve"> данное инфляционное влияние было ожидаемым и связано с повышением цен на жилищно-коммунальные услуги - на 2,77% (в январе-апреле 2014 года – на 2,15%), тарифов на услуги связи - на 8,20% (в январе-апреле </w:t>
      </w:r>
      <w:r w:rsidRPr="009254C8">
        <w:rPr>
          <w:rFonts w:ascii="Times New Roman" w:hAnsi="Times New Roman"/>
          <w:sz w:val="24"/>
          <w:szCs w:val="24"/>
        </w:rPr>
        <w:br/>
        <w:t>2014 года – «+»5,20%).</w:t>
      </w:r>
    </w:p>
    <w:p w:rsidR="009254C8" w:rsidRPr="009254C8" w:rsidRDefault="009254C8" w:rsidP="009254C8">
      <w:pPr>
        <w:pStyle w:val="Style26"/>
        <w:widowControl/>
        <w:spacing w:line="240" w:lineRule="auto"/>
        <w:ind w:firstLine="708"/>
        <w:rPr>
          <w:rStyle w:val="FontStyle183"/>
          <w:rFonts w:ascii="Times New Roman" w:eastAsia="Calibri" w:hAnsi="Times New Roman" w:cs="Times New Roman"/>
          <w:sz w:val="24"/>
          <w:szCs w:val="24"/>
        </w:rPr>
      </w:pPr>
      <w:r w:rsidRPr="009254C8">
        <w:rPr>
          <w:rStyle w:val="FontStyle183"/>
          <w:rFonts w:ascii="Times New Roman" w:eastAsia="Calibri" w:hAnsi="Times New Roman" w:cs="Times New Roman"/>
          <w:sz w:val="24"/>
          <w:szCs w:val="24"/>
        </w:rPr>
        <w:t>Кроме того, весомое инфляционное давление в сфере услуг в обозначенном периоде создало повышение стоимости услуг дошкольного воспитания («+»21,84%), медицинских услуг («+»37,67%), услуг правового характера («+»8,94%), а также ритуальных услуг («+»14,34%). В то же время подешевели санаторно-оздоровительные услуги на 18,75%.</w:t>
      </w:r>
    </w:p>
    <w:p w:rsidR="009254C8" w:rsidRPr="009254C8" w:rsidRDefault="009254C8" w:rsidP="0092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4C8">
        <w:rPr>
          <w:rFonts w:ascii="Times New Roman" w:hAnsi="Times New Roman"/>
          <w:sz w:val="24"/>
          <w:szCs w:val="24"/>
        </w:rPr>
        <w:t>Таким образом, существенную роль в сдерживании инфляционных процессов продолжала оказывать предсказуемая валютная политика. Стабильность курса приднестровского рубля в условиях высокой импортной зависимости от поставок достаточно широкого круга потребительских товаров, позволила не допустить раскручивания инфляционной спирали по аналогии с ситуацией, которая сложилась в ряде стран СНГ.</w:t>
      </w:r>
    </w:p>
    <w:p w:rsidR="009254C8" w:rsidRPr="009254C8" w:rsidRDefault="009254C8" w:rsidP="0092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4C8">
        <w:rPr>
          <w:rFonts w:ascii="Times New Roman" w:hAnsi="Times New Roman"/>
          <w:sz w:val="24"/>
          <w:szCs w:val="24"/>
        </w:rPr>
        <w:t>Сводный индекс потребительских цен (инфляция) в январе-апреле 2015 года в Республике Молдова составил 105,0%, в Украине – 137,1%, в Российской Федерации – 107,9%.</w:t>
      </w:r>
    </w:p>
    <w:p w:rsidR="0012317D" w:rsidRPr="009254C8" w:rsidRDefault="0012317D">
      <w:pPr>
        <w:rPr>
          <w:rFonts w:ascii="Times New Roman" w:hAnsi="Times New Roman"/>
          <w:sz w:val="24"/>
          <w:szCs w:val="24"/>
        </w:rPr>
      </w:pPr>
    </w:p>
    <w:sectPr w:rsidR="0012317D" w:rsidRPr="009254C8" w:rsidSect="009254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C8"/>
    <w:rsid w:val="000445EB"/>
    <w:rsid w:val="0012317D"/>
    <w:rsid w:val="0019476E"/>
    <w:rsid w:val="001F4E21"/>
    <w:rsid w:val="00656811"/>
    <w:rsid w:val="00674D62"/>
    <w:rsid w:val="009254C8"/>
    <w:rsid w:val="00C31AE0"/>
    <w:rsid w:val="00D2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4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25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9254C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254C8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Без интервала Знак"/>
    <w:link w:val="a7"/>
    <w:uiPriority w:val="1"/>
    <w:locked/>
    <w:rsid w:val="009254C8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9254C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99"/>
    <w:qFormat/>
    <w:rsid w:val="009254C8"/>
    <w:pPr>
      <w:ind w:left="720"/>
      <w:contextualSpacing/>
    </w:pPr>
  </w:style>
  <w:style w:type="paragraph" w:customStyle="1" w:styleId="11">
    <w:name w:val="Без интервала1"/>
    <w:uiPriority w:val="99"/>
    <w:rsid w:val="0092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9254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254C8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rsid w:val="009254C8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83">
    <w:name w:val="Font Style183"/>
    <w:basedOn w:val="a0"/>
    <w:uiPriority w:val="99"/>
    <w:rsid w:val="009254C8"/>
    <w:rPr>
      <w:rFonts w:ascii="Sylfaen" w:hAnsi="Sylfaen" w:cs="Sylfaen"/>
      <w:sz w:val="20"/>
      <w:szCs w:val="20"/>
    </w:rPr>
  </w:style>
  <w:style w:type="character" w:customStyle="1" w:styleId="3">
    <w:name w:val="Основной текст (3)_"/>
    <w:basedOn w:val="a0"/>
    <w:link w:val="30"/>
    <w:rsid w:val="009254C8"/>
    <w:rPr>
      <w:b/>
      <w:bCs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9254C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54C8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">
    <w:name w:val="Подпись к таблице"/>
    <w:basedOn w:val="a"/>
    <w:link w:val="ae"/>
    <w:rsid w:val="009254C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26">
    <w:name w:val="Style26"/>
    <w:basedOn w:val="a"/>
    <w:rsid w:val="009254C8"/>
    <w:pPr>
      <w:widowControl w:val="0"/>
      <w:autoSpaceDE w:val="0"/>
      <w:autoSpaceDN w:val="0"/>
      <w:adjustRightInd w:val="0"/>
      <w:spacing w:after="0" w:line="289" w:lineRule="exact"/>
      <w:ind w:firstLine="432"/>
      <w:jc w:val="both"/>
    </w:pPr>
    <w:rPr>
      <w:rFonts w:ascii="Sylfaen" w:hAnsi="Sylfaen"/>
      <w:sz w:val="24"/>
      <w:szCs w:val="24"/>
    </w:rPr>
  </w:style>
  <w:style w:type="table" w:styleId="af0">
    <w:name w:val="Table Grid"/>
    <w:basedOn w:val="a1"/>
    <w:uiPriority w:val="59"/>
    <w:rsid w:val="0092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новной текст с отступом 2"/>
    <w:basedOn w:val="a"/>
    <w:uiPriority w:val="99"/>
    <w:rsid w:val="00656811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8.747143393295749E-2"/>
          <c:y val="0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157621519584709E-2"/>
          <c:y val="0.1603700848111029"/>
          <c:w val="0.94319526627219619"/>
          <c:h val="0.79336931380107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7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5736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19,7%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951218375809936E-2"/>
                  <c:y val="-2.9193960623850549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45,9%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0499986088356E-3"/>
                  <c:y val="0.179034788281522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12,2%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1834319526627221E-3"/>
                  <c:y val="1.67430593920557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10,2%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7972790383450592E-2"/>
                  <c:y val="-7.828483660051377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2,9%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6074174160182705"/>
                  <c:y val="-3.61087670517670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9,0%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514</c:v>
                </c:pt>
                <c:pt idx="1">
                  <c:v>1195.5</c:v>
                </c:pt>
                <c:pt idx="2">
                  <c:v>318.7</c:v>
                </c:pt>
                <c:pt idx="3">
                  <c:v>265.3</c:v>
                </c:pt>
                <c:pt idx="4">
                  <c:v>76</c:v>
                </c:pt>
                <c:pt idx="5">
                  <c:v>234.49999999999977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18068927231685464"/>
          <c:y val="3.1840651820363116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16854326594755592"/>
          <c:y val="8.2857142857143046E-2"/>
          <c:w val="0.81143679112182399"/>
          <c:h val="0.554957630296212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апрель 2014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37,1*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108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13,0*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585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10,4*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5847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88229.2</c:v>
                </c:pt>
                <c:pt idx="1">
                  <c:v>30857.200000000001</c:v>
                </c:pt>
                <c:pt idx="2">
                  <c:v>14483.9</c:v>
                </c:pt>
                <c:pt idx="3">
                  <c:v>17876.8</c:v>
                </c:pt>
                <c:pt idx="4">
                  <c:v>11140.5</c:v>
                </c:pt>
                <c:pt idx="5">
                  <c:v>24754.1</c:v>
                </c:pt>
                <c:pt idx="6">
                  <c:v>33515.9</c:v>
                </c:pt>
                <c:pt idx="7">
                  <c:v>17149.100000000017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апрель 2015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680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478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6,9*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478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2901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12,9*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809E-3"/>
                  <c:y val="1.4009509680855268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92688.9</c:v>
                </c:pt>
                <c:pt idx="1">
                  <c:v>15258.1</c:v>
                </c:pt>
                <c:pt idx="2">
                  <c:v>12260.6</c:v>
                </c:pt>
                <c:pt idx="3">
                  <c:v>13623.7</c:v>
                </c:pt>
                <c:pt idx="4">
                  <c:v>10077.9</c:v>
                </c:pt>
                <c:pt idx="5">
                  <c:v>23050.6</c:v>
                </c:pt>
                <c:pt idx="6">
                  <c:v>2420.5</c:v>
                </c:pt>
                <c:pt idx="7">
                  <c:v>8998.9000000000051</c:v>
                </c:pt>
              </c:numCache>
            </c:numRef>
          </c:val>
        </c:ser>
        <c:dLbls>
          <c:showVal val="1"/>
        </c:dLbls>
        <c:axId val="96324992"/>
        <c:axId val="96437376"/>
      </c:barChart>
      <c:catAx>
        <c:axId val="96324992"/>
        <c:scaling>
          <c:orientation val="minMax"/>
        </c:scaling>
        <c:axPos val="b"/>
        <c:numFmt formatCode="General" sourceLinked="1"/>
        <c:tickLblPos val="nextTo"/>
        <c:crossAx val="96437376"/>
        <c:crosses val="autoZero"/>
        <c:auto val="1"/>
        <c:lblAlgn val="ctr"/>
        <c:lblOffset val="100"/>
      </c:catAx>
      <c:valAx>
        <c:axId val="96437376"/>
        <c:scaling>
          <c:orientation val="minMax"/>
          <c:max val="95000"/>
          <c:min val="2000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324992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18325434439178609"/>
          <c:y val="0.95114006514658334"/>
          <c:w val="0.7140600315955814"/>
          <c:h val="5.2117263843648946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6.4072688401924122E-2"/>
          <c:y val="9.1213463917280663E-2"/>
          <c:w val="0.96291208791208749"/>
          <c:h val="0.403323643325892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апрель 2014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47,3*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10,5*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774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11,3*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7211443067233E-3"/>
                  <c:y val="2.819198829654488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10,3*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3,4*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894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17,2*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 formatCode="General">
                  <c:v>257.7</c:v>
                </c:pt>
                <c:pt idx="1">
                  <c:v>57.4</c:v>
                </c:pt>
                <c:pt idx="2">
                  <c:v>61.4</c:v>
                </c:pt>
                <c:pt idx="3" formatCode="General">
                  <c:v>56.4</c:v>
                </c:pt>
                <c:pt idx="4">
                  <c:v>18.7</c:v>
                </c:pt>
                <c:pt idx="5">
                  <c:v>93.500000000000057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апрель 2015 г.</c:v>
                </c:pt>
              </c:strCache>
            </c:strRef>
          </c:tx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62,2*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3962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7,0*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6,9*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10,0*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338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2,8*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577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11,1*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79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270.3</c:v>
                </c:pt>
                <c:pt idx="1">
                  <c:v>30.4</c:v>
                </c:pt>
                <c:pt idx="2">
                  <c:v>29.9</c:v>
                </c:pt>
                <c:pt idx="3">
                  <c:v>43.4</c:v>
                </c:pt>
                <c:pt idx="4">
                  <c:v>12.1</c:v>
                </c:pt>
                <c:pt idx="5">
                  <c:v>48.200000000000053</c:v>
                </c:pt>
              </c:numCache>
            </c:numRef>
          </c:val>
        </c:ser>
        <c:gapWidth val="160"/>
        <c:axId val="96592256"/>
        <c:axId val="96593792"/>
      </c:barChart>
      <c:catAx>
        <c:axId val="9659225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96593792"/>
        <c:crosses val="autoZero"/>
        <c:lblAlgn val="ctr"/>
        <c:lblOffset val="160"/>
        <c:tickLblSkip val="1"/>
        <c:tickMarkSkip val="1"/>
      </c:catAx>
      <c:valAx>
        <c:axId val="965937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3865758540200652"/>
              <c:y val="6.6576571950317034E-2"/>
            </c:manualLayout>
          </c:layout>
          <c:spPr>
            <a:noFill/>
            <a:ln w="28727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9659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35396053389667992"/>
          <c:y val="3.083834378858692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0715548854265622"/>
          <c:y val="4.5879901375964365E-2"/>
          <c:w val="0.79284436253979262"/>
          <c:h val="0.589875447387258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апрель 2014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265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49,5*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3787E-3"/>
                  <c:y val="9.733556032768658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061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666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371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744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292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15,7*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270075.7</c:v>
                </c:pt>
                <c:pt idx="1">
                  <c:v>77982.600000000006</c:v>
                </c:pt>
                <c:pt idx="2">
                  <c:v>32510</c:v>
                </c:pt>
                <c:pt idx="3">
                  <c:v>26873.200000000001</c:v>
                </c:pt>
                <c:pt idx="4">
                  <c:v>28784.7</c:v>
                </c:pt>
                <c:pt idx="5">
                  <c:v>12967.4</c:v>
                </c:pt>
                <c:pt idx="6">
                  <c:v>10326.1</c:v>
                </c:pt>
                <c:pt idx="7">
                  <c:v>85609.799999999988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апрель 2015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64,7*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2854E-3"/>
                  <c:y val="1.760094557716710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393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351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280943.59999999998</c:v>
                </c:pt>
                <c:pt idx="1">
                  <c:v>35396.400000000001</c:v>
                </c:pt>
                <c:pt idx="2">
                  <c:v>23772.2</c:v>
                </c:pt>
                <c:pt idx="3">
                  <c:v>12463.3</c:v>
                </c:pt>
                <c:pt idx="4">
                  <c:v>15767.1</c:v>
                </c:pt>
                <c:pt idx="5">
                  <c:v>8931.4</c:v>
                </c:pt>
                <c:pt idx="6">
                  <c:v>5327.8</c:v>
                </c:pt>
                <c:pt idx="7">
                  <c:v>51695.600000000035</c:v>
                </c:pt>
              </c:numCache>
            </c:numRef>
          </c:val>
        </c:ser>
        <c:dLbls>
          <c:showVal val="1"/>
        </c:dLbls>
        <c:axId val="96664960"/>
        <c:axId val="96896128"/>
      </c:barChart>
      <c:catAx>
        <c:axId val="96664960"/>
        <c:scaling>
          <c:orientation val="minMax"/>
        </c:scaling>
        <c:axPos val="b"/>
        <c:numFmt formatCode="General" sourceLinked="1"/>
        <c:tickLblPos val="nextTo"/>
        <c:crossAx val="96896128"/>
        <c:crosses val="autoZero"/>
        <c:auto val="1"/>
        <c:lblAlgn val="ctr"/>
        <c:lblOffset val="100"/>
      </c:catAx>
      <c:valAx>
        <c:axId val="96896128"/>
        <c:scaling>
          <c:orientation val="minMax"/>
          <c:max val="290000"/>
          <c:min val="3000"/>
        </c:scaling>
        <c:delete val="1"/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8091941525885189"/>
              <c:y val="0.12238837214834535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crossAx val="96664960"/>
        <c:crosses val="autoZero"/>
        <c:crossBetween val="between"/>
        <c:majorUnit val="1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20808310103691199"/>
          <c:y val="0.91805392507754657"/>
          <c:w val="0.69195046439628483"/>
          <c:h val="6.3492063492063502E-2"/>
        </c:manualLayout>
      </c:layout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8578504610000671"/>
          <c:y val="0"/>
        </c:manualLayout>
      </c:layout>
    </c:title>
    <c:plotArea>
      <c:layout>
        <c:manualLayout>
          <c:layoutTarget val="inner"/>
          <c:xMode val="edge"/>
          <c:yMode val="edge"/>
          <c:x val="0.20850971753530875"/>
          <c:y val="0.11263722827578719"/>
          <c:w val="0.77114188851393883"/>
          <c:h val="0.475384146825658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январь-апрель 2014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2210973628296459E-3"/>
                  <c:y val="1.905832638935657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</a:t>
                    </a:r>
                    <a:r>
                      <a:rPr lang="en-US" b="1"/>
                      <a:t>0,</a:t>
                    </a:r>
                    <a:r>
                      <a:rPr lang="ru-RU" b="1"/>
                      <a:t>80%*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5.341832270966137E-3"/>
                  <c:y val="1.69907133315307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</a:t>
                    </a:r>
                    <a:r>
                      <a:rPr lang="en-US" b="1"/>
                      <a:t>1,</a:t>
                    </a:r>
                    <a:r>
                      <a:rPr lang="ru-RU" b="1"/>
                      <a:t>75%*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0209973753280874E-3"/>
                  <c:y val="1.267556366830944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-1,80%*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8.3944194475690775E-3"/>
                  <c:y val="8.4508783586147718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+3,50%*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100.8</c:v>
                </c:pt>
                <c:pt idx="1">
                  <c:v>101.75</c:v>
                </c:pt>
                <c:pt idx="2">
                  <c:v>98.2</c:v>
                </c:pt>
                <c:pt idx="3">
                  <c:v>103.5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январь-апрель 2015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5.6471066116735424E-3"/>
                  <c:y val="1.474418188561894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-0,94%*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577052868392202E-3"/>
                  <c:y val="1.905882896909838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-3,69%*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5.4944694413198523E-3"/>
                  <c:y val="2.750920474797139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-1,70%*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7.9365079365079413E-3"/>
                  <c:y val="2.121640380070903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 68%*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">
                  <c:v>99.06</c:v>
                </c:pt>
                <c:pt idx="1">
                  <c:v>96.31</c:v>
                </c:pt>
                <c:pt idx="2" formatCode="0.00">
                  <c:v>98.3</c:v>
                </c:pt>
                <c:pt idx="3" formatCode="0.00">
                  <c:v>105.67999999999998</c:v>
                </c:pt>
              </c:numCache>
            </c:numRef>
          </c:val>
        </c:ser>
        <c:axId val="97014144"/>
        <c:axId val="97015680"/>
      </c:barChart>
      <c:catAx>
        <c:axId val="97014144"/>
        <c:scaling>
          <c:orientation val="minMax"/>
        </c:scaling>
        <c:axPos val="b"/>
        <c:tickLblPos val="nextTo"/>
        <c:crossAx val="97015680"/>
        <c:crosses val="autoZero"/>
        <c:auto val="1"/>
        <c:lblAlgn val="ctr"/>
        <c:lblOffset val="100"/>
      </c:catAx>
      <c:valAx>
        <c:axId val="9701568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0"/>
              <c:y val="0.31738161985471508"/>
            </c:manualLayout>
          </c:layout>
        </c:title>
        <c:numFmt formatCode="0.00" sourceLinked="1"/>
        <c:tickLblPos val="nextTo"/>
        <c:crossAx val="97014144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863349528117499"/>
          <c:y val="3.7232804000058649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054672990437602"/>
          <c:w val="0.65214104582512944"/>
          <c:h val="0.799837206902052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4456482274456978E-2"/>
                  <c:y val="-1.81216733383189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28,2%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989041661377208E-2"/>
                  <c:y val="1.2855728721956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33,9%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5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13,8%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9730542378361E-3"/>
                  <c:y val="-3.32494346810287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12,2%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5.6702284793595931E-2"/>
                  <c:y val="-5.5223570751663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885.6</c:v>
                </c:pt>
                <c:pt idx="1">
                  <c:v>1064.7</c:v>
                </c:pt>
                <c:pt idx="2" formatCode="General">
                  <c:v>423.1</c:v>
                </c:pt>
                <c:pt idx="3" formatCode="General">
                  <c:v>381.7</c:v>
                </c:pt>
                <c:pt idx="4" formatCode="General">
                  <c:v>132.4</c:v>
                </c:pt>
                <c:pt idx="5">
                  <c:v>249.19999999999993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220569445715201"/>
          <c:y val="0.17302455032511702"/>
          <c:w val="0.37344646861064673"/>
          <c:h val="0.82592691199789825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Динамина промышленного производства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3945207398525736"/>
          <c:y val="1.63079615048119E-2"/>
        </c:manualLayout>
      </c:layout>
      <c:spPr>
        <a:noFill/>
        <a:ln w="24917">
          <a:noFill/>
        </a:ln>
      </c:spPr>
    </c:title>
    <c:plotArea>
      <c:layout>
        <c:manualLayout>
          <c:layoutTarget val="inner"/>
          <c:xMode val="edge"/>
          <c:yMode val="edge"/>
          <c:x val="5.7228066271935787E-2"/>
          <c:y val="0.15664311191870248"/>
          <c:w val="0.92612582767814411"/>
          <c:h val="0.6308650704376238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4580979575355309E-2"/>
                  <c:y val="-5.27034120734909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315224333334E-2"/>
                  <c:y val="6.990507243863246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9422943011244801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58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8936745810000006E-2"/>
                  <c:y val="4.516756833967182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9404268014885682E-2"/>
                  <c:y val="-3.591336797186141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1056063644218392E-2"/>
                  <c:y val="4.054054054054054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4.7561489126069494E-2"/>
                  <c:y val="-4.573613550104892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3.9175033569027004E-2"/>
                  <c:y val="7.83266300345565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2859118416650561E-2"/>
                  <c:y val="6.76594859604813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8433179723502648E-2"/>
                  <c:y val="5.32921309364639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4.02515723270440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3.1191320865111654E-2"/>
                  <c:y val="-0.1007954362847501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123,9%*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523735357256184E-2"/>
                  <c:y val="-6.71707886734422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140,3%*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0498234423993933E-3"/>
                  <c:y val="-2.01063947466336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81192673495E-2"/>
                  <c:y val="4.054064670487615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57,4%*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3237619491112411E-2"/>
                  <c:y val="-4.945774635313520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52,5%*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2.8718506960823391E-2"/>
                  <c:y val="4.51979216883604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69,5%*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4844720496894412E-2"/>
                  <c:y val="6.756756756756757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5.1702223466270833E-2"/>
                  <c:y val="-5.40538907456719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3106564925133974E-2"/>
                  <c:y val="-4.498347778470210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100,7%*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6486347243689088E-2"/>
                  <c:y val="-5.442172246454811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2.02634245187436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81,8%*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729.2</c:v>
                </c:pt>
                <c:pt idx="1">
                  <c:v>789.1</c:v>
                </c:pt>
                <c:pt idx="2">
                  <c:v>771.5</c:v>
                </c:pt>
                <c:pt idx="3">
                  <c:v>846.8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</c:numCache>
            </c:numRef>
          </c:val>
        </c:ser>
        <c:marker val="1"/>
        <c:axId val="95162752"/>
        <c:axId val="95164672"/>
      </c:lineChart>
      <c:catAx>
        <c:axId val="95162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6.0354433717763327E-2"/>
              <c:y val="0.65990840430660502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164672"/>
        <c:crosses val="autoZero"/>
        <c:auto val="1"/>
        <c:lblAlgn val="ctr"/>
        <c:lblOffset val="100"/>
      </c:catAx>
      <c:valAx>
        <c:axId val="95164672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16275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074961783623191"/>
          <c:y val="0.92081846911993148"/>
          <c:w val="0.23783730330411995"/>
          <c:h val="7.4866310160428273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2.8458750348514132E-2"/>
          <c:w val="0.91969598134814379"/>
          <c:h val="0.508127882319801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2014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6.4136825227151832E-3"/>
                  <c:y val="1.532567049808440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133,1*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9186727255277581E-2"/>
                  <c:y val="1.532568885163119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128,4 р.*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0776E-3"/>
                  <c:y val="1.285068133606629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114,0*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58,7*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38599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92,1*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105,0*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1.0833176854483021E-2"/>
                  <c:y val="5.754426151276549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4,1</a:t>
                    </a:r>
                    <a:r>
                      <a:rPr lang="ru-RU" sz="750" b="1" baseline="0"/>
                      <a:t> р.</a:t>
                    </a:r>
                    <a:r>
                      <a:rPr lang="ru-RU" sz="750" b="1"/>
                      <a:t>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1.9695471293432795E-3"/>
                  <c:y val="7.851873061321901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71,8*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2.8538362154223317E-3"/>
                  <c:y val="1.45396767932743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84,3*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58931186863E-3"/>
                  <c:y val="7.952278692436231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101,3*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9.8713475887671747E-3"/>
                  <c:y val="7.95228628230624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66,3*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233.7</c:v>
                </c:pt>
                <c:pt idx="1">
                  <c:v>309.8</c:v>
                </c:pt>
                <c:pt idx="2">
                  <c:v>15.9</c:v>
                </c:pt>
                <c:pt idx="3">
                  <c:v>11.7</c:v>
                </c:pt>
                <c:pt idx="4">
                  <c:v>25</c:v>
                </c:pt>
                <c:pt idx="5">
                  <c:v>1.3</c:v>
                </c:pt>
                <c:pt idx="6">
                  <c:v>61.8</c:v>
                </c:pt>
                <c:pt idx="7">
                  <c:v>85.8</c:v>
                </c:pt>
                <c:pt idx="8">
                  <c:v>88.6</c:v>
                </c:pt>
                <c:pt idx="9">
                  <c:v>12</c:v>
                </c:pt>
                <c:pt idx="10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2015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6441545760675032E-2"/>
                  <c:y val="2.49062403321257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118,4*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8525092948437141E-2"/>
                  <c:y val="1.454545454545454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63,9*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06493246372E-2"/>
                  <c:y val="-3.6671955929463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11,3*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1.0178059650614225E-2"/>
                  <c:y val="-3.706760792831983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154,9*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52,8*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825227152014E-3"/>
                  <c:y val="-3.441335790473004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51,1*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1.0346131216904822E-2"/>
                  <c:y val="-8.21105156532239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32,8*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1.0791652112433041E-2"/>
                  <c:y val="1.061896674680370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74,7*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9186727255277557E-2"/>
                  <c:y val="2.051036396115884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88,9*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100,8*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66520072217768E-3"/>
                  <c:y val="-2.07000595513796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</a:t>
                    </a:r>
                    <a:r>
                      <a:rPr lang="ru-RU" sz="750" b="1" baseline="0"/>
                      <a:t> 3,2 р.*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277</c:v>
                </c:pt>
                <c:pt idx="1">
                  <c:v>197.9</c:v>
                </c:pt>
                <c:pt idx="2">
                  <c:v>1.8</c:v>
                </c:pt>
                <c:pt idx="3">
                  <c:v>18.100000000000001</c:v>
                </c:pt>
                <c:pt idx="4">
                  <c:v>13.2</c:v>
                </c:pt>
                <c:pt idx="5">
                  <c:v>0.70000000000000062</c:v>
                </c:pt>
                <c:pt idx="6">
                  <c:v>20.3</c:v>
                </c:pt>
                <c:pt idx="7">
                  <c:v>64</c:v>
                </c:pt>
                <c:pt idx="8">
                  <c:v>78.8</c:v>
                </c:pt>
                <c:pt idx="9">
                  <c:v>12.1</c:v>
                </c:pt>
                <c:pt idx="10">
                  <c:v>4.3</c:v>
                </c:pt>
              </c:numCache>
            </c:numRef>
          </c:val>
        </c:ser>
        <c:shape val="cylinder"/>
        <c:axId val="95118848"/>
        <c:axId val="95120384"/>
        <c:axId val="0"/>
      </c:bar3DChart>
      <c:catAx>
        <c:axId val="95118848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95120384"/>
        <c:crosses val="autoZero"/>
        <c:auto val="1"/>
        <c:lblAlgn val="ctr"/>
        <c:lblOffset val="100"/>
      </c:catAx>
      <c:valAx>
        <c:axId val="95120384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5118848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4234527687296419"/>
          <c:y val="0.93975903614458867"/>
          <c:w val="0.4543973941368078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0371005094951369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5433"/>
          <c:y val="0.21069898520749586"/>
          <c:w val="0.50221568627450985"/>
          <c:h val="0.605481572867907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4.3873706963100199E-3"/>
                  <c:y val="1.169950530377261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105,8%*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4.1369461170294893E-3"/>
                  <c:y val="1.9801395793267978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110,5%*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098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98,2%*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1064.7</c:v>
                </c:pt>
                <c:pt idx="1">
                  <c:v>815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5.5263239153929443E-3"/>
                  <c:y val="3.3687724518306232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112,3</a:t>
                    </a:r>
                    <a:r>
                      <a:rPr lang="ru-RU" sz="850" baseline="0"/>
                      <a:t> %*</a:t>
                    </a:r>
                    <a:endParaRPr lang="en-US" sz="850"/>
                  </a:p>
                </c:rich>
              </c:tx>
              <c:dLblPos val="outEnd"/>
            </c:dLbl>
            <c:dLbl>
              <c:idx val="1"/>
              <c:layout>
                <c:manualLayout>
                  <c:x val="1.0582059595491741E-2"/>
                  <c:y val="9.6471811991243068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115,6%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035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95,2%*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1195.5</c:v>
                </c:pt>
                <c:pt idx="1">
                  <c:v>942.6</c:v>
                </c:pt>
              </c:numCache>
            </c:numRef>
          </c:val>
        </c:ser>
        <c:dLbls>
          <c:showVal val="1"/>
        </c:dLbls>
        <c:axId val="95409280"/>
        <c:axId val="95410816"/>
      </c:barChart>
      <c:catAx>
        <c:axId val="95409280"/>
        <c:scaling>
          <c:orientation val="minMax"/>
        </c:scaling>
        <c:axPos val="l"/>
        <c:numFmt formatCode="General" sourceLinked="1"/>
        <c:tickLblPos val="nextTo"/>
        <c:crossAx val="95410816"/>
        <c:crosses val="autoZero"/>
        <c:auto val="1"/>
        <c:lblAlgn val="ctr"/>
        <c:lblOffset val="100"/>
      </c:catAx>
      <c:valAx>
        <c:axId val="9541081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95409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191E-2"/>
          <c:w val="7.0720256982802404E-2"/>
          <c:h val="0.3181598767545378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промышленность строительных материалов,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12357956845219467"/>
          <c:y val="0"/>
        </c:manualLayout>
      </c:layout>
      <c:spPr>
        <a:noFill/>
        <a:ln w="20926">
          <a:noFill/>
        </a:ln>
      </c:spPr>
    </c:title>
    <c:plotArea>
      <c:layout>
        <c:manualLayout>
          <c:layoutTarget val="inner"/>
          <c:xMode val="edge"/>
          <c:yMode val="edge"/>
          <c:x val="0.22358935180050851"/>
          <c:y val="0.18959555636940842"/>
          <c:w val="0.70006103697131761"/>
          <c:h val="0.6133228926494769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2.3083968963973851E-4"/>
                  <c:y val="6.201550387596910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230,0%*</a:t>
                    </a:r>
                  </a:p>
                </c:rich>
              </c:tx>
              <c:dLblPos val="outEnd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000"/>
                      <a:t>330,0%*</a:t>
                    </a:r>
                  </a:p>
                </c:rich>
              </c:tx>
            </c:dLbl>
            <c:dLbl>
              <c:idx val="2"/>
              <c:layout>
                <c:manualLayout>
                  <c:x val="1.0432803880735565E-2"/>
                  <c:y val="2.8423444259766512E-1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111,7%*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132.4</c:v>
                </c:pt>
                <c:pt idx="1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1.1582730562435755E-2"/>
                  <c:y val="-6.57917760279976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57,4%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7.5347389088101181E-4"/>
                  <c:y val="-7.0196197850959409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57,1%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0"/>
                  <c:y val="-1.240310077519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81,5%*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</c:v>
                </c:pt>
                <c:pt idx="1">
                  <c:v>54.8</c:v>
                </c:pt>
              </c:numCache>
            </c:numRef>
          </c:val>
        </c:ser>
        <c:dLbls>
          <c:showVal val="1"/>
        </c:dLbls>
        <c:axId val="95798400"/>
        <c:axId val="95799936"/>
      </c:barChart>
      <c:catAx>
        <c:axId val="957984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95799936"/>
        <c:crosses val="autoZero"/>
        <c:auto val="1"/>
        <c:lblAlgn val="ctr"/>
        <c:lblOffset val="100"/>
      </c:catAx>
      <c:valAx>
        <c:axId val="9579993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9504689105"/>
            </c:manualLayout>
          </c:layout>
          <c:spPr>
            <a:noFill/>
            <a:ln w="20926">
              <a:noFill/>
            </a:ln>
          </c:spPr>
        </c:title>
        <c:numFmt formatCode="General" sourceLinked="1"/>
        <c:tickLblPos val="nextTo"/>
        <c:crossAx val="9579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40911611400765"/>
          <c:y val="0.13129798001769269"/>
          <c:w val="9.6590930903112368E-2"/>
          <c:h val="0.2000626441031887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5836071416999105"/>
          <c:y val="0.18870710605619376"/>
          <c:w val="0.56869139042805328"/>
          <c:h val="0.6417248575635474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2.051554744936858E-3"/>
                  <c:y val="-7.017949054854680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90,5%*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230452674897199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82,2%*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423.1</c:v>
                </c:pt>
                <c:pt idx="1">
                  <c:v>213.3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5.574997569748226E-4"/>
                  <c:y val="-9.580436591767643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75,3%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6.1114351446809132E-3"/>
                  <c:y val="-1.551485011741970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67,6%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318.7</c:v>
                </c:pt>
                <c:pt idx="1">
                  <c:v>144.19999999999999</c:v>
                </c:pt>
              </c:numCache>
            </c:numRef>
          </c:val>
        </c:ser>
        <c:dLbls>
          <c:showVal val="1"/>
        </c:dLbls>
        <c:axId val="95614080"/>
        <c:axId val="95615616"/>
      </c:barChart>
      <c:catAx>
        <c:axId val="956140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95615616"/>
        <c:crosses val="autoZero"/>
        <c:auto val="1"/>
        <c:lblAlgn val="ctr"/>
        <c:lblOffset val="100"/>
      </c:catAx>
      <c:valAx>
        <c:axId val="9561561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9561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781244936975459"/>
          <c:y val="0.20889827795915755"/>
          <c:w val="7.9922069926444905E-2"/>
          <c:h val="0.20045835733947981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087775172681933"/>
          <c:y val="7.6301919659145984E-2"/>
          <c:w val="0.63252442842235079"/>
          <c:h val="0.5703357932276402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апрель 2014 года</c:v>
                </c:pt>
              </c:strCache>
            </c:strRef>
          </c:tx>
          <c:dLbls>
            <c:dLbl>
              <c:idx val="0"/>
              <c:layout>
                <c:manualLayout>
                  <c:x val="-6.8846815834767774E-3"/>
                  <c:y val="1.7937219730941704E-2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+15,4*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880"/>
                      <a:t>+46,7*</a:t>
                    </a:r>
                    <a:endParaRPr lang="en-US" sz="900"/>
                  </a:p>
                </c:rich>
              </c:tx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880"/>
                      <a:t>+5,5*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783.1</c:v>
                </c:pt>
                <c:pt idx="1">
                  <c:v>238</c:v>
                </c:pt>
                <c:pt idx="2">
                  <c:v>545.1</c:v>
                </c:pt>
                <c:pt idx="3">
                  <c:v>-307.10000000000002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апрель 2015 года</c:v>
                </c:pt>
              </c:strCache>
            </c:strRef>
          </c:tx>
          <c:dLbls>
            <c:dLbl>
              <c:idx val="0"/>
              <c:layout>
                <c:manualLayout>
                  <c:x val="4.8192771084337796E-2"/>
                  <c:y val="5.9790732436472921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-21,8*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3.4423407917383859E-2"/>
                  <c:y val="-5.9790732436472921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-25,0*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8192771084337796E-2"/>
                  <c:y val="1.19581464872944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-20,3*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612.70000000000005</c:v>
                </c:pt>
                <c:pt idx="1">
                  <c:v>178.4</c:v>
                </c:pt>
                <c:pt idx="2">
                  <c:v>434.3</c:v>
                </c:pt>
                <c:pt idx="3">
                  <c:v>-255.9</c:v>
                </c:pt>
              </c:numCache>
            </c:numRef>
          </c:val>
        </c:ser>
        <c:gapWidth val="50"/>
        <c:overlap val="60"/>
        <c:axId val="96108928"/>
        <c:axId val="96110464"/>
      </c:barChart>
      <c:catAx>
        <c:axId val="96108928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6110464"/>
        <c:crosses val="autoZero"/>
        <c:lblAlgn val="ctr"/>
        <c:lblOffset val="20"/>
        <c:tickMarkSkip val="1"/>
      </c:catAx>
      <c:valAx>
        <c:axId val="96110464"/>
        <c:scaling>
          <c:orientation val="minMax"/>
          <c:max val="800"/>
          <c:min val="-400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1.6593810187036681E-3"/>
              <c:y val="2.5053910514707084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6108928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0192616372391654E-2"/>
          <c:y val="3.1550068587105642E-2"/>
          <c:w val="0.92836811128945951"/>
          <c:h val="0.4289547446693258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апрель 2014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32,2*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23,0*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41E-3"/>
                  <c:y val="1.52455803417541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19,7*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15,1*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8844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3,9*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2,3*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76.599999999999994</c:v>
                </c:pt>
                <c:pt idx="1">
                  <c:v>54.7</c:v>
                </c:pt>
                <c:pt idx="2">
                  <c:v>46.8</c:v>
                </c:pt>
                <c:pt idx="3">
                  <c:v>36</c:v>
                </c:pt>
                <c:pt idx="4">
                  <c:v>9</c:v>
                </c:pt>
                <c:pt idx="5">
                  <c:v>9.4</c:v>
                </c:pt>
                <c:pt idx="6">
                  <c:v>5.5000000000000142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апрель 2015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19,4*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39,2*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18,4*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12,5*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5,0*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3,0*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34.700000000000003</c:v>
                </c:pt>
                <c:pt idx="1">
                  <c:v>70</c:v>
                </c:pt>
                <c:pt idx="2">
                  <c:v>32.800000000000004</c:v>
                </c:pt>
                <c:pt idx="3">
                  <c:v>22.2</c:v>
                </c:pt>
                <c:pt idx="4">
                  <c:v>8.9</c:v>
                </c:pt>
                <c:pt idx="5">
                  <c:v>5.4</c:v>
                </c:pt>
                <c:pt idx="6">
                  <c:v>4.4000000000000083</c:v>
                </c:pt>
              </c:numCache>
            </c:numRef>
          </c:val>
        </c:ser>
        <c:dLbls>
          <c:showVal val="1"/>
        </c:dLbls>
        <c:gapWidth val="160"/>
        <c:axId val="96301440"/>
        <c:axId val="96302976"/>
      </c:barChart>
      <c:catAx>
        <c:axId val="96301440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302976"/>
        <c:crosses val="autoZero"/>
        <c:lblAlgn val="ctr"/>
        <c:lblOffset val="160"/>
        <c:tickLblSkip val="1"/>
        <c:tickMarkSkip val="1"/>
      </c:catAx>
      <c:valAx>
        <c:axId val="9630297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301440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6955"/>
          <c:w val="0.73472668810289465"/>
          <c:h val="7.3732718894009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grecha-m</dc:creator>
  <cp:keywords/>
  <dc:description/>
  <cp:lastModifiedBy>podsevalnikova-a</cp:lastModifiedBy>
  <cp:revision>4</cp:revision>
  <cp:lastPrinted>2015-05-21T05:42:00Z</cp:lastPrinted>
  <dcterms:created xsi:type="dcterms:W3CDTF">2015-05-20T10:17:00Z</dcterms:created>
  <dcterms:modified xsi:type="dcterms:W3CDTF">2015-05-21T05:42:00Z</dcterms:modified>
</cp:coreProperties>
</file>