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3E" w:rsidRPr="000A384B" w:rsidRDefault="0011673E" w:rsidP="0011673E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4B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</w:t>
      </w:r>
      <w:r w:rsidR="00F452ED" w:rsidRPr="000A384B">
        <w:rPr>
          <w:rFonts w:ascii="Times New Roman" w:hAnsi="Times New Roman" w:cs="Times New Roman"/>
          <w:sz w:val="24"/>
          <w:szCs w:val="24"/>
        </w:rPr>
        <w:t xml:space="preserve"> Молдавской Республики в январе-феврале </w:t>
      </w:r>
      <w:r w:rsidRPr="000A384B">
        <w:rPr>
          <w:rFonts w:ascii="Times New Roman" w:hAnsi="Times New Roman" w:cs="Times New Roman"/>
          <w:sz w:val="24"/>
          <w:szCs w:val="24"/>
        </w:rPr>
        <w:t>201</w:t>
      </w:r>
      <w:r w:rsidR="000D352A" w:rsidRPr="000A384B">
        <w:rPr>
          <w:rFonts w:ascii="Times New Roman" w:hAnsi="Times New Roman" w:cs="Times New Roman"/>
          <w:sz w:val="24"/>
          <w:szCs w:val="24"/>
        </w:rPr>
        <w:t>6</w:t>
      </w:r>
      <w:r w:rsidRPr="000A384B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727F3" w:rsidRPr="000A384B" w:rsidRDefault="008727F3" w:rsidP="00B84046">
      <w:pPr>
        <w:pStyle w:val="ab"/>
        <w:spacing w:before="0" w:beforeAutospacing="0" w:after="0" w:afterAutospacing="0"/>
        <w:ind w:firstLine="709"/>
        <w:jc w:val="both"/>
      </w:pPr>
      <w:r w:rsidRPr="000A384B">
        <w:t>Давление внешних факторов в совокупности с внутренними проблемами</w:t>
      </w:r>
      <w:r w:rsidR="00431ECE" w:rsidRPr="000A384B">
        <w:t xml:space="preserve"> продолжали </w:t>
      </w:r>
      <w:r w:rsidRPr="000A384B">
        <w:t>оказыва</w:t>
      </w:r>
      <w:r w:rsidR="00431ECE" w:rsidRPr="000A384B">
        <w:t>ть</w:t>
      </w:r>
      <w:r w:rsidRPr="000A384B">
        <w:t xml:space="preserve"> дестабилизирующее воздействие на динамику основных макроэкономических показателей</w:t>
      </w:r>
      <w:r w:rsidR="00431ECE" w:rsidRPr="000A384B">
        <w:t xml:space="preserve"> в январе-феврале 2016 года</w:t>
      </w:r>
      <w:r w:rsidRPr="000A384B">
        <w:t xml:space="preserve"> и </w:t>
      </w:r>
      <w:r w:rsidR="00431ECE" w:rsidRPr="000A384B">
        <w:t xml:space="preserve">на </w:t>
      </w:r>
      <w:r w:rsidRPr="000A384B">
        <w:t>развитие экономики в целом.</w:t>
      </w:r>
    </w:p>
    <w:p w:rsidR="0011673E" w:rsidRPr="000A384B" w:rsidRDefault="0011673E" w:rsidP="001167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D34" w:rsidRPr="000A384B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38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BE4CC9" w:rsidRPr="000A384B" w:rsidRDefault="00AE0D34" w:rsidP="00BE4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под воздействием </w:t>
      </w:r>
      <w:r w:rsidRPr="000A38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ограничительных барьеров со стороны соседних государств, а также падени</w:t>
      </w:r>
      <w:r w:rsidR="00CE4D7F" w:rsidRPr="000A38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я</w:t>
      </w:r>
      <w:r w:rsidRPr="000A38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спроса на приднестровскую продукцию </w:t>
      </w:r>
      <w:r w:rsidR="00986063" w:rsidRPr="000A38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на фоне более дешевых товаров аналогов импортируемых </w:t>
      </w:r>
      <w:proofErr w:type="gramStart"/>
      <w:r w:rsidR="00986063" w:rsidRPr="000A38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из</w:t>
      </w:r>
      <w:proofErr w:type="gramEnd"/>
      <w:r w:rsidR="00986063" w:rsidRPr="000A384B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вне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. Объем п</w:t>
      </w:r>
      <w:r w:rsidRPr="000A384B">
        <w:rPr>
          <w:rFonts w:ascii="Times New Roman" w:eastAsia="Times New Roman" w:hAnsi="Times New Roman" w:cs="Times New Roman"/>
          <w:snapToGrid w:val="0"/>
          <w:sz w:val="24"/>
          <w:szCs w:val="24"/>
        </w:rPr>
        <w:t>ромышленного производства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(без учета субъектов малого предпринимательства) в </w:t>
      </w:r>
      <w:r w:rsidR="00FF5855" w:rsidRPr="000A384B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="00986063" w:rsidRPr="000A384B">
        <w:rPr>
          <w:rFonts w:ascii="Times New Roman" w:eastAsia="Times New Roman" w:hAnsi="Times New Roman" w:cs="Times New Roman"/>
          <w:sz w:val="24"/>
          <w:szCs w:val="24"/>
        </w:rPr>
        <w:t>-феврале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855" w:rsidRPr="000A384B">
        <w:rPr>
          <w:rFonts w:ascii="Times New Roman" w:eastAsia="Times New Roman" w:hAnsi="Times New Roman" w:cs="Times New Roman"/>
          <w:snapToGrid w:val="0"/>
          <w:sz w:val="24"/>
          <w:szCs w:val="24"/>
        </w:rPr>
        <w:t>2016</w:t>
      </w:r>
      <w:r w:rsidRPr="000A38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</w:t>
      </w:r>
      <w:r w:rsidR="00FF5855" w:rsidRPr="000A384B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0A38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составил в абсолютной величине </w:t>
      </w:r>
      <w:r w:rsidR="00986063" w:rsidRPr="000A384B">
        <w:rPr>
          <w:rFonts w:ascii="Times New Roman" w:eastAsia="Times New Roman" w:hAnsi="Times New Roman" w:cs="Times New Roman"/>
          <w:sz w:val="24"/>
          <w:szCs w:val="24"/>
        </w:rPr>
        <w:t>1 347,2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млн. руб., что </w:t>
      </w:r>
      <w:r w:rsidR="00E72F78" w:rsidRPr="000A384B">
        <w:rPr>
          <w:rFonts w:ascii="Times New Roman" w:eastAsia="Times New Roman" w:hAnsi="Times New Roman" w:cs="Times New Roman"/>
          <w:sz w:val="24"/>
          <w:szCs w:val="24"/>
        </w:rPr>
        <w:t>выш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е аналогичного показателя прошлого года на </w:t>
      </w:r>
      <w:r w:rsidR="00E72F78" w:rsidRPr="000A38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6063" w:rsidRPr="000A38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72F78"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6063" w:rsidRPr="000A38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%. В долларовом эквиваленте объем промышленного производства составил </w:t>
      </w:r>
      <w:r w:rsidR="00986063" w:rsidRPr="000A384B">
        <w:rPr>
          <w:rFonts w:ascii="Times New Roman" w:eastAsia="Times New Roman" w:hAnsi="Times New Roman" w:cs="Times New Roman"/>
          <w:sz w:val="24"/>
          <w:szCs w:val="24"/>
        </w:rPr>
        <w:t xml:space="preserve">           114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6063" w:rsidRPr="000A384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млн. долл. или </w:t>
      </w:r>
      <w:r w:rsidR="00E72F78" w:rsidRPr="000A384B">
        <w:rPr>
          <w:rFonts w:ascii="Times New Roman" w:eastAsia="Times New Roman" w:hAnsi="Times New Roman" w:cs="Times New Roman"/>
          <w:sz w:val="24"/>
          <w:szCs w:val="24"/>
        </w:rPr>
        <w:t>9</w:t>
      </w:r>
      <w:r w:rsidR="00986063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2F78"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6063"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% к уровню показателя 201</w:t>
      </w:r>
      <w:r w:rsidR="00E72F78" w:rsidRPr="000A384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="00BE4CC9" w:rsidRPr="000A384B">
        <w:rPr>
          <w:rFonts w:ascii="Times New Roman" w:eastAsia="Times New Roman" w:hAnsi="Times New Roman" w:cs="Times New Roman"/>
          <w:sz w:val="24"/>
          <w:szCs w:val="24"/>
        </w:rPr>
        <w:t xml:space="preserve"> Доход от реализации в </w:t>
      </w:r>
      <w:r w:rsidR="008727F3" w:rsidRPr="000A384B">
        <w:rPr>
          <w:rFonts w:ascii="Times New Roman" w:eastAsia="Times New Roman" w:hAnsi="Times New Roman" w:cs="Times New Roman"/>
          <w:sz w:val="24"/>
          <w:szCs w:val="24"/>
        </w:rPr>
        <w:t>рассматриваемом периоде</w:t>
      </w:r>
      <w:r w:rsidR="00BE4CC9" w:rsidRPr="000A384B">
        <w:rPr>
          <w:rFonts w:ascii="Times New Roman" w:eastAsia="Times New Roman" w:hAnsi="Times New Roman" w:cs="Times New Roman"/>
          <w:sz w:val="24"/>
          <w:szCs w:val="24"/>
        </w:rPr>
        <w:t xml:space="preserve"> сложился ниже показателя 201</w:t>
      </w:r>
      <w:r w:rsidR="00E72F78"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E4CC9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986063" w:rsidRPr="000A384B">
        <w:rPr>
          <w:rFonts w:ascii="Times New Roman" w:eastAsia="Times New Roman" w:hAnsi="Times New Roman" w:cs="Times New Roman"/>
          <w:sz w:val="24"/>
          <w:szCs w:val="24"/>
        </w:rPr>
        <w:t>4,6</w:t>
      </w:r>
      <w:r w:rsidR="00BE4CC9" w:rsidRPr="000A3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4D7F"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4CC9" w:rsidRPr="000A384B">
        <w:rPr>
          <w:rFonts w:ascii="Times New Roman" w:eastAsia="Times New Roman" w:hAnsi="Times New Roman" w:cs="Times New Roman"/>
          <w:sz w:val="24"/>
          <w:szCs w:val="24"/>
        </w:rPr>
        <w:t xml:space="preserve"> состави</w:t>
      </w:r>
      <w:r w:rsidR="00CE4D7F" w:rsidRPr="000A384B">
        <w:rPr>
          <w:rFonts w:ascii="Times New Roman" w:eastAsia="Times New Roman" w:hAnsi="Times New Roman" w:cs="Times New Roman"/>
          <w:sz w:val="24"/>
          <w:szCs w:val="24"/>
        </w:rPr>
        <w:t xml:space="preserve">в    </w:t>
      </w:r>
      <w:r w:rsidR="00986063" w:rsidRPr="000A384B">
        <w:rPr>
          <w:rFonts w:ascii="Times New Roman" w:eastAsia="Times New Roman" w:hAnsi="Times New Roman" w:cs="Times New Roman"/>
          <w:sz w:val="24"/>
          <w:szCs w:val="24"/>
        </w:rPr>
        <w:t xml:space="preserve"> 1 256,6</w:t>
      </w:r>
      <w:r w:rsidR="00BE4CC9" w:rsidRPr="000A384B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 w:rsidR="00C35210" w:rsidRPr="000A384B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86063" w:rsidRPr="000A384B">
        <w:rPr>
          <w:rFonts w:ascii="Times New Roman" w:eastAsia="Times New Roman" w:hAnsi="Times New Roman" w:cs="Times New Roman"/>
          <w:sz w:val="24"/>
          <w:szCs w:val="24"/>
        </w:rPr>
        <w:t>113,2</w:t>
      </w:r>
      <w:r w:rsidR="00C35210" w:rsidRPr="000A384B">
        <w:rPr>
          <w:rFonts w:ascii="Times New Roman" w:eastAsia="Times New Roman" w:hAnsi="Times New Roman" w:cs="Times New Roman"/>
          <w:sz w:val="24"/>
          <w:szCs w:val="24"/>
        </w:rPr>
        <w:t xml:space="preserve"> млн. долл.</w:t>
      </w:r>
      <w:r w:rsidR="007A0520" w:rsidRPr="000A384B">
        <w:rPr>
          <w:rFonts w:ascii="Times New Roman" w:eastAsia="Times New Roman" w:hAnsi="Times New Roman" w:cs="Times New Roman"/>
          <w:sz w:val="24"/>
          <w:szCs w:val="24"/>
        </w:rPr>
        <w:t xml:space="preserve"> Доля экспорта в общем объеме промышленного производства составила </w:t>
      </w:r>
      <w:r w:rsidR="00781053" w:rsidRPr="000A384B">
        <w:rPr>
          <w:rFonts w:ascii="Times New Roman" w:eastAsia="Times New Roman" w:hAnsi="Times New Roman" w:cs="Times New Roman"/>
          <w:sz w:val="24"/>
          <w:szCs w:val="24"/>
        </w:rPr>
        <w:t>66,8</w:t>
      </w:r>
      <w:r w:rsidR="007A0520" w:rsidRPr="000A3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B367D5" w:rsidRPr="000A384B">
        <w:rPr>
          <w:rFonts w:ascii="Times New Roman" w:eastAsia="Times New Roman" w:hAnsi="Times New Roman" w:cs="Times New Roman"/>
          <w:sz w:val="24"/>
          <w:szCs w:val="24"/>
        </w:rPr>
        <w:t xml:space="preserve">, против </w:t>
      </w:r>
      <w:r w:rsidR="00CC2281" w:rsidRPr="000A384B">
        <w:rPr>
          <w:rFonts w:ascii="Times New Roman" w:eastAsia="Times New Roman" w:hAnsi="Times New Roman" w:cs="Times New Roman"/>
          <w:sz w:val="24"/>
          <w:szCs w:val="24"/>
        </w:rPr>
        <w:t>70,7</w:t>
      </w:r>
      <w:r w:rsidR="00B367D5" w:rsidRPr="000A384B">
        <w:rPr>
          <w:rFonts w:ascii="Times New Roman" w:eastAsia="Times New Roman" w:hAnsi="Times New Roman" w:cs="Times New Roman"/>
          <w:sz w:val="24"/>
          <w:szCs w:val="24"/>
        </w:rPr>
        <w:t>% в базовом периоде 2015 года.</w:t>
      </w:r>
    </w:p>
    <w:p w:rsidR="00AE0D34" w:rsidRPr="000A384B" w:rsidRDefault="00B84046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384175</wp:posOffset>
            </wp:positionV>
            <wp:extent cx="2571750" cy="1866900"/>
            <wp:effectExtent l="19050" t="0" r="0" b="0"/>
            <wp:wrapTight wrapText="bothSides">
              <wp:wrapPolygon edited="0">
                <wp:start x="-160" y="0"/>
                <wp:lineTo x="-160" y="21380"/>
                <wp:lineTo x="21600" y="21380"/>
                <wp:lineTo x="21600" y="0"/>
                <wp:lineTo x="-160" y="0"/>
              </wp:wrapPolygon>
            </wp:wrapTight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0A384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384175</wp:posOffset>
            </wp:positionV>
            <wp:extent cx="3743325" cy="1771650"/>
            <wp:effectExtent l="19050" t="0" r="0" b="0"/>
            <wp:wrapTight wrapText="bothSides">
              <wp:wrapPolygon edited="0">
                <wp:start x="-110" y="0"/>
                <wp:lineTo x="-110" y="21368"/>
                <wp:lineTo x="21545" y="21368"/>
                <wp:lineTo x="21545" y="0"/>
                <wp:lineTo x="-110" y="0"/>
              </wp:wrapPolygon>
            </wp:wrapTight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Отраслевая структура промышленного производства </w:t>
      </w:r>
      <w:r w:rsidR="00E72F78" w:rsidRPr="000A384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2281" w:rsidRPr="000A384B">
        <w:rPr>
          <w:rFonts w:ascii="Times New Roman" w:eastAsia="Times New Roman" w:hAnsi="Times New Roman" w:cs="Times New Roman"/>
          <w:sz w:val="24"/>
          <w:szCs w:val="24"/>
        </w:rPr>
        <w:t>январе-</w:t>
      </w:r>
      <w:r w:rsidR="00D119CE" w:rsidRPr="000A384B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72F78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выглядела следующим образом:</w:t>
      </w:r>
    </w:p>
    <w:p w:rsidR="00AE0D34" w:rsidRPr="000A384B" w:rsidRDefault="00665821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Незначительное уменьшение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в электроэнергетике позволило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сохранить лидирующую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позицию в структуре выпуска – </w:t>
      </w:r>
      <w:r w:rsidR="0039391D" w:rsidRPr="000A384B">
        <w:rPr>
          <w:rFonts w:ascii="Times New Roman" w:eastAsia="Times New Roman" w:hAnsi="Times New Roman" w:cs="Times New Roman"/>
          <w:sz w:val="24"/>
          <w:szCs w:val="24"/>
        </w:rPr>
        <w:t>43,9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39391D" w:rsidRPr="000A38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391D" w:rsidRPr="000A384B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% в </w:t>
      </w:r>
      <w:r w:rsidR="00523F1E" w:rsidRPr="000A384B">
        <w:rPr>
          <w:rFonts w:ascii="Times New Roman" w:eastAsia="Times New Roman" w:hAnsi="Times New Roman" w:cs="Times New Roman"/>
          <w:sz w:val="24"/>
          <w:szCs w:val="24"/>
        </w:rPr>
        <w:t xml:space="preserve">январе </w:t>
      </w:r>
      <w:proofErr w:type="gramStart"/>
      <w:r w:rsidR="0039391D" w:rsidRPr="000A384B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="0039391D" w:rsidRPr="000A384B">
        <w:rPr>
          <w:rFonts w:ascii="Times New Roman" w:eastAsia="Times New Roman" w:hAnsi="Times New Roman" w:cs="Times New Roman"/>
          <w:sz w:val="24"/>
          <w:szCs w:val="24"/>
        </w:rPr>
        <w:t>еврале</w:t>
      </w:r>
      <w:r w:rsidR="00523F1E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23F1E" w:rsidRPr="000A38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). На металлургию в результате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объемов товарного выпуска в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-феврале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соответствующему периоду 2015 года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, в рассматриваемом периоде приходилось 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26,2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% выпуска в промышленности против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% в январе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-феврале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года. Предприятия легкой и пищевой промышленности сформировали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12,4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 xml:space="preserve">и 10,4%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товарного выпуска соответственно против 1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% и 1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% в аналогичном периоде 201</w:t>
      </w:r>
      <w:r w:rsidR="007A0520"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84046" w:rsidRPr="000A384B" w:rsidRDefault="007057D2" w:rsidP="00CB2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промышленного производства в 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="007A0520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6DC" w:rsidRPr="000A384B">
        <w:rPr>
          <w:rFonts w:ascii="Times New Roman" w:eastAsia="Times New Roman" w:hAnsi="Times New Roman" w:cs="Times New Roman"/>
          <w:sz w:val="24"/>
          <w:szCs w:val="24"/>
        </w:rPr>
        <w:t xml:space="preserve">на фоне низких базовых показателей 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вырос по отношению к показателю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19,7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4046" w:rsidRPr="000A384B">
        <w:rPr>
          <w:rFonts w:ascii="Times New Roman" w:eastAsia="Times New Roman" w:hAnsi="Times New Roman" w:cs="Times New Roman"/>
          <w:sz w:val="24"/>
          <w:szCs w:val="24"/>
        </w:rPr>
        <w:t xml:space="preserve">а к февралю 2015 года на 20,5%, 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 xml:space="preserve">но при этом значение показателя </w:t>
      </w:r>
      <w:r w:rsidR="00993D27" w:rsidRPr="000A384B">
        <w:rPr>
          <w:rFonts w:ascii="Times New Roman" w:eastAsia="Times New Roman" w:hAnsi="Times New Roman" w:cs="Times New Roman"/>
          <w:sz w:val="24"/>
          <w:szCs w:val="24"/>
        </w:rPr>
        <w:t xml:space="preserve">на 10,2% сложилось ниже достигнутого параметра </w:t>
      </w:r>
      <w:r w:rsidR="009E649F" w:rsidRPr="000A384B">
        <w:rPr>
          <w:rFonts w:ascii="Times New Roman" w:eastAsia="Times New Roman" w:hAnsi="Times New Roman" w:cs="Times New Roman"/>
          <w:sz w:val="24"/>
          <w:szCs w:val="24"/>
        </w:rPr>
        <w:t>в декабре 2015 года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27EB" w:rsidRPr="000A384B" w:rsidRDefault="007227EB" w:rsidP="00CB2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b/>
          <w:sz w:val="24"/>
          <w:szCs w:val="24"/>
        </w:rPr>
        <w:t>Динамика промышленного производства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(в сопоставимых ценах), </w:t>
      </w:r>
      <w:r w:rsidRPr="000A384B">
        <w:rPr>
          <w:rFonts w:ascii="Times New Roman" w:eastAsia="Times New Roman" w:hAnsi="Times New Roman" w:cs="Times New Roman"/>
          <w:b/>
          <w:sz w:val="24"/>
          <w:szCs w:val="24"/>
        </w:rPr>
        <w:t>млн. руб.</w:t>
      </w:r>
    </w:p>
    <w:p w:rsidR="00AE0D34" w:rsidRPr="000A384B" w:rsidRDefault="00AE0D34" w:rsidP="00F452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38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81700" cy="1247775"/>
            <wp:effectExtent l="0" t="0" r="0" b="0"/>
            <wp:docPr id="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0D34" w:rsidRPr="000A384B" w:rsidRDefault="00817C2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инамика промышленного производства в </w:t>
      </w:r>
      <w:r w:rsidR="00D3092F" w:rsidRPr="000A384B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базов</w:t>
      </w:r>
      <w:r w:rsidR="00D61F2F" w:rsidRPr="000A384B"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показател</w:t>
      </w:r>
      <w:r w:rsidR="00D61F2F" w:rsidRPr="000A384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61F2F" w:rsidRPr="000A384B">
        <w:rPr>
          <w:rFonts w:ascii="Times New Roman" w:eastAsia="Times New Roman" w:hAnsi="Times New Roman" w:cs="Times New Roman"/>
          <w:sz w:val="24"/>
          <w:szCs w:val="24"/>
        </w:rPr>
        <w:t>свидетельствует о</w:t>
      </w:r>
      <w:r w:rsidR="008624DC" w:rsidRPr="000A384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4DC" w:rsidRPr="000A384B">
        <w:rPr>
          <w:rFonts w:ascii="Times New Roman" w:eastAsia="Times New Roman" w:hAnsi="Times New Roman" w:cs="Times New Roman"/>
          <w:sz w:val="24"/>
          <w:szCs w:val="24"/>
        </w:rPr>
        <w:t>увеличении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объемов производства по отдельным отраслям промышленности и промышленным предприятиям.</w:t>
      </w:r>
    </w:p>
    <w:p w:rsidR="00AE0D34" w:rsidRPr="000A384B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В разрезе </w:t>
      </w:r>
      <w:proofErr w:type="spellStart"/>
      <w:r w:rsidR="00235883" w:rsidRPr="000A384B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отраслей</w:t>
      </w:r>
      <w:proofErr w:type="spellEnd"/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динамика промышленного производства в </w:t>
      </w:r>
      <w:r w:rsidR="008624DC" w:rsidRPr="000A384B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17C24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выглядит следующим образом:</w:t>
      </w:r>
    </w:p>
    <w:p w:rsidR="00AE0D34" w:rsidRPr="000A384B" w:rsidRDefault="00AE0D34" w:rsidP="00AE0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="00235883" w:rsidRPr="000A384B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0A384B">
        <w:rPr>
          <w:rFonts w:ascii="Times New Roman" w:eastAsia="Times New Roman" w:hAnsi="Times New Roman" w:cs="Times New Roman"/>
          <w:b/>
          <w:sz w:val="24"/>
          <w:szCs w:val="24"/>
        </w:rPr>
        <w:t>отраслей</w:t>
      </w:r>
      <w:proofErr w:type="spellEnd"/>
      <w:r w:rsidRPr="000A384B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AE0D34" w:rsidRPr="000A384B" w:rsidRDefault="00AE0D34" w:rsidP="00AE0D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0A38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051550" cy="3038475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0D34" w:rsidRPr="000A384B" w:rsidRDefault="00D61F2F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величение промышленного производства </w:t>
      </w:r>
      <w:r w:rsidR="00F456DC" w:rsidRPr="000A384B">
        <w:rPr>
          <w:rFonts w:ascii="Times New Roman" w:hAnsi="Times New Roman"/>
          <w:sz w:val="24"/>
          <w:szCs w:val="24"/>
        </w:rPr>
        <w:t xml:space="preserve">по итогам января-февраля 2016 года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по отношению к аналогичному периоду 201</w:t>
      </w:r>
      <w:r w:rsidR="002469D7"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зафиксировано в </w:t>
      </w:r>
      <w:proofErr w:type="gramStart"/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9A6160" w:rsidRPr="000A384B" w:rsidRDefault="00DC1DCC" w:rsidP="009A6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0A384B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черной металлургии </w:t>
      </w:r>
      <w:r w:rsidR="00F456DC" w:rsidRPr="000A384B">
        <w:rPr>
          <w:rFonts w:ascii="Times New Roman" w:hAnsi="Times New Roman"/>
          <w:sz w:val="24"/>
          <w:szCs w:val="24"/>
        </w:rPr>
        <w:t>в</w:t>
      </w:r>
      <w:r w:rsidR="009A6160" w:rsidRPr="000A384B">
        <w:rPr>
          <w:rFonts w:ascii="Times New Roman" w:hAnsi="Times New Roman"/>
          <w:sz w:val="24"/>
          <w:szCs w:val="24"/>
        </w:rPr>
        <w:t xml:space="preserve"> январ</w:t>
      </w:r>
      <w:r w:rsidR="00F456DC" w:rsidRPr="000A384B">
        <w:rPr>
          <w:rFonts w:ascii="Times New Roman" w:hAnsi="Times New Roman"/>
          <w:sz w:val="24"/>
          <w:szCs w:val="24"/>
        </w:rPr>
        <w:t>е</w:t>
      </w:r>
      <w:r w:rsidR="009A6160" w:rsidRPr="000A384B">
        <w:rPr>
          <w:rFonts w:ascii="Times New Roman" w:hAnsi="Times New Roman"/>
          <w:sz w:val="24"/>
          <w:szCs w:val="24"/>
        </w:rPr>
        <w:t>-февра</w:t>
      </w:r>
      <w:r w:rsidR="00F456DC" w:rsidRPr="000A384B">
        <w:rPr>
          <w:rFonts w:ascii="Times New Roman" w:hAnsi="Times New Roman"/>
          <w:sz w:val="24"/>
          <w:szCs w:val="24"/>
        </w:rPr>
        <w:t>ле</w:t>
      </w:r>
      <w:r w:rsidR="009A6160" w:rsidRPr="000A384B">
        <w:rPr>
          <w:rFonts w:ascii="Times New Roman" w:hAnsi="Times New Roman"/>
          <w:sz w:val="24"/>
          <w:szCs w:val="24"/>
        </w:rPr>
        <w:t xml:space="preserve"> </w:t>
      </w:r>
      <w:r w:rsidR="00F456DC" w:rsidRPr="000A384B">
        <w:rPr>
          <w:rFonts w:ascii="Times New Roman" w:eastAsia="Times New Roman" w:hAnsi="Times New Roman" w:cs="Times New Roman"/>
          <w:sz w:val="24"/>
          <w:szCs w:val="24"/>
        </w:rPr>
        <w:t xml:space="preserve">текущего года </w:t>
      </w:r>
      <w:r w:rsidR="009A6160" w:rsidRPr="000A384B">
        <w:rPr>
          <w:rFonts w:ascii="Times New Roman" w:hAnsi="Times New Roman"/>
          <w:sz w:val="24"/>
          <w:szCs w:val="24"/>
        </w:rPr>
        <w:t xml:space="preserve">отмечено увеличение производства проката черных металлов на </w:t>
      </w:r>
      <w:r w:rsidR="00CC4E69" w:rsidRPr="000A384B">
        <w:rPr>
          <w:rFonts w:ascii="Times New Roman" w:hAnsi="Times New Roman"/>
          <w:sz w:val="24"/>
          <w:szCs w:val="24"/>
        </w:rPr>
        <w:t>99,4</w:t>
      </w:r>
      <w:r w:rsidR="009A6160" w:rsidRPr="000A384B">
        <w:rPr>
          <w:rFonts w:ascii="Times New Roman" w:hAnsi="Times New Roman"/>
          <w:sz w:val="24"/>
          <w:szCs w:val="24"/>
        </w:rPr>
        <w:t xml:space="preserve">%. </w:t>
      </w:r>
      <w:r w:rsidR="00F456DC" w:rsidRPr="000A384B">
        <w:rPr>
          <w:rFonts w:ascii="Times New Roman" w:hAnsi="Times New Roman"/>
          <w:sz w:val="24"/>
          <w:szCs w:val="24"/>
        </w:rPr>
        <w:t>Н</w:t>
      </w:r>
      <w:r w:rsidR="009B5BA3" w:rsidRPr="000A384B">
        <w:rPr>
          <w:rFonts w:ascii="Times New Roman" w:hAnsi="Times New Roman"/>
          <w:sz w:val="24"/>
          <w:szCs w:val="24"/>
        </w:rPr>
        <w:t xml:space="preserve">а фоне приостановки деятельности крупнейшего предприятия отрасли - ОАО «Молдавский металлургический завод» в январе-феврале 2015 года, </w:t>
      </w:r>
      <w:r w:rsidR="00F456DC" w:rsidRPr="000A384B">
        <w:rPr>
          <w:rFonts w:ascii="Times New Roman" w:hAnsi="Times New Roman"/>
          <w:sz w:val="24"/>
          <w:szCs w:val="24"/>
        </w:rPr>
        <w:t xml:space="preserve">в рассматриваемом периоде </w:t>
      </w:r>
      <w:r w:rsidR="009B5BA3" w:rsidRPr="000A384B">
        <w:rPr>
          <w:rFonts w:ascii="Times New Roman" w:hAnsi="Times New Roman"/>
          <w:sz w:val="24"/>
          <w:szCs w:val="24"/>
        </w:rPr>
        <w:t xml:space="preserve">отмечен </w:t>
      </w:r>
      <w:r w:rsidR="00F456DC" w:rsidRPr="000A384B">
        <w:rPr>
          <w:rFonts w:ascii="Times New Roman" w:hAnsi="Times New Roman"/>
          <w:sz w:val="24"/>
          <w:szCs w:val="24"/>
        </w:rPr>
        <w:t>при</w:t>
      </w:r>
      <w:r w:rsidR="009B5BA3" w:rsidRPr="000A384B">
        <w:rPr>
          <w:rFonts w:ascii="Times New Roman" w:hAnsi="Times New Roman"/>
          <w:sz w:val="24"/>
          <w:szCs w:val="24"/>
        </w:rPr>
        <w:t xml:space="preserve">рост объема промышленного производства на ОАО «Молдавский металлургический завод» на 98,1% </w:t>
      </w:r>
      <w:r w:rsidR="00F456DC" w:rsidRPr="000A384B">
        <w:rPr>
          <w:rFonts w:ascii="Times New Roman" w:hAnsi="Times New Roman"/>
          <w:sz w:val="24"/>
          <w:szCs w:val="24"/>
        </w:rPr>
        <w:t xml:space="preserve">(в сопоставимых ценах) </w:t>
      </w:r>
      <w:r w:rsidR="009B5BA3" w:rsidRPr="000A384B">
        <w:rPr>
          <w:rFonts w:ascii="Times New Roman" w:hAnsi="Times New Roman"/>
          <w:sz w:val="24"/>
          <w:szCs w:val="24"/>
        </w:rPr>
        <w:t xml:space="preserve">по отношению к январю-февралю 2015 года, </w:t>
      </w:r>
      <w:r w:rsidR="00ED0C2B" w:rsidRPr="000A384B">
        <w:rPr>
          <w:rFonts w:ascii="Times New Roman" w:hAnsi="Times New Roman"/>
          <w:sz w:val="24"/>
          <w:szCs w:val="24"/>
        </w:rPr>
        <w:t xml:space="preserve">в целом </w:t>
      </w:r>
      <w:r w:rsidR="009B5BA3" w:rsidRPr="000A384B">
        <w:rPr>
          <w:rFonts w:ascii="Times New Roman" w:hAnsi="Times New Roman"/>
          <w:sz w:val="24"/>
          <w:szCs w:val="24"/>
        </w:rPr>
        <w:t>объем производства отрасли</w:t>
      </w:r>
      <w:proofErr w:type="gramEnd"/>
      <w:r w:rsidR="009B5BA3" w:rsidRPr="000A38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5BA3" w:rsidRPr="000A384B">
        <w:rPr>
          <w:rFonts w:ascii="Times New Roman" w:hAnsi="Times New Roman"/>
          <w:sz w:val="24"/>
          <w:szCs w:val="24"/>
        </w:rPr>
        <w:t xml:space="preserve">по отношению </w:t>
      </w:r>
      <w:r w:rsidR="0066601C" w:rsidRPr="000A384B">
        <w:rPr>
          <w:rFonts w:ascii="Times New Roman" w:hAnsi="Times New Roman"/>
          <w:sz w:val="24"/>
          <w:szCs w:val="24"/>
        </w:rPr>
        <w:t xml:space="preserve">к </w:t>
      </w:r>
      <w:r w:rsidR="009B5BA3" w:rsidRPr="000A384B">
        <w:rPr>
          <w:rFonts w:ascii="Times New Roman" w:hAnsi="Times New Roman"/>
          <w:sz w:val="24"/>
          <w:szCs w:val="24"/>
        </w:rPr>
        <w:t>соответствующему периоду 2015 года увеличился на 97,7%.</w:t>
      </w:r>
      <w:r w:rsidR="004109FA" w:rsidRPr="000A384B">
        <w:rPr>
          <w:rFonts w:ascii="Times New Roman" w:hAnsi="Times New Roman"/>
          <w:sz w:val="24"/>
          <w:szCs w:val="24"/>
        </w:rPr>
        <w:t xml:space="preserve"> При этом следует отметить, что в феврале 2016 года отмечен рост объема промышленного производства отрасли на 99,2% по отношению к показателю предыдущего месяца текущего года, а по отношению к декабрю 2015 года прирост показателя составил 25,6%</w:t>
      </w:r>
      <w:r w:rsidR="009B5BA3" w:rsidRPr="000A384B">
        <w:rPr>
          <w:rFonts w:ascii="Times New Roman" w:hAnsi="Times New Roman"/>
          <w:sz w:val="24"/>
          <w:szCs w:val="24"/>
        </w:rPr>
        <w:t xml:space="preserve"> </w:t>
      </w:r>
      <w:r w:rsidR="009A6160" w:rsidRPr="000A384B">
        <w:rPr>
          <w:rFonts w:ascii="Times New Roman" w:hAnsi="Times New Roman"/>
          <w:sz w:val="24"/>
          <w:szCs w:val="24"/>
        </w:rPr>
        <w:t>Доходы предприятий отрасли на фоне значительного сокращения цены на готовую продукцию и сырьевой компонент</w:t>
      </w:r>
      <w:proofErr w:type="gramEnd"/>
      <w:r w:rsidR="009A6160" w:rsidRPr="000A384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A6160" w:rsidRPr="000A384B">
        <w:rPr>
          <w:rFonts w:ascii="Times New Roman" w:hAnsi="Times New Roman"/>
          <w:sz w:val="24"/>
          <w:szCs w:val="24"/>
        </w:rPr>
        <w:t xml:space="preserve">а также продолжающейся тенденцией снижения разницы между стоимостью готовой продукции (прокат, сталь) и стоимостью лома, являющегося на 70% сырьевой составляющей в стоимости готовой продукции, в рассматриваемом периоде </w:t>
      </w:r>
      <w:r w:rsidR="009B5BA3" w:rsidRPr="000A384B">
        <w:rPr>
          <w:rFonts w:ascii="Times New Roman" w:hAnsi="Times New Roman"/>
          <w:sz w:val="24"/>
          <w:szCs w:val="24"/>
        </w:rPr>
        <w:t>увеличились лишь на</w:t>
      </w:r>
      <w:r w:rsidR="009A6160" w:rsidRPr="000A384B">
        <w:rPr>
          <w:rFonts w:ascii="Times New Roman" w:hAnsi="Times New Roman"/>
          <w:sz w:val="24"/>
          <w:szCs w:val="24"/>
        </w:rPr>
        <w:t xml:space="preserve"> </w:t>
      </w:r>
      <w:r w:rsidR="009B5BA3" w:rsidRPr="000A384B">
        <w:rPr>
          <w:rFonts w:ascii="Times New Roman" w:hAnsi="Times New Roman"/>
          <w:sz w:val="24"/>
          <w:szCs w:val="24"/>
        </w:rPr>
        <w:t>11,4</w:t>
      </w:r>
      <w:r w:rsidR="009A6160" w:rsidRPr="000A384B">
        <w:rPr>
          <w:rFonts w:ascii="Times New Roman" w:hAnsi="Times New Roman"/>
          <w:sz w:val="24"/>
          <w:szCs w:val="24"/>
        </w:rPr>
        <w:t>% по отношению к</w:t>
      </w:r>
      <w:r w:rsidR="004109FA" w:rsidRPr="000A384B">
        <w:rPr>
          <w:rFonts w:ascii="Times New Roman" w:hAnsi="Times New Roman"/>
          <w:sz w:val="24"/>
          <w:szCs w:val="24"/>
        </w:rPr>
        <w:t xml:space="preserve"> базовому показателю 2015 года, а в феврале 2016 прирост показателя по отношению к декабрю 2015 года составил 22,6%.</w:t>
      </w:r>
      <w:proofErr w:type="gramEnd"/>
    </w:p>
    <w:p w:rsidR="00DC1DCC" w:rsidRPr="000A384B" w:rsidRDefault="00DC1DCC" w:rsidP="009A61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sz w:val="24"/>
          <w:szCs w:val="24"/>
        </w:rPr>
        <w:t>б)</w:t>
      </w:r>
      <w:r w:rsidRPr="000A384B">
        <w:rPr>
          <w:rFonts w:ascii="Times New Roman" w:hAnsi="Times New Roman"/>
          <w:b/>
          <w:sz w:val="24"/>
          <w:szCs w:val="24"/>
        </w:rPr>
        <w:t xml:space="preserve"> в химической промышленности </w:t>
      </w:r>
      <w:r w:rsidR="00435822" w:rsidRPr="000A384B">
        <w:rPr>
          <w:rFonts w:ascii="Times New Roman" w:hAnsi="Times New Roman"/>
          <w:sz w:val="24"/>
          <w:szCs w:val="24"/>
        </w:rPr>
        <w:t>в</w:t>
      </w:r>
      <w:r w:rsidRPr="000A384B">
        <w:rPr>
          <w:rFonts w:ascii="Times New Roman" w:hAnsi="Times New Roman"/>
          <w:sz w:val="24"/>
          <w:szCs w:val="24"/>
        </w:rPr>
        <w:t xml:space="preserve"> </w:t>
      </w:r>
      <w:r w:rsidR="00435822" w:rsidRPr="000A384B">
        <w:rPr>
          <w:rFonts w:ascii="Times New Roman" w:hAnsi="Times New Roman"/>
          <w:sz w:val="24"/>
          <w:szCs w:val="24"/>
        </w:rPr>
        <w:t>январе</w:t>
      </w:r>
      <w:r w:rsidR="006D3D1C" w:rsidRPr="000A384B">
        <w:rPr>
          <w:rFonts w:ascii="Times New Roman" w:hAnsi="Times New Roman"/>
          <w:sz w:val="24"/>
          <w:szCs w:val="24"/>
        </w:rPr>
        <w:t>-феврале</w:t>
      </w:r>
      <w:r w:rsidRPr="000A384B">
        <w:rPr>
          <w:rFonts w:ascii="Times New Roman" w:hAnsi="Times New Roman"/>
          <w:sz w:val="24"/>
          <w:szCs w:val="24"/>
        </w:rPr>
        <w:t xml:space="preserve"> 201</w:t>
      </w:r>
      <w:r w:rsidR="00435822" w:rsidRPr="000A384B">
        <w:rPr>
          <w:rFonts w:ascii="Times New Roman" w:hAnsi="Times New Roman"/>
          <w:sz w:val="24"/>
          <w:szCs w:val="24"/>
        </w:rPr>
        <w:t>6</w:t>
      </w:r>
      <w:r w:rsidRPr="000A384B">
        <w:rPr>
          <w:rFonts w:ascii="Times New Roman" w:hAnsi="Times New Roman"/>
          <w:sz w:val="24"/>
          <w:szCs w:val="24"/>
        </w:rPr>
        <w:t xml:space="preserve"> года наблюдается </w:t>
      </w:r>
      <w:r w:rsidR="00B367D5" w:rsidRPr="000A384B">
        <w:rPr>
          <w:rFonts w:ascii="Times New Roman" w:hAnsi="Times New Roman"/>
          <w:sz w:val="24"/>
          <w:szCs w:val="24"/>
        </w:rPr>
        <w:t>при</w:t>
      </w:r>
      <w:r w:rsidR="00435822" w:rsidRPr="000A384B">
        <w:rPr>
          <w:rFonts w:ascii="Times New Roman" w:hAnsi="Times New Roman"/>
          <w:sz w:val="24"/>
          <w:szCs w:val="24"/>
        </w:rPr>
        <w:t xml:space="preserve">рост </w:t>
      </w:r>
      <w:r w:rsidRPr="000A384B">
        <w:rPr>
          <w:rFonts w:ascii="Times New Roman" w:hAnsi="Times New Roman"/>
          <w:sz w:val="24"/>
          <w:szCs w:val="24"/>
        </w:rPr>
        <w:t xml:space="preserve">производства на </w:t>
      </w:r>
      <w:r w:rsidR="006D3D1C" w:rsidRPr="000A384B">
        <w:rPr>
          <w:rFonts w:ascii="Times New Roman" w:hAnsi="Times New Roman"/>
          <w:sz w:val="24"/>
          <w:szCs w:val="24"/>
        </w:rPr>
        <w:t>3,0</w:t>
      </w:r>
      <w:r w:rsidRPr="000A384B">
        <w:rPr>
          <w:rFonts w:ascii="Times New Roman" w:hAnsi="Times New Roman"/>
          <w:sz w:val="24"/>
          <w:szCs w:val="24"/>
        </w:rPr>
        <w:t>% к базовому показателю 201</w:t>
      </w:r>
      <w:r w:rsidR="00435822" w:rsidRPr="000A384B">
        <w:rPr>
          <w:rFonts w:ascii="Times New Roman" w:hAnsi="Times New Roman"/>
          <w:sz w:val="24"/>
          <w:szCs w:val="24"/>
        </w:rPr>
        <w:t>5</w:t>
      </w:r>
      <w:r w:rsidRPr="000A384B">
        <w:rPr>
          <w:rFonts w:ascii="Times New Roman" w:hAnsi="Times New Roman"/>
          <w:sz w:val="24"/>
          <w:szCs w:val="24"/>
        </w:rPr>
        <w:t xml:space="preserve"> года. Основное влияние на </w:t>
      </w:r>
      <w:r w:rsidR="00ED0C2B" w:rsidRPr="000A384B">
        <w:rPr>
          <w:rFonts w:ascii="Times New Roman" w:hAnsi="Times New Roman"/>
          <w:sz w:val="24"/>
          <w:szCs w:val="24"/>
        </w:rPr>
        <w:t>сложившуюся</w:t>
      </w:r>
      <w:r w:rsidRPr="000A384B">
        <w:rPr>
          <w:rFonts w:ascii="Times New Roman" w:hAnsi="Times New Roman"/>
          <w:sz w:val="24"/>
          <w:szCs w:val="24"/>
        </w:rPr>
        <w:t xml:space="preserve"> динамику </w:t>
      </w:r>
      <w:r w:rsidR="00B367D5" w:rsidRPr="000A384B">
        <w:rPr>
          <w:rFonts w:ascii="Times New Roman" w:hAnsi="Times New Roman"/>
          <w:sz w:val="24"/>
          <w:szCs w:val="24"/>
        </w:rPr>
        <w:t xml:space="preserve">в </w:t>
      </w:r>
      <w:r w:rsidRPr="000A384B">
        <w:rPr>
          <w:rFonts w:ascii="Times New Roman" w:hAnsi="Times New Roman"/>
          <w:sz w:val="24"/>
          <w:szCs w:val="24"/>
        </w:rPr>
        <w:t xml:space="preserve">отрасли оказало </w:t>
      </w:r>
      <w:r w:rsidR="00435822" w:rsidRPr="000A384B">
        <w:rPr>
          <w:rFonts w:ascii="Times New Roman" w:hAnsi="Times New Roman"/>
          <w:sz w:val="24"/>
          <w:szCs w:val="24"/>
        </w:rPr>
        <w:t>увеличение</w:t>
      </w:r>
      <w:r w:rsidRPr="000A384B">
        <w:rPr>
          <w:rFonts w:ascii="Times New Roman" w:hAnsi="Times New Roman"/>
          <w:sz w:val="24"/>
          <w:szCs w:val="24"/>
        </w:rPr>
        <w:t xml:space="preserve"> объемов производства крупнейшего предприятия отрасли ЗАО «Завод «</w:t>
      </w:r>
      <w:proofErr w:type="spellStart"/>
      <w:r w:rsidRPr="000A384B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0A384B">
        <w:rPr>
          <w:rFonts w:ascii="Times New Roman" w:hAnsi="Times New Roman"/>
          <w:sz w:val="24"/>
          <w:szCs w:val="24"/>
        </w:rPr>
        <w:t xml:space="preserve">» (на </w:t>
      </w:r>
      <w:r w:rsidR="006D3D1C" w:rsidRPr="000A384B">
        <w:rPr>
          <w:rFonts w:ascii="Times New Roman" w:hAnsi="Times New Roman"/>
          <w:sz w:val="24"/>
          <w:szCs w:val="24"/>
        </w:rPr>
        <w:t>4,3</w:t>
      </w:r>
      <w:r w:rsidRPr="000A384B">
        <w:rPr>
          <w:rFonts w:ascii="Times New Roman" w:hAnsi="Times New Roman"/>
          <w:sz w:val="24"/>
          <w:szCs w:val="24"/>
        </w:rPr>
        <w:t>%). При этом</w:t>
      </w:r>
      <w:proofErr w:type="gramStart"/>
      <w:r w:rsidRPr="000A384B">
        <w:rPr>
          <w:rFonts w:ascii="Times New Roman" w:hAnsi="Times New Roman"/>
          <w:sz w:val="24"/>
          <w:szCs w:val="24"/>
        </w:rPr>
        <w:t>,</w:t>
      </w:r>
      <w:proofErr w:type="gramEnd"/>
      <w:r w:rsidRPr="000A384B">
        <w:rPr>
          <w:rFonts w:ascii="Times New Roman" w:hAnsi="Times New Roman"/>
          <w:sz w:val="24"/>
          <w:szCs w:val="24"/>
        </w:rPr>
        <w:t xml:space="preserve"> в </w:t>
      </w:r>
      <w:r w:rsidR="007F27B4" w:rsidRPr="000A384B">
        <w:rPr>
          <w:rFonts w:ascii="Times New Roman" w:hAnsi="Times New Roman"/>
          <w:sz w:val="24"/>
          <w:szCs w:val="24"/>
        </w:rPr>
        <w:t>феврал</w:t>
      </w:r>
      <w:r w:rsidR="00435822" w:rsidRPr="000A384B">
        <w:rPr>
          <w:rFonts w:ascii="Times New Roman" w:hAnsi="Times New Roman"/>
          <w:sz w:val="24"/>
          <w:szCs w:val="24"/>
        </w:rPr>
        <w:t>е</w:t>
      </w:r>
      <w:r w:rsidRPr="000A384B">
        <w:rPr>
          <w:rFonts w:ascii="Times New Roman" w:hAnsi="Times New Roman"/>
          <w:sz w:val="24"/>
          <w:szCs w:val="24"/>
        </w:rPr>
        <w:t xml:space="preserve"> 201</w:t>
      </w:r>
      <w:r w:rsidR="00B367D5" w:rsidRPr="000A384B">
        <w:rPr>
          <w:rFonts w:ascii="Times New Roman" w:hAnsi="Times New Roman"/>
          <w:sz w:val="24"/>
          <w:szCs w:val="24"/>
        </w:rPr>
        <w:t>6</w:t>
      </w:r>
      <w:r w:rsidRPr="000A384B">
        <w:rPr>
          <w:rFonts w:ascii="Times New Roman" w:hAnsi="Times New Roman"/>
          <w:sz w:val="24"/>
          <w:szCs w:val="24"/>
        </w:rPr>
        <w:t xml:space="preserve"> года на фоне сложной внешнеторговой конъюнктуры по предприятиям отрасли отмечается спад объема производства на </w:t>
      </w:r>
      <w:r w:rsidR="007F27B4" w:rsidRPr="000A384B">
        <w:rPr>
          <w:rFonts w:ascii="Times New Roman" w:hAnsi="Times New Roman"/>
          <w:sz w:val="24"/>
          <w:szCs w:val="24"/>
        </w:rPr>
        <w:t>1,1</w:t>
      </w:r>
      <w:r w:rsidRPr="000A384B">
        <w:rPr>
          <w:rFonts w:ascii="Times New Roman" w:hAnsi="Times New Roman"/>
          <w:sz w:val="24"/>
          <w:szCs w:val="24"/>
        </w:rPr>
        <w:t>%</w:t>
      </w:r>
      <w:r w:rsidR="00266D06" w:rsidRPr="000A384B">
        <w:rPr>
          <w:rFonts w:ascii="Times New Roman" w:hAnsi="Times New Roman"/>
          <w:sz w:val="24"/>
          <w:szCs w:val="24"/>
        </w:rPr>
        <w:t xml:space="preserve"> по отношению к </w:t>
      </w:r>
      <w:r w:rsidR="007F27B4" w:rsidRPr="000A384B">
        <w:rPr>
          <w:rFonts w:ascii="Times New Roman" w:hAnsi="Times New Roman"/>
          <w:sz w:val="24"/>
          <w:szCs w:val="24"/>
        </w:rPr>
        <w:t>январю 2016</w:t>
      </w:r>
      <w:r w:rsidR="00266D06" w:rsidRPr="000A384B">
        <w:rPr>
          <w:rFonts w:ascii="Times New Roman" w:hAnsi="Times New Roman"/>
          <w:sz w:val="24"/>
          <w:szCs w:val="24"/>
        </w:rPr>
        <w:t xml:space="preserve"> года</w:t>
      </w:r>
      <w:r w:rsidRPr="000A384B">
        <w:rPr>
          <w:rFonts w:ascii="Times New Roman" w:hAnsi="Times New Roman"/>
          <w:sz w:val="24"/>
          <w:szCs w:val="24"/>
        </w:rPr>
        <w:t>;</w:t>
      </w:r>
    </w:p>
    <w:p w:rsidR="00DC1DCC" w:rsidRPr="000A384B" w:rsidRDefault="009619EC" w:rsidP="007F27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384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DC1DCC" w:rsidRPr="000A384B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пищевой промышленности </w:t>
      </w:r>
      <w:r w:rsidR="00DC1DCC" w:rsidRPr="000A384B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</w:t>
      </w:r>
      <w:r w:rsidR="00ED0C2B" w:rsidRPr="000A384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фиксируется </w:t>
      </w:r>
      <w:r w:rsidR="00B367D5" w:rsidRPr="000A384B">
        <w:rPr>
          <w:rFonts w:ascii="Times New Roman" w:eastAsia="Times New Roman" w:hAnsi="Times New Roman" w:cs="Times New Roman"/>
          <w:snapToGrid w:val="0"/>
          <w:sz w:val="24"/>
          <w:szCs w:val="24"/>
        </w:rPr>
        <w:t>увеличение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сопоставимых ценах на 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>10,4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%, что вызвано </w:t>
      </w:r>
      <w:r w:rsidR="00276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расширением 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на </w:t>
      </w:r>
      <w:r w:rsidR="00CB1111" w:rsidRPr="000A384B">
        <w:rPr>
          <w:rFonts w:ascii="Times New Roman" w:eastAsia="Times New Roman" w:hAnsi="Times New Roman" w:cs="Times New Roman"/>
          <w:sz w:val="24"/>
          <w:szCs w:val="24"/>
        </w:rPr>
        <w:t>ГУП «</w:t>
      </w:r>
      <w:proofErr w:type="spellStart"/>
      <w:r w:rsidR="00CB1111" w:rsidRPr="000A384B">
        <w:rPr>
          <w:rFonts w:ascii="Times New Roman" w:eastAsia="Times New Roman" w:hAnsi="Times New Roman" w:cs="Times New Roman"/>
          <w:sz w:val="24"/>
          <w:szCs w:val="24"/>
        </w:rPr>
        <w:t>Биохим</w:t>
      </w:r>
      <w:proofErr w:type="spellEnd"/>
      <w:r w:rsidR="00CB1111" w:rsidRPr="000A384B">
        <w:rPr>
          <w:rFonts w:ascii="Times New Roman" w:eastAsia="Times New Roman" w:hAnsi="Times New Roman" w:cs="Times New Roman"/>
          <w:sz w:val="24"/>
          <w:szCs w:val="24"/>
        </w:rPr>
        <w:t xml:space="preserve">» (в 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>77,8</w:t>
      </w:r>
      <w:r w:rsidR="00CB1111" w:rsidRPr="000A384B">
        <w:rPr>
          <w:rFonts w:ascii="Times New Roman" w:eastAsia="Times New Roman" w:hAnsi="Times New Roman" w:cs="Times New Roman"/>
          <w:sz w:val="24"/>
          <w:szCs w:val="24"/>
        </w:rPr>
        <w:t xml:space="preserve"> р.), 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>ЗАО «Букет Молдавии («</w:t>
      </w:r>
      <w:r w:rsidR="00CB1111" w:rsidRPr="000A384B">
        <w:rPr>
          <w:rFonts w:ascii="Times New Roman" w:eastAsia="Times New Roman" w:hAnsi="Times New Roman" w:cs="Times New Roman"/>
          <w:sz w:val="24"/>
          <w:szCs w:val="24"/>
        </w:rPr>
        <w:t>+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>60,6</w:t>
      </w:r>
      <w:r w:rsidR="00CB1111" w:rsidRPr="000A384B">
        <w:rPr>
          <w:rFonts w:ascii="Times New Roman" w:eastAsia="Times New Roman" w:hAnsi="Times New Roman" w:cs="Times New Roman"/>
          <w:sz w:val="24"/>
          <w:szCs w:val="24"/>
        </w:rPr>
        <w:t>%)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ЗАО «Тираспольский винно-коньячный завод «KVINT» («+»7,9%) 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и др. 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 xml:space="preserve">Увеличение объемов производства </w:t>
      </w:r>
      <w:r w:rsidR="00CC2E3E" w:rsidRPr="000A384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>ведуще</w:t>
      </w:r>
      <w:r w:rsidR="00CC2E3E" w:rsidRPr="000A384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предприяти</w:t>
      </w:r>
      <w:r w:rsidR="00CC2E3E" w:rsidRPr="000A38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отрасли ЗАО «Тираспольский</w:t>
      </w:r>
      <w:r w:rsidR="00CC2E3E" w:rsidRPr="000A384B">
        <w:rPr>
          <w:rFonts w:ascii="Times New Roman" w:eastAsia="Times New Roman" w:hAnsi="Times New Roman" w:cs="Times New Roman"/>
          <w:sz w:val="24"/>
          <w:szCs w:val="24"/>
        </w:rPr>
        <w:t xml:space="preserve"> винно-коньячный завод «KVINT»</w:t>
      </w:r>
      <w:r w:rsidR="00134276" w:rsidRPr="000A384B">
        <w:rPr>
          <w:rFonts w:ascii="Times New Roman" w:eastAsia="Times New Roman" w:hAnsi="Times New Roman" w:cs="Times New Roman"/>
          <w:sz w:val="24"/>
          <w:szCs w:val="24"/>
        </w:rPr>
        <w:t xml:space="preserve"> в рассматриваемом периоде</w:t>
      </w:r>
      <w:r w:rsidR="00CC2E3E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 xml:space="preserve">обусловлено </w:t>
      </w:r>
      <w:r w:rsidR="00134276" w:rsidRPr="000A384B">
        <w:rPr>
          <w:rFonts w:ascii="Times New Roman" w:eastAsia="Times New Roman" w:hAnsi="Times New Roman" w:cs="Times New Roman"/>
          <w:sz w:val="24"/>
          <w:szCs w:val="24"/>
        </w:rPr>
        <w:t>существенным снижением производственных показателей в</w:t>
      </w:r>
      <w:proofErr w:type="gramEnd"/>
      <w:r w:rsidR="00134276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4276" w:rsidRPr="000A384B">
        <w:rPr>
          <w:rFonts w:ascii="Times New Roman" w:eastAsia="Times New Roman" w:hAnsi="Times New Roman" w:cs="Times New Roman"/>
          <w:sz w:val="24"/>
          <w:szCs w:val="24"/>
        </w:rPr>
        <w:t>январе-феврале</w:t>
      </w:r>
      <w:proofErr w:type="gramEnd"/>
      <w:r w:rsidR="00134276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2015 года, на фоне чего в текущем году предприятие </w:t>
      </w:r>
      <w:r w:rsidR="00ED0C2B" w:rsidRPr="000A384B">
        <w:rPr>
          <w:rFonts w:ascii="Times New Roman" w:eastAsia="Times New Roman" w:hAnsi="Times New Roman" w:cs="Times New Roman"/>
          <w:sz w:val="24"/>
          <w:szCs w:val="24"/>
        </w:rPr>
        <w:t>демонстрирует</w:t>
      </w:r>
      <w:r w:rsidR="00134276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C2B" w:rsidRPr="000A384B">
        <w:rPr>
          <w:rFonts w:ascii="Times New Roman" w:eastAsia="Times New Roman" w:hAnsi="Times New Roman" w:cs="Times New Roman"/>
          <w:sz w:val="24"/>
          <w:szCs w:val="24"/>
        </w:rPr>
        <w:t>прир</w:t>
      </w:r>
      <w:r w:rsidR="00134276" w:rsidRPr="000A384B">
        <w:rPr>
          <w:rFonts w:ascii="Times New Roman" w:eastAsia="Times New Roman" w:hAnsi="Times New Roman" w:cs="Times New Roman"/>
          <w:sz w:val="24"/>
          <w:szCs w:val="24"/>
        </w:rPr>
        <w:t>ост объема промышленного производства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C2E3E" w:rsidRPr="000A384B">
        <w:rPr>
          <w:rFonts w:ascii="Times New Roman" w:eastAsia="Times New Roman" w:hAnsi="Times New Roman" w:cs="Times New Roman"/>
          <w:sz w:val="24"/>
          <w:szCs w:val="24"/>
        </w:rPr>
        <w:t>При этом следует отметить, что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B1111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по отношению к 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>январю месяцу текущего года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3BC" w:rsidRPr="000A384B">
        <w:rPr>
          <w:rFonts w:ascii="Times New Roman" w:eastAsia="Times New Roman" w:hAnsi="Times New Roman" w:cs="Times New Roman"/>
          <w:sz w:val="24"/>
          <w:szCs w:val="24"/>
        </w:rPr>
        <w:t xml:space="preserve">по отрасли 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отмечается </w:t>
      </w:r>
      <w:r w:rsidR="00CB1111" w:rsidRPr="000A384B">
        <w:rPr>
          <w:rFonts w:ascii="Times New Roman" w:eastAsia="Times New Roman" w:hAnsi="Times New Roman" w:cs="Times New Roman"/>
          <w:sz w:val="24"/>
          <w:szCs w:val="24"/>
        </w:rPr>
        <w:t>спад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 xml:space="preserve"> объема промышленного производства на </w:t>
      </w:r>
      <w:r w:rsidR="007F27B4" w:rsidRPr="000A384B">
        <w:rPr>
          <w:rFonts w:ascii="Times New Roman" w:eastAsia="Times New Roman" w:hAnsi="Times New Roman" w:cs="Times New Roman"/>
          <w:sz w:val="24"/>
          <w:szCs w:val="24"/>
        </w:rPr>
        <w:t>0,8</w:t>
      </w:r>
      <w:r w:rsidR="00DC1DCC" w:rsidRPr="000A384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E0D34" w:rsidRPr="000A384B" w:rsidRDefault="00BE4CC9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пад промышленного производства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B1111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по отношению к 201</w:t>
      </w:r>
      <w:r w:rsidR="00CB1111"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году наблюдается в </w:t>
      </w:r>
      <w:proofErr w:type="gramStart"/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DC1DCC" w:rsidRPr="000A384B" w:rsidRDefault="00DC1DCC" w:rsidP="003C49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0A384B">
        <w:rPr>
          <w:rFonts w:ascii="Times New Roman" w:eastAsia="Times New Roman" w:hAnsi="Times New Roman" w:cs="Times New Roman"/>
          <w:b/>
          <w:sz w:val="24"/>
          <w:szCs w:val="24"/>
        </w:rPr>
        <w:t>электроэнергетическом комплексе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республики в </w:t>
      </w:r>
      <w:r w:rsidR="003C49C7" w:rsidRPr="000A384B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="00134276" w:rsidRPr="000A384B">
        <w:rPr>
          <w:rFonts w:ascii="Times New Roman" w:eastAsia="Times New Roman" w:hAnsi="Times New Roman" w:cs="Times New Roman"/>
          <w:sz w:val="24"/>
          <w:szCs w:val="24"/>
        </w:rPr>
        <w:t>-феврале</w:t>
      </w:r>
      <w:r w:rsidR="003C49C7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отмечается </w:t>
      </w:r>
      <w:r w:rsidR="003C49C7" w:rsidRPr="000A384B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выработки электроэнергии в натуральном в</w:t>
      </w:r>
      <w:r w:rsidR="003C49C7" w:rsidRPr="000A384B">
        <w:rPr>
          <w:rFonts w:ascii="Times New Roman" w:eastAsia="Times New Roman" w:hAnsi="Times New Roman" w:cs="Times New Roman"/>
          <w:sz w:val="24"/>
          <w:szCs w:val="24"/>
        </w:rPr>
        <w:t xml:space="preserve">ыражении в целом по отрасли на </w:t>
      </w:r>
      <w:r w:rsidR="002E4D70" w:rsidRPr="000A384B">
        <w:rPr>
          <w:rFonts w:ascii="Times New Roman" w:eastAsia="Times New Roman" w:hAnsi="Times New Roman" w:cs="Times New Roman"/>
          <w:sz w:val="24"/>
          <w:szCs w:val="24"/>
        </w:rPr>
        <w:t>4,8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% по сравнению с соответствующим периодом 201</w:t>
      </w:r>
      <w:r w:rsidR="003C49C7"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года, в стоимостном выражении товарный выпуск отрасли </w:t>
      </w:r>
      <w:r w:rsidR="003C49C7" w:rsidRPr="000A384B">
        <w:rPr>
          <w:rFonts w:ascii="Times New Roman" w:eastAsia="Times New Roman" w:hAnsi="Times New Roman" w:cs="Times New Roman"/>
          <w:sz w:val="24"/>
          <w:szCs w:val="24"/>
        </w:rPr>
        <w:t>снизился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4D70" w:rsidRPr="000A384B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66601C" w:rsidRPr="000A384B">
        <w:rPr>
          <w:rFonts w:ascii="Times New Roman" w:eastAsia="Times New Roman" w:hAnsi="Times New Roman" w:cs="Times New Roman"/>
          <w:sz w:val="24"/>
          <w:szCs w:val="24"/>
        </w:rPr>
        <w:t>, что вызвано сокращением поставок электроэнергии как на внешний</w:t>
      </w:r>
      <w:r w:rsidR="004109FA"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601C" w:rsidRPr="000A384B">
        <w:rPr>
          <w:rFonts w:ascii="Times New Roman" w:eastAsia="Times New Roman" w:hAnsi="Times New Roman" w:cs="Times New Roman"/>
          <w:sz w:val="24"/>
          <w:szCs w:val="24"/>
        </w:rPr>
        <w:t xml:space="preserve"> так и на внутренний рынки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E4D70" w:rsidRPr="000A384B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3C49C7" w:rsidRPr="000A38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C49C7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по отношению к </w:t>
      </w:r>
      <w:r w:rsidR="002E4D70" w:rsidRPr="000A384B">
        <w:rPr>
          <w:rFonts w:ascii="Times New Roman" w:eastAsia="Times New Roman" w:hAnsi="Times New Roman" w:cs="Times New Roman"/>
          <w:sz w:val="24"/>
          <w:szCs w:val="24"/>
        </w:rPr>
        <w:t>январ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ю 201</w:t>
      </w:r>
      <w:r w:rsidR="002E4D70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отмечается </w:t>
      </w:r>
      <w:r w:rsidR="003C49C7" w:rsidRPr="000A384B">
        <w:rPr>
          <w:rFonts w:ascii="Times New Roman" w:eastAsia="Times New Roman" w:hAnsi="Times New Roman" w:cs="Times New Roman"/>
          <w:sz w:val="24"/>
          <w:szCs w:val="24"/>
        </w:rPr>
        <w:t>спад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объема промышленного производства на </w:t>
      </w:r>
      <w:r w:rsidR="002E4D70" w:rsidRPr="000A384B">
        <w:rPr>
          <w:rFonts w:ascii="Times New Roman" w:eastAsia="Times New Roman" w:hAnsi="Times New Roman" w:cs="Times New Roman"/>
          <w:sz w:val="24"/>
          <w:szCs w:val="24"/>
        </w:rPr>
        <w:t>11,9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DC1DCC" w:rsidRPr="000A384B" w:rsidRDefault="00DC1DCC" w:rsidP="00DC1D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384B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24575" cy="1981200"/>
            <wp:effectExtent l="19050" t="0" r="0" b="0"/>
            <wp:docPr id="1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0D34" w:rsidRPr="000A384B" w:rsidRDefault="005A630C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) предприятия </w:t>
      </w:r>
      <w:r w:rsidR="00AE0D34" w:rsidRPr="000A384B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металлообработки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38" w:rsidRPr="000A384B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387DC9" w:rsidRPr="000A384B">
        <w:rPr>
          <w:rFonts w:ascii="Times New Roman" w:eastAsia="Times New Roman" w:hAnsi="Times New Roman" w:cs="Times New Roman"/>
          <w:sz w:val="24"/>
          <w:szCs w:val="24"/>
        </w:rPr>
        <w:t>-февраля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0D2338" w:rsidRPr="000A384B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D2338" w:rsidRPr="000A38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демонстрируют снижение объема производства по отношению к </w:t>
      </w:r>
      <w:r w:rsidR="000D2338" w:rsidRPr="000A384B">
        <w:rPr>
          <w:rFonts w:ascii="Times New Roman" w:eastAsia="Times New Roman" w:hAnsi="Times New Roman" w:cs="Times New Roman"/>
          <w:sz w:val="24"/>
          <w:szCs w:val="24"/>
        </w:rPr>
        <w:t>базовым параметрам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38" w:rsidRPr="000A384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16ACE"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387DC9" w:rsidRPr="000A384B">
        <w:rPr>
          <w:rFonts w:ascii="Times New Roman" w:eastAsia="Times New Roman" w:hAnsi="Times New Roman" w:cs="Times New Roman"/>
          <w:sz w:val="24"/>
          <w:szCs w:val="24"/>
        </w:rPr>
        <w:t>14,0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%. Данная динамика показателя вызвана снижением объема производства на ОАО «</w:t>
      </w:r>
      <w:proofErr w:type="spellStart"/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» («-»</w:t>
      </w:r>
      <w:r w:rsidR="00A16ACE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87DC9" w:rsidRPr="000A38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6ACE"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7DC9" w:rsidRPr="000A384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  <w:r w:rsidR="00387DC9" w:rsidRPr="000A384B">
        <w:rPr>
          <w:rFonts w:ascii="Times New Roman" w:eastAsia="Times New Roman" w:hAnsi="Times New Roman" w:cs="Times New Roman"/>
          <w:sz w:val="24"/>
          <w:szCs w:val="24"/>
        </w:rPr>
        <w:t>Между тем в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DC9" w:rsidRPr="000A384B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38" w:rsidRPr="000A384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16ACE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2338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года по отношению к </w:t>
      </w:r>
      <w:r w:rsidR="00387DC9" w:rsidRPr="000A384B">
        <w:rPr>
          <w:rFonts w:ascii="Times New Roman" w:eastAsia="Times New Roman" w:hAnsi="Times New Roman" w:cs="Times New Roman"/>
          <w:sz w:val="24"/>
          <w:szCs w:val="24"/>
        </w:rPr>
        <w:t>январю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F3" w:rsidRPr="000A384B"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BF3" w:rsidRPr="000A384B">
        <w:rPr>
          <w:rFonts w:ascii="Times New Roman" w:eastAsia="Times New Roman" w:hAnsi="Times New Roman" w:cs="Times New Roman"/>
          <w:sz w:val="24"/>
          <w:szCs w:val="24"/>
        </w:rPr>
        <w:t>на фоне роста на 50% объема промышленного производства на ОАО «</w:t>
      </w:r>
      <w:proofErr w:type="spellStart"/>
      <w:r w:rsidR="00EF5BF3" w:rsidRPr="000A384B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="00EF5BF3" w:rsidRPr="000A384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объем производства по отрасли </w:t>
      </w:r>
      <w:r w:rsidR="00EF5BF3" w:rsidRPr="000A384B">
        <w:rPr>
          <w:rFonts w:ascii="Times New Roman" w:eastAsia="Times New Roman" w:hAnsi="Times New Roman" w:cs="Times New Roman"/>
          <w:sz w:val="24"/>
          <w:szCs w:val="24"/>
        </w:rPr>
        <w:t xml:space="preserve">в целом </w:t>
      </w:r>
      <w:r w:rsidR="00FF31E4" w:rsidRPr="000A384B">
        <w:rPr>
          <w:rFonts w:ascii="Times New Roman" w:eastAsia="Times New Roman" w:hAnsi="Times New Roman" w:cs="Times New Roman"/>
          <w:sz w:val="24"/>
          <w:szCs w:val="24"/>
        </w:rPr>
        <w:t>увеличился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F31E4" w:rsidRPr="000A384B">
        <w:rPr>
          <w:rFonts w:ascii="Times New Roman" w:eastAsia="Times New Roman" w:hAnsi="Times New Roman" w:cs="Times New Roman"/>
          <w:sz w:val="24"/>
          <w:szCs w:val="24"/>
        </w:rPr>
        <w:t>46,6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AE0D34" w:rsidRPr="000A384B" w:rsidRDefault="005A630C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E0D34" w:rsidRPr="000A384B">
        <w:rPr>
          <w:rFonts w:ascii="Times New Roman" w:eastAsia="Times New Roman" w:hAnsi="Times New Roman" w:cs="Times New Roman"/>
          <w:b/>
          <w:sz w:val="24"/>
          <w:szCs w:val="24"/>
        </w:rPr>
        <w:t>в электротехнической промышленности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A16ACE" w:rsidRPr="000A384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EF5BF3" w:rsidRPr="000A384B">
        <w:rPr>
          <w:rFonts w:ascii="Times New Roman" w:eastAsia="Times New Roman" w:hAnsi="Times New Roman" w:cs="Times New Roman"/>
          <w:sz w:val="24"/>
          <w:szCs w:val="24"/>
        </w:rPr>
        <w:t>-февраля</w:t>
      </w:r>
      <w:r w:rsidR="00A16ACE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6ACE" w:rsidRPr="000A384B">
        <w:rPr>
          <w:rFonts w:ascii="Times New Roman" w:eastAsia="Times New Roman" w:hAnsi="Times New Roman" w:cs="Times New Roman"/>
          <w:sz w:val="24"/>
          <w:szCs w:val="24"/>
        </w:rPr>
        <w:t>016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отмечено падение отраслевого выпуска на </w:t>
      </w:r>
      <w:r w:rsidR="00EF5BF3" w:rsidRPr="000A384B">
        <w:rPr>
          <w:rFonts w:ascii="Times New Roman" w:eastAsia="Times New Roman" w:hAnsi="Times New Roman" w:cs="Times New Roman"/>
          <w:sz w:val="24"/>
          <w:szCs w:val="24"/>
        </w:rPr>
        <w:t>50,1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003107" w:rsidRPr="000A384B">
        <w:rPr>
          <w:rFonts w:ascii="Times New Roman" w:eastAsia="Times New Roman" w:hAnsi="Times New Roman" w:cs="Times New Roman"/>
          <w:sz w:val="24"/>
          <w:szCs w:val="24"/>
        </w:rPr>
        <w:t>Так на НП ЗАО «</w:t>
      </w:r>
      <w:proofErr w:type="spellStart"/>
      <w:r w:rsidR="00003107" w:rsidRPr="000A384B">
        <w:rPr>
          <w:rFonts w:ascii="Times New Roman" w:eastAsia="Times New Roman" w:hAnsi="Times New Roman" w:cs="Times New Roman"/>
          <w:sz w:val="24"/>
          <w:szCs w:val="24"/>
        </w:rPr>
        <w:t>Электромаш</w:t>
      </w:r>
      <w:proofErr w:type="spellEnd"/>
      <w:r w:rsidR="00003107" w:rsidRPr="000A384B">
        <w:rPr>
          <w:rFonts w:ascii="Times New Roman" w:eastAsia="Times New Roman" w:hAnsi="Times New Roman" w:cs="Times New Roman"/>
          <w:sz w:val="24"/>
          <w:szCs w:val="24"/>
        </w:rPr>
        <w:t>» (66,9% отраслевого выпуска) по отношению к аналогичному периоду 2015 года наблюдается снижение товарного выпуска в сопоставимой оценке на 43,3%; а на втором ведущем предприятии отрасли ЗАО «</w:t>
      </w:r>
      <w:proofErr w:type="spellStart"/>
      <w:r w:rsidR="00003107" w:rsidRPr="000A384B">
        <w:rPr>
          <w:rFonts w:ascii="Times New Roman" w:eastAsia="Times New Roman" w:hAnsi="Times New Roman" w:cs="Times New Roman"/>
          <w:sz w:val="24"/>
          <w:szCs w:val="24"/>
        </w:rPr>
        <w:t>Молдавкабель</w:t>
      </w:r>
      <w:proofErr w:type="spellEnd"/>
      <w:r w:rsidR="00003107" w:rsidRPr="000A384B">
        <w:rPr>
          <w:rFonts w:ascii="Times New Roman" w:eastAsia="Times New Roman" w:hAnsi="Times New Roman" w:cs="Times New Roman"/>
          <w:sz w:val="24"/>
          <w:szCs w:val="24"/>
        </w:rPr>
        <w:t xml:space="preserve">» (33,1% отраслевого выпуска) в январе-феврале 2016 года отмечено снижение объемов производства на 59,8%, что вызвано сложной внешнеторговой конъюнктурой.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Между тем, если рассматривать показатели отрасли в </w:t>
      </w:r>
      <w:r w:rsidR="00EF5BF3" w:rsidRPr="000A384B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="00A16ACE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</w:t>
      </w:r>
      <w:r w:rsidR="00EF5BF3" w:rsidRPr="000A384B">
        <w:rPr>
          <w:rFonts w:ascii="Times New Roman" w:eastAsia="Times New Roman" w:hAnsi="Times New Roman" w:cs="Times New Roman"/>
          <w:sz w:val="24"/>
          <w:szCs w:val="24"/>
        </w:rPr>
        <w:t xml:space="preserve">январю </w:t>
      </w:r>
      <w:r w:rsidR="000D2338" w:rsidRPr="000A384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F5BF3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года, то отрасль демонстрирует </w:t>
      </w:r>
      <w:r w:rsidR="00ED0C2B" w:rsidRPr="000A384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03107" w:rsidRPr="000A384B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объема </w:t>
      </w:r>
      <w:r w:rsidR="00003107" w:rsidRPr="000A384B">
        <w:rPr>
          <w:rFonts w:ascii="Times New Roman" w:eastAsia="Times New Roman" w:hAnsi="Times New Roman" w:cs="Times New Roman"/>
          <w:sz w:val="24"/>
          <w:szCs w:val="24"/>
        </w:rPr>
        <w:t xml:space="preserve">промышленного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производства </w:t>
      </w:r>
      <w:r w:rsidR="00A16ACE" w:rsidRPr="000A384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107" w:rsidRPr="000A384B">
        <w:rPr>
          <w:rFonts w:ascii="Times New Roman" w:eastAsia="Times New Roman" w:hAnsi="Times New Roman" w:cs="Times New Roman"/>
          <w:sz w:val="24"/>
          <w:szCs w:val="24"/>
        </w:rPr>
        <w:t>4,5</w:t>
      </w:r>
      <w:r w:rsidR="00A16ACE" w:rsidRPr="000A384B">
        <w:rPr>
          <w:rFonts w:ascii="Times New Roman" w:eastAsia="Times New Roman" w:hAnsi="Times New Roman" w:cs="Times New Roman"/>
          <w:sz w:val="24"/>
          <w:szCs w:val="24"/>
        </w:rPr>
        <w:t>%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0D34" w:rsidRPr="000A384B" w:rsidRDefault="005A630C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384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AE0D34" w:rsidRPr="000A384B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 строительных материалов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003107" w:rsidRPr="000A384B">
        <w:rPr>
          <w:rFonts w:ascii="Times New Roman" w:eastAsia="Times New Roman" w:hAnsi="Times New Roman" w:cs="Times New Roman"/>
          <w:sz w:val="24"/>
          <w:szCs w:val="24"/>
        </w:rPr>
        <w:t>-февраля</w:t>
      </w:r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зафиксировано снижение производственных показателей </w:t>
      </w:r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 xml:space="preserve">по отрасли в целом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04164" w:rsidRPr="000A384B">
        <w:rPr>
          <w:rFonts w:ascii="Times New Roman" w:eastAsia="Times New Roman" w:hAnsi="Times New Roman" w:cs="Times New Roman"/>
          <w:sz w:val="24"/>
          <w:szCs w:val="24"/>
        </w:rPr>
        <w:t>47,7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004164" w:rsidRPr="000A384B">
        <w:rPr>
          <w:rFonts w:ascii="Times New Roman" w:eastAsia="Times New Roman" w:hAnsi="Times New Roman" w:cs="Times New Roman"/>
          <w:sz w:val="24"/>
          <w:szCs w:val="24"/>
        </w:rPr>
        <w:t>11,4</w:t>
      </w:r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млн. руб. Данная отрицательная динамика вызвана тем, что на крупнейше</w:t>
      </w:r>
      <w:r w:rsidR="00B3764E" w:rsidRPr="000A384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предприяти</w:t>
      </w:r>
      <w:r w:rsidR="00B3764E" w:rsidRPr="000A384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отрасли (ЗАО «</w:t>
      </w:r>
      <w:proofErr w:type="spellStart"/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 xml:space="preserve"> цементный комбинат»), занимающе</w:t>
      </w:r>
      <w:r w:rsidR="00B3764E" w:rsidRPr="000A384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4164" w:rsidRPr="000A384B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 xml:space="preserve"> 40,0% в общем объеме производства отрасли</w:t>
      </w:r>
      <w:r w:rsidR="00B3764E"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 w:rsidR="00B3764E" w:rsidRPr="000A384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4238ED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работы по модернизации производства, </w:t>
      </w:r>
      <w:r w:rsidR="001B08F6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направленные на</w:t>
      </w:r>
      <w:r w:rsidR="00276DCC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снижение </w:t>
      </w:r>
      <w:r w:rsidR="004238ED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себестоимости продукции</w:t>
      </w:r>
      <w:r w:rsidR="001B08F6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кроме того,</w:t>
      </w:r>
      <w:r w:rsidR="004238ED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764E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предпринимается ряд</w:t>
      </w:r>
      <w:proofErr w:type="gramEnd"/>
      <w:r w:rsidR="00B3764E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 по улучшению </w:t>
      </w:r>
      <w:r w:rsidR="004238ED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экологическ</w:t>
      </w:r>
      <w:r w:rsidR="00B3764E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4238ED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составляющ</w:t>
      </w:r>
      <w:r w:rsidR="00B3764E" w:rsidRPr="000A38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</w:t>
      </w:r>
      <w:r w:rsidR="00585414" w:rsidRPr="000A38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FD8" w:rsidRPr="000A384B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384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) по итогам </w:t>
      </w:r>
      <w:r w:rsidR="004238ED" w:rsidRPr="000A384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-февраля</w:t>
      </w:r>
      <w:r w:rsidR="004238ED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на предприятиях </w:t>
      </w:r>
      <w:r w:rsidRPr="000A384B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легкой промышленности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объем отраслевого выпуска в сопоставимых ценах сложился на 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% ниже уровня 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января-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lastRenderedPageBreak/>
        <w:t>февраля</w:t>
      </w:r>
      <w:r w:rsidR="004238ED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4238ED" w:rsidRPr="000A384B">
        <w:rPr>
          <w:rFonts w:ascii="Times New Roman" w:eastAsia="Times New Roman" w:hAnsi="Times New Roman" w:cs="Times New Roman"/>
          <w:sz w:val="24"/>
          <w:szCs w:val="24"/>
        </w:rPr>
        <w:t>Между тем, на р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яде предприятий отрасли в рассматриваемом периоде</w:t>
      </w:r>
      <w:r w:rsidR="004238ED" w:rsidRPr="000A384B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положительная динамика объема промышленного производства. </w:t>
      </w:r>
      <w:proofErr w:type="gramStart"/>
      <w:r w:rsidR="004238ED" w:rsidRPr="000A384B">
        <w:rPr>
          <w:rFonts w:ascii="Times New Roman" w:eastAsia="Times New Roman" w:hAnsi="Times New Roman" w:cs="Times New Roman"/>
          <w:sz w:val="24"/>
          <w:szCs w:val="24"/>
        </w:rPr>
        <w:t>Так о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пределяющее влияние на отраслевой показатель оказывает работа крупнейшего предприятия отрасли ЗАО «</w:t>
      </w:r>
      <w:proofErr w:type="spellStart"/>
      <w:r w:rsidRPr="000A384B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Pr="000A384B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4238ED" w:rsidRPr="000A384B">
        <w:rPr>
          <w:rFonts w:ascii="Times New Roman" w:eastAsia="Times New Roman" w:hAnsi="Times New Roman" w:cs="Times New Roman"/>
          <w:sz w:val="24"/>
          <w:szCs w:val="24"/>
        </w:rPr>
        <w:t>5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0</w:t>
      </w:r>
      <w:r w:rsidR="004238ED" w:rsidRPr="000A384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выпуска), </w:t>
      </w:r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увеличившего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свой товарный выпуск за рассматриваемый период на 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12,1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 xml:space="preserve">Также увеличение 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товарного выпуска отмечено на ЗАО «</w:t>
      </w:r>
      <w:proofErr w:type="spellStart"/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 xml:space="preserve">» им. В.Соловьевой – на 32,4%, </w:t>
      </w:r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ЗАО «Швейная фирма «</w:t>
      </w:r>
      <w:proofErr w:type="spellStart"/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 xml:space="preserve">» - на 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29,9</w:t>
      </w:r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%, и</w:t>
      </w:r>
      <w:r w:rsidR="00B84046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д</w:t>
      </w:r>
      <w:r w:rsidR="00B84046" w:rsidRPr="000A384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. Достигнутые результаты в значительной мере обусловлены оказанием государственной поддержки 4 предприятиям легкой промышленности (ЗАО</w:t>
      </w:r>
      <w:proofErr w:type="gramEnd"/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», ЗАО «</w:t>
      </w:r>
      <w:proofErr w:type="spellStart"/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 xml:space="preserve">» им. В.Соловьевой, ЗАО «Швейная фирма» </w:t>
      </w:r>
      <w:proofErr w:type="spellStart"/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Софтшуз</w:t>
      </w:r>
      <w:proofErr w:type="spellEnd"/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>») в виде льготных тарифов на энергоносители и льгот по налогу на доходы.</w:t>
      </w:r>
      <w:proofErr w:type="gramEnd"/>
    </w:p>
    <w:p w:rsidR="00AE0D34" w:rsidRPr="000A384B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4FD8" w:rsidRPr="000A384B">
        <w:rPr>
          <w:rFonts w:ascii="Times New Roman" w:eastAsia="Times New Roman" w:hAnsi="Times New Roman" w:cs="Times New Roman"/>
          <w:sz w:val="24"/>
          <w:szCs w:val="24"/>
        </w:rPr>
        <w:t xml:space="preserve">2016 года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рю 201</w:t>
      </w:r>
      <w:r w:rsidR="00F13905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предприятия отрасли демонстрируют </w:t>
      </w:r>
      <w:r w:rsidR="00B84046" w:rsidRPr="000A384B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объема промышленного производства на </w:t>
      </w:r>
      <w:r w:rsidR="00EF4CD0" w:rsidRPr="000A384B">
        <w:rPr>
          <w:rFonts w:ascii="Times New Roman" w:eastAsia="Times New Roman" w:hAnsi="Times New Roman" w:cs="Times New Roman"/>
          <w:sz w:val="24"/>
          <w:szCs w:val="24"/>
        </w:rPr>
        <w:t>37,1</w:t>
      </w:r>
      <w:r w:rsidR="00D0124A" w:rsidRPr="000A384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E0D34" w:rsidRPr="000A384B" w:rsidRDefault="00AE0D34" w:rsidP="00AE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81725" cy="1762125"/>
            <wp:effectExtent l="0" t="0" r="0" b="0"/>
            <wp:docPr id="1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0D34" w:rsidRPr="000A384B" w:rsidRDefault="005A630C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384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AE0D34" w:rsidRPr="000A384B">
        <w:rPr>
          <w:rFonts w:ascii="Times New Roman" w:eastAsia="Times New Roman" w:hAnsi="Times New Roman" w:cs="Times New Roman"/>
          <w:b/>
          <w:sz w:val="24"/>
          <w:szCs w:val="24"/>
        </w:rPr>
        <w:t>мукомольно-крупяной и комбикормовой промышленности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по итогам       </w:t>
      </w:r>
      <w:r w:rsidR="00434C99" w:rsidRPr="000A384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8006DC" w:rsidRPr="000A384B">
        <w:rPr>
          <w:rFonts w:ascii="Times New Roman" w:eastAsia="Times New Roman" w:hAnsi="Times New Roman" w:cs="Times New Roman"/>
          <w:sz w:val="24"/>
          <w:szCs w:val="24"/>
        </w:rPr>
        <w:t>-февраля</w:t>
      </w:r>
      <w:r w:rsidR="00434C99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отмечается снижение выпуска готовой продукции в сопоставимых ценах на </w:t>
      </w:r>
      <w:r w:rsidR="008006DC" w:rsidRPr="000A384B">
        <w:rPr>
          <w:rFonts w:ascii="Times New Roman" w:eastAsia="Times New Roman" w:hAnsi="Times New Roman" w:cs="Times New Roman"/>
          <w:sz w:val="24"/>
          <w:szCs w:val="24"/>
        </w:rPr>
        <w:t>10,0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%, что вызвано в основном сокращением объемов производства на</w:t>
      </w:r>
      <w:r w:rsidR="00434C99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ЗАО «</w:t>
      </w:r>
      <w:r w:rsidR="008006DC" w:rsidRPr="000A384B">
        <w:rPr>
          <w:rFonts w:ascii="Times New Roman" w:eastAsia="Times New Roman" w:hAnsi="Times New Roman" w:cs="Times New Roman"/>
          <w:sz w:val="24"/>
          <w:szCs w:val="24"/>
        </w:rPr>
        <w:t>Тирасполь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ский комбинат хлебопродуктов» на </w:t>
      </w:r>
      <w:r w:rsidR="008006DC" w:rsidRPr="000A384B">
        <w:rPr>
          <w:rFonts w:ascii="Times New Roman" w:eastAsia="Times New Roman" w:hAnsi="Times New Roman" w:cs="Times New Roman"/>
          <w:sz w:val="24"/>
          <w:szCs w:val="24"/>
        </w:rPr>
        <w:t>8,6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%, ввиду </w:t>
      </w:r>
      <w:r w:rsidR="00EF77F9" w:rsidRPr="000A384B">
        <w:rPr>
          <w:rFonts w:ascii="Times New Roman" w:hAnsi="Times New Roman"/>
          <w:sz w:val="24"/>
          <w:szCs w:val="24"/>
        </w:rPr>
        <w:t xml:space="preserve">жесткой конкуренции на </w:t>
      </w:r>
      <w:r w:rsidR="006E4DD2" w:rsidRPr="000A384B">
        <w:rPr>
          <w:rFonts w:ascii="Times New Roman" w:hAnsi="Times New Roman"/>
          <w:sz w:val="24"/>
          <w:szCs w:val="24"/>
        </w:rPr>
        <w:t xml:space="preserve">отраслевом </w:t>
      </w:r>
      <w:r w:rsidR="00EF77F9" w:rsidRPr="000A384B">
        <w:rPr>
          <w:rFonts w:ascii="Times New Roman" w:hAnsi="Times New Roman"/>
          <w:sz w:val="24"/>
          <w:szCs w:val="24"/>
        </w:rPr>
        <w:t xml:space="preserve">рынке, </w:t>
      </w:r>
      <w:r w:rsidR="006E4DD2" w:rsidRPr="000A384B">
        <w:rPr>
          <w:rFonts w:ascii="Times New Roman" w:hAnsi="Times New Roman"/>
          <w:sz w:val="24"/>
          <w:szCs w:val="24"/>
        </w:rPr>
        <w:t xml:space="preserve">из-за </w:t>
      </w:r>
      <w:r w:rsidR="00EF77F9" w:rsidRPr="000A384B">
        <w:rPr>
          <w:rFonts w:ascii="Times New Roman" w:hAnsi="Times New Roman"/>
          <w:color w:val="262626"/>
          <w:sz w:val="24"/>
          <w:szCs w:val="24"/>
        </w:rPr>
        <w:t xml:space="preserve">импорта товаров </w:t>
      </w:r>
      <w:r w:rsidR="006E4DD2" w:rsidRPr="000A384B">
        <w:rPr>
          <w:rFonts w:ascii="Times New Roman" w:hAnsi="Times New Roman"/>
          <w:color w:val="262626"/>
          <w:sz w:val="24"/>
          <w:szCs w:val="24"/>
        </w:rPr>
        <w:t xml:space="preserve">по более низким ценам </w:t>
      </w:r>
      <w:r w:rsidR="00EF77F9" w:rsidRPr="000A384B">
        <w:rPr>
          <w:rFonts w:ascii="Times New Roman" w:hAnsi="Times New Roman"/>
          <w:color w:val="262626"/>
          <w:sz w:val="24"/>
          <w:szCs w:val="24"/>
        </w:rPr>
        <w:t>из сопредельных государств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При этом </w:t>
      </w:r>
      <w:r w:rsidR="008006DC" w:rsidRPr="000A384B">
        <w:rPr>
          <w:rFonts w:ascii="Times New Roman" w:eastAsia="Times New Roman" w:hAnsi="Times New Roman" w:cs="Times New Roman"/>
          <w:sz w:val="24"/>
          <w:szCs w:val="24"/>
        </w:rPr>
        <w:t>феврал</w:t>
      </w:r>
      <w:r w:rsidR="00E54656" w:rsidRPr="000A384B">
        <w:rPr>
          <w:rFonts w:ascii="Times New Roman" w:eastAsia="Times New Roman" w:hAnsi="Times New Roman" w:cs="Times New Roman"/>
          <w:sz w:val="24"/>
          <w:szCs w:val="24"/>
        </w:rPr>
        <w:t>е 2016 года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</w:t>
      </w:r>
      <w:r w:rsidR="008006DC" w:rsidRPr="000A384B">
        <w:rPr>
          <w:rFonts w:ascii="Times New Roman" w:eastAsia="Times New Roman" w:hAnsi="Times New Roman" w:cs="Times New Roman"/>
          <w:sz w:val="24"/>
          <w:szCs w:val="24"/>
        </w:rPr>
        <w:t>январю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006DC" w:rsidRPr="000A384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года на фоне </w:t>
      </w:r>
      <w:r w:rsidR="00F375C0" w:rsidRPr="000A384B">
        <w:rPr>
          <w:rFonts w:ascii="Times New Roman" w:eastAsia="Times New Roman" w:hAnsi="Times New Roman" w:cs="Times New Roman"/>
          <w:sz w:val="24"/>
          <w:szCs w:val="24"/>
        </w:rPr>
        <w:t xml:space="preserve">увеличения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объемов производства круп</w:t>
      </w:r>
      <w:r w:rsidR="008006DC" w:rsidRPr="000A384B">
        <w:rPr>
          <w:rFonts w:ascii="Times New Roman" w:eastAsia="Times New Roman" w:hAnsi="Times New Roman" w:cs="Times New Roman"/>
          <w:sz w:val="24"/>
          <w:szCs w:val="24"/>
        </w:rPr>
        <w:t xml:space="preserve"> («+»10,5%)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656" w:rsidRPr="000A384B">
        <w:rPr>
          <w:rFonts w:ascii="Times New Roman" w:eastAsia="Times New Roman" w:hAnsi="Times New Roman" w:cs="Times New Roman"/>
          <w:sz w:val="24"/>
          <w:szCs w:val="24"/>
        </w:rPr>
        <w:t>и муки</w:t>
      </w:r>
      <w:r w:rsidR="008006DC" w:rsidRPr="000A384B">
        <w:rPr>
          <w:rFonts w:ascii="Times New Roman" w:eastAsia="Times New Roman" w:hAnsi="Times New Roman" w:cs="Times New Roman"/>
          <w:sz w:val="24"/>
          <w:szCs w:val="24"/>
        </w:rPr>
        <w:t xml:space="preserve"> («+»</w:t>
      </w:r>
      <w:r w:rsidR="00F375C0" w:rsidRPr="000A384B">
        <w:rPr>
          <w:rFonts w:ascii="Times New Roman" w:eastAsia="Times New Roman" w:hAnsi="Times New Roman" w:cs="Times New Roman"/>
          <w:sz w:val="24"/>
          <w:szCs w:val="24"/>
        </w:rPr>
        <w:t>9,8</w:t>
      </w:r>
      <w:r w:rsidR="008006DC" w:rsidRPr="000A384B">
        <w:rPr>
          <w:rFonts w:ascii="Times New Roman" w:eastAsia="Times New Roman" w:hAnsi="Times New Roman" w:cs="Times New Roman"/>
          <w:sz w:val="24"/>
          <w:szCs w:val="24"/>
        </w:rPr>
        <w:t>%)</w:t>
      </w:r>
      <w:r w:rsidR="00E54656" w:rsidRPr="000A38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отмечен </w:t>
      </w:r>
      <w:r w:rsidR="00B84046" w:rsidRPr="000A384B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F375C0" w:rsidRPr="000A384B">
        <w:rPr>
          <w:rFonts w:ascii="Times New Roman" w:eastAsia="Times New Roman" w:hAnsi="Times New Roman" w:cs="Times New Roman"/>
          <w:sz w:val="24"/>
          <w:szCs w:val="24"/>
        </w:rPr>
        <w:t>рост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 xml:space="preserve"> объема производства по отрасли на </w:t>
      </w:r>
      <w:r w:rsidR="00F375C0" w:rsidRPr="000A384B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AE0D34" w:rsidRPr="000A384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E0D34" w:rsidRPr="000A384B" w:rsidRDefault="005A630C" w:rsidP="005A6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A384B">
        <w:rPr>
          <w:rFonts w:ascii="Times New Roman" w:hAnsi="Times New Roman"/>
          <w:color w:val="000000"/>
          <w:sz w:val="24"/>
          <w:szCs w:val="24"/>
        </w:rPr>
        <w:t xml:space="preserve">ж) в </w:t>
      </w:r>
      <w:r w:rsidRPr="000A384B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0A384B">
        <w:rPr>
          <w:rFonts w:ascii="Times New Roman" w:hAnsi="Times New Roman"/>
          <w:color w:val="000000"/>
          <w:sz w:val="24"/>
          <w:szCs w:val="24"/>
        </w:rPr>
        <w:t xml:space="preserve"> на фоне падения потребительского спроса на такие виды продукции как </w:t>
      </w:r>
      <w:proofErr w:type="spellStart"/>
      <w:r w:rsidRPr="000A384B">
        <w:rPr>
          <w:rFonts w:ascii="Times New Roman" w:hAnsi="Times New Roman"/>
          <w:color w:val="000000"/>
          <w:sz w:val="24"/>
          <w:szCs w:val="24"/>
        </w:rPr>
        <w:t>изоиздания</w:t>
      </w:r>
      <w:proofErr w:type="spellEnd"/>
      <w:r w:rsidRPr="000A384B">
        <w:rPr>
          <w:rFonts w:ascii="Times New Roman" w:hAnsi="Times New Roman"/>
          <w:color w:val="000000"/>
          <w:sz w:val="24"/>
          <w:szCs w:val="24"/>
        </w:rPr>
        <w:t xml:space="preserve"> («-»</w:t>
      </w:r>
      <w:r w:rsidR="000D1199" w:rsidRPr="000A384B">
        <w:rPr>
          <w:rFonts w:ascii="Times New Roman" w:hAnsi="Times New Roman"/>
          <w:color w:val="000000"/>
          <w:sz w:val="24"/>
          <w:szCs w:val="24"/>
        </w:rPr>
        <w:t>57,9</w:t>
      </w:r>
      <w:r w:rsidRPr="000A384B">
        <w:rPr>
          <w:rFonts w:ascii="Times New Roman" w:hAnsi="Times New Roman"/>
          <w:color w:val="000000"/>
          <w:sz w:val="24"/>
          <w:szCs w:val="24"/>
        </w:rPr>
        <w:t>%), книги («-»7</w:t>
      </w:r>
      <w:r w:rsidR="000D1199" w:rsidRPr="000A384B">
        <w:rPr>
          <w:rFonts w:ascii="Times New Roman" w:hAnsi="Times New Roman"/>
          <w:color w:val="000000"/>
          <w:sz w:val="24"/>
          <w:szCs w:val="24"/>
        </w:rPr>
        <w:t>9</w:t>
      </w:r>
      <w:r w:rsidRPr="000A384B">
        <w:rPr>
          <w:rFonts w:ascii="Times New Roman" w:hAnsi="Times New Roman"/>
          <w:color w:val="000000"/>
          <w:sz w:val="24"/>
          <w:szCs w:val="24"/>
        </w:rPr>
        <w:t>,2%) и этикеточные обертки печатные («-»</w:t>
      </w:r>
      <w:r w:rsidR="000D1199" w:rsidRPr="000A384B">
        <w:rPr>
          <w:rFonts w:ascii="Times New Roman" w:hAnsi="Times New Roman"/>
          <w:color w:val="000000"/>
          <w:sz w:val="24"/>
          <w:szCs w:val="24"/>
        </w:rPr>
        <w:t>58,2</w:t>
      </w:r>
      <w:r w:rsidRPr="000A384B">
        <w:rPr>
          <w:rFonts w:ascii="Times New Roman" w:hAnsi="Times New Roman"/>
          <w:color w:val="000000"/>
          <w:sz w:val="24"/>
          <w:szCs w:val="24"/>
        </w:rPr>
        <w:t>%) совокупная стоимостная величина товарного выпуска отрасли в январе</w:t>
      </w:r>
      <w:r w:rsidR="000D1199" w:rsidRPr="000A384B">
        <w:rPr>
          <w:rFonts w:ascii="Times New Roman" w:hAnsi="Times New Roman"/>
          <w:color w:val="000000"/>
          <w:sz w:val="24"/>
          <w:szCs w:val="24"/>
        </w:rPr>
        <w:t>-феврале</w:t>
      </w:r>
      <w:r w:rsidRPr="000A384B">
        <w:rPr>
          <w:rFonts w:ascii="Times New Roman" w:hAnsi="Times New Roman"/>
          <w:color w:val="000000"/>
          <w:sz w:val="24"/>
          <w:szCs w:val="24"/>
        </w:rPr>
        <w:t xml:space="preserve"> 2016 года сократилась по отношению к базисному значению 2015 года на 5</w:t>
      </w:r>
      <w:r w:rsidR="000D1199" w:rsidRPr="000A384B">
        <w:rPr>
          <w:rFonts w:ascii="Times New Roman" w:hAnsi="Times New Roman"/>
          <w:color w:val="000000"/>
          <w:sz w:val="24"/>
          <w:szCs w:val="24"/>
        </w:rPr>
        <w:t>6</w:t>
      </w:r>
      <w:r w:rsidRPr="000A384B">
        <w:rPr>
          <w:rFonts w:ascii="Times New Roman" w:hAnsi="Times New Roman"/>
          <w:color w:val="000000"/>
          <w:sz w:val="24"/>
          <w:szCs w:val="24"/>
        </w:rPr>
        <w:t>,</w:t>
      </w:r>
      <w:r w:rsidR="000D1199" w:rsidRPr="000A384B">
        <w:rPr>
          <w:rFonts w:ascii="Times New Roman" w:hAnsi="Times New Roman"/>
          <w:color w:val="000000"/>
          <w:sz w:val="24"/>
          <w:szCs w:val="24"/>
        </w:rPr>
        <w:t>4</w:t>
      </w:r>
      <w:r w:rsidRPr="000A384B">
        <w:rPr>
          <w:rFonts w:ascii="Times New Roman" w:hAnsi="Times New Roman"/>
          <w:color w:val="000000"/>
          <w:sz w:val="24"/>
          <w:szCs w:val="24"/>
        </w:rPr>
        <w:t>%. При этом 7</w:t>
      </w:r>
      <w:r w:rsidR="000D1199" w:rsidRPr="000A384B">
        <w:rPr>
          <w:rFonts w:ascii="Times New Roman" w:hAnsi="Times New Roman"/>
          <w:color w:val="000000"/>
          <w:sz w:val="24"/>
          <w:szCs w:val="24"/>
        </w:rPr>
        <w:t>5</w:t>
      </w:r>
      <w:r w:rsidRPr="000A384B">
        <w:rPr>
          <w:rFonts w:ascii="Times New Roman" w:hAnsi="Times New Roman"/>
          <w:color w:val="000000"/>
          <w:sz w:val="24"/>
          <w:szCs w:val="24"/>
        </w:rPr>
        <w:t>,</w:t>
      </w:r>
      <w:r w:rsidR="000D1199" w:rsidRPr="000A384B">
        <w:rPr>
          <w:rFonts w:ascii="Times New Roman" w:hAnsi="Times New Roman"/>
          <w:color w:val="000000"/>
          <w:sz w:val="24"/>
          <w:szCs w:val="24"/>
        </w:rPr>
        <w:t>6</w:t>
      </w:r>
      <w:r w:rsidRPr="000A384B">
        <w:rPr>
          <w:rFonts w:ascii="Times New Roman" w:hAnsi="Times New Roman"/>
          <w:color w:val="000000"/>
          <w:sz w:val="24"/>
          <w:szCs w:val="24"/>
        </w:rPr>
        <w:t xml:space="preserve">% общего </w:t>
      </w:r>
      <w:r w:rsidR="00DB7CE2" w:rsidRPr="000A384B">
        <w:rPr>
          <w:rFonts w:ascii="Times New Roman" w:hAnsi="Times New Roman"/>
          <w:color w:val="000000"/>
          <w:sz w:val="24"/>
          <w:szCs w:val="24"/>
        </w:rPr>
        <w:t>объема производства</w:t>
      </w:r>
      <w:r w:rsidRPr="000A384B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0A384B"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 w:rsidRPr="000A384B">
        <w:rPr>
          <w:rFonts w:ascii="Times New Roman" w:hAnsi="Times New Roman"/>
          <w:color w:val="000000"/>
          <w:sz w:val="24"/>
          <w:szCs w:val="24"/>
        </w:rPr>
        <w:t xml:space="preserve"> обеспечено ГУИП Типография «Полиграфист», объем промышленного производства которого, на</w:t>
      </w:r>
      <w:proofErr w:type="gramEnd"/>
      <w:r w:rsidRPr="000A38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A384B">
        <w:rPr>
          <w:rFonts w:ascii="Times New Roman" w:hAnsi="Times New Roman"/>
          <w:color w:val="000000"/>
          <w:sz w:val="24"/>
          <w:szCs w:val="24"/>
        </w:rPr>
        <w:t>фоне</w:t>
      </w:r>
      <w:proofErr w:type="gramEnd"/>
      <w:r w:rsidRPr="000A384B">
        <w:rPr>
          <w:rFonts w:ascii="Times New Roman" w:hAnsi="Times New Roman"/>
          <w:color w:val="000000"/>
          <w:sz w:val="24"/>
          <w:szCs w:val="24"/>
        </w:rPr>
        <w:t xml:space="preserve"> сокращения заказов по изданию учебной литературы для общеобразовательных учреждений, в январе</w:t>
      </w:r>
      <w:r w:rsidR="006B0877" w:rsidRPr="000A384B">
        <w:rPr>
          <w:rFonts w:ascii="Times New Roman" w:hAnsi="Times New Roman"/>
          <w:color w:val="000000"/>
          <w:sz w:val="24"/>
          <w:szCs w:val="24"/>
        </w:rPr>
        <w:t>-феврале</w:t>
      </w:r>
      <w:r w:rsidRPr="000A384B">
        <w:rPr>
          <w:rFonts w:ascii="Times New Roman" w:hAnsi="Times New Roman"/>
          <w:color w:val="000000"/>
          <w:sz w:val="24"/>
          <w:szCs w:val="24"/>
        </w:rPr>
        <w:t xml:space="preserve"> 2016 года снизился на 5</w:t>
      </w:r>
      <w:r w:rsidR="000D1199" w:rsidRPr="000A384B">
        <w:rPr>
          <w:rFonts w:ascii="Times New Roman" w:hAnsi="Times New Roman"/>
          <w:color w:val="000000"/>
          <w:sz w:val="24"/>
          <w:szCs w:val="24"/>
        </w:rPr>
        <w:t>9</w:t>
      </w:r>
      <w:r w:rsidRPr="000A384B">
        <w:rPr>
          <w:rFonts w:ascii="Times New Roman" w:hAnsi="Times New Roman"/>
          <w:color w:val="000000"/>
          <w:sz w:val="24"/>
          <w:szCs w:val="24"/>
        </w:rPr>
        <w:t>,</w:t>
      </w:r>
      <w:r w:rsidR="000D1199" w:rsidRPr="000A384B">
        <w:rPr>
          <w:rFonts w:ascii="Times New Roman" w:hAnsi="Times New Roman"/>
          <w:color w:val="000000"/>
          <w:sz w:val="24"/>
          <w:szCs w:val="24"/>
        </w:rPr>
        <w:t>6</w:t>
      </w:r>
      <w:r w:rsidRPr="000A384B">
        <w:rPr>
          <w:rFonts w:ascii="Times New Roman" w:hAnsi="Times New Roman"/>
          <w:color w:val="000000"/>
          <w:sz w:val="24"/>
          <w:szCs w:val="24"/>
        </w:rPr>
        <w:t>% относительно соответствующего периода прошлого года.</w:t>
      </w:r>
    </w:p>
    <w:p w:rsidR="00B84046" w:rsidRPr="000A384B" w:rsidRDefault="00B84046" w:rsidP="00B84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достигнутые значения показателей промышленного производства свидетельствуют о нестабильной ситуации на предприятиях индустрии. </w:t>
      </w:r>
      <w:proofErr w:type="gramStart"/>
      <w:r w:rsidRPr="000A384B">
        <w:rPr>
          <w:rFonts w:ascii="Times New Roman" w:eastAsia="Times New Roman" w:hAnsi="Times New Roman" w:cs="Times New Roman"/>
          <w:sz w:val="24"/>
          <w:szCs w:val="24"/>
        </w:rPr>
        <w:t>Неблагоприятная конъюнктурная ситуация на мировых товарных и сырьевых рынках, трудности с выходом на внешние рынки, в совокупности с внутренними проблемами (</w:t>
      </w:r>
      <w:r w:rsidRPr="000A384B">
        <w:rPr>
          <w:rFonts w:ascii="Times New Roman" w:hAnsi="Times New Roman"/>
          <w:sz w:val="24"/>
          <w:szCs w:val="24"/>
        </w:rPr>
        <w:t>з</w:t>
      </w:r>
      <w:r w:rsidRPr="000A384B">
        <w:rPr>
          <w:rFonts w:ascii="Times New Roman" w:eastAsia="MS Mincho" w:hAnsi="Times New Roman"/>
          <w:sz w:val="24"/>
          <w:szCs w:val="24"/>
        </w:rPr>
        <w:t xml:space="preserve">начительный физический и моральный износ основных фондов, </w:t>
      </w:r>
      <w:r w:rsidRPr="000A384B">
        <w:rPr>
          <w:rFonts w:ascii="Times New Roman" w:hAnsi="Times New Roman"/>
          <w:sz w:val="24"/>
          <w:szCs w:val="24"/>
        </w:rPr>
        <w:t xml:space="preserve">устаревшая структура промышленного производства, невысокая доля в выпуске наукоемкой, высокотехнологичной продукции, техническое и технологическое отставание отечественных предприятий от мирового уровня и др.) </w:t>
      </w:r>
      <w:r w:rsidRPr="000A384B">
        <w:rPr>
          <w:rFonts w:ascii="Times New Roman" w:eastAsia="Times New Roman" w:hAnsi="Times New Roman" w:cs="Times New Roman"/>
          <w:sz w:val="24"/>
          <w:szCs w:val="24"/>
        </w:rPr>
        <w:t>продолжали оказывать дестабилизирующее воздействие на результаты деятельности предприятий индустрии в январе-феврале</w:t>
      </w:r>
      <w:proofErr w:type="gramEnd"/>
      <w:r w:rsidRPr="000A384B">
        <w:rPr>
          <w:rFonts w:ascii="Times New Roman" w:eastAsia="Times New Roman" w:hAnsi="Times New Roman" w:cs="Times New Roman"/>
          <w:sz w:val="24"/>
          <w:szCs w:val="24"/>
        </w:rPr>
        <w:t xml:space="preserve"> 2016 года.</w:t>
      </w:r>
    </w:p>
    <w:p w:rsidR="00DE3D7D" w:rsidRPr="000A384B" w:rsidRDefault="00DE3D7D" w:rsidP="005A6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26412" w:rsidRPr="000A384B" w:rsidRDefault="00926412" w:rsidP="00DE3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6412" w:rsidRPr="000A384B" w:rsidRDefault="00926412" w:rsidP="00DE3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E3D7D" w:rsidRPr="000A384B" w:rsidRDefault="00DE3D7D" w:rsidP="00DE3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A384B">
        <w:rPr>
          <w:rFonts w:ascii="Times New Roman" w:hAnsi="Times New Roman"/>
          <w:b/>
          <w:sz w:val="24"/>
          <w:szCs w:val="24"/>
          <w:u w:val="single"/>
        </w:rPr>
        <w:lastRenderedPageBreak/>
        <w:t>В</w:t>
      </w:r>
      <w:r w:rsidRPr="000A384B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DE3D7D" w:rsidRPr="000A384B" w:rsidRDefault="00DE3D7D" w:rsidP="00DE3D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sz w:val="24"/>
          <w:szCs w:val="24"/>
        </w:rPr>
        <w:t xml:space="preserve">В январе – феврале 2016 года на фоне спада производства, складывающейся нестабильной ситуации в сопредельных государствах, дефицита оборотных средств и неустойчивой позиции отечественных предприятий на мировых рынках отмечается тенденция </w:t>
      </w:r>
      <w:proofErr w:type="gramStart"/>
      <w:r w:rsidRPr="000A384B">
        <w:rPr>
          <w:rFonts w:ascii="Times New Roman" w:hAnsi="Times New Roman"/>
          <w:sz w:val="24"/>
          <w:szCs w:val="24"/>
        </w:rPr>
        <w:t>снижения объемных показателей внешнеэкономической деятельности хозяйствующих субъектов республики</w:t>
      </w:r>
      <w:proofErr w:type="gramEnd"/>
      <w:r w:rsidRPr="000A384B">
        <w:rPr>
          <w:rFonts w:ascii="Times New Roman" w:hAnsi="Times New Roman"/>
          <w:sz w:val="24"/>
          <w:szCs w:val="24"/>
        </w:rPr>
        <w:t xml:space="preserve"> с динамикой углубления. Так совокупный объем внешнеторгового оборота в январе – феврале текущего года по отношению к базовому показателю 2015 года снизился на 28,8% до 209,3 млн. долл., при этом объем экспортных и импортных поставок сократился на 8,7% до 76,4 млн. долл. и на 36,8% </w:t>
      </w:r>
      <w:proofErr w:type="gramStart"/>
      <w:r w:rsidRPr="000A384B">
        <w:rPr>
          <w:rFonts w:ascii="Times New Roman" w:hAnsi="Times New Roman"/>
          <w:sz w:val="24"/>
          <w:szCs w:val="24"/>
        </w:rPr>
        <w:t>до</w:t>
      </w:r>
      <w:proofErr w:type="gramEnd"/>
      <w:r w:rsidRPr="000A384B">
        <w:rPr>
          <w:rFonts w:ascii="Times New Roman" w:hAnsi="Times New Roman"/>
          <w:sz w:val="24"/>
          <w:szCs w:val="24"/>
        </w:rPr>
        <w:t xml:space="preserve"> 133,0 млн. долл. соответственно. На этом фоне сальдо внешнеторгового оборота составило 56,6 млн. долл., против 126,6 млн. долл. в январе – феврале минувшего года.</w:t>
      </w:r>
    </w:p>
    <w:p w:rsidR="00DE3D7D" w:rsidRPr="000A384B" w:rsidRDefault="00DE3D7D" w:rsidP="00DE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sz w:val="24"/>
          <w:szCs w:val="24"/>
        </w:rPr>
        <w:t>Сравнивая данные показатели за февраль текущего года с уровнем января, необходимо отметить превышение на 27,1% и 32,7% объемов экспорта и импорта соответственно, при этом совокупный внешнеторговый оборот хозяйствующих субъектов также вырос на 30,6%.</w:t>
      </w:r>
    </w:p>
    <w:p w:rsidR="00DE3D7D" w:rsidRPr="000A384B" w:rsidRDefault="00DE3D7D" w:rsidP="00DE3D7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3D7D" w:rsidRPr="000A384B" w:rsidRDefault="00DE3D7D" w:rsidP="00DE3D7D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0A384B">
        <w:rPr>
          <w:b/>
          <w:sz w:val="24"/>
          <w:szCs w:val="24"/>
        </w:rPr>
        <w:t>Динамика внешнеторгового оборота в январе – феврале 2015 – 2016 г.г.</w:t>
      </w:r>
    </w:p>
    <w:p w:rsidR="00DE3D7D" w:rsidRPr="000A384B" w:rsidRDefault="00DE3D7D" w:rsidP="00DE3D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4025" cy="19050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E3D7D" w:rsidRPr="000A384B" w:rsidRDefault="00DE3D7D" w:rsidP="00DE3D7D">
      <w:pPr>
        <w:pStyle w:val="a5"/>
      </w:pPr>
      <w:r w:rsidRPr="000A384B">
        <w:t>Товарная структура экспорта в январе-феврале текущего года, на фоне неблагоприятной ценовой конъюнктуры на мировых рынках и недостаточном уровне спроса на отечественную продукцию, характеризовалась следующим образом:</w:t>
      </w:r>
    </w:p>
    <w:p w:rsidR="00DE3D7D" w:rsidRPr="000A384B" w:rsidRDefault="00DE3D7D" w:rsidP="00DE3D7D">
      <w:pPr>
        <w:pStyle w:val="a5"/>
        <w:jc w:val="center"/>
        <w:rPr>
          <w:b/>
        </w:rPr>
      </w:pPr>
    </w:p>
    <w:p w:rsidR="00DE3D7D" w:rsidRPr="000A384B" w:rsidRDefault="00DE3D7D" w:rsidP="00DE3D7D">
      <w:pPr>
        <w:pStyle w:val="a5"/>
        <w:jc w:val="center"/>
        <w:rPr>
          <w:b/>
        </w:rPr>
      </w:pPr>
      <w:r w:rsidRPr="000A384B">
        <w:rPr>
          <w:b/>
        </w:rPr>
        <w:t>Товарная структура экспорта, млн. долл. США</w:t>
      </w:r>
    </w:p>
    <w:p w:rsidR="00DE3D7D" w:rsidRPr="000A384B" w:rsidRDefault="00DE3D7D" w:rsidP="00DE3D7D">
      <w:pPr>
        <w:pStyle w:val="a5"/>
        <w:ind w:firstLine="0"/>
        <w:jc w:val="center"/>
        <w:rPr>
          <w:b/>
        </w:rPr>
      </w:pPr>
      <w:r w:rsidRPr="000A384B">
        <w:rPr>
          <w:b/>
          <w:noProof/>
        </w:rPr>
        <w:drawing>
          <wp:inline distT="0" distB="0" distL="0" distR="0">
            <wp:extent cx="5934075" cy="2924175"/>
            <wp:effectExtent l="0" t="0" r="0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3D7D" w:rsidRPr="000A384B" w:rsidRDefault="00DE3D7D" w:rsidP="00DE3D7D">
      <w:pPr>
        <w:pStyle w:val="a5"/>
        <w:ind w:firstLine="0"/>
        <w:rPr>
          <w:b/>
          <w:noProof/>
        </w:rPr>
      </w:pPr>
    </w:p>
    <w:p w:rsidR="00DE3D7D" w:rsidRPr="000A384B" w:rsidRDefault="00DE3D7D" w:rsidP="00DE3D7D">
      <w:pPr>
        <w:pStyle w:val="a5"/>
      </w:pPr>
      <w:r w:rsidRPr="000A384B">
        <w:t xml:space="preserve">В товарной структуре экспорта в обозначенном периоде лидирующую позицию при сокращении объема поставок на 3,7% сохраняют топливно-энергетические товары, их </w:t>
      </w:r>
      <w:r w:rsidRPr="000A384B">
        <w:lastRenderedPageBreak/>
        <w:t>доля составила 45,6% от совокупного объема экспорта, расширившись на 2,4 процентных пункта.</w:t>
      </w:r>
    </w:p>
    <w:p w:rsidR="00DE3D7D" w:rsidRPr="000A384B" w:rsidRDefault="00DE3D7D" w:rsidP="00DE3D7D">
      <w:pPr>
        <w:pStyle w:val="a5"/>
      </w:pPr>
      <w:proofErr w:type="gramStart"/>
      <w:r w:rsidRPr="000A384B">
        <w:t>Вторыми по величине долевого участия в формировании совокупного объема экспорта выступили металлы и изделия из них, вклад которых в структуру совокупного экспорта сложился на уровне 19,7%, расширив долевое участие по отношению к уровню базового показателя минувшего года на 3,3 процентных пункта, при этом объем их реализации за рубеж вырос на 9,7%, что связано с приостановкой производственных мощностей на ОАО «Молдавский</w:t>
      </w:r>
      <w:proofErr w:type="gramEnd"/>
      <w:r w:rsidRPr="000A384B">
        <w:t xml:space="preserve"> металлургический завод» в период января – февраля 2015 года.</w:t>
      </w:r>
    </w:p>
    <w:p w:rsidR="00DE3D7D" w:rsidRPr="000A384B" w:rsidRDefault="00DE3D7D" w:rsidP="00DE3D7D">
      <w:pPr>
        <w:pStyle w:val="a5"/>
      </w:pPr>
      <w:r w:rsidRPr="000A384B">
        <w:t xml:space="preserve">Вклад товаров легкой промышленности (текстильные материалы, одежда, текстильные изделия, обувь) на фоне неблагоприятной ситуации на внешних рынках, выразившейся в падении спроса на продукцию отрасли, при сокращении объема ее реализации за рубеж на 15,2% по отношению к январю – февралю 2015 года сузился на 1,5 процентных пункта до 20,1%. </w:t>
      </w:r>
    </w:p>
    <w:p w:rsidR="00DE3D7D" w:rsidRPr="000A384B" w:rsidRDefault="00DE3D7D" w:rsidP="00DE3D7D">
      <w:pPr>
        <w:pStyle w:val="a5"/>
      </w:pPr>
      <w:r w:rsidRPr="000A384B">
        <w:t>Экспортные поставки продовольствия в рассматриваемом периоде снизились на 30,0% по отношению к соответствующему периоду прошлого года, при этом их долевое участие в товарной структуре сократилось на 2,4 проц</w:t>
      </w:r>
      <w:r w:rsidR="00926412" w:rsidRPr="000A384B">
        <w:t>ентных пункта до 8,0%.</w:t>
      </w:r>
    </w:p>
    <w:p w:rsidR="00DE3D7D" w:rsidRPr="000A384B" w:rsidRDefault="00DE3D7D" w:rsidP="00DE3D7D">
      <w:pPr>
        <w:pStyle w:val="a5"/>
      </w:pPr>
      <w:proofErr w:type="gramStart"/>
      <w:r w:rsidRPr="000A384B">
        <w:t>Основными торговыми партнерами Приднестровья по экспортным поставкам в  январе – феврале 2016 года были Республика Молдова (49,0% совокупного экспорта,          «-» 18,0% к уровню января – февраля 2015 года), Румыния (16,6%, рост в 1,8 раз к уровню января – февраля 2015 года), Италия (8,6%, «-» 21,2% к уровню января – февраля 2015 года), Российская Федерация (4,6%, «-» 41,9% к уровню января – февраля 2015 года), Украина (5,6%, «-» 14,2% к</w:t>
      </w:r>
      <w:proofErr w:type="gramEnd"/>
      <w:r w:rsidRPr="000A384B">
        <w:t xml:space="preserve"> уровню января – февраля 2015 года)</w:t>
      </w:r>
      <w:r w:rsidR="00926412" w:rsidRPr="000A384B">
        <w:t>, Германия (6,4%, «-» 4,7% к уровню января – февраля 2015 года)</w:t>
      </w:r>
      <w:r w:rsidRPr="000A384B">
        <w:t>.</w:t>
      </w:r>
    </w:p>
    <w:p w:rsidR="00DE3D7D" w:rsidRPr="000A384B" w:rsidRDefault="00DE3D7D" w:rsidP="00DE3D7D">
      <w:pPr>
        <w:pStyle w:val="a5"/>
        <w:ind w:hanging="142"/>
      </w:pPr>
      <w:r w:rsidRPr="000A384B">
        <w:rPr>
          <w:noProof/>
        </w:rPr>
        <w:drawing>
          <wp:inline distT="0" distB="0" distL="0" distR="0">
            <wp:extent cx="6124575" cy="34004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3D7D" w:rsidRPr="000A384B" w:rsidRDefault="00DE3D7D" w:rsidP="00DE3D7D">
      <w:pPr>
        <w:pStyle w:val="2"/>
        <w:ind w:firstLine="709"/>
        <w:rPr>
          <w:sz w:val="24"/>
          <w:szCs w:val="24"/>
        </w:rPr>
      </w:pPr>
      <w:r w:rsidRPr="000A384B">
        <w:rPr>
          <w:sz w:val="24"/>
          <w:szCs w:val="24"/>
        </w:rPr>
        <w:t xml:space="preserve">Товарная структура импортных поставок в республику в январе – феврале 2016 года зависела от складывающейся ситуации на глобальных товарных рынках, обуславливалась </w:t>
      </w:r>
      <w:proofErr w:type="spellStart"/>
      <w:r w:rsidRPr="000A384B">
        <w:rPr>
          <w:sz w:val="24"/>
          <w:szCs w:val="24"/>
        </w:rPr>
        <w:t>востребованостью</w:t>
      </w:r>
      <w:proofErr w:type="spellEnd"/>
      <w:r w:rsidRPr="000A384B">
        <w:rPr>
          <w:sz w:val="24"/>
          <w:szCs w:val="24"/>
        </w:rPr>
        <w:t xml:space="preserve"> крупных предприятий индустрии в сырьевых материалах и ресурсах.</w:t>
      </w:r>
    </w:p>
    <w:p w:rsidR="00DE3D7D" w:rsidRPr="000A384B" w:rsidRDefault="00DE3D7D" w:rsidP="00DE3D7D">
      <w:pPr>
        <w:pStyle w:val="a5"/>
      </w:pPr>
      <w:r w:rsidRPr="000A384B">
        <w:t xml:space="preserve">Между тем, в товарной структуре импорта, по-прежнему, преобладал ввоз топливно-энергетических товаров, при этом их доля в общей структуре импорта сократилась до 64,4% против 70,7% в январе – феврале 2015 года, в абсолютной величине их объем сократился на 42,4%. </w:t>
      </w:r>
    </w:p>
    <w:p w:rsidR="00DE3D7D" w:rsidRPr="000A384B" w:rsidRDefault="00DE3D7D" w:rsidP="00DE3D7D">
      <w:pPr>
        <w:pStyle w:val="a5"/>
      </w:pPr>
      <w:proofErr w:type="gramStart"/>
      <w:r w:rsidRPr="000A384B">
        <w:rPr>
          <w:rFonts w:eastAsia="Times New Roman"/>
          <w:szCs w:val="24"/>
        </w:rPr>
        <w:lastRenderedPageBreak/>
        <w:t>На фоне снижения производственной активности и экспортной деятельности                        ОАО «Молдавский металлургический завод», что привело к сокращению потребности предприятия в сырьевых материалах</w:t>
      </w:r>
      <w:r w:rsidRPr="000A384B">
        <w:t>, импорт металлов и изделий из них по итогам                января – февраля 2016 года сократился на 65,3% от фактического базового показателя, сузив долевое представительство в товарной структуре до 1,8% против 3,3% в январе – феврале 2015 года.</w:t>
      </w:r>
      <w:proofErr w:type="gramEnd"/>
    </w:p>
    <w:p w:rsidR="00DE3D7D" w:rsidRPr="000A384B" w:rsidRDefault="00DE3D7D" w:rsidP="00DE3D7D">
      <w:pPr>
        <w:pStyle w:val="a5"/>
      </w:pPr>
      <w:r w:rsidRPr="000A384B">
        <w:t>Увеличение ввоза текстильных материалов в 1,7 раза предопределило расширение  импортных поставок товаров легкой промышленности в январе – феврале 2016 года на 3,2 процентных пункта до 5,4% против 2,2% в январе – феврале 2015 года, в абсолютной величине их объем вырос на 58,6%.</w:t>
      </w:r>
    </w:p>
    <w:p w:rsidR="00DE3D7D" w:rsidRPr="000A384B" w:rsidRDefault="00DE3D7D" w:rsidP="00DE3D7D">
      <w:pPr>
        <w:pStyle w:val="a5"/>
      </w:pPr>
      <w:r w:rsidRPr="000A384B">
        <w:t>В январе – феврале 2016 года на продовольственные товары (сырье) приходилось 8,2% импортных поставок в общем объеме импорта против 4,9% в базовом периоде минувшего года, при этом в денежном эквиваленте ввоз данных товаров вырос на 6,1%.</w:t>
      </w:r>
    </w:p>
    <w:p w:rsidR="00926412" w:rsidRPr="000A384B" w:rsidRDefault="00E62181" w:rsidP="00926412">
      <w:pPr>
        <w:pStyle w:val="a5"/>
      </w:pPr>
      <w:r w:rsidRPr="000A384B">
        <w:t>Расширение</w:t>
      </w:r>
      <w:r w:rsidR="00926412" w:rsidRPr="000A384B">
        <w:t xml:space="preserve"> </w:t>
      </w:r>
      <w:r w:rsidRPr="000A384B">
        <w:t xml:space="preserve">ввоза </w:t>
      </w:r>
      <w:r w:rsidR="00926412" w:rsidRPr="000A384B">
        <w:t>фармацевтическ</w:t>
      </w:r>
      <w:r w:rsidRPr="000A384B">
        <w:t>ой</w:t>
      </w:r>
      <w:r w:rsidR="00926412" w:rsidRPr="000A384B">
        <w:t xml:space="preserve"> продукци</w:t>
      </w:r>
      <w:r w:rsidRPr="000A384B">
        <w:t>и</w:t>
      </w:r>
      <w:r w:rsidR="00926412" w:rsidRPr="000A384B">
        <w:t xml:space="preserve"> </w:t>
      </w:r>
      <w:r w:rsidRPr="000A384B">
        <w:t xml:space="preserve">в рассматриваемом периоде на 11,3% обеспечило увеличение их долевого представления в товарной структуре импортных поставок от 1,2% </w:t>
      </w:r>
      <w:r w:rsidR="007B263D" w:rsidRPr="000A384B">
        <w:t>в январе-</w:t>
      </w:r>
      <w:r w:rsidRPr="000A384B">
        <w:t xml:space="preserve">феврале 2015 года, до </w:t>
      </w:r>
      <w:r w:rsidR="00926412" w:rsidRPr="000A384B">
        <w:t xml:space="preserve">2,03% </w:t>
      </w:r>
      <w:r w:rsidRPr="000A384B">
        <w:t xml:space="preserve">в январе- феврале </w:t>
      </w:r>
      <w:r w:rsidR="007B263D" w:rsidRPr="000A384B">
        <w:t xml:space="preserve">      </w:t>
      </w:r>
      <w:r w:rsidRPr="000A384B">
        <w:t>2016 года.</w:t>
      </w:r>
    </w:p>
    <w:p w:rsidR="00DE3D7D" w:rsidRPr="000A384B" w:rsidRDefault="00DE3D7D" w:rsidP="00DE3D7D">
      <w:pPr>
        <w:pStyle w:val="a5"/>
      </w:pPr>
      <w:r w:rsidRPr="000A384B">
        <w:rPr>
          <w:szCs w:val="24"/>
        </w:rPr>
        <w:t>В числе статей импорта, уступивших параметрам января – февраля 2015 года, отмечается и машиностроительная продукция, на импортные</w:t>
      </w:r>
      <w:r w:rsidRPr="000A384B">
        <w:t xml:space="preserve"> поставки которой в               рассматриваемом периоде приходилось 7,1% ввезенных товаров против 10,9% в январе – феврале 2015 года, в абсолютной величине их объем сократился на 41,5%.</w:t>
      </w:r>
    </w:p>
    <w:p w:rsidR="00DE3D7D" w:rsidRPr="000A384B" w:rsidRDefault="00DE3D7D" w:rsidP="00DE3D7D">
      <w:pPr>
        <w:pStyle w:val="a5"/>
        <w:ind w:firstLine="0"/>
      </w:pPr>
      <w:r w:rsidRPr="000A384B">
        <w:rPr>
          <w:noProof/>
        </w:rPr>
        <w:drawing>
          <wp:inline distT="0" distB="0" distL="0" distR="0">
            <wp:extent cx="5943600" cy="3352800"/>
            <wp:effectExtent l="0" t="0" r="0" b="0"/>
            <wp:docPr id="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3DD2" w:rsidRPr="000A384B" w:rsidRDefault="00BE3DD2" w:rsidP="00DE3D7D">
      <w:pPr>
        <w:pStyle w:val="a5"/>
        <w:rPr>
          <w:color w:val="000000"/>
        </w:rPr>
      </w:pPr>
    </w:p>
    <w:p w:rsidR="00DE3D7D" w:rsidRPr="000A384B" w:rsidRDefault="00DE3D7D" w:rsidP="00DE3D7D">
      <w:pPr>
        <w:pStyle w:val="a5"/>
      </w:pPr>
      <w:r w:rsidRPr="000A384B">
        <w:rPr>
          <w:color w:val="000000"/>
        </w:rPr>
        <w:t xml:space="preserve">Главными представителями в сфере импортных операций в обозначенном периоде выступали контрагенты </w:t>
      </w:r>
      <w:r w:rsidRPr="000A384B">
        <w:t>Российской Федерации (66,2% совокупного импорта, «-» 43,7% к уровню базового показателя 2015 года), Украины (6,0%, «-»22,3%), Республики Молдова (3,2%, «-»40,2%), Германии (3,4%, «-»30,1%), Республики Беларусь (2,3%, «-» 21,1%).</w:t>
      </w:r>
      <w:r w:rsidR="00AA7F1E" w:rsidRPr="000A384B">
        <w:t xml:space="preserve"> Вместе с этим следует отметить, что в увеличение ввоза хлопкового волокна в январе-феврале текущего года в 6,5 раза, обеспечило расширение объемов импорта из Р</w:t>
      </w:r>
      <w:r w:rsidR="00E62181" w:rsidRPr="000A384B">
        <w:t xml:space="preserve">еспублики Казахстан в 6,1 раза, и обусловило увеличение </w:t>
      </w:r>
      <w:r w:rsidR="00AA7F1E" w:rsidRPr="000A384B">
        <w:t>долево</w:t>
      </w:r>
      <w:r w:rsidR="00E62181" w:rsidRPr="000A384B">
        <w:t>го</w:t>
      </w:r>
      <w:r w:rsidR="00AA7F1E" w:rsidRPr="000A384B">
        <w:t xml:space="preserve"> участи</w:t>
      </w:r>
      <w:r w:rsidR="00E62181" w:rsidRPr="000A384B">
        <w:t>я в совокупном объеме импорта до 2,7% против 0,3% в январе-феврале 2015 года.</w:t>
      </w:r>
    </w:p>
    <w:p w:rsidR="00DE3D7D" w:rsidRPr="000A384B" w:rsidRDefault="00DE3D7D" w:rsidP="00DE3D7D">
      <w:pPr>
        <w:pStyle w:val="a5"/>
        <w:ind w:hanging="851"/>
      </w:pPr>
      <w:r w:rsidRPr="000A384B">
        <w:rPr>
          <w:noProof/>
        </w:rPr>
        <w:lastRenderedPageBreak/>
        <w:drawing>
          <wp:inline distT="0" distB="0" distL="0" distR="0">
            <wp:extent cx="6686550" cy="3400425"/>
            <wp:effectExtent l="0" t="0" r="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62181" w:rsidRPr="000A384B" w:rsidRDefault="00E62181" w:rsidP="00DE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D7D" w:rsidRPr="000A384B" w:rsidRDefault="00DE3D7D" w:rsidP="00DE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sz w:val="24"/>
          <w:szCs w:val="24"/>
        </w:rPr>
        <w:t xml:space="preserve">Таким образом, зависимость экономики от внешних ресурсов на фоне высоких рисков в осуществлении внешнеэкономической деятельности вынуждает приднестровских экономических агентов приспосабливаться к действующим условиям ведения внешней торговли, что приводит к дополнительным затратам и соответственно к снижению конкурентоспособности приднестровской продукции. </w:t>
      </w:r>
    </w:p>
    <w:p w:rsidR="00DE3D7D" w:rsidRPr="000A384B" w:rsidRDefault="00DE3D7D" w:rsidP="00DE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D7D" w:rsidRPr="000A384B" w:rsidRDefault="00DE3D7D" w:rsidP="00DE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A384B">
        <w:rPr>
          <w:rFonts w:ascii="Times New Roman" w:hAnsi="Times New Roman"/>
          <w:sz w:val="24"/>
          <w:szCs w:val="24"/>
          <w:u w:val="single"/>
        </w:rPr>
        <w:t>Инфляционные процессы</w:t>
      </w:r>
    </w:p>
    <w:p w:rsidR="00DE3D7D" w:rsidRPr="000A384B" w:rsidRDefault="00DE3D7D" w:rsidP="00DE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sz w:val="24"/>
          <w:szCs w:val="24"/>
        </w:rPr>
        <w:t xml:space="preserve">После </w:t>
      </w:r>
      <w:r w:rsidRPr="000A384B">
        <w:rPr>
          <w:rStyle w:val="aa"/>
          <w:sz w:val="24"/>
          <w:szCs w:val="24"/>
        </w:rPr>
        <w:t xml:space="preserve">незначительного </w:t>
      </w:r>
      <w:r w:rsidR="005F5BB9" w:rsidRPr="000A384B">
        <w:rPr>
          <w:rStyle w:val="aa"/>
          <w:sz w:val="24"/>
          <w:szCs w:val="24"/>
        </w:rPr>
        <w:t xml:space="preserve">повышения инфляционного фона </w:t>
      </w:r>
      <w:r w:rsidRPr="000A384B">
        <w:rPr>
          <w:rStyle w:val="aa"/>
          <w:sz w:val="24"/>
          <w:szCs w:val="24"/>
        </w:rPr>
        <w:t>в январе 2016 года</w:t>
      </w:r>
      <w:r w:rsidR="005F5BB9" w:rsidRPr="000A384B">
        <w:rPr>
          <w:rStyle w:val="aa"/>
          <w:sz w:val="24"/>
          <w:szCs w:val="24"/>
        </w:rPr>
        <w:t xml:space="preserve"> («+»0,2%)</w:t>
      </w:r>
      <w:r w:rsidRPr="000A384B">
        <w:rPr>
          <w:rStyle w:val="aa"/>
          <w:sz w:val="24"/>
          <w:szCs w:val="24"/>
        </w:rPr>
        <w:t xml:space="preserve">, в феврале на потребительском рынке республики продолжилась тенденция замедления динамики </w:t>
      </w:r>
      <w:r w:rsidRPr="000A384B">
        <w:rPr>
          <w:rFonts w:ascii="Times New Roman" w:hAnsi="Times New Roman"/>
          <w:sz w:val="24"/>
          <w:szCs w:val="24"/>
        </w:rPr>
        <w:t>стоимости цен на товары и услуги</w:t>
      </w:r>
      <w:r w:rsidR="005F5BB9" w:rsidRPr="000A384B">
        <w:rPr>
          <w:rFonts w:ascii="Times New Roman" w:hAnsi="Times New Roman"/>
          <w:sz w:val="24"/>
          <w:szCs w:val="24"/>
        </w:rPr>
        <w:t xml:space="preserve"> («-»0,62%)</w:t>
      </w:r>
      <w:r w:rsidRPr="000A384B">
        <w:rPr>
          <w:rFonts w:ascii="Times New Roman" w:hAnsi="Times New Roman"/>
          <w:sz w:val="24"/>
          <w:szCs w:val="24"/>
        </w:rPr>
        <w:t xml:space="preserve">. </w:t>
      </w:r>
      <w:r w:rsidRPr="000A384B">
        <w:rPr>
          <w:rStyle w:val="aa"/>
          <w:sz w:val="24"/>
          <w:szCs w:val="24"/>
        </w:rPr>
        <w:t>В целом сводный индекс потребительских цен (инфляция) в январе-феврале 2016 года с</w:t>
      </w:r>
      <w:r w:rsidRPr="000A384B">
        <w:rPr>
          <w:rFonts w:ascii="Times New Roman" w:hAnsi="Times New Roman"/>
          <w:sz w:val="24"/>
          <w:szCs w:val="24"/>
        </w:rPr>
        <w:t>ложился на уровне 99,58% против 100,08% в январе-феврале 2015 года.</w:t>
      </w:r>
    </w:p>
    <w:p w:rsidR="00DE3D7D" w:rsidRPr="000A384B" w:rsidRDefault="00DE3D7D" w:rsidP="00DE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D7D" w:rsidRPr="000A384B" w:rsidRDefault="00DE3D7D" w:rsidP="00DE3D7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38850" cy="2324100"/>
            <wp:effectExtent l="0" t="0" r="0" b="0"/>
            <wp:docPr id="8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E3D7D" w:rsidRPr="000A384B" w:rsidRDefault="00DE3D7D" w:rsidP="00DE3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D7D" w:rsidRPr="000A384B" w:rsidRDefault="00DE3D7D" w:rsidP="00DE3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DE3D7D" w:rsidRPr="000A384B" w:rsidRDefault="00DE3D7D" w:rsidP="00DE3D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3D7D" w:rsidRPr="000A384B" w:rsidRDefault="00DE3D7D" w:rsidP="00DE3D7D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0A384B">
        <w:rPr>
          <w:rStyle w:val="a8"/>
          <w:rFonts w:ascii="Times New Roman" w:hAnsi="Times New Roman"/>
          <w:b w:val="0"/>
          <w:noProof/>
          <w:color w:val="FBD4B4" w:themeColor="accent6" w:themeTint="66"/>
          <w:sz w:val="24"/>
          <w:szCs w:val="24"/>
        </w:rPr>
        <w:lastRenderedPageBreak/>
        <w:drawing>
          <wp:inline distT="0" distB="0" distL="0" distR="0">
            <wp:extent cx="5947410" cy="2156460"/>
            <wp:effectExtent l="1905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E3D7D" w:rsidRPr="000A384B" w:rsidRDefault="00DE3D7D" w:rsidP="00DE3D7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0A384B">
        <w:rPr>
          <w:rStyle w:val="a8"/>
          <w:rFonts w:ascii="Times New Roman" w:hAnsi="Times New Roman"/>
          <w:b w:val="0"/>
          <w:color w:val="000000"/>
          <w:sz w:val="24"/>
          <w:szCs w:val="24"/>
        </w:rPr>
        <w:t>Устойчивые дефляционные процессы по большинству вид</w:t>
      </w:r>
      <w:r w:rsidR="00C40F51" w:rsidRPr="000A384B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ов</w:t>
      </w:r>
      <w:r w:rsidRPr="000A384B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товаров (удешевление яиц – на 13,83%, сыра – на 2,23%, </w:t>
      </w:r>
      <w:r w:rsidRPr="000A38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консервов овощных – на 1,28%, </w:t>
      </w:r>
      <w:r w:rsidRPr="000A384B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мясопродуктов – на 1,26%, масла и жиров – </w:t>
      </w:r>
      <w:r w:rsidRPr="000A38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на 0,26%,</w:t>
      </w:r>
      <w:r w:rsidRPr="000A384B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сахара – на 0,23%), </w:t>
      </w:r>
      <w:r w:rsidRPr="000A38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совокупности с повышением </w:t>
      </w:r>
      <w:r w:rsidRPr="000A384B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цен на </w:t>
      </w:r>
      <w:r w:rsidRPr="000A38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рыбопродукты на 3,08%, </w:t>
      </w:r>
      <w:r w:rsidRPr="000A384B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плодоовощную продукцию, включая картофель на 1,81%, а также напитков безалкогольных на 0,06%,</w:t>
      </w:r>
      <w:r w:rsidRPr="000A38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C40F51" w:rsidRPr="000A38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предопределили</w:t>
      </w:r>
      <w:r w:rsidRPr="000A38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в продовольственном се</w:t>
      </w:r>
      <w:r w:rsidR="00C40F51" w:rsidRPr="000A38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гменте</w:t>
      </w:r>
      <w:r w:rsidRPr="000A38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потребительского рынка в январе-феврале 2016 года</w:t>
      </w:r>
      <w:proofErr w:type="gramEnd"/>
      <w:r w:rsidRPr="000A38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выраженный дефляционный тренд – «-»0,34% (в январе-феврале 2015 года – «-»1,68%). </w:t>
      </w:r>
    </w:p>
    <w:p w:rsidR="00DE3D7D" w:rsidRPr="000A384B" w:rsidRDefault="00DE3D7D" w:rsidP="00DE3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4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По группе непродовольственных товаров продолжает фиксироваться устойчивая дефляция </w:t>
      </w:r>
      <w:r w:rsidRPr="000A384B">
        <w:rPr>
          <w:rFonts w:ascii="Times New Roman" w:hAnsi="Times New Roman" w:cs="Times New Roman"/>
          <w:sz w:val="24"/>
          <w:szCs w:val="24"/>
        </w:rPr>
        <w:t>«-»1,07% (в январе–феврале 2015 года «-»1,27%). Понижательный ценовой тренд в данном сегменте потребительского рынка установлен по следующим товарным позициям: товары бытовой химии («-»6,39%), топливо (бензин) («-»5,97%), медикаменты («-»1,08%), строительные материалы («-»0,36%) и др.</w:t>
      </w:r>
    </w:p>
    <w:p w:rsidR="00DE3D7D" w:rsidRPr="000A384B" w:rsidRDefault="00DE3D7D" w:rsidP="00DE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 w:cs="Times New Roman"/>
          <w:sz w:val="24"/>
          <w:szCs w:val="24"/>
        </w:rPr>
        <w:t xml:space="preserve">По итогам января-февраля 2016 года инфляционная нагрузка в </w:t>
      </w:r>
      <w:r w:rsidR="00C40F51" w:rsidRPr="000A384B">
        <w:rPr>
          <w:rFonts w:ascii="Times New Roman" w:hAnsi="Times New Roman" w:cs="Times New Roman"/>
          <w:sz w:val="24"/>
          <w:szCs w:val="24"/>
        </w:rPr>
        <w:t>сфере услуг</w:t>
      </w:r>
      <w:r w:rsidRPr="000A384B">
        <w:rPr>
          <w:rFonts w:ascii="Times New Roman" w:hAnsi="Times New Roman" w:cs="Times New Roman"/>
          <w:sz w:val="24"/>
          <w:szCs w:val="24"/>
        </w:rPr>
        <w:t xml:space="preserve"> составила 0,53%, снизившись на 5,23 процентных пункта</w:t>
      </w:r>
      <w:r w:rsidRPr="000A384B">
        <w:rPr>
          <w:rFonts w:ascii="Times New Roman" w:hAnsi="Times New Roman"/>
          <w:sz w:val="24"/>
          <w:szCs w:val="24"/>
        </w:rPr>
        <w:t xml:space="preserve"> к сопоставимому значению соответствующего периода предыдущего года. Данная тенденция обусловлена принятием на государственном уровне решения о сохранении действия в </w:t>
      </w:r>
      <w:r w:rsidRPr="000A384B">
        <w:rPr>
          <w:rFonts w:ascii="Times New Roman" w:hAnsi="Times New Roman"/>
          <w:sz w:val="24"/>
          <w:szCs w:val="24"/>
          <w:lang w:val="en-US"/>
        </w:rPr>
        <w:t>I</w:t>
      </w:r>
      <w:r w:rsidRPr="000A384B">
        <w:rPr>
          <w:rFonts w:ascii="Times New Roman" w:hAnsi="Times New Roman"/>
          <w:sz w:val="24"/>
          <w:szCs w:val="24"/>
        </w:rPr>
        <w:t xml:space="preserve"> квартале 2016 года тарифов в сфере услуг по газоснабжению, электроэнергетике, а также снабжению тепловой энергии на уровне тарифов, действовавших с марта 2015 года.</w:t>
      </w:r>
    </w:p>
    <w:p w:rsidR="00237D30" w:rsidRPr="000A384B" w:rsidRDefault="00DE3D7D" w:rsidP="00237D30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84B">
        <w:rPr>
          <w:rFonts w:ascii="Times New Roman" w:hAnsi="Times New Roman" w:cs="Times New Roman"/>
          <w:sz w:val="24"/>
          <w:szCs w:val="24"/>
        </w:rPr>
        <w:t xml:space="preserve">Генератором определившегося инфляционного фона в сфере тарифов на услуги в январе-феврале 2016 года выступило плановое </w:t>
      </w:r>
      <w:r w:rsidRPr="000A384B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повышение стоимости медицинских услуг («+»13,34%), услуг дошкольного воспитания («+»8,36%), услуг правового характера («+»8,21%). </w:t>
      </w:r>
      <w:r w:rsidR="00237D30" w:rsidRPr="000A384B">
        <w:rPr>
          <w:rStyle w:val="FontStyle183"/>
          <w:rFonts w:ascii="Times New Roman" w:eastAsia="Calibri" w:hAnsi="Times New Roman" w:cs="Times New Roman"/>
          <w:sz w:val="24"/>
          <w:szCs w:val="24"/>
        </w:rPr>
        <w:t>Также в</w:t>
      </w:r>
      <w:r w:rsidRPr="000A384B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есомое инфляционное давление в сфере услуг в обозначенном периоде создало </w:t>
      </w:r>
      <w:r w:rsidRPr="000A384B">
        <w:rPr>
          <w:rFonts w:ascii="Times New Roman" w:hAnsi="Times New Roman" w:cs="Times New Roman"/>
          <w:sz w:val="24"/>
          <w:szCs w:val="24"/>
        </w:rPr>
        <w:t>повышение стоимости тарифов на услуги связи – на 0,80%</w:t>
      </w:r>
      <w:r w:rsidR="00237D30" w:rsidRPr="000A384B">
        <w:rPr>
          <w:rFonts w:ascii="Times New Roman" w:hAnsi="Times New Roman" w:cs="Times New Roman"/>
          <w:sz w:val="24"/>
          <w:szCs w:val="24"/>
        </w:rPr>
        <w:t>,</w:t>
      </w:r>
      <w:r w:rsidRPr="000A384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237D30" w:rsidRPr="000A384B">
        <w:rPr>
          <w:rFonts w:ascii="Times New Roman" w:hAnsi="Times New Roman" w:cs="Times New Roman"/>
          <w:sz w:val="24"/>
          <w:szCs w:val="24"/>
        </w:rPr>
        <w:t>а</w:t>
      </w:r>
      <w:r w:rsidRPr="000A384B">
        <w:rPr>
          <w:rFonts w:ascii="Times New Roman" w:hAnsi="Times New Roman" w:cs="Times New Roman"/>
          <w:sz w:val="24"/>
          <w:szCs w:val="24"/>
        </w:rPr>
        <w:t xml:space="preserve"> бытовых электротоваров – на 1,23%, ритуальны</w:t>
      </w:r>
      <w:r w:rsidR="00237D30" w:rsidRPr="000A384B">
        <w:rPr>
          <w:rFonts w:ascii="Times New Roman" w:hAnsi="Times New Roman" w:cs="Times New Roman"/>
          <w:sz w:val="24"/>
          <w:szCs w:val="24"/>
        </w:rPr>
        <w:t>х</w:t>
      </w:r>
      <w:r w:rsidRPr="000A384B">
        <w:rPr>
          <w:rFonts w:ascii="Times New Roman" w:hAnsi="Times New Roman" w:cs="Times New Roman"/>
          <w:sz w:val="24"/>
          <w:szCs w:val="24"/>
        </w:rPr>
        <w:t xml:space="preserve"> услуг – на 6,40%. </w:t>
      </w:r>
      <w:r w:rsidRPr="000A384B">
        <w:rPr>
          <w:rStyle w:val="FontStyle183"/>
          <w:rFonts w:ascii="Times New Roman" w:eastAsia="Calibri" w:hAnsi="Times New Roman" w:cs="Times New Roman"/>
          <w:sz w:val="24"/>
          <w:szCs w:val="24"/>
        </w:rPr>
        <w:t>В то же время подешевели санаторно-оздоровительные услуги на 20,0%</w:t>
      </w:r>
      <w:r w:rsidR="00237D30" w:rsidRPr="000A384B">
        <w:rPr>
          <w:rStyle w:val="FontStyle183"/>
          <w:rFonts w:ascii="Times New Roman" w:eastAsia="Calibri" w:hAnsi="Times New Roman" w:cs="Times New Roman"/>
          <w:sz w:val="24"/>
          <w:szCs w:val="24"/>
        </w:rPr>
        <w:t>.</w:t>
      </w:r>
      <w:r w:rsidRPr="000A384B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7D30" w:rsidRPr="000A384B" w:rsidRDefault="00DE3D7D" w:rsidP="00DE3D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84B">
        <w:rPr>
          <w:rFonts w:ascii="Times New Roman" w:hAnsi="Times New Roman"/>
          <w:sz w:val="24"/>
          <w:szCs w:val="24"/>
        </w:rPr>
        <w:t>Сравнивая индекс потребительских цен на товары и услуги Приднестровской Молдавской Республики в январе-феврале 2016 года с аналогичным показателем Молдова, Украины, Российской Федерации необходимо отметить устойчивые дефляционные процессы в республике</w:t>
      </w:r>
      <w:r w:rsidR="00237D30" w:rsidRPr="000A384B">
        <w:rPr>
          <w:rFonts w:ascii="Times New Roman" w:hAnsi="Times New Roman"/>
          <w:sz w:val="24"/>
          <w:szCs w:val="24"/>
        </w:rPr>
        <w:t xml:space="preserve"> (99,58%)</w:t>
      </w:r>
      <w:r w:rsidRPr="000A384B">
        <w:rPr>
          <w:rFonts w:ascii="Times New Roman" w:hAnsi="Times New Roman"/>
          <w:sz w:val="24"/>
          <w:szCs w:val="24"/>
        </w:rPr>
        <w:t xml:space="preserve">, что обусловлено стабильностью валютного курса, а также проводимыми антиинфляционными мерами со стороны государства и бизнеса. Кроме того, определённое влияние оказали принятые на государственном уровне решения о сохранении действия в </w:t>
      </w:r>
      <w:r w:rsidRPr="000A384B">
        <w:rPr>
          <w:rFonts w:ascii="Times New Roman" w:hAnsi="Times New Roman"/>
          <w:sz w:val="24"/>
          <w:szCs w:val="24"/>
          <w:lang w:val="en-US"/>
        </w:rPr>
        <w:t>I</w:t>
      </w:r>
      <w:r w:rsidRPr="000A384B">
        <w:rPr>
          <w:rFonts w:ascii="Times New Roman" w:hAnsi="Times New Roman"/>
          <w:sz w:val="24"/>
          <w:szCs w:val="24"/>
        </w:rPr>
        <w:t xml:space="preserve"> квартале 2016 года оптимизации тарифной политики в сфере естественных монополий. </w:t>
      </w:r>
    </w:p>
    <w:p w:rsidR="00DE3D7D" w:rsidRPr="00E62181" w:rsidRDefault="00237D30" w:rsidP="00E62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384B">
        <w:rPr>
          <w:rFonts w:ascii="Times New Roman" w:hAnsi="Times New Roman"/>
          <w:i/>
          <w:sz w:val="24"/>
          <w:szCs w:val="24"/>
          <w:u w:val="single"/>
        </w:rPr>
        <w:t>Справочно</w:t>
      </w:r>
      <w:proofErr w:type="spellEnd"/>
      <w:r w:rsidRPr="000A384B">
        <w:rPr>
          <w:rFonts w:ascii="Times New Roman" w:hAnsi="Times New Roman"/>
          <w:i/>
          <w:sz w:val="24"/>
          <w:szCs w:val="24"/>
          <w:u w:val="single"/>
        </w:rPr>
        <w:t>:</w:t>
      </w:r>
      <w:r w:rsidRPr="000A384B">
        <w:rPr>
          <w:rFonts w:ascii="Times New Roman" w:hAnsi="Times New Roman"/>
          <w:sz w:val="24"/>
          <w:szCs w:val="24"/>
        </w:rPr>
        <w:t xml:space="preserve"> Сводный индекс потребительских цен (и</w:t>
      </w:r>
      <w:r w:rsidR="00DE3D7D" w:rsidRPr="000A384B">
        <w:rPr>
          <w:rFonts w:ascii="Times New Roman" w:hAnsi="Times New Roman"/>
          <w:sz w:val="24"/>
          <w:szCs w:val="24"/>
        </w:rPr>
        <w:t>нфляция</w:t>
      </w:r>
      <w:r w:rsidRPr="000A384B">
        <w:rPr>
          <w:rFonts w:ascii="Times New Roman" w:hAnsi="Times New Roman"/>
          <w:sz w:val="24"/>
          <w:szCs w:val="24"/>
        </w:rPr>
        <w:t>)</w:t>
      </w:r>
      <w:r w:rsidR="00DE3D7D" w:rsidRPr="000A384B">
        <w:rPr>
          <w:rFonts w:ascii="Times New Roman" w:hAnsi="Times New Roman"/>
          <w:sz w:val="24"/>
          <w:szCs w:val="24"/>
        </w:rPr>
        <w:t xml:space="preserve"> </w:t>
      </w:r>
      <w:r w:rsidRPr="000A384B">
        <w:rPr>
          <w:rFonts w:ascii="Times New Roman" w:hAnsi="Times New Roman"/>
          <w:sz w:val="24"/>
          <w:szCs w:val="24"/>
        </w:rPr>
        <w:t xml:space="preserve">в январе-феврале 2016 года </w:t>
      </w:r>
      <w:r w:rsidR="00DE3D7D" w:rsidRPr="000A384B">
        <w:rPr>
          <w:rFonts w:ascii="Times New Roman" w:hAnsi="Times New Roman"/>
          <w:sz w:val="24"/>
          <w:szCs w:val="24"/>
        </w:rPr>
        <w:t>в Республике Молдова составил 100,1%, в Украине – 100,5%, в Российской Федерации – 101,6%.</w:t>
      </w:r>
    </w:p>
    <w:sectPr w:rsidR="00DE3D7D" w:rsidRPr="00E62181" w:rsidSect="0043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73E"/>
    <w:rsid w:val="00003107"/>
    <w:rsid w:val="00004164"/>
    <w:rsid w:val="000053C5"/>
    <w:rsid w:val="0004130A"/>
    <w:rsid w:val="00047393"/>
    <w:rsid w:val="00053023"/>
    <w:rsid w:val="00084FD8"/>
    <w:rsid w:val="000A384B"/>
    <w:rsid w:val="000C6703"/>
    <w:rsid w:val="000D1199"/>
    <w:rsid w:val="000D2338"/>
    <w:rsid w:val="000D352A"/>
    <w:rsid w:val="000E0E9A"/>
    <w:rsid w:val="00103FAC"/>
    <w:rsid w:val="0011673E"/>
    <w:rsid w:val="00134276"/>
    <w:rsid w:val="00166AA4"/>
    <w:rsid w:val="00197975"/>
    <w:rsid w:val="001A0843"/>
    <w:rsid w:val="001B08F6"/>
    <w:rsid w:val="001B341E"/>
    <w:rsid w:val="001C1C5B"/>
    <w:rsid w:val="001E38E2"/>
    <w:rsid w:val="001F77E9"/>
    <w:rsid w:val="001F7829"/>
    <w:rsid w:val="00235883"/>
    <w:rsid w:val="00237D30"/>
    <w:rsid w:val="0024271A"/>
    <w:rsid w:val="002469D7"/>
    <w:rsid w:val="00266D06"/>
    <w:rsid w:val="00276DCC"/>
    <w:rsid w:val="0027732C"/>
    <w:rsid w:val="002E4D70"/>
    <w:rsid w:val="003026F4"/>
    <w:rsid w:val="00312B1B"/>
    <w:rsid w:val="003419E7"/>
    <w:rsid w:val="003830EE"/>
    <w:rsid w:val="00387DC9"/>
    <w:rsid w:val="0039391D"/>
    <w:rsid w:val="0039758C"/>
    <w:rsid w:val="003B1024"/>
    <w:rsid w:val="003C49C7"/>
    <w:rsid w:val="003F1851"/>
    <w:rsid w:val="004109FA"/>
    <w:rsid w:val="004238ED"/>
    <w:rsid w:val="00424082"/>
    <w:rsid w:val="00431ECE"/>
    <w:rsid w:val="00434C99"/>
    <w:rsid w:val="00435188"/>
    <w:rsid w:val="00435822"/>
    <w:rsid w:val="00443F5D"/>
    <w:rsid w:val="00451302"/>
    <w:rsid w:val="00455DEA"/>
    <w:rsid w:val="004869A6"/>
    <w:rsid w:val="00491874"/>
    <w:rsid w:val="004E1A74"/>
    <w:rsid w:val="004F55C0"/>
    <w:rsid w:val="005119B2"/>
    <w:rsid w:val="00523F1E"/>
    <w:rsid w:val="00585414"/>
    <w:rsid w:val="005A630C"/>
    <w:rsid w:val="005B4013"/>
    <w:rsid w:val="005F19FF"/>
    <w:rsid w:val="005F5BB9"/>
    <w:rsid w:val="00604D34"/>
    <w:rsid w:val="00626126"/>
    <w:rsid w:val="00657B11"/>
    <w:rsid w:val="00665821"/>
    <w:rsid w:val="0066601C"/>
    <w:rsid w:val="00670102"/>
    <w:rsid w:val="0068575D"/>
    <w:rsid w:val="006B0877"/>
    <w:rsid w:val="006D3D1C"/>
    <w:rsid w:val="006D670C"/>
    <w:rsid w:val="006E4DD2"/>
    <w:rsid w:val="006F58DA"/>
    <w:rsid w:val="007057D2"/>
    <w:rsid w:val="007116F7"/>
    <w:rsid w:val="007227EB"/>
    <w:rsid w:val="00736B1E"/>
    <w:rsid w:val="00774BF1"/>
    <w:rsid w:val="00781053"/>
    <w:rsid w:val="007902A1"/>
    <w:rsid w:val="007953BC"/>
    <w:rsid w:val="007A0520"/>
    <w:rsid w:val="007B254C"/>
    <w:rsid w:val="007B263D"/>
    <w:rsid w:val="007D6856"/>
    <w:rsid w:val="007F27B4"/>
    <w:rsid w:val="008006DC"/>
    <w:rsid w:val="00817C24"/>
    <w:rsid w:val="00820ABD"/>
    <w:rsid w:val="0083211A"/>
    <w:rsid w:val="008453F6"/>
    <w:rsid w:val="008508E3"/>
    <w:rsid w:val="008624DC"/>
    <w:rsid w:val="008727F3"/>
    <w:rsid w:val="008A3A94"/>
    <w:rsid w:val="008D70E8"/>
    <w:rsid w:val="008E262F"/>
    <w:rsid w:val="008F1698"/>
    <w:rsid w:val="008F50E9"/>
    <w:rsid w:val="00926412"/>
    <w:rsid w:val="00930AD2"/>
    <w:rsid w:val="009619EC"/>
    <w:rsid w:val="00964CFF"/>
    <w:rsid w:val="0097562F"/>
    <w:rsid w:val="00975B52"/>
    <w:rsid w:val="00986063"/>
    <w:rsid w:val="00993D27"/>
    <w:rsid w:val="009A6160"/>
    <w:rsid w:val="009A66F0"/>
    <w:rsid w:val="009B23CA"/>
    <w:rsid w:val="009B5BA3"/>
    <w:rsid w:val="009C42F1"/>
    <w:rsid w:val="009E0BD2"/>
    <w:rsid w:val="009E649F"/>
    <w:rsid w:val="00A16ACE"/>
    <w:rsid w:val="00A3017A"/>
    <w:rsid w:val="00A350AF"/>
    <w:rsid w:val="00A4323A"/>
    <w:rsid w:val="00A5550A"/>
    <w:rsid w:val="00A71FA9"/>
    <w:rsid w:val="00A7244D"/>
    <w:rsid w:val="00A81F86"/>
    <w:rsid w:val="00AA7F1E"/>
    <w:rsid w:val="00AB301E"/>
    <w:rsid w:val="00AD5E5E"/>
    <w:rsid w:val="00AE006E"/>
    <w:rsid w:val="00AE0D34"/>
    <w:rsid w:val="00AE4032"/>
    <w:rsid w:val="00AE4799"/>
    <w:rsid w:val="00B00831"/>
    <w:rsid w:val="00B02078"/>
    <w:rsid w:val="00B367D5"/>
    <w:rsid w:val="00B3764E"/>
    <w:rsid w:val="00B509DB"/>
    <w:rsid w:val="00B620EF"/>
    <w:rsid w:val="00B739AD"/>
    <w:rsid w:val="00B74E74"/>
    <w:rsid w:val="00B81BA3"/>
    <w:rsid w:val="00B84046"/>
    <w:rsid w:val="00BB1C34"/>
    <w:rsid w:val="00BC2898"/>
    <w:rsid w:val="00BE1FED"/>
    <w:rsid w:val="00BE3DD2"/>
    <w:rsid w:val="00BE4CC9"/>
    <w:rsid w:val="00BF2A99"/>
    <w:rsid w:val="00C23D37"/>
    <w:rsid w:val="00C35210"/>
    <w:rsid w:val="00C40F51"/>
    <w:rsid w:val="00C72639"/>
    <w:rsid w:val="00C76C66"/>
    <w:rsid w:val="00CB1111"/>
    <w:rsid w:val="00CB2822"/>
    <w:rsid w:val="00CB2F91"/>
    <w:rsid w:val="00CB45E2"/>
    <w:rsid w:val="00CC2281"/>
    <w:rsid w:val="00CC2E3E"/>
    <w:rsid w:val="00CC4E69"/>
    <w:rsid w:val="00CD22DE"/>
    <w:rsid w:val="00CD64CB"/>
    <w:rsid w:val="00CE4D7F"/>
    <w:rsid w:val="00CF408E"/>
    <w:rsid w:val="00D0124A"/>
    <w:rsid w:val="00D02A30"/>
    <w:rsid w:val="00D119CE"/>
    <w:rsid w:val="00D25BDD"/>
    <w:rsid w:val="00D3092F"/>
    <w:rsid w:val="00D61F2F"/>
    <w:rsid w:val="00D74175"/>
    <w:rsid w:val="00DB7CE2"/>
    <w:rsid w:val="00DC1DCC"/>
    <w:rsid w:val="00DD053B"/>
    <w:rsid w:val="00DE3D7D"/>
    <w:rsid w:val="00E00CED"/>
    <w:rsid w:val="00E128AB"/>
    <w:rsid w:val="00E54656"/>
    <w:rsid w:val="00E62181"/>
    <w:rsid w:val="00E71101"/>
    <w:rsid w:val="00E72F78"/>
    <w:rsid w:val="00E80738"/>
    <w:rsid w:val="00E84F1C"/>
    <w:rsid w:val="00ED0C2B"/>
    <w:rsid w:val="00EF4CD0"/>
    <w:rsid w:val="00EF5BF3"/>
    <w:rsid w:val="00EF77F9"/>
    <w:rsid w:val="00F13905"/>
    <w:rsid w:val="00F375C0"/>
    <w:rsid w:val="00F452ED"/>
    <w:rsid w:val="00F456DC"/>
    <w:rsid w:val="00F47EFD"/>
    <w:rsid w:val="00F503C5"/>
    <w:rsid w:val="00FF31E4"/>
    <w:rsid w:val="00F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88"/>
  </w:style>
  <w:style w:type="paragraph" w:styleId="1">
    <w:name w:val="heading 1"/>
    <w:basedOn w:val="a"/>
    <w:next w:val="a"/>
    <w:link w:val="10"/>
    <w:uiPriority w:val="99"/>
    <w:qFormat/>
    <w:rsid w:val="001167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67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1167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B00831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B00831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2">
    <w:name w:val="сновной текст с отступом 2"/>
    <w:basedOn w:val="a"/>
    <w:rsid w:val="007116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F7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E71101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71101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E71101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rsid w:val="00E71101"/>
    <w:rPr>
      <w:rFonts w:ascii="Sylfaen" w:hAnsi="Sylfaen" w:cs="Sylfaen" w:hint="default"/>
      <w:sz w:val="20"/>
      <w:szCs w:val="20"/>
    </w:rPr>
  </w:style>
  <w:style w:type="paragraph" w:styleId="ab">
    <w:name w:val="Normal (Web)"/>
    <w:basedOn w:val="a"/>
    <w:uiPriority w:val="99"/>
    <w:rsid w:val="0087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2016 год</a:t>
            </a:r>
          </a:p>
        </c:rich>
      </c:tx>
      <c:layout>
        <c:manualLayout>
          <c:xMode val="edge"/>
          <c:yMode val="edge"/>
          <c:x val="0.21092835617770025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3787304364732257E-2"/>
          <c:y val="4.1926558245639851E-2"/>
          <c:w val="0.95621269563526756"/>
          <c:h val="0.90946059312679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7"/>
          <c:dPt>
            <c:idx val="1"/>
            <c:explosion val="31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3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8219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26,2%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43,9%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2"/>
              <c:layout>
                <c:manualLayout>
                  <c:x val="2.5874599008457282E-2"/>
                  <c:y val="0.21018765177717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12,4%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7.2209973753280893E-2"/>
                  <c:y val="1.26411067775406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10,4%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-0.13192339846408091"/>
                  <c:y val="-7.829021372328473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0,9%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0.18543326528628379"/>
                  <c:y val="-1.27135893727569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6,2%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352.9</c:v>
                </c:pt>
                <c:pt idx="1">
                  <c:v>591.5</c:v>
                </c:pt>
                <c:pt idx="2" formatCode="0.0">
                  <c:v>167.7</c:v>
                </c:pt>
                <c:pt idx="3">
                  <c:v>139.9</c:v>
                </c:pt>
                <c:pt idx="4" formatCode="0.0">
                  <c:v>11.4</c:v>
                </c:pt>
                <c:pt idx="5">
                  <c:v>83.799999999999926</c:v>
                </c:pt>
              </c:numCache>
            </c:numRef>
          </c:val>
        </c:ser>
      </c:pie3DChart>
    </c:plotArea>
    <c:plotVisOnly val="1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28"/>
            </a:pPr>
            <a:r>
              <a:rPr lang="ru-RU" sz="1128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7361560831085402"/>
          <c:y val="3.9292533629891777E-4"/>
        </c:manualLayout>
      </c:layout>
      <c:spPr>
        <a:solidFill>
          <a:sysClr val="window" lastClr="FFFFFF"/>
        </a:solidFill>
        <a:ln w="23365">
          <a:noFill/>
        </a:ln>
      </c:spPr>
    </c:title>
    <c:plotArea>
      <c:layout>
        <c:manualLayout>
          <c:layoutTarget val="inner"/>
          <c:xMode val="edge"/>
          <c:yMode val="edge"/>
          <c:x val="6.40384615384616E-2"/>
          <c:y val="7.6336978253893933E-2"/>
          <c:w val="0.93596153846153862"/>
          <c:h val="0.4173487404983468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февраль 2015 г.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dLbls>
            <c:dLbl>
              <c:idx val="0"/>
              <c:layout>
                <c:manualLayout>
                  <c:x val="3.4046705700249095E-3"/>
                  <c:y val="1.92537374834415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70,7*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3,3*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1.3042837844093721E-3"/>
                  <c:y val="1.08362784808129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4,9*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6.2825471241536382E-3"/>
                  <c:y val="9.979801630066596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10,9*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2,2*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-1.5628511428054401E-3"/>
                  <c:y val="1.6254776229738133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8,1*</a:t>
                    </a:r>
                    <a:endParaRPr lang="en-US" b="1"/>
                  </a:p>
                </c:rich>
              </c:tx>
              <c:dLblPos val="outEnd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</a:t>
                    </a:r>
                    <a:r>
                      <a:rPr lang="en-US" b="1"/>
                      <a:t>,2</a:t>
                    </a:r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Val val="1"/>
            </c:dLbl>
            <c:spPr>
              <a:noFill/>
              <a:ln w="23365">
                <a:noFill/>
              </a:ln>
            </c:spPr>
            <c:txPr>
              <a:bodyPr rot="0" vert="horz" anchor="ctr" anchorCtr="0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 formatCode="General">
                  <c:v>148.6</c:v>
                </c:pt>
                <c:pt idx="1">
                  <c:v>6.8380000000000001</c:v>
                </c:pt>
                <c:pt idx="2">
                  <c:v>10.288</c:v>
                </c:pt>
                <c:pt idx="3">
                  <c:v>22.881</c:v>
                </c:pt>
                <c:pt idx="4">
                  <c:v>4.5449999999999955</c:v>
                </c:pt>
                <c:pt idx="5">
                  <c:v>17.13100000000005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февраль 2016 г.</c:v>
                </c:pt>
              </c:strCache>
            </c:strRef>
          </c:tx>
          <c:spPr>
            <a:solidFill>
              <a:srgbClr val="C0504D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64,4*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9.187607529920355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1,8*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7.8852944023365523E-3"/>
                  <c:y val="8.9476556052448357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8,2*</a:t>
                    </a:r>
                    <a:endParaRPr lang="en-US" b="1"/>
                  </a:p>
                </c:rich>
              </c:tx>
              <c:dLblPos val="outEnd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7,1*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1.0924639230358291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6322401175000143E-2"/>
                  <c:y val="-8.955184284133875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13,1*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9,</a:t>
                    </a:r>
                    <a:r>
                      <a:rPr lang="ru-RU" b="1"/>
                      <a:t>6</a:t>
                    </a:r>
                    <a:endParaRPr lang="en-US" b="1"/>
                  </a:p>
                </c:rich>
              </c:tx>
              <c:dLblPos val="outEnd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69"/>
                </c:manualLayout>
              </c:layout>
              <c:dLblPos val="outEnd"/>
              <c:showVal val="1"/>
            </c:dLbl>
            <c:spPr>
              <a:noFill/>
              <a:ln w="23365">
                <a:noFill/>
              </a:ln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85.58</c:v>
                </c:pt>
                <c:pt idx="1">
                  <c:v>2.3749999999999987</c:v>
                </c:pt>
                <c:pt idx="2">
                  <c:v>10.92</c:v>
                </c:pt>
                <c:pt idx="3">
                  <c:v>9.4820000000000046</c:v>
                </c:pt>
                <c:pt idx="4">
                  <c:v>7.2060000000000004</c:v>
                </c:pt>
                <c:pt idx="5">
                  <c:v>17.403000000000006</c:v>
                </c:pt>
              </c:numCache>
            </c:numRef>
          </c:val>
        </c:ser>
        <c:gapWidth val="160"/>
        <c:axId val="97619328"/>
        <c:axId val="97629312"/>
      </c:barChart>
      <c:catAx>
        <c:axId val="9761932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97629312"/>
        <c:crosses val="autoZero"/>
        <c:lblAlgn val="ctr"/>
        <c:lblOffset val="160"/>
        <c:tickLblSkip val="1"/>
        <c:tickMarkSkip val="1"/>
      </c:catAx>
      <c:valAx>
        <c:axId val="97629312"/>
        <c:scaling>
          <c:orientation val="minMax"/>
          <c:max val="15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800"/>
                  <a:t>*-удельный</a:t>
                </a:r>
              </a:p>
              <a:p>
                <a:pPr>
                  <a:defRPr/>
                </a:pPr>
                <a:r>
                  <a:rPr lang="ru-RU" sz="800"/>
                  <a:t> вес в общем </a:t>
                </a:r>
              </a:p>
              <a:p>
                <a:pPr>
                  <a:defRPr/>
                </a:pPr>
                <a:r>
                  <a:rPr lang="ru-RU" sz="800"/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0836135461688363"/>
              <c:y val="8.7301603571637965E-2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97619328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"/>
          <c:y val="0.95120051999769617"/>
          <c:w val="0.87457380934179363"/>
          <c:h val="4.8799480002303941E-2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28778462820421302"/>
          <c:y val="3.5633496168669811E-3"/>
        </c:manualLayout>
      </c:layout>
      <c:spPr>
        <a:solidFill>
          <a:sysClr val="window" lastClr="FFFFFF"/>
        </a:solidFill>
        <a:ln w="25335">
          <a:noFill/>
        </a:ln>
      </c:spPr>
    </c:title>
    <c:plotArea>
      <c:layout>
        <c:manualLayout>
          <c:layoutTarget val="inner"/>
          <c:xMode val="edge"/>
          <c:yMode val="edge"/>
          <c:x val="0.23527723564468972"/>
          <c:y val="9.8730503514646906E-2"/>
          <c:w val="0.80384209713723853"/>
          <c:h val="0.541175572637990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февраль 2015 г.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</c:spPr>
          <c:dLbls>
            <c:dLbl>
              <c:idx val="0"/>
              <c:layout>
                <c:manualLayout>
                  <c:x val="-6.9443883617112089E-3"/>
                  <c:y val="1.6468920613410015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6.9444444444447164E-3"/>
                  <c:y val="1.377386650198137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2.124131542380787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1.2527404662652621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3.5208973683888253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6.94444444444471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1.0165556228548382E-3"/>
                  <c:y val="1.08538089365335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-1.2636096958468426E-2"/>
                  <c:y val="8.948566859606238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9,7*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">
                  <c:v>156.4</c:v>
                </c:pt>
                <c:pt idx="1">
                  <c:v>10.3</c:v>
                </c:pt>
                <c:pt idx="2" formatCode="0.0">
                  <c:v>7</c:v>
                </c:pt>
                <c:pt idx="3">
                  <c:v>3.9</c:v>
                </c:pt>
                <c:pt idx="4">
                  <c:v>6.4</c:v>
                </c:pt>
                <c:pt idx="5" formatCode="0.0">
                  <c:v>3.6</c:v>
                </c:pt>
                <c:pt idx="6">
                  <c:v>2.2000000000000002</c:v>
                </c:pt>
                <c:pt idx="7" formatCode="0.0">
                  <c:v>20.5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февраль 2016 г.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1.058097884823239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66,2*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8794194843292611E-3"/>
                  <c:y val="-4.47410961047090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9.9672687972827047E-3"/>
                  <c:y val="-1.7764335749422306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0,8*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9.437378020055163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0951829550718056E-2"/>
                  <c:y val="-8.214354000451930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16,0*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88.1</c:v>
                </c:pt>
                <c:pt idx="1">
                  <c:v>8</c:v>
                </c:pt>
                <c:pt idx="2" formatCode="General">
                  <c:v>4.2</c:v>
                </c:pt>
                <c:pt idx="3">
                  <c:v>3</c:v>
                </c:pt>
                <c:pt idx="4" formatCode="General">
                  <c:v>4.5</c:v>
                </c:pt>
                <c:pt idx="5" formatCode="General">
                  <c:v>1.1000000000000001</c:v>
                </c:pt>
                <c:pt idx="6" formatCode="General">
                  <c:v>2.8</c:v>
                </c:pt>
                <c:pt idx="7" formatCode="General">
                  <c:v>21.299999999999986</c:v>
                </c:pt>
              </c:numCache>
            </c:numRef>
          </c:val>
        </c:ser>
        <c:dLbls>
          <c:showVal val="1"/>
        </c:dLbls>
        <c:axId val="97581696"/>
        <c:axId val="97735040"/>
      </c:barChart>
      <c:catAx>
        <c:axId val="97581696"/>
        <c:scaling>
          <c:orientation val="minMax"/>
        </c:scaling>
        <c:axPos val="b"/>
        <c:numFmt formatCode="General" sourceLinked="1"/>
        <c:tickLblPos val="nextTo"/>
        <c:crossAx val="97735040"/>
        <c:crosses val="autoZero"/>
        <c:auto val="1"/>
        <c:lblAlgn val="ctr"/>
        <c:lblOffset val="100"/>
      </c:catAx>
      <c:valAx>
        <c:axId val="97735040"/>
        <c:scaling>
          <c:orientation val="minMax"/>
          <c:max val="160"/>
          <c:min val="0"/>
        </c:scaling>
        <c:axPos val="l"/>
        <c:title>
          <c:tx>
            <c:rich>
              <a:bodyPr rot="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80919422572178479"/>
              <c:y val="0.12238827762423737"/>
            </c:manualLayout>
          </c:layout>
          <c:spPr>
            <a:noFill/>
            <a:ln w="25335">
              <a:noFill/>
            </a:ln>
          </c:spPr>
        </c:title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581696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23069275346460902"/>
          <c:y val="0.95886854504632657"/>
          <c:w val="0.69277602191761956"/>
          <c:h val="4.1131454953672972E-2"/>
        </c:manualLayout>
      </c:layout>
      <c:txPr>
        <a:bodyPr/>
        <a:lstStyle/>
        <a:p>
          <a:pPr>
            <a:defRPr sz="8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733190308049032"/>
          <c:y val="5.0812267793401353E-3"/>
        </c:manualLayout>
      </c:layout>
    </c:title>
    <c:plotArea>
      <c:layout>
        <c:manualLayout>
          <c:layoutTarget val="inner"/>
          <c:xMode val="edge"/>
          <c:yMode val="edge"/>
          <c:x val="0.22829254815549224"/>
          <c:y val="0.13873823027366344"/>
          <c:w val="0.75244015052973423"/>
          <c:h val="0.4166771653543494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январь-февраль 2015 г.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2.5966155620178785E-3"/>
                  <c:y val="1.905799928339766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+0,08*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2.4437913104494008E-3"/>
                  <c:y val="1.776468588908406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- 1,68*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3172477021709188E-3"/>
                  <c:y val="1.90609716950850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-1,27*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5.7719775941957423E-3"/>
                  <c:y val="2.19913456703566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+5,76*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100.08</c:v>
                </c:pt>
                <c:pt idx="1">
                  <c:v>98.32</c:v>
                </c:pt>
                <c:pt idx="2">
                  <c:v>98.73</c:v>
                </c:pt>
                <c:pt idx="3">
                  <c:v>105.76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 февраль 2016 г.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3.5867792366552462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-0,42*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3.3731773565665252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-0,34*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3.7334618886925566E-3"/>
                  <c:y val="2.806764053483213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-1,07*</a:t>
                    </a:r>
                    <a:endParaRPr lang="en-US" b="1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6.0955090697696534E-3"/>
                  <c:y val="2.199068550774587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+0,53*</a:t>
                    </a:r>
                    <a:endParaRPr lang="en-US" b="1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99.58</c:v>
                </c:pt>
                <c:pt idx="1">
                  <c:v>99.66</c:v>
                </c:pt>
                <c:pt idx="2">
                  <c:v>98.93</c:v>
                </c:pt>
                <c:pt idx="3">
                  <c:v>100.53</c:v>
                </c:pt>
              </c:numCache>
            </c:numRef>
          </c:val>
        </c:ser>
        <c:axId val="97758592"/>
        <c:axId val="97764480"/>
      </c:barChart>
      <c:catAx>
        <c:axId val="97758592"/>
        <c:scaling>
          <c:orientation val="minMax"/>
        </c:scaling>
        <c:axPos val="b"/>
        <c:tickLblPos val="nextTo"/>
        <c:crossAx val="97764480"/>
        <c:crosses val="autoZero"/>
        <c:auto val="1"/>
        <c:lblAlgn val="ctr"/>
        <c:lblOffset val="100"/>
      </c:catAx>
      <c:valAx>
        <c:axId val="97764480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2.5188844027823669E-2"/>
              <c:y val="0.60074427527260144"/>
            </c:manualLayout>
          </c:layout>
        </c:title>
        <c:numFmt formatCode="0.00" sourceLinked="1"/>
        <c:tickLblPos val="nextTo"/>
        <c:crossAx val="97758592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январе-феврале, %</a:t>
            </a:r>
          </a:p>
        </c:rich>
      </c:tx>
      <c:layout>
        <c:manualLayout>
          <c:xMode val="edge"/>
          <c:yMode val="edge"/>
          <c:x val="0.21013093514921499"/>
          <c:y val="3.0392811068108002E-3"/>
        </c:manualLayout>
      </c:layout>
      <c:spPr>
        <a:ln>
          <a:noFill/>
        </a:ln>
      </c:spPr>
    </c:title>
    <c:view3D>
      <c:rotX val="10"/>
      <c:rotY val="10"/>
      <c:perspective val="0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0196123284963264E-2"/>
          <c:y val="3.4690799396681744E-2"/>
          <c:w val="0.90861868228012421"/>
          <c:h val="0.62124358699875504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dPt>
            <c:idx val="11"/>
            <c:spPr>
              <a:solidFill>
                <a:schemeClr val="tx2">
                  <a:lumMod val="20000"/>
                  <a:lumOff val="80000"/>
                </a:schemeClr>
              </a:solidFill>
            </c:spPr>
          </c:dPt>
          <c:dLbls>
            <c:dLbl>
              <c:idx val="0"/>
              <c:layout>
                <c:manualLayout>
                  <c:x val="5.9348523138644032E-3"/>
                  <c:y val="9.228774650902773E-3"/>
                </c:manualLayout>
              </c:layout>
              <c:showVal val="1"/>
            </c:dLbl>
            <c:dLbl>
              <c:idx val="1"/>
              <c:layout>
                <c:manualLayout>
                  <c:x val="4.0156975893708632E-3"/>
                  <c:y val="9.6474534338796773E-3"/>
                </c:manualLayout>
              </c:layout>
              <c:showVal val="1"/>
            </c:dLbl>
            <c:dLbl>
              <c:idx val="2"/>
              <c:layout>
                <c:manualLayout>
                  <c:x val="8.2392167346794654E-3"/>
                  <c:y val="9.2248098897003503E-3"/>
                </c:manualLayout>
              </c:layout>
              <c:showVal val="1"/>
            </c:dLbl>
            <c:dLbl>
              <c:idx val="3"/>
              <c:layout>
                <c:manualLayout>
                  <c:x val="6.0792849324328036E-3"/>
                  <c:y val="9.8556033970075198E-3"/>
                </c:manualLayout>
              </c:layout>
              <c:showVal val="1"/>
            </c:dLbl>
            <c:dLbl>
              <c:idx val="4"/>
              <c:layout>
                <c:manualLayout>
                  <c:x val="6.1399836231233835E-3"/>
                  <c:y val="1.8877021037023003E-2"/>
                </c:manualLayout>
              </c:layout>
              <c:showVal val="1"/>
            </c:dLbl>
            <c:dLbl>
              <c:idx val="5"/>
              <c:layout>
                <c:manualLayout>
                  <c:x val="1.7732088421682775E-3"/>
                  <c:y val="1.4260056616790025E-2"/>
                </c:manualLayout>
              </c:layout>
              <c:showVal val="1"/>
            </c:dLbl>
            <c:dLbl>
              <c:idx val="6"/>
              <c:layout>
                <c:manualLayout>
                  <c:x val="8.2383760325923389E-3"/>
                  <c:y val="1.4080452934319766E-2"/>
                </c:manualLayout>
              </c:layout>
              <c:showVal val="1"/>
            </c:dLbl>
            <c:dLbl>
              <c:idx val="7"/>
              <c:layout>
                <c:manualLayout>
                  <c:x val="5.9815953499087124E-3"/>
                  <c:y val="9.2248098897003503E-3"/>
                </c:manualLayout>
              </c:layout>
              <c:showVal val="1"/>
            </c:dLbl>
            <c:dLbl>
              <c:idx val="8"/>
              <c:layout>
                <c:manualLayout>
                  <c:x val="3.9677775704046944E-3"/>
                  <c:y val="8.4425625044604082E-3"/>
                </c:manualLayout>
              </c:layout>
              <c:showVal val="1"/>
            </c:dLbl>
            <c:dLbl>
              <c:idx val="9"/>
              <c:layout>
                <c:manualLayout>
                  <c:x val="6.0675151032129953E-3"/>
                  <c:y val="9.2335323643457246E-3"/>
                </c:manualLayout>
              </c:layout>
              <c:showVal val="1"/>
            </c:dLbl>
            <c:dLbl>
              <c:idx val="10"/>
              <c:layout>
                <c:manualLayout>
                  <c:x val="7.8651043059079495E-3"/>
                  <c:y val="9.4678497514095721E-3"/>
                </c:manualLayout>
              </c:layout>
              <c:showVal val="1"/>
            </c:dLbl>
            <c:dLbl>
              <c:idx val="11"/>
              <c:layout>
                <c:manualLayout>
                  <c:x val="4.1520594679028393E-3"/>
                  <c:y val="1.007049345417925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2"/>
                <c:pt idx="0">
                  <c:v>104.19</c:v>
                </c:pt>
                <c:pt idx="1">
                  <c:v>105.83</c:v>
                </c:pt>
                <c:pt idx="2">
                  <c:v>105.52</c:v>
                </c:pt>
                <c:pt idx="3">
                  <c:v>107.72</c:v>
                </c:pt>
                <c:pt idx="4">
                  <c:v>100.05</c:v>
                </c:pt>
                <c:pt idx="5">
                  <c:v>105.6</c:v>
                </c:pt>
                <c:pt idx="6">
                  <c:v>105.91000000000012</c:v>
                </c:pt>
                <c:pt idx="7">
                  <c:v>105.24000000000002</c:v>
                </c:pt>
                <c:pt idx="8">
                  <c:v>101.89</c:v>
                </c:pt>
                <c:pt idx="9">
                  <c:v>100.74000000000002</c:v>
                </c:pt>
                <c:pt idx="10">
                  <c:v>100.08</c:v>
                </c:pt>
                <c:pt idx="11">
                  <c:v>99.58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Лист1!$C$2:$C$15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Лист1!$D$2:$D$15</c:f>
            </c:numRef>
          </c:val>
          <c:shape val="box"/>
        </c:ser>
        <c:dLbls>
          <c:showVal val="1"/>
        </c:dLbls>
        <c:shape val="cylinder"/>
        <c:axId val="98109312"/>
        <c:axId val="98110848"/>
        <c:axId val="98140160"/>
      </c:bar3DChart>
      <c:catAx>
        <c:axId val="9810931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98110848"/>
        <c:crossesAt val="0"/>
        <c:auto val="1"/>
        <c:lblAlgn val="ctr"/>
        <c:lblOffset val="100"/>
      </c:catAx>
      <c:valAx>
        <c:axId val="98110848"/>
        <c:scaling>
          <c:orientation val="minMax"/>
          <c:max val="140"/>
          <c:min val="80"/>
        </c:scaling>
        <c:axPos val="l"/>
        <c:numFmt formatCode="#,##0.0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8109312"/>
        <c:crosses val="autoZero"/>
        <c:crossBetween val="between"/>
        <c:majorUnit val="20"/>
        <c:minorUnit val="20"/>
      </c:valAx>
      <c:serAx>
        <c:axId val="98140160"/>
        <c:scaling>
          <c:orientation val="minMax"/>
        </c:scaling>
        <c:delete val="1"/>
        <c:axPos val="b"/>
        <c:tickLblPos val="none"/>
        <c:crossAx val="98110848"/>
        <c:crosses val="autoZero"/>
      </c:serAx>
    </c:plotArea>
    <c:plotVisOnly val="1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2015 год</a:t>
            </a:r>
            <a:endParaRPr lang="ru-RU" b="0"/>
          </a:p>
        </c:rich>
      </c:tx>
      <c:layout>
        <c:manualLayout>
          <c:xMode val="edge"/>
          <c:yMode val="edge"/>
          <c:x val="0.35062304234871405"/>
          <c:y val="4.1063415460164251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054672990437602"/>
          <c:w val="0.68946084029572641"/>
          <c:h val="0.844708762366242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9"/>
          <c:dPt>
            <c:idx val="0"/>
            <c:explosion val="16"/>
          </c:dPt>
          <c:dPt>
            <c:idx val="1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explosion val="17"/>
          </c:dPt>
          <c:dPt>
            <c:idx val="3"/>
            <c:explosion val="24"/>
          </c:dPt>
          <c:dPt>
            <c:idx val="5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9.2689253537964186E-2"/>
                  <c:y val="8.998391330115996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14,7%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2.1723467772635289E-2"/>
                  <c:y val="0.102599434686048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50,0%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102169012373508E-2"/>
                  <c:y val="0.159854494872261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14,0%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1.8277867938263461E-3"/>
                  <c:y val="-8.31602734150210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10,5%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5.1578140174097275E-3"/>
                  <c:y val="-4.6564319124913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1,8%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layout>
                <c:manualLayout>
                  <c:x val="2.4189724376056047E-3"/>
                  <c:y val="-3.75938824954572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9,0%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178.4</c:v>
                </c:pt>
                <c:pt idx="1">
                  <c:v>605.70000000000005</c:v>
                </c:pt>
                <c:pt idx="2">
                  <c:v>169.7</c:v>
                </c:pt>
                <c:pt idx="3" formatCode="General">
                  <c:v>126.7</c:v>
                </c:pt>
                <c:pt idx="4" formatCode="General">
                  <c:v>21.7</c:v>
                </c:pt>
                <c:pt idx="5">
                  <c:v>108.6999999999999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238384324096896"/>
          <c:y val="0.22293542184232995"/>
          <c:w val="0.37344660161755777"/>
          <c:h val="0.776015832245603"/>
        </c:manualLayout>
      </c:layout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1762709597606046E-2"/>
          <c:y val="7.2690989962132593E-2"/>
          <c:w val="0.90757861477506396"/>
          <c:h val="0.60403758690469034"/>
        </c:manualLayout>
      </c:layout>
      <c:lineChart>
        <c:grouping val="standard"/>
        <c:ser>
          <c:idx val="3"/>
          <c:order val="3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 formatCode="General">
                  <c:v>601.9</c:v>
                </c:pt>
                <c:pt idx="1">
                  <c:v>609</c:v>
                </c:pt>
              </c:numCache>
            </c:numRef>
          </c:val>
        </c:ser>
        <c:ser>
          <c:idx val="4"/>
          <c:order val="4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 formatCode="General">
                  <c:v>601.9</c:v>
                </c:pt>
                <c:pt idx="1">
                  <c:v>609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3.5663774512262401E-2"/>
                  <c:y val="7.820576076059161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4.3368273233361801E-2"/>
                  <c:y val="0.2621460552725026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9422943011244932E-2"/>
                  <c:y val="7.13087516042873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3.3237619491112411E-2"/>
                  <c:y val="-5.39928937454271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9034023374589791E-2"/>
                  <c:y val="8.598371632117408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7440397230098982E-2"/>
                  <c:y val="8.653543307086773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3.6785486821875241E-2"/>
                  <c:y val="0.1221725855696611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1.6649588044153344E-2"/>
                  <c:y val="-0.1477770635813416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6881945318155433E-2"/>
                  <c:y val="7.83260216609192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882340734592239E-2"/>
                  <c:y val="8.80672645160745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2.8923405221784503E-2"/>
                  <c:y val="9.417778485744748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613.29999999999995</c:v>
                </c:pt>
                <c:pt idx="1">
                  <c:v>733.9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6647775715933482E-2"/>
                  <c:y val="-6.4629560789879775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"/>
              <c:layout>
                <c:manualLayout>
                  <c:x val="-5.2016316431783671E-2"/>
                  <c:y val="-0.22867870927898704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120,5%*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2"/>
              <c:layout>
                <c:manualLayout>
                  <c:x val="-4.5617045122106993E-2"/>
                  <c:y val="-7.662885751615848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136,4%*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3"/>
              <c:layout>
                <c:manualLayout>
                  <c:x val="-4.3204939413485167E-2"/>
                  <c:y val="-6.608335595981540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171,4%*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4"/>
              <c:layout>
                <c:manualLayout>
                  <c:x val="-3.5040729798885027E-2"/>
                  <c:y val="-7.51057903476355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5"/>
              <c:layout>
                <c:manualLayout>
                  <c:x val="-3.4878035917844212E-2"/>
                  <c:y val="-5.989727577156308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7"/>
              <c:layout>
                <c:manualLayout>
                  <c:x val="-3.1027110791985651E-2"/>
                  <c:y val="0.1628057207134821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8"/>
              <c:layout>
                <c:manualLayout>
                  <c:x val="-2.4911909195276402E-2"/>
                  <c:y val="-5.40537789919121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9"/>
              <c:layout>
                <c:manualLayout>
                  <c:x val="-2.0741804492367392E-2"/>
                  <c:y val="-7.21945471101826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</c:dLbl>
            <c:dLbl>
              <c:idx val="10"/>
              <c:layout>
                <c:manualLayout>
                  <c:x val="-3.7352147748495691E-2"/>
                  <c:y val="-8.89043876253113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 formatCode="General">
                  <c:v>601.9</c:v>
                </c:pt>
                <c:pt idx="1">
                  <c:v>609</c:v>
                </c:pt>
              </c:numCache>
            </c:numRef>
          </c:val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Лист1!$A$2:$A$3</c:f>
              <c:strCache>
                <c:ptCount val="2"/>
                <c:pt idx="0">
                  <c:v>январь</c:v>
                </c:pt>
                <c:pt idx="1">
                  <c:v>февраль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613.29999999999995</c:v>
                </c:pt>
                <c:pt idx="1">
                  <c:v>733.9</c:v>
                </c:pt>
              </c:numCache>
            </c:numRef>
          </c:val>
        </c:ser>
        <c:marker val="1"/>
        <c:axId val="96167808"/>
        <c:axId val="96301056"/>
      </c:lineChart>
      <c:catAx>
        <c:axId val="9616780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5.9146393408707123E-4"/>
              <c:y val="0.85038459478279449"/>
            </c:manualLayout>
          </c:layout>
          <c:spPr>
            <a:noFill/>
            <a:ln w="24917">
              <a:noFill/>
            </a:ln>
          </c:spPr>
        </c:title>
        <c:numFmt formatCode="General" sourceLinked="1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301056"/>
        <c:crosses val="autoZero"/>
        <c:auto val="1"/>
        <c:lblAlgn val="ctr"/>
        <c:lblOffset val="100"/>
      </c:catAx>
      <c:valAx>
        <c:axId val="96301056"/>
        <c:scaling>
          <c:orientation val="minMax"/>
          <c:min val="3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167808"/>
        <c:crosses val="autoZero"/>
        <c:crossBetween val="between"/>
        <c:majorUnit val="100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191734791112893"/>
          <c:y val="0.89792842418302865"/>
          <c:w val="0.29728521992075857"/>
          <c:h val="9.7756299775833014E-2"/>
        </c:manualLayout>
      </c:layout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view3D>
      <c:rotX val="0"/>
      <c:rotY val="0"/>
      <c:depthPercent val="100"/>
      <c:perspective val="30"/>
    </c:view3D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59"/>
          <c:h val="0.45779235928842227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февраль 2015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-2.2186051507465032E-3"/>
                  <c:y val="1.857596083317867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104,2*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-8.1032132263635023E-3"/>
                  <c:y val="1.025598652020339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44,0*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2.5467874773271613E-3"/>
                  <c:y val="1.285068133606636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91,5*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62,7*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6.106802122744056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90,8*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95,6*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3.8616552783997489E-3"/>
                  <c:y val="5.754188133890691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137,0*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-1.9696199392399186E-3"/>
                  <c:y val="7.852060317555363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79,7*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-3.4420933479852472E-3"/>
                  <c:y val="1.453971031398852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58,4*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5.8299113450273072E-4"/>
                  <c:y val="7.95213729596938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73,6*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-3.5751171187547092E-3"/>
                  <c:y val="-6.095955177320006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3,6р.*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289.60000000000002</c:v>
                </c:pt>
                <c:pt idx="1">
                  <c:v>97</c:v>
                </c:pt>
                <c:pt idx="2">
                  <c:v>14.94</c:v>
                </c:pt>
                <c:pt idx="3">
                  <c:v>12.1</c:v>
                </c:pt>
                <c:pt idx="4">
                  <c:v>14.2</c:v>
                </c:pt>
                <c:pt idx="5">
                  <c:v>1.2</c:v>
                </c:pt>
                <c:pt idx="6">
                  <c:v>16.600000000000001</c:v>
                </c:pt>
                <c:pt idx="7">
                  <c:v>93.6</c:v>
                </c:pt>
                <c:pt idx="8">
                  <c:v>59.6</c:v>
                </c:pt>
                <c:pt idx="9">
                  <c:v>7.3</c:v>
                </c:pt>
                <c:pt idx="10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февраль 2016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2.4835124885360153E-2"/>
                  <c:y val="1.472862188522732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95,6*</a:t>
                    </a:r>
                    <a:endParaRPr lang="en-US" sz="750" b="1"/>
                  </a:p>
                </c:rich>
              </c:tx>
            </c:dLbl>
            <c:dLbl>
              <c:idx val="1"/>
              <c:layout>
                <c:manualLayout>
                  <c:x val="1.013393262883063E-2"/>
                  <c:y val="5.360163312919219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2,4р.* </a:t>
                    </a:r>
                    <a:endParaRPr lang="en-US" sz="750" b="1"/>
                  </a:p>
                </c:rich>
              </c:tx>
            </c:dLbl>
            <c:dLbl>
              <c:idx val="2"/>
              <c:layout>
                <c:manualLayout>
                  <c:x val="1.0671150366435306E-2"/>
                  <c:y val="-2.73549912221238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99,6*</a:t>
                    </a:r>
                    <a:endParaRPr lang="en-US" sz="750" b="1"/>
                  </a:p>
                </c:rich>
              </c:tx>
            </c:dLbl>
            <c:dLbl>
              <c:idx val="3"/>
              <c:layout>
                <c:manualLayout>
                  <c:x val="5.9807817831795361E-3"/>
                  <c:y val="-2.88370435177084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106,1*</a:t>
                    </a:r>
                    <a:endParaRPr lang="en-US" sz="750" b="1"/>
                  </a:p>
                </c:rich>
              </c:tx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53,8*</a:t>
                    </a:r>
                    <a:endParaRPr lang="en-US" sz="750" b="1"/>
                  </a:p>
                </c:rich>
              </c:tx>
            </c:dLbl>
            <c:dLbl>
              <c:idx val="5"/>
              <c:layout>
                <c:manualLayout>
                  <c:x val="6.4136234939139378E-3"/>
                  <c:y val="-4.455275790146011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17,3*</a:t>
                    </a:r>
                    <a:endParaRPr lang="en-US" sz="750" b="1"/>
                  </a:p>
                </c:rich>
              </c:tx>
            </c:dLbl>
            <c:dLbl>
              <c:idx val="6"/>
              <c:layout>
                <c:manualLayout>
                  <c:x val="-6.446282357412611E-3"/>
                  <c:y val="-4.633356015683257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64,6*</a:t>
                    </a:r>
                    <a:endParaRPr lang="en-US" sz="750" b="1"/>
                  </a:p>
                </c:rich>
              </c:tx>
            </c:dLbl>
            <c:dLbl>
              <c:idx val="7"/>
              <c:layout>
                <c:manualLayout>
                  <c:x val="6.5943435979212124E-3"/>
                  <c:y val="-4.108097598911247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103,7*</a:t>
                    </a:r>
                    <a:endParaRPr lang="en-US" sz="750" b="1"/>
                  </a:p>
                </c:rich>
              </c:tx>
            </c:dLbl>
            <c:dLbl>
              <c:idx val="8"/>
              <c:layout>
                <c:manualLayout>
                  <c:x val="1.0791119630507969E-2"/>
                  <c:y val="-2.159651339878799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116,8*</a:t>
                    </a:r>
                    <a:endParaRPr lang="en-US" sz="750" b="1"/>
                  </a:p>
                </c:rich>
              </c:tx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105,7*</a:t>
                    </a:r>
                    <a:endParaRPr lang="en-US" sz="750" b="1"/>
                  </a:p>
                </c:rich>
              </c:tx>
            </c:dLbl>
            <c:dLbl>
              <c:idx val="10"/>
              <c:layout>
                <c:manualLayout>
                  <c:x val="1.3816129751881822E-2"/>
                  <c:y val="-4.318524999189915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44,9*</a:t>
                    </a:r>
                    <a:endParaRPr lang="en-US" sz="750" b="1"/>
                  </a:p>
                </c:rich>
              </c:tx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Val val="1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277</c:v>
                </c:pt>
                <c:pt idx="1">
                  <c:v>234.9</c:v>
                </c:pt>
                <c:pt idx="2">
                  <c:v>14.88</c:v>
                </c:pt>
                <c:pt idx="3">
                  <c:v>12.8</c:v>
                </c:pt>
                <c:pt idx="4">
                  <c:v>7.6</c:v>
                </c:pt>
                <c:pt idx="5">
                  <c:v>0.2</c:v>
                </c:pt>
                <c:pt idx="6">
                  <c:v>10.7</c:v>
                </c:pt>
                <c:pt idx="7">
                  <c:v>97</c:v>
                </c:pt>
                <c:pt idx="8">
                  <c:v>69.7</c:v>
                </c:pt>
                <c:pt idx="9">
                  <c:v>7.7</c:v>
                </c:pt>
                <c:pt idx="10">
                  <c:v>1.3</c:v>
                </c:pt>
              </c:numCache>
            </c:numRef>
          </c:val>
        </c:ser>
        <c:shape val="cylinder"/>
        <c:axId val="95874048"/>
        <c:axId val="96334592"/>
        <c:axId val="0"/>
      </c:bar3DChart>
      <c:catAx>
        <c:axId val="95874048"/>
        <c:scaling>
          <c:orientation val="minMax"/>
        </c:scaling>
        <c:axPos val="b"/>
        <c:numFmt formatCode="General" sourceLinked="1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96334592"/>
        <c:crosses val="autoZero"/>
        <c:auto val="1"/>
        <c:lblAlgn val="ctr"/>
        <c:lblOffset val="100"/>
      </c:catAx>
      <c:valAx>
        <c:axId val="96334592"/>
        <c:scaling>
          <c:orientation val="minMax"/>
        </c:scaling>
        <c:axPos val="l"/>
        <c:numFmt formatCode="#,##0.0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95874048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61853"/>
          <c:w val="0.43969925806518279"/>
          <c:h val="6.4257028112449793E-2"/>
        </c:manualLayout>
      </c:layout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1939632545931995"/>
          <c:y val="0"/>
        </c:manualLayout>
      </c:layout>
      <c:spPr>
        <a:noFill/>
        <a:ln w="21571">
          <a:noFill/>
        </a:ln>
      </c:spPr>
    </c:title>
    <c:plotArea>
      <c:layout>
        <c:manualLayout>
          <c:layoutTarget val="inner"/>
          <c:xMode val="edge"/>
          <c:yMode val="edge"/>
          <c:x val="0.41592156862746715"/>
          <c:y val="0.21069898520750024"/>
          <c:w val="0.50840161891985969"/>
          <c:h val="0.6196214415505824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4.0443585348677313E-3"/>
                  <c:y val="1.169975368939602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108,7%*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7.3553993134133295E-3"/>
                  <c:y val="8.795136476659058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114,1%*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1.826462868612144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98,2%*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605.70000000000005</c:v>
                </c:pt>
                <c:pt idx="1">
                  <c:v>454.3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dLbls>
            <c:dLbl>
              <c:idx val="0"/>
              <c:layout>
                <c:manualLayout>
                  <c:x val="-2.405177667794656E-3"/>
                  <c:y val="3.3689349230075567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97,7</a:t>
                    </a:r>
                    <a:r>
                      <a:rPr lang="ru-RU" sz="900" baseline="0"/>
                      <a:t>%*</a:t>
                    </a:r>
                    <a:endParaRPr lang="en-US" sz="900"/>
                  </a:p>
                </c:rich>
              </c:tx>
              <c:dLblPos val="outEnd"/>
            </c:dLbl>
            <c:dLbl>
              <c:idx val="1"/>
              <c:layout>
                <c:manualLayout>
                  <c:x val="-1.0393374234130556E-2"/>
                  <c:y val="-1.1760044417524741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95,5%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6.4717254906693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95,2%*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591.5</c:v>
                </c:pt>
                <c:pt idx="1">
                  <c:v>433.8</c:v>
                </c:pt>
              </c:numCache>
            </c:numRef>
          </c:val>
        </c:ser>
        <c:dLbls>
          <c:showVal val="1"/>
        </c:dLbls>
        <c:axId val="96524928"/>
        <c:axId val="96682368"/>
      </c:barChart>
      <c:catAx>
        <c:axId val="96524928"/>
        <c:scaling>
          <c:orientation val="minMax"/>
        </c:scaling>
        <c:axPos val="l"/>
        <c:numFmt formatCode="General" sourceLinked="1"/>
        <c:tickLblPos val="nextTo"/>
        <c:crossAx val="96682368"/>
        <c:crosses val="autoZero"/>
        <c:auto val="1"/>
        <c:lblAlgn val="ctr"/>
        <c:lblOffset val="100"/>
      </c:catAx>
      <c:valAx>
        <c:axId val="96682368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spPr>
            <a:noFill/>
            <a:ln w="21571">
              <a:noFill/>
            </a:ln>
          </c:spPr>
        </c:title>
        <c:numFmt formatCode="0.0" sourceLinked="1"/>
        <c:tickLblPos val="nextTo"/>
        <c:crossAx val="96524928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45184136474319825"/>
        </c:manualLayout>
      </c:layout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spPr>
        <a:noFill/>
        <a:ln w="19217">
          <a:noFill/>
        </a:ln>
      </c:spPr>
    </c:title>
    <c:plotArea>
      <c:layout>
        <c:manualLayout>
          <c:layoutTarget val="inner"/>
          <c:xMode val="edge"/>
          <c:yMode val="edge"/>
          <c:x val="0.32546695094707168"/>
          <c:y val="0.1887071060562012"/>
          <c:w val="0.57282457566456302"/>
          <c:h val="0.6417248575635966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dLbls>
            <c:dLbl>
              <c:idx val="0"/>
              <c:layout>
                <c:manualLayout>
                  <c:x val="-2.0512073895231509E-3"/>
                  <c:y val="-7.0176633326239817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75,5%*</a:t>
                    </a:r>
                  </a:p>
                </c:rich>
              </c:tx>
              <c:dLblPos val="outEnd"/>
            </c:dLbl>
            <c:dLbl>
              <c:idx val="1"/>
              <c:layout>
                <c:manualLayout>
                  <c:x val="-9.2207272241218026E-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63,2%*</a:t>
                    </a:r>
                  </a:p>
                </c:rich>
              </c:tx>
              <c:dLblPos val="outEnd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100,3%*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169.7</c:v>
                </c:pt>
                <c:pt idx="1">
                  <c:v>75.2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dLbls>
            <c:dLbl>
              <c:idx val="0"/>
              <c:layout>
                <c:manualLayout>
                  <c:x val="-4.6703230866784124E-3"/>
                  <c:y val="-9.5803461054611207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98,8%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1"/>
              <c:layout>
                <c:manualLayout>
                  <c:x val="-6.1088126696026814E-3"/>
                  <c:y val="2.8707180833165398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112,2%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167.7</c:v>
                </c:pt>
                <c:pt idx="1">
                  <c:v>84.4</c:v>
                </c:pt>
              </c:numCache>
            </c:numRef>
          </c:val>
        </c:ser>
        <c:dLbls>
          <c:showVal val="1"/>
        </c:dLbls>
        <c:axId val="96795264"/>
        <c:axId val="96874880"/>
      </c:barChart>
      <c:catAx>
        <c:axId val="9679526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96874880"/>
        <c:crosses val="autoZero"/>
        <c:auto val="1"/>
        <c:lblAlgn val="ctr"/>
        <c:lblOffset val="100"/>
      </c:catAx>
      <c:valAx>
        <c:axId val="9687488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spPr>
            <a:noFill/>
            <a:ln w="19217">
              <a:noFill/>
            </a:ln>
          </c:spPr>
        </c:title>
        <c:numFmt formatCode="General" sourceLinked="1"/>
        <c:tickLblPos val="nextTo"/>
        <c:crossAx val="96795264"/>
        <c:crosses val="autoZero"/>
        <c:crossBetween val="between"/>
        <c:majorUnit val="30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4744E-2"/>
          <c:h val="0.30439103742981938"/>
        </c:manualLayout>
      </c:layout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autoTitleDeleted val="1"/>
    <c:plotArea>
      <c:layout>
        <c:manualLayout>
          <c:layoutTarget val="inner"/>
          <c:xMode val="edge"/>
          <c:yMode val="edge"/>
          <c:x val="0.32387258821563736"/>
          <c:y val="8.2281182243522932E-2"/>
          <c:w val="0.65776826089509965"/>
          <c:h val="0.48587470044505904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февраль 2015 года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-22,1*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6064257028112545E-2"/>
                  <c:y val="-7.24637681159426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-25,8*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-20,4*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294</c:v>
                </c:pt>
                <c:pt idx="1">
                  <c:v>83.7</c:v>
                </c:pt>
                <c:pt idx="2">
                  <c:v>210.3</c:v>
                </c:pt>
                <c:pt idx="3">
                  <c:v>-126.60000000000001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февраль 2016 года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dLbl>
              <c:idx val="0"/>
              <c:layout>
                <c:manualLayout>
                  <c:x val="4.1308089500860568E-2"/>
                  <c:y val="2.8985507246376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-28,8*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442340791738388E-2"/>
                  <c:y val="2.8985507246376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-8,7*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4.3602802661715366E-2"/>
                  <c:y val="3.623188405797118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-36,8*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209.3</c:v>
                </c:pt>
                <c:pt idx="1">
                  <c:v>76.400000000000006</c:v>
                </c:pt>
                <c:pt idx="2">
                  <c:v>133</c:v>
                </c:pt>
                <c:pt idx="3">
                  <c:v>-56.600000000000009</c:v>
                </c:pt>
              </c:numCache>
            </c:numRef>
          </c:val>
        </c:ser>
        <c:gapWidth val="50"/>
        <c:overlap val="60"/>
        <c:axId val="96774400"/>
        <c:axId val="97026048"/>
      </c:barChart>
      <c:catAx>
        <c:axId val="96774400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7026048"/>
        <c:crosses val="autoZero"/>
        <c:lblAlgn val="ctr"/>
        <c:lblOffset val="20"/>
        <c:tickMarkSkip val="1"/>
      </c:catAx>
      <c:valAx>
        <c:axId val="97026048"/>
        <c:scaling>
          <c:orientation val="minMax"/>
          <c:max val="300"/>
          <c:min val="-150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ru-RU"/>
                  <a:t>* - темп прироста (спада) в % к </a:t>
                </a:r>
              </a:p>
              <a:p>
                <a:pPr>
                  <a:defRPr/>
                </a:pPr>
                <a:r>
                  <a:rPr lang="ru-RU"/>
                  <a:t>предыдущему </a:t>
                </a:r>
              </a:p>
              <a:p>
                <a:pPr>
                  <a:defRPr/>
                </a:pPr>
                <a:r>
                  <a:rPr lang="ru-RU"/>
                  <a:t>году</a:t>
                </a:r>
              </a:p>
            </c:rich>
          </c:tx>
          <c:layout>
            <c:manualLayout>
              <c:xMode val="edge"/>
              <c:yMode val="edge"/>
              <c:x val="1.6593003594758311E-3"/>
              <c:y val="2.5053910514707986E-3"/>
            </c:manualLayout>
          </c:layout>
        </c:title>
        <c:numFmt formatCode="#,##0.0" sourceLinked="1"/>
        <c:majorTickMark val="cross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96774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8.0192616372391654E-2"/>
          <c:y val="3.05444887118194E-2"/>
          <c:w val="0.92836811128945951"/>
          <c:h val="0.4264010624169986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февраль 2015 год</c:v>
                </c:pt>
              </c:strCache>
            </c:strRef>
          </c:tx>
          <c:spPr>
            <a:solidFill>
              <a:srgbClr val="4BACC6">
                <a:lumMod val="50000"/>
              </a:srgbClr>
            </a:solidFill>
          </c:spPr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6.4205457463884395E-3"/>
                  <c:y val="3.7506464108343611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43,2*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8.5607276618512567E-3"/>
                  <c:y val="1.169304684372080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21,6*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10,4*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2.1401819154628753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3,8*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2,2*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2,4*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8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13.728999999999999</c:v>
                </c:pt>
                <c:pt idx="1">
                  <c:v>36.128000000000085</c:v>
                </c:pt>
                <c:pt idx="2">
                  <c:v>18.067999999999987</c:v>
                </c:pt>
                <c:pt idx="3">
                  <c:v>8.7260000000000009</c:v>
                </c:pt>
                <c:pt idx="4">
                  <c:v>3.1719999999999997</c:v>
                </c:pt>
                <c:pt idx="5">
                  <c:v>1.87</c:v>
                </c:pt>
                <c:pt idx="6">
                  <c:v>1.9740000000000069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февраль 2016 год</c:v>
                </c:pt>
              </c:strCache>
            </c:strRef>
          </c:tx>
          <c:spPr>
            <a:solidFill>
              <a:srgbClr val="4BACC6">
                <a:lumMod val="40000"/>
                <a:lumOff val="60000"/>
              </a:srgbClr>
            </a:solidFill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19,7*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45,6*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20,1*</a:t>
                    </a:r>
                  </a:p>
                  <a:p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8,0*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2,4*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1,1*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3,1*</a:t>
                    </a:r>
                    <a:endParaRPr lang="en-US"/>
                  </a:p>
                </c:rich>
              </c:tx>
              <c:dLblPos val="outEnd"/>
              <c:showVal val="1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8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15.06</c:v>
                </c:pt>
                <c:pt idx="1">
                  <c:v>34.786000000000001</c:v>
                </c:pt>
                <c:pt idx="2">
                  <c:v>15.327</c:v>
                </c:pt>
                <c:pt idx="3">
                  <c:v>6.1039999999999965</c:v>
                </c:pt>
                <c:pt idx="4">
                  <c:v>1.8540000000000001</c:v>
                </c:pt>
                <c:pt idx="5">
                  <c:v>0.86100000000000065</c:v>
                </c:pt>
                <c:pt idx="6">
                  <c:v>2.3849999999999931</c:v>
                </c:pt>
              </c:numCache>
            </c:numRef>
          </c:val>
        </c:ser>
        <c:dLbls>
          <c:showVal val="1"/>
        </c:dLbls>
        <c:gapWidth val="160"/>
        <c:axId val="97073408"/>
        <c:axId val="97120256"/>
      </c:barChart>
      <c:catAx>
        <c:axId val="97073408"/>
        <c:scaling>
          <c:orientation val="minMax"/>
        </c:scaling>
        <c:axPos val="b"/>
        <c:numFmt formatCode="General" sourceLinked="1"/>
        <c:tickLblPos val="low"/>
        <c:txPr>
          <a:bodyPr rot="-540000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120256"/>
        <c:crosses val="autoZero"/>
        <c:lblAlgn val="ctr"/>
        <c:lblOffset val="160"/>
        <c:tickLblSkip val="1"/>
        <c:tickMarkSkip val="1"/>
      </c:catAx>
      <c:valAx>
        <c:axId val="97120256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9914391406"/>
              <c:y val="4.7138312256422531E-2"/>
            </c:manualLayout>
          </c:layout>
        </c:title>
        <c:numFmt formatCode="0.0" sourceLinked="1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07340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141034369073079"/>
          <c:y val="0.90813400293467261"/>
          <c:w val="0.73615633282381365"/>
          <c:h val="6.915163163659790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76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млн. долл. США</a:t>
            </a:r>
          </a:p>
        </c:rich>
      </c:tx>
      <c:layout>
        <c:manualLayout>
          <c:xMode val="edge"/>
          <c:yMode val="edge"/>
          <c:x val="0.24426007724644191"/>
          <c:y val="0"/>
        </c:manualLayout>
      </c:layout>
      <c:spPr>
        <a:solidFill>
          <a:sysClr val="window" lastClr="FFFFFF"/>
        </a:solidFill>
        <a:ln w="24889">
          <a:noFill/>
        </a:ln>
      </c:spPr>
    </c:title>
    <c:plotArea>
      <c:layout>
        <c:manualLayout>
          <c:layoutTarget val="inner"/>
          <c:xMode val="edge"/>
          <c:yMode val="edge"/>
          <c:x val="0.16854326594755592"/>
          <c:y val="8.2857142857143046E-2"/>
          <c:w val="0.81143679112182576"/>
          <c:h val="0.554957630296212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февраль 2015 г.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dLbls>
            <c:dLbl>
              <c:idx val="0"/>
              <c:layout>
                <c:manualLayout>
                  <c:x val="-2.113048071843615E-3"/>
                  <c:y val="1.811594202898550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54,5*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-4.2906021033849899E-3"/>
                  <c:y val="1.3442448764611927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7,3*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6,0*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-7.5040394725434103E-3"/>
                  <c:y val="1.008573928258970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10,0*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6,1*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-8.4156597542425216E-3"/>
                  <c:y val="1.221195176689870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2,4*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6173653968929561E-4"/>
                  <c:y val="3.1051770702575678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5,5*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45.6</c:v>
                </c:pt>
                <c:pt idx="1">
                  <c:v>6.1</c:v>
                </c:pt>
                <c:pt idx="2">
                  <c:v>5</c:v>
                </c:pt>
                <c:pt idx="3" formatCode="General">
                  <c:v>8.4</c:v>
                </c:pt>
                <c:pt idx="4">
                  <c:v>5.0999999999999996</c:v>
                </c:pt>
                <c:pt idx="5" formatCode="General">
                  <c:v>6.9</c:v>
                </c:pt>
                <c:pt idx="6">
                  <c:v>2</c:v>
                </c:pt>
                <c:pt idx="7">
                  <c:v>4.6000000000000005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февраль 2016 г.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</c:spPr>
          <c:dLbls>
            <c:dLbl>
              <c:idx val="0"/>
              <c:layout>
                <c:manualLayout>
                  <c:x val="1.6700320263280895E-2"/>
                  <c:y val="1.6605101897897764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49,0*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1"/>
              <c:layout>
                <c:manualLayout>
                  <c:x val="1.3888888888889431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4,6*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2"/>
              <c:layout>
                <c:manualLayout>
                  <c:x val="4.9796100447359421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5,6*</a:t>
                    </a:r>
                  </a:p>
                  <a:p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8,6*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4"/>
              <c:layout>
                <c:manualLayout>
                  <c:x val="1.3888888888889431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6,4*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5"/>
              <c:layout>
                <c:manualLayout>
                  <c:x val="1.1984310202112844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16,6*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6"/>
              <c:layout>
                <c:manualLayout>
                  <c:x val="6.4095591654647743E-3"/>
                  <c:y val="1.4009509680855226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0,8*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8,4*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37.4</c:v>
                </c:pt>
                <c:pt idx="1">
                  <c:v>3.5</c:v>
                </c:pt>
                <c:pt idx="2" formatCode="General">
                  <c:v>4.3</c:v>
                </c:pt>
                <c:pt idx="3">
                  <c:v>6.6</c:v>
                </c:pt>
                <c:pt idx="4">
                  <c:v>4.9000000000000004</c:v>
                </c:pt>
                <c:pt idx="5">
                  <c:v>12.7</c:v>
                </c:pt>
                <c:pt idx="6" formatCode="General">
                  <c:v>0.60000000000000064</c:v>
                </c:pt>
                <c:pt idx="7">
                  <c:v>6.4000000000000128</c:v>
                </c:pt>
              </c:numCache>
            </c:numRef>
          </c:val>
        </c:ser>
        <c:dLbls>
          <c:showVal val="1"/>
        </c:dLbls>
        <c:axId val="97372800"/>
        <c:axId val="97358208"/>
      </c:barChart>
      <c:catAx>
        <c:axId val="97372800"/>
        <c:scaling>
          <c:orientation val="minMax"/>
        </c:scaling>
        <c:axPos val="b"/>
        <c:numFmt formatCode="General" sourceLinked="1"/>
        <c:tickLblPos val="nextTo"/>
        <c:crossAx val="97358208"/>
        <c:crosses val="autoZero"/>
        <c:auto val="1"/>
        <c:lblAlgn val="ctr"/>
        <c:lblOffset val="100"/>
      </c:catAx>
      <c:valAx>
        <c:axId val="97358208"/>
        <c:scaling>
          <c:orientation val="minMax"/>
          <c:max val="50"/>
          <c:min val="0"/>
        </c:scaling>
        <c:axPos val="l"/>
        <c:title>
          <c:tx>
            <c:rich>
              <a:bodyPr rot="0" vert="horz"/>
              <a:lstStyle/>
              <a:p>
                <a:pPr algn="ctr">
                  <a:defRPr sz="107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8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8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3037561118"/>
              <c:y val="0.11114159510548986"/>
            </c:manualLayout>
          </c:layout>
          <c:spPr>
            <a:noFill/>
            <a:ln w="24889">
              <a:noFill/>
            </a:ln>
          </c:spPr>
        </c:title>
        <c:numFmt formatCode="0.0" sourceLinked="1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372800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82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b"/>
      <c:layout>
        <c:manualLayout>
          <c:xMode val="edge"/>
          <c:yMode val="edge"/>
          <c:x val="0.18355016686516579"/>
          <c:y val="0.94821572658938513"/>
          <c:w val="0.71545891128933969"/>
          <c:h val="4.8739096292208794E-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242F0-DC79-4619-BE58-77B3E148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podsevalnikova-a</dc:creator>
  <cp:keywords/>
  <dc:description/>
  <cp:lastModifiedBy>gosharova-s</cp:lastModifiedBy>
  <cp:revision>9</cp:revision>
  <cp:lastPrinted>2016-03-23T16:00:00Z</cp:lastPrinted>
  <dcterms:created xsi:type="dcterms:W3CDTF">2016-03-21T12:53:00Z</dcterms:created>
  <dcterms:modified xsi:type="dcterms:W3CDTF">2016-03-28T05:02:00Z</dcterms:modified>
</cp:coreProperties>
</file>