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4B" w:rsidRPr="00A56D4B" w:rsidRDefault="00A56D4B" w:rsidP="00A56D4B">
      <w:pPr>
        <w:pStyle w:val="5"/>
        <w:spacing w:after="0"/>
        <w:jc w:val="center"/>
        <w:rPr>
          <w:i w:val="0"/>
          <w:sz w:val="24"/>
          <w:szCs w:val="24"/>
        </w:rPr>
      </w:pPr>
      <w:proofErr w:type="gramStart"/>
      <w:r w:rsidRPr="00A56D4B">
        <w:rPr>
          <w:i w:val="0"/>
          <w:sz w:val="24"/>
          <w:szCs w:val="24"/>
        </w:rPr>
        <w:t>П</w:t>
      </w:r>
      <w:proofErr w:type="gramEnd"/>
      <w:r w:rsidRPr="00A56D4B">
        <w:rPr>
          <w:i w:val="0"/>
          <w:sz w:val="24"/>
          <w:szCs w:val="24"/>
        </w:rPr>
        <w:t xml:space="preserve"> Р И К А З</w:t>
      </w:r>
    </w:p>
    <w:p w:rsidR="00A56D4B" w:rsidRPr="00A56D4B" w:rsidRDefault="00A56D4B" w:rsidP="00A56D4B">
      <w:pPr>
        <w:spacing w:after="0" w:line="240" w:lineRule="auto"/>
        <w:jc w:val="center"/>
        <w:rPr>
          <w:rFonts w:ascii="Times New Roman" w:hAnsi="Times New Roman" w:cs="Times New Roman"/>
          <w:b/>
          <w:sz w:val="24"/>
          <w:szCs w:val="24"/>
        </w:rPr>
      </w:pPr>
    </w:p>
    <w:p w:rsidR="00A56D4B" w:rsidRPr="00A56D4B" w:rsidRDefault="004A1E5F" w:rsidP="00A56D4B">
      <w:pPr>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30 сентября </w:t>
      </w:r>
      <w:r w:rsidR="00A56D4B" w:rsidRPr="00A56D4B">
        <w:rPr>
          <w:rFonts w:ascii="Times New Roman" w:hAnsi="Times New Roman" w:cs="Times New Roman"/>
          <w:b/>
          <w:sz w:val="24"/>
          <w:szCs w:val="24"/>
          <w:shd w:val="clear" w:color="auto" w:fill="FFFFFF"/>
        </w:rPr>
        <w:t>2020 года</w:t>
      </w:r>
      <w:r w:rsidR="00A56D4B" w:rsidRPr="00A56D4B">
        <w:rPr>
          <w:rFonts w:ascii="Times New Roman" w:hAnsi="Times New Roman" w:cs="Times New Roman"/>
          <w:b/>
          <w:sz w:val="24"/>
          <w:szCs w:val="24"/>
        </w:rPr>
        <w:tab/>
      </w:r>
      <w:r w:rsidR="00A56D4B" w:rsidRPr="00A56D4B">
        <w:rPr>
          <w:rFonts w:ascii="Times New Roman" w:hAnsi="Times New Roman" w:cs="Times New Roman"/>
          <w:b/>
          <w:sz w:val="24"/>
          <w:szCs w:val="24"/>
        </w:rPr>
        <w:tab/>
      </w:r>
      <w:r w:rsidR="00A56D4B" w:rsidRPr="00A56D4B">
        <w:rPr>
          <w:rFonts w:ascii="Times New Roman" w:hAnsi="Times New Roman" w:cs="Times New Roman"/>
          <w:b/>
          <w:sz w:val="24"/>
          <w:szCs w:val="24"/>
        </w:rPr>
        <w:tab/>
      </w:r>
      <w:r w:rsidR="00A56D4B" w:rsidRPr="00A56D4B">
        <w:rPr>
          <w:rFonts w:ascii="Times New Roman" w:hAnsi="Times New Roman" w:cs="Times New Roman"/>
          <w:b/>
          <w:sz w:val="24"/>
          <w:szCs w:val="24"/>
        </w:rPr>
        <w:tab/>
      </w:r>
      <w:r w:rsidR="00A56D4B" w:rsidRPr="00A56D4B">
        <w:rPr>
          <w:rFonts w:ascii="Times New Roman" w:hAnsi="Times New Roman" w:cs="Times New Roman"/>
          <w:b/>
          <w:sz w:val="24"/>
          <w:szCs w:val="24"/>
        </w:rPr>
        <w:tab/>
      </w:r>
      <w:r w:rsidR="00A56D4B" w:rsidRPr="00A56D4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6D4B" w:rsidRPr="00A56D4B">
        <w:rPr>
          <w:rFonts w:ascii="Times New Roman" w:hAnsi="Times New Roman" w:cs="Times New Roman"/>
          <w:b/>
          <w:sz w:val="24"/>
          <w:szCs w:val="24"/>
        </w:rPr>
        <w:t>№</w:t>
      </w:r>
      <w:r>
        <w:rPr>
          <w:rFonts w:ascii="Times New Roman" w:hAnsi="Times New Roman" w:cs="Times New Roman"/>
          <w:b/>
          <w:sz w:val="24"/>
          <w:szCs w:val="24"/>
        </w:rPr>
        <w:t xml:space="preserve"> 740</w:t>
      </w:r>
    </w:p>
    <w:p w:rsidR="00A56D4B" w:rsidRPr="00A56D4B" w:rsidRDefault="00A56D4B" w:rsidP="00A56D4B">
      <w:pPr>
        <w:spacing w:after="0" w:line="240" w:lineRule="auto"/>
        <w:jc w:val="center"/>
        <w:rPr>
          <w:rFonts w:ascii="Times New Roman" w:hAnsi="Times New Roman" w:cs="Times New Roman"/>
          <w:sz w:val="24"/>
          <w:szCs w:val="24"/>
        </w:rPr>
      </w:pPr>
      <w:r w:rsidRPr="00A56D4B">
        <w:rPr>
          <w:rFonts w:ascii="Times New Roman" w:hAnsi="Times New Roman" w:cs="Times New Roman"/>
          <w:sz w:val="24"/>
          <w:szCs w:val="24"/>
        </w:rPr>
        <w:t>г. Тирасполь</w:t>
      </w:r>
    </w:p>
    <w:p w:rsidR="00116E69" w:rsidRPr="00277BC1" w:rsidRDefault="00116E69" w:rsidP="00277BC1">
      <w:pPr>
        <w:spacing w:after="0" w:line="240" w:lineRule="auto"/>
        <w:jc w:val="center"/>
        <w:rPr>
          <w:rFonts w:ascii="Times New Roman" w:hAnsi="Times New Roman" w:cs="Times New Roman"/>
          <w:color w:val="000000" w:themeColor="text1"/>
          <w:sz w:val="24"/>
          <w:szCs w:val="24"/>
        </w:rPr>
      </w:pPr>
    </w:p>
    <w:p w:rsidR="00116E69" w:rsidRPr="00277BC1" w:rsidRDefault="00116E69" w:rsidP="00277BC1">
      <w:pPr>
        <w:spacing w:after="0" w:line="240" w:lineRule="auto"/>
        <w:jc w:val="center"/>
        <w:rPr>
          <w:rFonts w:ascii="Times New Roman" w:hAnsi="Times New Roman" w:cs="Times New Roman"/>
          <w:color w:val="000000" w:themeColor="text1"/>
          <w:sz w:val="24"/>
          <w:szCs w:val="24"/>
        </w:rPr>
      </w:pPr>
      <w:r w:rsidRPr="00277BC1">
        <w:rPr>
          <w:rFonts w:ascii="Times New Roman" w:hAnsi="Times New Roman" w:cs="Times New Roman"/>
          <w:color w:val="000000" w:themeColor="text1"/>
          <w:sz w:val="24"/>
          <w:szCs w:val="24"/>
        </w:rPr>
        <w:t xml:space="preserve">Об утверждении Положения о порядке формирования и представления индикативных цен </w:t>
      </w:r>
    </w:p>
    <w:p w:rsidR="00116E69" w:rsidRDefault="00116E69" w:rsidP="00277BC1">
      <w:pPr>
        <w:spacing w:after="0" w:line="240" w:lineRule="auto"/>
        <w:jc w:val="center"/>
        <w:rPr>
          <w:rFonts w:ascii="Times New Roman" w:hAnsi="Times New Roman" w:cs="Times New Roman"/>
          <w:color w:val="000000" w:themeColor="text1"/>
          <w:sz w:val="24"/>
          <w:szCs w:val="24"/>
        </w:rPr>
      </w:pPr>
      <w:r w:rsidRPr="00277BC1">
        <w:rPr>
          <w:rFonts w:ascii="Times New Roman" w:hAnsi="Times New Roman" w:cs="Times New Roman"/>
          <w:color w:val="000000" w:themeColor="text1"/>
          <w:sz w:val="24"/>
          <w:szCs w:val="24"/>
        </w:rPr>
        <w:t xml:space="preserve">на </w:t>
      </w:r>
      <w:r w:rsidR="008F4758" w:rsidRPr="00277BC1">
        <w:rPr>
          <w:rFonts w:ascii="Times New Roman" w:hAnsi="Times New Roman" w:cs="Times New Roman"/>
          <w:color w:val="000000" w:themeColor="text1"/>
          <w:sz w:val="24"/>
          <w:szCs w:val="24"/>
        </w:rPr>
        <w:t>портландцемент</w:t>
      </w:r>
    </w:p>
    <w:p w:rsidR="00151801" w:rsidRDefault="00151801" w:rsidP="00277BC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(САЗ 20-40)</w:t>
      </w:r>
    </w:p>
    <w:p w:rsidR="00A86105" w:rsidRPr="00277BC1" w:rsidRDefault="00A86105" w:rsidP="00277BC1">
      <w:pPr>
        <w:spacing w:after="0" w:line="240" w:lineRule="auto"/>
        <w:jc w:val="center"/>
        <w:rPr>
          <w:rFonts w:ascii="Times New Roman" w:hAnsi="Times New Roman" w:cs="Times New Roman"/>
          <w:color w:val="000000" w:themeColor="text1"/>
          <w:sz w:val="24"/>
          <w:szCs w:val="24"/>
        </w:rPr>
      </w:pPr>
    </w:p>
    <w:p w:rsidR="00116E69" w:rsidRPr="00A86105" w:rsidRDefault="008944DB" w:rsidP="00277BC1">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A86105" w:rsidRPr="00A86105">
        <w:rPr>
          <w:rFonts w:ascii="Times New Roman" w:hAnsi="Times New Roman" w:cs="Times New Roman"/>
          <w:i/>
          <w:color w:val="000000" w:themeColor="text1"/>
          <w:sz w:val="24"/>
          <w:szCs w:val="24"/>
        </w:rPr>
        <w:t>с учетом изменени</w:t>
      </w:r>
      <w:r w:rsidR="00151801">
        <w:rPr>
          <w:rFonts w:ascii="Times New Roman" w:hAnsi="Times New Roman" w:cs="Times New Roman"/>
          <w:i/>
          <w:color w:val="000000" w:themeColor="text1"/>
          <w:sz w:val="24"/>
          <w:szCs w:val="24"/>
        </w:rPr>
        <w:t>й и дополнения,</w:t>
      </w:r>
      <w:r w:rsidR="00151801" w:rsidRPr="00A86105">
        <w:rPr>
          <w:rFonts w:ascii="Times New Roman" w:hAnsi="Times New Roman" w:cs="Times New Roman"/>
          <w:i/>
          <w:color w:val="000000" w:themeColor="text1"/>
          <w:sz w:val="24"/>
          <w:szCs w:val="24"/>
        </w:rPr>
        <w:t>внесён</w:t>
      </w:r>
      <w:r w:rsidR="00151801">
        <w:rPr>
          <w:rFonts w:ascii="Times New Roman" w:hAnsi="Times New Roman" w:cs="Times New Roman"/>
          <w:i/>
          <w:color w:val="000000" w:themeColor="text1"/>
          <w:sz w:val="24"/>
          <w:szCs w:val="24"/>
        </w:rPr>
        <w:t>ны</w:t>
      </w:r>
      <w:r>
        <w:rPr>
          <w:rFonts w:ascii="Times New Roman" w:hAnsi="Times New Roman" w:cs="Times New Roman"/>
          <w:i/>
          <w:color w:val="000000" w:themeColor="text1"/>
          <w:sz w:val="24"/>
          <w:szCs w:val="24"/>
        </w:rPr>
        <w:t>х</w:t>
      </w:r>
      <w:r w:rsidR="00A86105" w:rsidRPr="00A86105">
        <w:rPr>
          <w:rFonts w:ascii="Times New Roman" w:hAnsi="Times New Roman" w:cs="Times New Roman"/>
          <w:i/>
          <w:color w:val="000000" w:themeColor="text1"/>
          <w:sz w:val="24"/>
          <w:szCs w:val="24"/>
        </w:rPr>
        <w:t xml:space="preserve"> Приказ</w:t>
      </w:r>
      <w:r w:rsidR="00151801">
        <w:rPr>
          <w:rFonts w:ascii="Times New Roman" w:hAnsi="Times New Roman" w:cs="Times New Roman"/>
          <w:i/>
          <w:color w:val="000000" w:themeColor="text1"/>
          <w:sz w:val="24"/>
          <w:szCs w:val="24"/>
        </w:rPr>
        <w:t>ами</w:t>
      </w:r>
      <w:r w:rsidR="00A86105" w:rsidRPr="00A86105">
        <w:rPr>
          <w:rFonts w:ascii="Times New Roman" w:hAnsi="Times New Roman" w:cs="Times New Roman"/>
          <w:i/>
          <w:color w:val="000000" w:themeColor="text1"/>
          <w:sz w:val="24"/>
          <w:szCs w:val="24"/>
        </w:rPr>
        <w:t xml:space="preserve"> МЭР ПМР от 2 октября 2020 года №744</w:t>
      </w:r>
      <w:r w:rsidR="00151801">
        <w:rPr>
          <w:rFonts w:ascii="Times New Roman" w:hAnsi="Times New Roman" w:cs="Times New Roman"/>
          <w:i/>
          <w:color w:val="000000" w:themeColor="text1"/>
          <w:sz w:val="24"/>
          <w:szCs w:val="24"/>
        </w:rPr>
        <w:t xml:space="preserve"> (САЗ 20-40), от 30 ноября 2020 года № 965 (САЗ 20-50</w:t>
      </w:r>
      <w:r>
        <w:rPr>
          <w:rFonts w:ascii="Times New Roman" w:hAnsi="Times New Roman" w:cs="Times New Roman"/>
          <w:i/>
          <w:color w:val="000000" w:themeColor="text1"/>
          <w:sz w:val="24"/>
          <w:szCs w:val="24"/>
        </w:rPr>
        <w:t>)</w:t>
      </w:r>
      <w:r w:rsidR="00151801">
        <w:rPr>
          <w:rFonts w:ascii="Times New Roman" w:hAnsi="Times New Roman" w:cs="Times New Roman"/>
          <w:i/>
          <w:color w:val="000000" w:themeColor="text1"/>
          <w:sz w:val="24"/>
          <w:szCs w:val="24"/>
        </w:rPr>
        <w:t>)</w:t>
      </w:r>
    </w:p>
    <w:p w:rsidR="00A86105" w:rsidRPr="00277BC1" w:rsidRDefault="00A86105" w:rsidP="00277BC1">
      <w:pPr>
        <w:spacing w:after="0" w:line="240" w:lineRule="auto"/>
        <w:jc w:val="center"/>
        <w:rPr>
          <w:rFonts w:ascii="Times New Roman" w:hAnsi="Times New Roman" w:cs="Times New Roman"/>
          <w:color w:val="000000" w:themeColor="text1"/>
          <w:sz w:val="24"/>
          <w:szCs w:val="24"/>
        </w:rPr>
      </w:pPr>
    </w:p>
    <w:p w:rsidR="00116E69" w:rsidRPr="00277BC1" w:rsidRDefault="00116E69" w:rsidP="00F16F88">
      <w:pPr>
        <w:spacing w:after="0" w:line="240" w:lineRule="auto"/>
        <w:ind w:firstLine="284"/>
        <w:jc w:val="both"/>
        <w:rPr>
          <w:rFonts w:ascii="Times New Roman" w:hAnsi="Times New Roman" w:cs="Times New Roman"/>
          <w:sz w:val="24"/>
          <w:szCs w:val="24"/>
        </w:rPr>
      </w:pPr>
      <w:r w:rsidRPr="00277BC1">
        <w:rPr>
          <w:rFonts w:ascii="Times New Roman" w:hAnsi="Times New Roman" w:cs="Times New Roman"/>
          <w:sz w:val="24"/>
          <w:szCs w:val="24"/>
        </w:rPr>
        <w:t>В соотв</w:t>
      </w:r>
      <w:bookmarkStart w:id="0" w:name="_GoBack"/>
      <w:bookmarkEnd w:id="0"/>
      <w:r w:rsidRPr="00277BC1">
        <w:rPr>
          <w:rFonts w:ascii="Times New Roman" w:hAnsi="Times New Roman" w:cs="Times New Roman"/>
          <w:sz w:val="24"/>
          <w:szCs w:val="24"/>
        </w:rPr>
        <w:t xml:space="preserve">етствии с Таможенным кодексом Приднестровской Молдавской Республики, </w:t>
      </w:r>
      <w:r w:rsidR="00BC3EDC" w:rsidRPr="00277BC1">
        <w:rPr>
          <w:rFonts w:ascii="Times New Roman" w:hAnsi="Times New Roman" w:cs="Times New Roman"/>
          <w:sz w:val="24"/>
          <w:szCs w:val="24"/>
        </w:rPr>
        <w:t>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06 августа 2018 года № 269 (САЗ 18-32),</w:t>
      </w:r>
      <w:r w:rsidR="00BC3EDC" w:rsidRPr="00277BC1">
        <w:rPr>
          <w:rFonts w:ascii="Times New Roman" w:hAnsi="Times New Roman" w:cs="Times New Roman"/>
          <w:color w:val="000000" w:themeColor="text1"/>
          <w:sz w:val="24"/>
          <w:szCs w:val="24"/>
        </w:rPr>
        <w:t xml:space="preserve"> от 10 декабря 2018 года № 434 (САЗ 18-50), </w:t>
      </w:r>
      <w:r w:rsidR="00BC3EDC" w:rsidRPr="00277BC1">
        <w:rPr>
          <w:rFonts w:ascii="Times New Roman" w:hAnsi="Times New Roman" w:cs="Times New Roman"/>
          <w:sz w:val="24"/>
          <w:szCs w:val="24"/>
        </w:rPr>
        <w:t xml:space="preserve">от 26 апреля 2019 года № 145 (САЗ 19-16), от 31 мая 2019 года № 186 (САЗ 19-21), от 22 ноября 2019 года № 405 (САЗ 19-46), от 26 декабря 2019 года № 457 (САЗ 19-50), от 26 декабря 2019 года № 459 (САЗ 20-1), </w:t>
      </w:r>
      <w:r w:rsidR="00BC3EDC" w:rsidRPr="00277BC1">
        <w:rPr>
          <w:rFonts w:ascii="Times New Roman" w:hAnsi="Times New Roman" w:cs="Times New Roman"/>
          <w:bCs/>
          <w:color w:val="000000"/>
          <w:sz w:val="24"/>
          <w:szCs w:val="24"/>
        </w:rPr>
        <w:t xml:space="preserve">от 25 февраля 2020 года № 40 (САЗ 20-9), от 6 июля 2020 года № 231 (САЗ 20-28), </w:t>
      </w:r>
      <w:r w:rsidRPr="00277BC1">
        <w:rPr>
          <w:rFonts w:ascii="Times New Roman" w:hAnsi="Times New Roman" w:cs="Times New Roman"/>
          <w:sz w:val="24"/>
          <w:szCs w:val="24"/>
        </w:rPr>
        <w:t xml:space="preserve">во исполнение </w:t>
      </w:r>
      <w:hyperlink r:id="rId4" w:tooltip="(ВСТУПИЛ В СИЛУ 26.01.2019) О некоторых мерах по оперативному регулированию импорта товаров" w:history="1">
        <w:r w:rsidRPr="00277BC1">
          <w:rPr>
            <w:rStyle w:val="a3"/>
            <w:rFonts w:ascii="Times New Roman" w:hAnsi="Times New Roman" w:cs="Times New Roman"/>
            <w:color w:val="auto"/>
            <w:sz w:val="24"/>
            <w:szCs w:val="24"/>
            <w:u w:val="none"/>
          </w:rPr>
          <w:t>Постановления Правительства Приднестровской Молдавской Республики от 14 июня 2018 года № 198 "О некоторых мерах по оперативному регулированию экспорта товаров и сырьевых ресурсов"</w:t>
        </w:r>
      </w:hyperlink>
      <w:r w:rsidRPr="00277BC1">
        <w:rPr>
          <w:rFonts w:ascii="Times New Roman" w:hAnsi="Times New Roman" w:cs="Times New Roman"/>
          <w:sz w:val="24"/>
          <w:szCs w:val="24"/>
        </w:rPr>
        <w:t> (САЗ 18-24)</w:t>
      </w:r>
      <w:r w:rsidR="00FD62AE" w:rsidRPr="00277BC1">
        <w:rPr>
          <w:rFonts w:ascii="Times New Roman" w:hAnsi="Times New Roman" w:cs="Times New Roman"/>
          <w:sz w:val="24"/>
          <w:szCs w:val="24"/>
        </w:rPr>
        <w:t xml:space="preserve"> с изменением</w:t>
      </w:r>
      <w:r w:rsidRPr="00277BC1">
        <w:rPr>
          <w:rFonts w:ascii="Times New Roman" w:hAnsi="Times New Roman" w:cs="Times New Roman"/>
          <w:sz w:val="24"/>
          <w:szCs w:val="24"/>
        </w:rPr>
        <w:t>,</w:t>
      </w:r>
      <w:r w:rsidR="00FD62AE" w:rsidRPr="00277BC1">
        <w:rPr>
          <w:rFonts w:ascii="Times New Roman" w:hAnsi="Times New Roman" w:cs="Times New Roman"/>
          <w:sz w:val="24"/>
          <w:szCs w:val="24"/>
        </w:rPr>
        <w:t xml:space="preserve"> внесенным Постановлением Правительства Приднестровской Молдавской Республики от 15 ноября 2018 года № 396 (САЗ 18-46)</w:t>
      </w:r>
    </w:p>
    <w:p w:rsidR="00116E69" w:rsidRPr="00277BC1" w:rsidRDefault="00FD62AE" w:rsidP="00F16F88">
      <w:pPr>
        <w:spacing w:after="0" w:line="240" w:lineRule="auto"/>
        <w:ind w:firstLine="284"/>
        <w:jc w:val="both"/>
        <w:rPr>
          <w:rFonts w:ascii="Times New Roman" w:hAnsi="Times New Roman" w:cs="Times New Roman"/>
          <w:color w:val="000000" w:themeColor="text1"/>
          <w:sz w:val="24"/>
          <w:szCs w:val="24"/>
        </w:rPr>
      </w:pPr>
      <w:proofErr w:type="gramStart"/>
      <w:r w:rsidRPr="00277BC1">
        <w:rPr>
          <w:rFonts w:ascii="Times New Roman" w:hAnsi="Times New Roman" w:cs="Times New Roman"/>
          <w:color w:val="000000" w:themeColor="text1"/>
          <w:sz w:val="24"/>
          <w:szCs w:val="24"/>
        </w:rPr>
        <w:t>п</w:t>
      </w:r>
      <w:proofErr w:type="gramEnd"/>
      <w:r w:rsidRPr="00277BC1">
        <w:rPr>
          <w:rFonts w:ascii="Times New Roman" w:hAnsi="Times New Roman" w:cs="Times New Roman"/>
          <w:color w:val="000000" w:themeColor="text1"/>
          <w:sz w:val="24"/>
          <w:szCs w:val="24"/>
        </w:rPr>
        <w:t xml:space="preserve"> р и к а з ы в а ю:</w:t>
      </w: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r w:rsidRPr="00277BC1">
        <w:rPr>
          <w:rFonts w:ascii="Times New Roman" w:hAnsi="Times New Roman" w:cs="Times New Roman"/>
          <w:color w:val="000000" w:themeColor="text1"/>
          <w:sz w:val="24"/>
          <w:szCs w:val="24"/>
        </w:rPr>
        <w:t xml:space="preserve">1. Утвердить Положение о порядке формирования и представления индикативных цен </w:t>
      </w:r>
      <w:r w:rsidR="00FD62AE" w:rsidRPr="00277BC1">
        <w:rPr>
          <w:rFonts w:ascii="Times New Roman" w:hAnsi="Times New Roman" w:cs="Times New Roman"/>
          <w:color w:val="000000" w:themeColor="text1"/>
          <w:sz w:val="24"/>
          <w:szCs w:val="24"/>
        </w:rPr>
        <w:t xml:space="preserve">портландцемент </w:t>
      </w:r>
      <w:r w:rsidRPr="00277BC1">
        <w:rPr>
          <w:rFonts w:ascii="Times New Roman" w:hAnsi="Times New Roman" w:cs="Times New Roman"/>
          <w:color w:val="000000" w:themeColor="text1"/>
          <w:sz w:val="24"/>
          <w:szCs w:val="24"/>
        </w:rPr>
        <w:t>согласно Приложению к настоящему Приказу.</w:t>
      </w: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r w:rsidRPr="00277BC1">
        <w:rPr>
          <w:rFonts w:ascii="Times New Roman" w:hAnsi="Times New Roman" w:cs="Times New Roman"/>
          <w:color w:val="000000" w:themeColor="text1"/>
          <w:sz w:val="24"/>
          <w:szCs w:val="24"/>
        </w:rPr>
        <w:t>2. Направить настоящий Приказ на государственную регистрацию</w:t>
      </w:r>
      <w:r w:rsidR="00A56D4B">
        <w:rPr>
          <w:rFonts w:ascii="Times New Roman" w:hAnsi="Times New Roman" w:cs="Times New Roman"/>
          <w:color w:val="000000" w:themeColor="text1"/>
          <w:sz w:val="24"/>
          <w:szCs w:val="24"/>
        </w:rPr>
        <w:t xml:space="preserve"> и официальное опубликование</w:t>
      </w:r>
      <w:r w:rsidRPr="00277BC1">
        <w:rPr>
          <w:rFonts w:ascii="Times New Roman" w:hAnsi="Times New Roman" w:cs="Times New Roman"/>
          <w:color w:val="000000" w:themeColor="text1"/>
          <w:sz w:val="24"/>
          <w:szCs w:val="24"/>
        </w:rPr>
        <w:t xml:space="preserve"> в Министерство юстиции Приднестровской Молдавской Республики.</w:t>
      </w: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r w:rsidRPr="00277BC1">
        <w:rPr>
          <w:rFonts w:ascii="Times New Roman" w:hAnsi="Times New Roman" w:cs="Times New Roman"/>
          <w:color w:val="000000" w:themeColor="text1"/>
          <w:sz w:val="24"/>
          <w:szCs w:val="24"/>
        </w:rPr>
        <w:t>3. Настоящий Приказ вступает в силу со дня его официального опубликования.</w:t>
      </w: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p>
    <w:p w:rsidR="00116E69" w:rsidRPr="00277BC1" w:rsidRDefault="00116E69" w:rsidP="00F16F88">
      <w:pPr>
        <w:spacing w:after="0" w:line="240" w:lineRule="auto"/>
        <w:ind w:firstLine="284"/>
        <w:jc w:val="both"/>
        <w:rPr>
          <w:rFonts w:ascii="Times New Roman" w:hAnsi="Times New Roman" w:cs="Times New Roman"/>
          <w:color w:val="000000" w:themeColor="text1"/>
          <w:sz w:val="24"/>
          <w:szCs w:val="24"/>
        </w:rPr>
      </w:pPr>
    </w:p>
    <w:p w:rsidR="00154421" w:rsidRDefault="00154421" w:rsidP="00154421">
      <w:pPr>
        <w:pStyle w:val="ab"/>
      </w:pPr>
      <w:r>
        <w:t xml:space="preserve">Заместитель Председателя Правительства </w:t>
      </w:r>
    </w:p>
    <w:p w:rsidR="00154421" w:rsidRDefault="00154421" w:rsidP="00154421">
      <w:pPr>
        <w:pStyle w:val="ab"/>
      </w:pPr>
      <w:r>
        <w:t>Приднестровской Молдавской Республики –</w:t>
      </w:r>
    </w:p>
    <w:p w:rsidR="00154421" w:rsidRDefault="00154421" w:rsidP="00154421">
      <w:pPr>
        <w:pStyle w:val="ab"/>
      </w:pPr>
      <w:r>
        <w:t xml:space="preserve">министр экономического развития </w:t>
      </w:r>
    </w:p>
    <w:p w:rsidR="00154421" w:rsidRDefault="00154421" w:rsidP="00154421">
      <w:pPr>
        <w:pStyle w:val="ab"/>
      </w:pPr>
      <w:r>
        <w:t xml:space="preserve">Приднестровской Молдавской Республики </w:t>
      </w:r>
      <w:r>
        <w:tab/>
      </w:r>
      <w:r>
        <w:tab/>
      </w:r>
      <w:r>
        <w:tab/>
      </w:r>
      <w:r>
        <w:tab/>
      </w:r>
      <w:r>
        <w:tab/>
        <w:t xml:space="preserve">     С.А. Оболоник</w:t>
      </w:r>
    </w:p>
    <w:p w:rsidR="00116E69" w:rsidRPr="00277BC1" w:rsidRDefault="00116E69" w:rsidP="00277BC1">
      <w:pPr>
        <w:pStyle w:val="a4"/>
        <w:spacing w:after="0" w:afterAutospacing="0"/>
        <w:jc w:val="right"/>
        <w:rPr>
          <w:szCs w:val="24"/>
        </w:rPr>
      </w:pPr>
    </w:p>
    <w:p w:rsidR="00116E69" w:rsidRPr="00277BC1" w:rsidRDefault="00116E69" w:rsidP="00277BC1">
      <w:pPr>
        <w:pStyle w:val="a4"/>
        <w:spacing w:after="0" w:afterAutospacing="0"/>
        <w:jc w:val="right"/>
        <w:rPr>
          <w:szCs w:val="24"/>
        </w:rPr>
      </w:pPr>
    </w:p>
    <w:p w:rsidR="00116E69" w:rsidRPr="00277BC1" w:rsidRDefault="00116E69" w:rsidP="00277BC1">
      <w:pPr>
        <w:pStyle w:val="a4"/>
        <w:spacing w:after="0" w:afterAutospacing="0"/>
        <w:jc w:val="right"/>
        <w:rPr>
          <w:szCs w:val="24"/>
        </w:rPr>
      </w:pPr>
      <w:r w:rsidRPr="00277BC1">
        <w:rPr>
          <w:szCs w:val="24"/>
        </w:rPr>
        <w:lastRenderedPageBreak/>
        <w:t>Приложение</w:t>
      </w:r>
      <w:r w:rsidRPr="00277BC1">
        <w:rPr>
          <w:szCs w:val="24"/>
        </w:rPr>
        <w:br/>
        <w:t>к Приказу Министерства экономического развития</w:t>
      </w:r>
      <w:r w:rsidRPr="00277BC1">
        <w:rPr>
          <w:szCs w:val="24"/>
        </w:rPr>
        <w:br/>
        <w:t>Приднестровской Молдавской Республики</w:t>
      </w:r>
      <w:r w:rsidRPr="00277BC1">
        <w:rPr>
          <w:szCs w:val="24"/>
        </w:rPr>
        <w:br/>
        <w:t xml:space="preserve">от </w:t>
      </w:r>
      <w:r w:rsidR="0012378D">
        <w:rPr>
          <w:szCs w:val="24"/>
        </w:rPr>
        <w:t xml:space="preserve">30 сентября </w:t>
      </w:r>
      <w:r w:rsidRPr="00277BC1">
        <w:rPr>
          <w:szCs w:val="24"/>
        </w:rPr>
        <w:t>20</w:t>
      </w:r>
      <w:r w:rsidR="00FD62AE" w:rsidRPr="00277BC1">
        <w:rPr>
          <w:szCs w:val="24"/>
        </w:rPr>
        <w:t>20</w:t>
      </w:r>
      <w:r w:rsidRPr="00277BC1">
        <w:rPr>
          <w:szCs w:val="24"/>
        </w:rPr>
        <w:t xml:space="preserve"> года №</w:t>
      </w:r>
      <w:r w:rsidR="0012378D">
        <w:rPr>
          <w:szCs w:val="24"/>
        </w:rPr>
        <w:t xml:space="preserve"> 740</w:t>
      </w:r>
    </w:p>
    <w:p w:rsidR="00116E69" w:rsidRPr="00A86105" w:rsidRDefault="00116E69" w:rsidP="00277BC1">
      <w:pPr>
        <w:pStyle w:val="a4"/>
        <w:spacing w:after="0" w:afterAutospacing="0"/>
        <w:jc w:val="center"/>
        <w:rPr>
          <w:szCs w:val="24"/>
        </w:rPr>
      </w:pPr>
      <w:r w:rsidRPr="00A86105">
        <w:rPr>
          <w:szCs w:val="24"/>
        </w:rPr>
        <w:t>Положение о порядке формирования</w:t>
      </w:r>
      <w:r w:rsidR="00FD62AE" w:rsidRPr="00A86105">
        <w:rPr>
          <w:szCs w:val="24"/>
        </w:rPr>
        <w:t xml:space="preserve"> и представления </w:t>
      </w:r>
      <w:r w:rsidRPr="00A86105">
        <w:rPr>
          <w:szCs w:val="24"/>
        </w:rPr>
        <w:t xml:space="preserve">индикативных цен на </w:t>
      </w:r>
      <w:r w:rsidR="003320AB" w:rsidRPr="00A86105">
        <w:rPr>
          <w:szCs w:val="24"/>
        </w:rPr>
        <w:t>портландцемент</w:t>
      </w:r>
    </w:p>
    <w:p w:rsidR="00116E69" w:rsidRPr="00A86105" w:rsidRDefault="00A86105" w:rsidP="00277BC1">
      <w:pPr>
        <w:pStyle w:val="a4"/>
        <w:spacing w:after="0" w:afterAutospacing="0"/>
        <w:jc w:val="center"/>
        <w:rPr>
          <w:szCs w:val="24"/>
        </w:rPr>
      </w:pPr>
      <w:r w:rsidRPr="00A86105">
        <w:rPr>
          <w:szCs w:val="24"/>
        </w:rPr>
        <w:t>1</w:t>
      </w:r>
      <w:r w:rsidR="00116E69" w:rsidRPr="00A86105">
        <w:rPr>
          <w:szCs w:val="24"/>
        </w:rPr>
        <w:t>. Общие положения</w:t>
      </w:r>
    </w:p>
    <w:p w:rsidR="00116E69" w:rsidRPr="00277BC1" w:rsidRDefault="00116E69" w:rsidP="00F16F88">
      <w:pPr>
        <w:spacing w:after="0" w:line="240" w:lineRule="auto"/>
        <w:ind w:firstLine="284"/>
        <w:jc w:val="both"/>
        <w:rPr>
          <w:rFonts w:ascii="Times New Roman" w:hAnsi="Times New Roman" w:cs="Times New Roman"/>
          <w:sz w:val="24"/>
          <w:szCs w:val="24"/>
        </w:rPr>
      </w:pPr>
      <w:r w:rsidRPr="00277BC1">
        <w:rPr>
          <w:rFonts w:ascii="Times New Roman" w:hAnsi="Times New Roman" w:cs="Times New Roman"/>
          <w:sz w:val="24"/>
          <w:szCs w:val="24"/>
        </w:rPr>
        <w:t xml:space="preserve">1. Настоящее Положение устанавливает порядок формирования индикативных цен на товары, классифицируемые кодами </w:t>
      </w:r>
      <w:r w:rsidR="00A86105">
        <w:rPr>
          <w:rFonts w:ascii="Times New Roman" w:hAnsi="Times New Roman" w:cs="Times New Roman"/>
          <w:sz w:val="24"/>
          <w:szCs w:val="24"/>
        </w:rPr>
        <w:t xml:space="preserve">Товарной номенклатуры внешнеэкономической деятельности (далее – </w:t>
      </w:r>
      <w:r w:rsidRPr="00277BC1">
        <w:rPr>
          <w:rFonts w:ascii="Times New Roman" w:hAnsi="Times New Roman" w:cs="Times New Roman"/>
          <w:sz w:val="24"/>
          <w:szCs w:val="24"/>
        </w:rPr>
        <w:t>ТН ВЭД</w:t>
      </w:r>
      <w:r w:rsidR="00A86105">
        <w:rPr>
          <w:rFonts w:ascii="Times New Roman" w:hAnsi="Times New Roman" w:cs="Times New Roman"/>
          <w:sz w:val="24"/>
          <w:szCs w:val="24"/>
        </w:rPr>
        <w:t>)</w:t>
      </w:r>
      <w:r w:rsidRPr="00277BC1">
        <w:rPr>
          <w:rFonts w:ascii="Times New Roman" w:hAnsi="Times New Roman" w:cs="Times New Roman"/>
          <w:sz w:val="24"/>
          <w:szCs w:val="24"/>
        </w:rPr>
        <w:t>, согласно Приложению к настоящему Положению и разработано с целью защиты государственных интересов, для оперативного регулирования экспорта товаров и полноты взимания вывозных таможенных пошлин.</w:t>
      </w:r>
    </w:p>
    <w:p w:rsidR="00116E69" w:rsidRPr="00277BC1" w:rsidRDefault="00116E69" w:rsidP="00F16F88">
      <w:pPr>
        <w:spacing w:after="0" w:line="240" w:lineRule="auto"/>
        <w:ind w:firstLine="284"/>
        <w:jc w:val="both"/>
        <w:rPr>
          <w:rFonts w:ascii="Times New Roman" w:hAnsi="Times New Roman" w:cs="Times New Roman"/>
          <w:sz w:val="24"/>
          <w:szCs w:val="24"/>
        </w:rPr>
      </w:pPr>
      <w:r w:rsidRPr="00277BC1">
        <w:rPr>
          <w:rFonts w:ascii="Times New Roman" w:hAnsi="Times New Roman" w:cs="Times New Roman"/>
          <w:sz w:val="24"/>
          <w:szCs w:val="24"/>
        </w:rPr>
        <w:t>2. Индикативные цены применяются на экспортируемые товары с целью недопущения их вывоза за пределы Приднестровской Молдавской Республики по заниженным ценам.</w:t>
      </w:r>
    </w:p>
    <w:p w:rsidR="00116E69" w:rsidRPr="00277BC1" w:rsidRDefault="00116E69" w:rsidP="00F16F88">
      <w:pPr>
        <w:spacing w:after="0" w:line="240" w:lineRule="auto"/>
        <w:ind w:firstLine="284"/>
        <w:jc w:val="both"/>
        <w:rPr>
          <w:rFonts w:ascii="Times New Roman" w:hAnsi="Times New Roman" w:cs="Times New Roman"/>
          <w:sz w:val="24"/>
          <w:szCs w:val="24"/>
        </w:rPr>
      </w:pPr>
      <w:r w:rsidRPr="00277BC1">
        <w:rPr>
          <w:rFonts w:ascii="Times New Roman" w:hAnsi="Times New Roman" w:cs="Times New Roman"/>
          <w:sz w:val="24"/>
          <w:szCs w:val="24"/>
        </w:rPr>
        <w:t>3. Порядок формирования индикативных цен на товары, классифицируемые кодами ТН ВЭД, согласно Приложению к настоящему Положению определяет основные направления формирования индикативных цен, источники мониторинга цен, и факторы, влияющие на ценообразование по конкретным видам товаров в зависимости от условий совершения той или иной операции.</w:t>
      </w:r>
    </w:p>
    <w:p w:rsidR="00116E69" w:rsidRPr="00277BC1" w:rsidRDefault="00116E69" w:rsidP="00F16F88">
      <w:pPr>
        <w:spacing w:after="0" w:line="240" w:lineRule="auto"/>
        <w:ind w:firstLine="284"/>
        <w:jc w:val="both"/>
        <w:rPr>
          <w:rFonts w:ascii="Times New Roman" w:hAnsi="Times New Roman" w:cs="Times New Roman"/>
          <w:sz w:val="24"/>
          <w:szCs w:val="24"/>
        </w:rPr>
      </w:pPr>
      <w:r w:rsidRPr="00277BC1">
        <w:rPr>
          <w:rFonts w:ascii="Times New Roman" w:hAnsi="Times New Roman" w:cs="Times New Roman"/>
          <w:sz w:val="24"/>
          <w:szCs w:val="24"/>
        </w:rPr>
        <w:t>4. Индикативные цены - разновидность цен, устанавливаемых уполномоченным органом исполнительной власти в сфере внешнеэкономической деятельности в отношении отдельных товаров (продукции), перемещаемых через таможенную границу Приднестровской Молдавской Республики, на период осуществления экспортной операции.</w:t>
      </w:r>
    </w:p>
    <w:p w:rsidR="00834AA6" w:rsidRDefault="00834AA6" w:rsidP="00277BC1">
      <w:pPr>
        <w:spacing w:after="0" w:line="240" w:lineRule="auto"/>
        <w:ind w:firstLine="709"/>
        <w:jc w:val="center"/>
        <w:rPr>
          <w:rFonts w:ascii="Times New Roman" w:hAnsi="Times New Roman" w:cs="Times New Roman"/>
          <w:b/>
          <w:sz w:val="24"/>
          <w:szCs w:val="24"/>
        </w:rPr>
      </w:pPr>
    </w:p>
    <w:p w:rsidR="00116E69" w:rsidRPr="00A86105" w:rsidRDefault="00A86105" w:rsidP="00277BC1">
      <w:pPr>
        <w:spacing w:after="0" w:line="240" w:lineRule="auto"/>
        <w:ind w:firstLine="709"/>
        <w:jc w:val="center"/>
        <w:rPr>
          <w:rFonts w:ascii="Times New Roman" w:hAnsi="Times New Roman" w:cs="Times New Roman"/>
          <w:sz w:val="24"/>
          <w:szCs w:val="24"/>
        </w:rPr>
      </w:pPr>
      <w:r w:rsidRPr="00A86105">
        <w:rPr>
          <w:rFonts w:ascii="Times New Roman" w:hAnsi="Times New Roman" w:cs="Times New Roman"/>
          <w:sz w:val="24"/>
          <w:szCs w:val="24"/>
        </w:rPr>
        <w:t>2</w:t>
      </w:r>
      <w:r w:rsidR="00116E69" w:rsidRPr="00A86105">
        <w:rPr>
          <w:rFonts w:ascii="Times New Roman" w:hAnsi="Times New Roman" w:cs="Times New Roman"/>
          <w:sz w:val="24"/>
          <w:szCs w:val="24"/>
        </w:rPr>
        <w:t>. Основные положения по определению индикативных цен</w:t>
      </w:r>
    </w:p>
    <w:p w:rsidR="00151801" w:rsidRPr="000D3A4E" w:rsidRDefault="00116E69" w:rsidP="00151801">
      <w:pPr>
        <w:spacing w:after="0" w:line="240" w:lineRule="auto"/>
        <w:ind w:firstLine="284"/>
        <w:jc w:val="both"/>
        <w:rPr>
          <w:rFonts w:ascii="Times New Roman" w:hAnsi="Times New Roman"/>
          <w:sz w:val="24"/>
          <w:szCs w:val="24"/>
        </w:rPr>
      </w:pPr>
      <w:r w:rsidRPr="00277BC1">
        <w:rPr>
          <w:rFonts w:ascii="Times New Roman" w:hAnsi="Times New Roman" w:cs="Times New Roman"/>
          <w:sz w:val="24"/>
          <w:szCs w:val="24"/>
        </w:rPr>
        <w:t xml:space="preserve">5. </w:t>
      </w:r>
      <w:r w:rsidR="00151801" w:rsidRPr="000D3A4E">
        <w:rPr>
          <w:rFonts w:ascii="Times New Roman" w:hAnsi="Times New Roman"/>
          <w:sz w:val="24"/>
          <w:szCs w:val="24"/>
        </w:rPr>
        <w:t>Индикативные цены устанавливаются за 1 (одну) тонну на товары, классифици</w:t>
      </w:r>
      <w:r w:rsidR="00151801">
        <w:rPr>
          <w:rFonts w:ascii="Times New Roman" w:hAnsi="Times New Roman"/>
          <w:sz w:val="24"/>
          <w:szCs w:val="24"/>
        </w:rPr>
        <w:t>руемые кодами ТН ВЭД, согласно п</w:t>
      </w:r>
      <w:r w:rsidR="00151801" w:rsidRPr="000D3A4E">
        <w:rPr>
          <w:rFonts w:ascii="Times New Roman" w:hAnsi="Times New Roman"/>
          <w:sz w:val="24"/>
          <w:szCs w:val="24"/>
        </w:rPr>
        <w:t>рило</w:t>
      </w:r>
      <w:r w:rsidR="00151801">
        <w:rPr>
          <w:rFonts w:ascii="Times New Roman" w:hAnsi="Times New Roman"/>
          <w:sz w:val="24"/>
          <w:szCs w:val="24"/>
        </w:rPr>
        <w:t>жениям  к настоящему Положению:</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а) Индикативная цена на товары, классифицируемые кодами ТН ВЭД, согласно Приложению №1 к настоящему Положению, вывозимые на условиях </w:t>
      </w:r>
      <w:r>
        <w:rPr>
          <w:rFonts w:ascii="Times New Roman" w:hAnsi="Times New Roman"/>
          <w:sz w:val="24"/>
          <w:szCs w:val="24"/>
        </w:rPr>
        <w:t xml:space="preserve">поставки товара </w:t>
      </w:r>
      <w:r w:rsidRPr="000D3A4E">
        <w:rPr>
          <w:rFonts w:ascii="Times New Roman" w:hAnsi="Times New Roman"/>
          <w:sz w:val="24"/>
          <w:szCs w:val="24"/>
        </w:rPr>
        <w:t>FCA в Республику Молдова и иные страны (кроме Румынии), рассчитывается на основании данных Государственного таможенной службы Украины об экспорте товаров, классифицируемых кодом Украинской классификации товаров внешнеэкономической деятельности (далее – УКТ ВЭД) 2523 29 000, за предшествующий период как совокупность стоимости таможенных деклараций по экспорту товаров из Украины в Республику Молдова деленной на совокупный физический объем по декларациям (средняя стоимость тонны портландцемента при экспорте из Украины в Республику Молдова – далее средняя стоимость товара). Для учета статистических погрешностей и особенностей поставки средняя стоимость товара корректируется на коэффициент равный 1,05 с целью формирования первичной индикативной цены (далее –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ПИЦ = средняя стоимость товара*1,05.</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29 000 (000), вывозимые в Республику Молдова и иные страны (кроме Румынии)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навалом (далее – ИЦ М400 навал) равна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М400 навал = ПИЦ</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(000), вывозимые в Республику Молдова и иные страны (кроме Румынии)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 xml:space="preserve">FCA в таре (далее – ИЦ М400 тара) рассчитывается как ПИЦ, увеличенная на производственную себестоимость упаковки портландцемента в тару (далее - ПСТ) скорректированную на повышающий коэффициент тарирования равный 1,30 (далее – К1): </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М400 тара = ПИЦ+ПСТ*К1</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(001), вывозимые в Республику Молдова и иные страны (кроме Румынии)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 xml:space="preserve">FCA навалом (далее – ИЦ М500 навал) рассчитывается как ПИЦ, увеличенная на </w:t>
      </w:r>
      <w:r w:rsidRPr="000D3A4E">
        <w:rPr>
          <w:rFonts w:ascii="Times New Roman" w:hAnsi="Times New Roman"/>
          <w:sz w:val="24"/>
          <w:szCs w:val="24"/>
        </w:rPr>
        <w:lastRenderedPageBreak/>
        <w:t>разницу производственной себестоимости портландцемента марки 400 и портландцемента марки 500 (далее - РПС) скорректированную на повышающий коэффициент равный 1,15 (далее – К2):</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М500 навал  = ПИЦ+РПС*К</w:t>
      </w:r>
      <w:proofErr w:type="gramStart"/>
      <w:r w:rsidRPr="000D3A4E">
        <w:rPr>
          <w:rFonts w:ascii="Times New Roman" w:hAnsi="Times New Roman"/>
          <w:sz w:val="24"/>
          <w:szCs w:val="24"/>
        </w:rPr>
        <w:t>2</w:t>
      </w:r>
      <w:proofErr w:type="gramEnd"/>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(001), вывозимые в Республику Молдова и иные страны (кроме Румынии)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в таре (далее – ИЦ М500 тара) рассчитывается как индикативная цена на портландцемент марки 500 навалом, увеличенная на производственную себестоимость упаковки портландцемента в тару (далее - ПСТ) скорректированную на повышающий коэффициент тариро</w:t>
      </w:r>
      <w:r>
        <w:rPr>
          <w:rFonts w:ascii="Times New Roman" w:hAnsi="Times New Roman"/>
          <w:sz w:val="24"/>
          <w:szCs w:val="24"/>
        </w:rPr>
        <w:t>вания равный 1,30 (далее – К1):</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М500 тара = ИЦ М500 навал +ПСТ*К1</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(002), вывозимые в Республику Молдова и иные страны (кроме Румынии)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навалом и в таре (далее – ИЦ М300 навал/тара) равна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М300 навал/тара = ПИЦ</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При условии поставки товара CPT (город Кишинев) уровень индикативной цены рассчитывается как уровень индикативной цены, установленной на условиях </w:t>
      </w:r>
      <w:r>
        <w:rPr>
          <w:rFonts w:ascii="Times New Roman" w:hAnsi="Times New Roman"/>
          <w:sz w:val="24"/>
          <w:szCs w:val="24"/>
        </w:rPr>
        <w:t xml:space="preserve">поставки товара </w:t>
      </w:r>
      <w:r w:rsidRPr="000D3A4E">
        <w:rPr>
          <w:rFonts w:ascii="Times New Roman" w:hAnsi="Times New Roman"/>
          <w:sz w:val="24"/>
          <w:szCs w:val="24"/>
        </w:rPr>
        <w:t>FCA увеличенной на среднюю стоимость транспортных расходов по доставке товара до города Кишинева.</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При условиях поставки товара, отличных от условий CPT (город Кишинев) либо FCA, индикативная цена устанавливается на уровне индикативной цены, установленной на условиях поставки</w:t>
      </w:r>
      <w:r>
        <w:rPr>
          <w:rFonts w:ascii="Times New Roman" w:hAnsi="Times New Roman"/>
          <w:sz w:val="24"/>
          <w:szCs w:val="24"/>
        </w:rPr>
        <w:t xml:space="preserve"> товара </w:t>
      </w:r>
      <w:r w:rsidRPr="000D3A4E">
        <w:rPr>
          <w:rFonts w:ascii="Times New Roman" w:hAnsi="Times New Roman"/>
          <w:sz w:val="24"/>
          <w:szCs w:val="24"/>
        </w:rPr>
        <w:t>CPT (город Кишинев).</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В случаи отсутствия информации, применяемой для расчета ПИЦ, индикативная цена устанавливается на уровне индикативной цены, установленной на аналогичные товары</w:t>
      </w:r>
      <w:r>
        <w:rPr>
          <w:rFonts w:ascii="Times New Roman" w:hAnsi="Times New Roman"/>
          <w:sz w:val="24"/>
          <w:szCs w:val="24"/>
        </w:rPr>
        <w:t xml:space="preserve"> за предыдущий период;</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б) Индикативная цена на товары, классифицируемые кодами ТН ВЭД, согласно Приложению № 2 к настоящему Положению, вывозимые на условиях </w:t>
      </w:r>
      <w:r>
        <w:rPr>
          <w:rFonts w:ascii="Times New Roman" w:hAnsi="Times New Roman"/>
          <w:sz w:val="24"/>
          <w:szCs w:val="24"/>
        </w:rPr>
        <w:t xml:space="preserve">поставки товара </w:t>
      </w:r>
      <w:r w:rsidRPr="000D3A4E">
        <w:rPr>
          <w:rFonts w:ascii="Times New Roman" w:hAnsi="Times New Roman"/>
          <w:sz w:val="24"/>
          <w:szCs w:val="24"/>
        </w:rPr>
        <w:t xml:space="preserve">FCA в Румынию, рассчитывается на основании данных Государственного таможенной службы Украины об экспорте товаров, классифицируемых кодом УКТ ВЭД 2523 29 000, за предшествующий период как совокупность стоимости таможенных деклараций по экспорту товаров </w:t>
      </w:r>
      <w:r>
        <w:rPr>
          <w:rFonts w:ascii="Times New Roman" w:hAnsi="Times New Roman"/>
          <w:sz w:val="24"/>
          <w:szCs w:val="24"/>
        </w:rPr>
        <w:t xml:space="preserve">из Украины в Румынию </w:t>
      </w:r>
      <w:r w:rsidRPr="000D3A4E">
        <w:rPr>
          <w:rFonts w:ascii="Times New Roman" w:hAnsi="Times New Roman"/>
          <w:sz w:val="24"/>
          <w:szCs w:val="24"/>
        </w:rPr>
        <w:t>деленной на совокупный физический объем по декларациям (средняя стоимость тонны портландцемента при экспорте из Украины в Румынию – далее средняя стоимость товара). Для расчета ПИЦ средняя стоимость товара корректируется (уменьшается) на стоимость доставки одной тонны портландцемента железнодорожным транспортом по маршруту Рыбница – Яссы (далее – стоимость доставки):</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ПИЦ = средняя стоимость товара – стоимость доставки.</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Индикативная цена на товары, классифицируемые кодом ТН ВЭД 2523 29000 (000), вывозимые в Румынию на условиях поставки</w:t>
      </w:r>
      <w:r>
        <w:rPr>
          <w:rFonts w:ascii="Times New Roman" w:hAnsi="Times New Roman"/>
          <w:sz w:val="24"/>
          <w:szCs w:val="24"/>
        </w:rPr>
        <w:t xml:space="preserve"> товара </w:t>
      </w:r>
      <w:r w:rsidRPr="000D3A4E">
        <w:rPr>
          <w:rFonts w:ascii="Times New Roman" w:hAnsi="Times New Roman"/>
          <w:sz w:val="24"/>
          <w:szCs w:val="24"/>
        </w:rPr>
        <w:t>FCA навалом (далее – ИЦ М400 навал) равна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М400 навал =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(000), вывозимые в Румынию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в таре (далее – ИЦ М400 тара) рассчитывается как ПИЦ, увеличенная на производственную себестоимость упаковки портландцемента в тару (далее - ПСТ) скорректированную на повышающий коэффициент тарирования равный 1,30 (далее – К1):</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М400 тара  = ПИЦ+ПСТ * К</w:t>
      </w:r>
      <w:proofErr w:type="gramStart"/>
      <w:r w:rsidRPr="000D3A4E">
        <w:rPr>
          <w:rFonts w:ascii="Times New Roman" w:hAnsi="Times New Roman"/>
          <w:sz w:val="24"/>
          <w:szCs w:val="24"/>
        </w:rPr>
        <w:t>1</w:t>
      </w:r>
      <w:proofErr w:type="gramEnd"/>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(001), вывозимые в Румынию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навалом (далее – ИЦ М500 навал) рассчитывается как ПИЦ, увеличенная на разницу производственной себестоимости портландцемента марки 400 и портландцемента марки 500 (далее - РПС) скорректированную на повышающий коэффициент равный 1,15 (далее – К2):</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М500 навал = ПИЦ+РПС*К2</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Индикативная цена на товары, классифицируемые кодом ТН ВЭД 2523 29000 (001), вывозимые в Румынию на условиях поставки</w:t>
      </w:r>
      <w:r>
        <w:rPr>
          <w:rFonts w:ascii="Times New Roman" w:hAnsi="Times New Roman"/>
          <w:sz w:val="24"/>
          <w:szCs w:val="24"/>
        </w:rPr>
        <w:t xml:space="preserve"> товара </w:t>
      </w:r>
      <w:r w:rsidRPr="000D3A4E">
        <w:rPr>
          <w:rFonts w:ascii="Times New Roman" w:hAnsi="Times New Roman"/>
          <w:sz w:val="24"/>
          <w:szCs w:val="24"/>
        </w:rPr>
        <w:t>FCA в таре (далее – ИЦ М500 тара) рассчитывается как индикативная цена на портландцемент марки 500 навалом, увеличенная на производственную себестоимость упаковки портландцемента в тару (далее - ПСТ) скорректированную на повышающий коэффициент тарирования равный 1,30 (далее – К1):</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М500 тара = ИЦ М500 навал +ПСТ*К1</w:t>
      </w:r>
      <w:r>
        <w:rPr>
          <w:rFonts w:ascii="Times New Roman" w:hAnsi="Times New Roman"/>
          <w:sz w:val="24"/>
          <w:szCs w:val="24"/>
        </w:rPr>
        <w:t>.</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Индикативная цена на товары, классифицируемые кодом ТН ВЭД 2523 29000 (002), вывозимые в Румынию на условиях поставки </w:t>
      </w:r>
      <w:r>
        <w:rPr>
          <w:rFonts w:ascii="Times New Roman" w:hAnsi="Times New Roman"/>
          <w:sz w:val="24"/>
          <w:szCs w:val="24"/>
        </w:rPr>
        <w:t xml:space="preserve">товара </w:t>
      </w:r>
      <w:r w:rsidRPr="000D3A4E">
        <w:rPr>
          <w:rFonts w:ascii="Times New Roman" w:hAnsi="Times New Roman"/>
          <w:sz w:val="24"/>
          <w:szCs w:val="24"/>
        </w:rPr>
        <w:t>FCA навалом и в таре (далее – ИЦ М300 навал/тара) равна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ИЦ М300 навал/тара = ПИЦ.</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 xml:space="preserve">При условии поставки товара CPT (город Яссы) уровень индикативной цены рассчитывается как уровень индикативной цены, установленной на условиях </w:t>
      </w:r>
      <w:r>
        <w:rPr>
          <w:rFonts w:ascii="Times New Roman" w:hAnsi="Times New Roman"/>
          <w:sz w:val="24"/>
          <w:szCs w:val="24"/>
        </w:rPr>
        <w:t xml:space="preserve">поставки товара </w:t>
      </w:r>
      <w:r w:rsidRPr="000D3A4E">
        <w:rPr>
          <w:rFonts w:ascii="Times New Roman" w:hAnsi="Times New Roman"/>
          <w:sz w:val="24"/>
          <w:szCs w:val="24"/>
        </w:rPr>
        <w:t>FCA увеличенной на среднюю стоимость транспортных расходов по доставке товара до города Яссы.</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При условиях поставки товара, отличных от условий CPT (город Яссы) либо FCA, индикативная цена устанавливается на уровне индикативной цены, установленной н</w:t>
      </w:r>
      <w:r>
        <w:rPr>
          <w:rFonts w:ascii="Times New Roman" w:hAnsi="Times New Roman"/>
          <w:sz w:val="24"/>
          <w:szCs w:val="24"/>
        </w:rPr>
        <w:t xml:space="preserve">а условиях поставки CPT (город </w:t>
      </w:r>
      <w:r w:rsidRPr="000D3A4E">
        <w:rPr>
          <w:rFonts w:ascii="Times New Roman" w:hAnsi="Times New Roman"/>
          <w:sz w:val="24"/>
          <w:szCs w:val="24"/>
        </w:rPr>
        <w:t>Яссы).</w:t>
      </w:r>
    </w:p>
    <w:p w:rsidR="00C10DA4" w:rsidRPr="00277BC1" w:rsidRDefault="00151801" w:rsidP="00151801">
      <w:pPr>
        <w:spacing w:after="0" w:line="240" w:lineRule="auto"/>
        <w:ind w:firstLine="284"/>
        <w:jc w:val="both"/>
        <w:rPr>
          <w:rFonts w:ascii="Times New Roman" w:hAnsi="Times New Roman" w:cs="Times New Roman"/>
          <w:sz w:val="24"/>
          <w:szCs w:val="24"/>
        </w:rPr>
      </w:pPr>
      <w:r w:rsidRPr="000D3A4E">
        <w:rPr>
          <w:rFonts w:ascii="Times New Roman" w:hAnsi="Times New Roman"/>
          <w:sz w:val="24"/>
          <w:szCs w:val="24"/>
        </w:rPr>
        <w:t>В случаи отсутствия информации, применяемой для расчета ПИЦ, индикативная цена устанавливается на уровне индикативной цены, установленной на аналогичные товары за предыдущий период</w:t>
      </w:r>
      <w:r>
        <w:rPr>
          <w:rFonts w:ascii="Times New Roman" w:hAnsi="Times New Roman"/>
          <w:sz w:val="24"/>
          <w:szCs w:val="24"/>
        </w:rPr>
        <w:t>.</w:t>
      </w:r>
    </w:p>
    <w:p w:rsidR="00151801" w:rsidRPr="000D3A4E" w:rsidRDefault="0080776C" w:rsidP="00151801">
      <w:pPr>
        <w:spacing w:after="0" w:line="240" w:lineRule="auto"/>
        <w:ind w:firstLine="284"/>
        <w:jc w:val="both"/>
        <w:rPr>
          <w:rFonts w:ascii="Times New Roman" w:hAnsi="Times New Roman"/>
          <w:sz w:val="24"/>
          <w:szCs w:val="24"/>
        </w:rPr>
      </w:pPr>
      <w:r w:rsidRPr="00277BC1">
        <w:rPr>
          <w:rFonts w:ascii="Times New Roman" w:hAnsi="Times New Roman" w:cs="Times New Roman"/>
          <w:sz w:val="24"/>
          <w:szCs w:val="24"/>
        </w:rPr>
        <w:t>6</w:t>
      </w:r>
      <w:r w:rsidR="00151801">
        <w:rPr>
          <w:rFonts w:ascii="Times New Roman" w:hAnsi="Times New Roman" w:cs="Times New Roman"/>
          <w:sz w:val="24"/>
          <w:szCs w:val="24"/>
        </w:rPr>
        <w:t xml:space="preserve">. </w:t>
      </w:r>
      <w:r w:rsidR="00151801" w:rsidRPr="000D3A4E">
        <w:rPr>
          <w:rFonts w:ascii="Times New Roman" w:hAnsi="Times New Roman"/>
          <w:sz w:val="24"/>
          <w:szCs w:val="24"/>
        </w:rPr>
        <w:t>Средняя стоимость транспортных расходов по доставке 1 (одной) тонны товаров, классифицируемых кодами ТН ВЭД, согласно Приложению №1 к настоящему Положению, в Республику Молдова и иные страны (кроме Румынии) рассчитывается как среднеарифметическая стоимость доставки до города Кишинева 1 (одной) тонны груза автомобильным транспортом (перевозки насыпью, в упаковке).</w:t>
      </w:r>
    </w:p>
    <w:p w:rsidR="00151801" w:rsidRPr="000D3A4E" w:rsidRDefault="00151801" w:rsidP="00151801">
      <w:pPr>
        <w:spacing w:after="0" w:line="240" w:lineRule="auto"/>
        <w:ind w:firstLine="284"/>
        <w:jc w:val="both"/>
        <w:rPr>
          <w:rFonts w:ascii="Times New Roman" w:hAnsi="Times New Roman"/>
          <w:sz w:val="24"/>
          <w:szCs w:val="24"/>
        </w:rPr>
      </w:pPr>
      <w:r w:rsidRPr="000D3A4E">
        <w:rPr>
          <w:rFonts w:ascii="Times New Roman" w:hAnsi="Times New Roman"/>
          <w:sz w:val="24"/>
          <w:szCs w:val="24"/>
        </w:rPr>
        <w:t>Средняя стоимость транспортных расходов по доставке 1 (одной) тонны товаров, классифицируемых кодами ТН ВЭД, согласно Приложению №2 к настоящему Положению, в Румынию рассчитывается как среднеарифметическая стоимость доставки до города Яссы 1 (одной) тонны груза железнодорожным транспортом (перевозки насыпью, в упаковке).</w:t>
      </w:r>
    </w:p>
    <w:p w:rsidR="0080776C" w:rsidRPr="00277BC1" w:rsidRDefault="00151801" w:rsidP="00151801">
      <w:pPr>
        <w:spacing w:after="0" w:line="240" w:lineRule="auto"/>
        <w:ind w:firstLine="284"/>
        <w:jc w:val="both"/>
        <w:rPr>
          <w:rFonts w:ascii="Times New Roman" w:hAnsi="Times New Roman" w:cs="Times New Roman"/>
          <w:sz w:val="24"/>
          <w:szCs w:val="24"/>
        </w:rPr>
      </w:pPr>
      <w:proofErr w:type="gramStart"/>
      <w:r w:rsidRPr="000D3A4E">
        <w:rPr>
          <w:rFonts w:ascii="Times New Roman" w:hAnsi="Times New Roman"/>
          <w:sz w:val="24"/>
          <w:szCs w:val="24"/>
        </w:rPr>
        <w:t xml:space="preserve">Производственная себестоимость упаковки товаров, классифицируемых кодами ТН ВЭД, согласно </w:t>
      </w:r>
      <w:r>
        <w:rPr>
          <w:rFonts w:ascii="Times New Roman" w:hAnsi="Times New Roman"/>
          <w:sz w:val="24"/>
          <w:szCs w:val="24"/>
        </w:rPr>
        <w:t>п</w:t>
      </w:r>
      <w:r w:rsidRPr="000D3A4E">
        <w:rPr>
          <w:rFonts w:ascii="Times New Roman" w:hAnsi="Times New Roman"/>
          <w:sz w:val="24"/>
          <w:szCs w:val="24"/>
        </w:rPr>
        <w:t>риложениям к настоящему Положению в тару</w:t>
      </w:r>
      <w:r>
        <w:rPr>
          <w:rFonts w:ascii="Times New Roman" w:hAnsi="Times New Roman"/>
          <w:sz w:val="24"/>
          <w:szCs w:val="24"/>
        </w:rPr>
        <w:t>,</w:t>
      </w:r>
      <w:r w:rsidRPr="000D3A4E">
        <w:rPr>
          <w:rFonts w:ascii="Times New Roman" w:hAnsi="Times New Roman"/>
          <w:sz w:val="24"/>
          <w:szCs w:val="24"/>
        </w:rPr>
        <w:t xml:space="preserve"> разница производственной себестоимости портландцемента марки 400 и марки 500 </w:t>
      </w:r>
      <w:r>
        <w:rPr>
          <w:rFonts w:ascii="Times New Roman" w:hAnsi="Times New Roman"/>
          <w:sz w:val="24"/>
          <w:szCs w:val="24"/>
        </w:rPr>
        <w:t xml:space="preserve">и средняя стоимость транспортных расходов по доставке 1 (одной) тонны товаров, классифицируемых кодами ТН ВЭД, согласно приложениям к настоящему Положению </w:t>
      </w:r>
      <w:r w:rsidRPr="000D3A4E">
        <w:rPr>
          <w:rFonts w:ascii="Times New Roman" w:hAnsi="Times New Roman"/>
          <w:sz w:val="24"/>
          <w:szCs w:val="24"/>
        </w:rPr>
        <w:t xml:space="preserve">представляется </w:t>
      </w:r>
      <w:r>
        <w:rPr>
          <w:rFonts w:ascii="Times New Roman" w:hAnsi="Times New Roman"/>
          <w:sz w:val="24"/>
          <w:szCs w:val="24"/>
        </w:rPr>
        <w:t xml:space="preserve">открытым акционерным обществом </w:t>
      </w:r>
      <w:r w:rsidRPr="000D3A4E">
        <w:rPr>
          <w:rFonts w:ascii="Times New Roman" w:hAnsi="Times New Roman"/>
          <w:sz w:val="24"/>
          <w:szCs w:val="24"/>
        </w:rPr>
        <w:t>«Госуд</w:t>
      </w:r>
      <w:r>
        <w:rPr>
          <w:rFonts w:ascii="Times New Roman" w:hAnsi="Times New Roman"/>
          <w:sz w:val="24"/>
          <w:szCs w:val="24"/>
        </w:rPr>
        <w:t>арственная управляющая компания»</w:t>
      </w:r>
      <w:r w:rsidR="000748CA" w:rsidRPr="00277BC1">
        <w:rPr>
          <w:rFonts w:ascii="Times New Roman" w:hAnsi="Times New Roman" w:cs="Times New Roman"/>
          <w:sz w:val="24"/>
          <w:szCs w:val="24"/>
        </w:rPr>
        <w:t>.</w:t>
      </w:r>
      <w:proofErr w:type="gramEnd"/>
    </w:p>
    <w:p w:rsidR="00F92278" w:rsidRPr="00277BC1" w:rsidRDefault="00C5615E" w:rsidP="00F16F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F92278" w:rsidRPr="00277BC1">
        <w:rPr>
          <w:rFonts w:ascii="Times New Roman" w:hAnsi="Times New Roman" w:cs="Times New Roman"/>
          <w:sz w:val="24"/>
          <w:szCs w:val="24"/>
        </w:rPr>
        <w:t xml:space="preserve">. </w:t>
      </w:r>
      <w:r w:rsidR="00151801" w:rsidRPr="000D3A4E">
        <w:rPr>
          <w:rFonts w:ascii="Times New Roman" w:hAnsi="Times New Roman"/>
          <w:sz w:val="24"/>
          <w:szCs w:val="24"/>
        </w:rPr>
        <w:t>Индикативные цены устанавливаются Приказом Министерства экономического развития Приднестровской Молдавской Республики ежемесячно не позднее 15 числа каждого месяца, при этом если конечный срок действия индикативных цен выпадает на выходные (праздничные) дни, то действие данных цен может быть продлено до первого рабочего дня включительно, при условии отсутствия нового Приказа об утверждении индикативных цен</w:t>
      </w:r>
      <w:r w:rsidR="00151801">
        <w:rPr>
          <w:rFonts w:ascii="Times New Roman" w:hAnsi="Times New Roman"/>
          <w:sz w:val="24"/>
          <w:szCs w:val="24"/>
        </w:rPr>
        <w:t>.</w:t>
      </w:r>
    </w:p>
    <w:p w:rsidR="00116E69" w:rsidRPr="00277BC1" w:rsidRDefault="00F16F88" w:rsidP="00F16F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116E69" w:rsidRPr="00277BC1">
        <w:rPr>
          <w:rFonts w:ascii="Times New Roman" w:hAnsi="Times New Roman" w:cs="Times New Roman"/>
          <w:sz w:val="24"/>
          <w:szCs w:val="24"/>
        </w:rPr>
        <w:t>. Приказ Министерства экономического развития Приднестровской Молдавской Республики по установлению индикативных цен на товары, классифицируемые кодами ТН ВЭД, согласно приложению к настоящему Положению, направляется в Государственны</w:t>
      </w:r>
      <w:r w:rsidR="007400F7">
        <w:rPr>
          <w:rFonts w:ascii="Times New Roman" w:hAnsi="Times New Roman" w:cs="Times New Roman"/>
          <w:sz w:val="24"/>
          <w:szCs w:val="24"/>
        </w:rPr>
        <w:t>й</w:t>
      </w:r>
      <w:r w:rsidR="00116E69" w:rsidRPr="00277BC1">
        <w:rPr>
          <w:rFonts w:ascii="Times New Roman" w:hAnsi="Times New Roman" w:cs="Times New Roman"/>
          <w:sz w:val="24"/>
          <w:szCs w:val="24"/>
        </w:rPr>
        <w:t xml:space="preserve"> таможенный комитет Приднестровской Молдавской Республики, размещается на официальном сайте Министерства экономического развития Приднестровской Молдавской Республики и подлежит официальному опубликованию.</w:t>
      </w:r>
    </w:p>
    <w:p w:rsidR="00116E69" w:rsidRPr="00277BC1" w:rsidRDefault="00F16F88" w:rsidP="00F16F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116E69" w:rsidRPr="00277BC1">
        <w:rPr>
          <w:rFonts w:ascii="Times New Roman" w:hAnsi="Times New Roman" w:cs="Times New Roman"/>
          <w:sz w:val="24"/>
          <w:szCs w:val="24"/>
        </w:rPr>
        <w:t xml:space="preserve">. </w:t>
      </w:r>
      <w:proofErr w:type="gramStart"/>
      <w:r w:rsidR="00116E69" w:rsidRPr="00277BC1">
        <w:rPr>
          <w:rFonts w:ascii="Times New Roman" w:hAnsi="Times New Roman" w:cs="Times New Roman"/>
          <w:sz w:val="24"/>
          <w:szCs w:val="24"/>
        </w:rPr>
        <w:t xml:space="preserve">Если в период между сроками установления индикативных цен на товары, классифицируемые кодами ТН ВЭД, согласно Приложению к настоящему Положению, возникли существенные изменения конъюнктуры рынка и цен на определенный товар из перечня товаров согласно Приложения к настоящему Приказу, Министерство экономического развития Приднестровской Молдавской Республики принимает решение об изменении индикативных цен посредством внесения изменений в Приказ, указанный в пункте </w:t>
      </w:r>
      <w:r>
        <w:rPr>
          <w:rFonts w:ascii="Times New Roman" w:hAnsi="Times New Roman" w:cs="Times New Roman"/>
          <w:sz w:val="24"/>
          <w:szCs w:val="24"/>
        </w:rPr>
        <w:t>8</w:t>
      </w:r>
      <w:r w:rsidR="00116E69" w:rsidRPr="00277BC1">
        <w:rPr>
          <w:rFonts w:ascii="Times New Roman" w:hAnsi="Times New Roman" w:cs="Times New Roman"/>
          <w:sz w:val="24"/>
          <w:szCs w:val="24"/>
        </w:rPr>
        <w:t xml:space="preserve"> настоящего Положения</w:t>
      </w:r>
      <w:proofErr w:type="gramEnd"/>
      <w:r w:rsidR="00116E69" w:rsidRPr="00277BC1">
        <w:rPr>
          <w:rFonts w:ascii="Times New Roman" w:hAnsi="Times New Roman" w:cs="Times New Roman"/>
          <w:sz w:val="24"/>
          <w:szCs w:val="24"/>
        </w:rPr>
        <w:t xml:space="preserve">. Приказ Министерства экономического развития Приднестровской Молдавской Республики о внесении изменений в Приказ, указанный в пункте </w:t>
      </w:r>
      <w:r>
        <w:rPr>
          <w:rFonts w:ascii="Times New Roman" w:hAnsi="Times New Roman" w:cs="Times New Roman"/>
          <w:sz w:val="24"/>
          <w:szCs w:val="24"/>
        </w:rPr>
        <w:t>8</w:t>
      </w:r>
      <w:r w:rsidR="00116E69" w:rsidRPr="00277BC1">
        <w:rPr>
          <w:rFonts w:ascii="Times New Roman" w:hAnsi="Times New Roman" w:cs="Times New Roman"/>
          <w:sz w:val="24"/>
          <w:szCs w:val="24"/>
        </w:rPr>
        <w:t xml:space="preserve"> настоящего Положения, подлежит официальному опубликованию, направлению в Государственный таможенный комитет Приднестровской Молдавской Республики и размещению на официальном сайте Министерства экономического развития Приднестровской Молдавской Республики.</w:t>
      </w:r>
    </w:p>
    <w:p w:rsidR="00116E69" w:rsidRPr="00277BC1" w:rsidRDefault="00116E69" w:rsidP="00F16F88">
      <w:pPr>
        <w:spacing w:after="0" w:line="240" w:lineRule="auto"/>
        <w:ind w:firstLine="284"/>
        <w:jc w:val="both"/>
        <w:rPr>
          <w:rFonts w:ascii="Times New Roman" w:hAnsi="Times New Roman" w:cs="Times New Roman"/>
          <w:sz w:val="24"/>
          <w:szCs w:val="24"/>
        </w:rPr>
      </w:pPr>
    </w:p>
    <w:p w:rsidR="00116E69" w:rsidRPr="00277BC1" w:rsidRDefault="00116E69" w:rsidP="00F16F88">
      <w:pPr>
        <w:spacing w:after="0" w:line="240" w:lineRule="auto"/>
        <w:ind w:firstLine="284"/>
        <w:jc w:val="both"/>
        <w:rPr>
          <w:rFonts w:ascii="Times New Roman" w:hAnsi="Times New Roman" w:cs="Times New Roman"/>
          <w:sz w:val="24"/>
          <w:szCs w:val="24"/>
        </w:rPr>
      </w:pPr>
    </w:p>
    <w:p w:rsidR="00151801" w:rsidRPr="00C5470C" w:rsidRDefault="00116E69" w:rsidP="00151801">
      <w:pPr>
        <w:spacing w:after="0" w:line="240" w:lineRule="auto"/>
        <w:ind w:firstLine="709"/>
        <w:jc w:val="right"/>
        <w:rPr>
          <w:rFonts w:ascii="Times New Roman" w:hAnsi="Times New Roman"/>
          <w:sz w:val="24"/>
          <w:szCs w:val="24"/>
        </w:rPr>
      </w:pPr>
      <w:r w:rsidRPr="00C5470C">
        <w:rPr>
          <w:rFonts w:ascii="Times New Roman" w:hAnsi="Times New Roman" w:cs="Times New Roman"/>
          <w:sz w:val="24"/>
          <w:szCs w:val="24"/>
        </w:rPr>
        <w:br w:type="page"/>
      </w:r>
      <w:r w:rsidR="00151801">
        <w:rPr>
          <w:rFonts w:ascii="Times New Roman" w:hAnsi="Times New Roman"/>
          <w:sz w:val="24"/>
          <w:szCs w:val="24"/>
        </w:rPr>
        <w:t>«</w:t>
      </w:r>
      <w:r w:rsidR="00151801" w:rsidRPr="00C5470C">
        <w:rPr>
          <w:rFonts w:ascii="Times New Roman" w:hAnsi="Times New Roman"/>
          <w:sz w:val="24"/>
          <w:szCs w:val="24"/>
        </w:rPr>
        <w:t xml:space="preserve">Приложение </w:t>
      </w:r>
      <w:r w:rsidR="00151801">
        <w:rPr>
          <w:rFonts w:ascii="Times New Roman" w:hAnsi="Times New Roman"/>
          <w:sz w:val="24"/>
          <w:szCs w:val="24"/>
        </w:rPr>
        <w:t xml:space="preserve">№ 1 </w:t>
      </w:r>
      <w:r w:rsidR="00151801" w:rsidRPr="00C5470C">
        <w:rPr>
          <w:rFonts w:ascii="Times New Roman" w:hAnsi="Times New Roman"/>
          <w:sz w:val="24"/>
          <w:szCs w:val="24"/>
        </w:rPr>
        <w:t xml:space="preserve">к </w:t>
      </w:r>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 xml:space="preserve">Положению о порядке </w:t>
      </w:r>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 xml:space="preserve">формирования и представления  </w:t>
      </w:r>
      <w:proofErr w:type="gramStart"/>
      <w:r w:rsidRPr="00C5470C">
        <w:rPr>
          <w:rFonts w:ascii="Times New Roman" w:hAnsi="Times New Roman"/>
          <w:sz w:val="24"/>
          <w:szCs w:val="24"/>
        </w:rPr>
        <w:t>индикативных</w:t>
      </w:r>
      <w:proofErr w:type="gramEnd"/>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цен на портландцемент</w:t>
      </w:r>
    </w:p>
    <w:p w:rsidR="00151801" w:rsidRPr="00C5470C" w:rsidRDefault="00151801" w:rsidP="00151801">
      <w:pPr>
        <w:spacing w:after="0" w:line="240" w:lineRule="auto"/>
        <w:ind w:firstLine="709"/>
        <w:jc w:val="right"/>
        <w:rPr>
          <w:rFonts w:ascii="Times New Roman" w:hAnsi="Times New Roman"/>
          <w:sz w:val="24"/>
          <w:szCs w:val="24"/>
        </w:rPr>
      </w:pPr>
    </w:p>
    <w:p w:rsidR="00151801" w:rsidRDefault="00151801" w:rsidP="00151801">
      <w:pPr>
        <w:spacing w:after="0" w:line="240" w:lineRule="auto"/>
        <w:ind w:firstLine="709"/>
        <w:jc w:val="center"/>
        <w:rPr>
          <w:rFonts w:ascii="Times New Roman" w:hAnsi="Times New Roman"/>
          <w:sz w:val="24"/>
          <w:szCs w:val="24"/>
        </w:rPr>
      </w:pPr>
      <w:r w:rsidRPr="00B95B8E">
        <w:rPr>
          <w:rFonts w:ascii="Times New Roman" w:hAnsi="Times New Roman"/>
          <w:sz w:val="24"/>
          <w:szCs w:val="24"/>
        </w:rPr>
        <w:t xml:space="preserve">Индикативная цена на товары, применяемая в целях таможенного оформления экспорта в Республику Молдова и иные страны (кроме Румынии) на период </w:t>
      </w:r>
    </w:p>
    <w:p w:rsidR="00151801" w:rsidRPr="00B95B8E" w:rsidRDefault="00151801" w:rsidP="00151801">
      <w:pPr>
        <w:spacing w:after="0" w:line="240" w:lineRule="auto"/>
        <w:ind w:firstLine="709"/>
        <w:jc w:val="center"/>
        <w:rPr>
          <w:rFonts w:ascii="Times New Roman" w:hAnsi="Times New Roman"/>
          <w:sz w:val="24"/>
          <w:szCs w:val="24"/>
        </w:rPr>
      </w:pPr>
      <w:r w:rsidRPr="00B95B8E">
        <w:rPr>
          <w:rFonts w:ascii="Times New Roman" w:hAnsi="Times New Roman"/>
          <w:sz w:val="24"/>
          <w:szCs w:val="24"/>
        </w:rPr>
        <w:t>с  _______ 20__ г. по _________ 20___ г.</w:t>
      </w:r>
    </w:p>
    <w:p w:rsidR="00151801" w:rsidRPr="00C5470C" w:rsidRDefault="00151801" w:rsidP="00151801">
      <w:pPr>
        <w:spacing w:after="0" w:line="240" w:lineRule="auto"/>
        <w:rPr>
          <w:rFonts w:ascii="Times New Roman" w:hAnsi="Times New Roman"/>
          <w:color w:val="000000"/>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1353"/>
        <w:gridCol w:w="3178"/>
        <w:gridCol w:w="1313"/>
        <w:gridCol w:w="935"/>
        <w:gridCol w:w="936"/>
        <w:gridCol w:w="979"/>
        <w:gridCol w:w="979"/>
      </w:tblGrid>
      <w:tr w:rsidR="00151801" w:rsidRPr="00C5025E" w:rsidTr="00697D94">
        <w:trPr>
          <w:cantSplit/>
          <w:tblHeader/>
          <w:jc w:val="center"/>
        </w:trPr>
        <w:tc>
          <w:tcPr>
            <w:tcW w:w="1353" w:type="dxa"/>
            <w:vMerge w:val="restart"/>
          </w:tcPr>
          <w:p w:rsidR="00151801" w:rsidRPr="00C5470C" w:rsidRDefault="00151801" w:rsidP="00697D94">
            <w:pPr>
              <w:pStyle w:val="a4"/>
              <w:spacing w:after="0" w:afterAutospacing="0"/>
              <w:jc w:val="center"/>
              <w:rPr>
                <w:szCs w:val="24"/>
              </w:rPr>
            </w:pPr>
            <w:r w:rsidRPr="00C5470C">
              <w:rPr>
                <w:szCs w:val="24"/>
              </w:rPr>
              <w:t>Код</w:t>
            </w:r>
          </w:p>
          <w:p w:rsidR="00151801" w:rsidRPr="00C5470C" w:rsidRDefault="00151801" w:rsidP="00697D94">
            <w:pPr>
              <w:pStyle w:val="a4"/>
              <w:spacing w:after="0" w:afterAutospacing="0"/>
              <w:jc w:val="center"/>
              <w:rPr>
                <w:szCs w:val="24"/>
              </w:rPr>
            </w:pPr>
            <w:r w:rsidRPr="00C5470C">
              <w:rPr>
                <w:szCs w:val="24"/>
              </w:rPr>
              <w:t>ТН ВЭД</w:t>
            </w:r>
          </w:p>
        </w:tc>
        <w:tc>
          <w:tcPr>
            <w:tcW w:w="3178" w:type="dxa"/>
            <w:vMerge w:val="restart"/>
          </w:tcPr>
          <w:p w:rsidR="00151801" w:rsidRPr="00C5470C" w:rsidRDefault="00151801" w:rsidP="00697D94">
            <w:pPr>
              <w:pStyle w:val="a4"/>
              <w:spacing w:after="0" w:afterAutospacing="0"/>
              <w:jc w:val="center"/>
              <w:rPr>
                <w:szCs w:val="24"/>
              </w:rPr>
            </w:pPr>
            <w:r w:rsidRPr="00C5470C">
              <w:rPr>
                <w:szCs w:val="24"/>
              </w:rPr>
              <w:t>Наименование</w:t>
            </w:r>
          </w:p>
          <w:p w:rsidR="00151801" w:rsidRPr="00C5470C" w:rsidRDefault="00151801" w:rsidP="00697D94">
            <w:pPr>
              <w:pStyle w:val="a4"/>
              <w:spacing w:after="0" w:afterAutospacing="0"/>
              <w:jc w:val="center"/>
              <w:rPr>
                <w:szCs w:val="24"/>
              </w:rPr>
            </w:pPr>
            <w:r w:rsidRPr="00C5470C">
              <w:rPr>
                <w:szCs w:val="24"/>
              </w:rPr>
              <w:t>позиции</w:t>
            </w:r>
          </w:p>
        </w:tc>
        <w:tc>
          <w:tcPr>
            <w:tcW w:w="1313" w:type="dxa"/>
            <w:vMerge w:val="restart"/>
          </w:tcPr>
          <w:p w:rsidR="00151801" w:rsidRPr="00C5470C" w:rsidRDefault="00151801" w:rsidP="00697D94">
            <w:pPr>
              <w:pStyle w:val="a4"/>
              <w:spacing w:after="0" w:afterAutospacing="0"/>
              <w:jc w:val="center"/>
              <w:rPr>
                <w:szCs w:val="24"/>
              </w:rPr>
            </w:pPr>
            <w:r w:rsidRPr="00C5470C">
              <w:rPr>
                <w:szCs w:val="24"/>
              </w:rPr>
              <w:t>Ед</w:t>
            </w:r>
            <w:r>
              <w:rPr>
                <w:szCs w:val="24"/>
              </w:rPr>
              <w:t>иница</w:t>
            </w:r>
            <w:r w:rsidRPr="00C5470C">
              <w:rPr>
                <w:szCs w:val="24"/>
              </w:rPr>
              <w:t xml:space="preserve"> измерения</w:t>
            </w:r>
          </w:p>
        </w:tc>
        <w:tc>
          <w:tcPr>
            <w:tcW w:w="1871" w:type="dxa"/>
            <w:gridSpan w:val="2"/>
          </w:tcPr>
          <w:p w:rsidR="00151801" w:rsidRPr="00C5470C" w:rsidRDefault="00151801" w:rsidP="00697D94">
            <w:pPr>
              <w:pStyle w:val="a4"/>
              <w:spacing w:after="0" w:afterAutospacing="0"/>
              <w:jc w:val="center"/>
              <w:rPr>
                <w:szCs w:val="24"/>
              </w:rPr>
            </w:pPr>
            <w:r w:rsidRPr="00C5470C">
              <w:rPr>
                <w:szCs w:val="24"/>
              </w:rPr>
              <w:t xml:space="preserve">Индикативная цена (CPT </w:t>
            </w:r>
            <w:r>
              <w:rPr>
                <w:szCs w:val="24"/>
              </w:rPr>
              <w:t xml:space="preserve">(город Кишинев) </w:t>
            </w:r>
            <w:r w:rsidRPr="00C5470C">
              <w:rPr>
                <w:szCs w:val="24"/>
              </w:rPr>
              <w:t>и иных условий поставки, кроме FCA)</w:t>
            </w:r>
            <w:r>
              <w:rPr>
                <w:szCs w:val="24"/>
              </w:rPr>
              <w:t>,</w:t>
            </w:r>
            <w:r w:rsidRPr="00C5470C">
              <w:rPr>
                <w:szCs w:val="24"/>
              </w:rPr>
              <w:t xml:space="preserve"> долл</w:t>
            </w:r>
            <w:r>
              <w:rPr>
                <w:szCs w:val="24"/>
              </w:rPr>
              <w:t>аров</w:t>
            </w:r>
            <w:r w:rsidRPr="00C5470C">
              <w:rPr>
                <w:szCs w:val="24"/>
              </w:rPr>
              <w:t xml:space="preserve"> США</w:t>
            </w:r>
          </w:p>
        </w:tc>
        <w:tc>
          <w:tcPr>
            <w:tcW w:w="1958" w:type="dxa"/>
            <w:gridSpan w:val="2"/>
          </w:tcPr>
          <w:p w:rsidR="00151801" w:rsidRPr="00C5470C" w:rsidRDefault="00151801" w:rsidP="00697D94">
            <w:pPr>
              <w:pStyle w:val="a4"/>
              <w:spacing w:after="0" w:afterAutospacing="0"/>
              <w:jc w:val="center"/>
              <w:rPr>
                <w:szCs w:val="24"/>
              </w:rPr>
            </w:pPr>
            <w:r w:rsidRPr="00C5470C">
              <w:rPr>
                <w:szCs w:val="24"/>
              </w:rPr>
              <w:t>Индикативная цена (FCA)</w:t>
            </w:r>
            <w:r>
              <w:rPr>
                <w:szCs w:val="24"/>
              </w:rPr>
              <w:t>,</w:t>
            </w:r>
            <w:r w:rsidRPr="00C5470C">
              <w:rPr>
                <w:szCs w:val="24"/>
              </w:rPr>
              <w:t xml:space="preserve"> долл</w:t>
            </w:r>
            <w:r>
              <w:rPr>
                <w:szCs w:val="24"/>
              </w:rPr>
              <w:t>аров</w:t>
            </w:r>
            <w:r w:rsidRPr="00C5470C">
              <w:rPr>
                <w:szCs w:val="24"/>
              </w:rPr>
              <w:t xml:space="preserve"> США</w:t>
            </w:r>
          </w:p>
        </w:tc>
      </w:tr>
      <w:tr w:rsidR="00151801" w:rsidRPr="00C5025E" w:rsidTr="00697D94">
        <w:trPr>
          <w:cantSplit/>
          <w:tblHeader/>
          <w:jc w:val="center"/>
        </w:trPr>
        <w:tc>
          <w:tcPr>
            <w:tcW w:w="1353" w:type="dxa"/>
            <w:vMerge/>
          </w:tcPr>
          <w:p w:rsidR="00151801" w:rsidRPr="00C5470C" w:rsidRDefault="00151801" w:rsidP="00697D94">
            <w:pPr>
              <w:pStyle w:val="a4"/>
              <w:spacing w:after="0" w:afterAutospacing="0"/>
              <w:rPr>
                <w:szCs w:val="24"/>
              </w:rPr>
            </w:pPr>
          </w:p>
        </w:tc>
        <w:tc>
          <w:tcPr>
            <w:tcW w:w="3178" w:type="dxa"/>
            <w:vMerge/>
          </w:tcPr>
          <w:p w:rsidR="00151801" w:rsidRPr="00C5470C" w:rsidRDefault="00151801" w:rsidP="00697D94">
            <w:pPr>
              <w:pStyle w:val="a4"/>
              <w:spacing w:after="0" w:afterAutospacing="0"/>
              <w:rPr>
                <w:szCs w:val="24"/>
              </w:rPr>
            </w:pPr>
          </w:p>
        </w:tc>
        <w:tc>
          <w:tcPr>
            <w:tcW w:w="1313" w:type="dxa"/>
            <w:vMerge/>
          </w:tcPr>
          <w:p w:rsidR="00151801" w:rsidRPr="00C5025E" w:rsidRDefault="00151801" w:rsidP="00697D94">
            <w:pPr>
              <w:rPr>
                <w:rFonts w:ascii="Times New Roman" w:hAnsi="Times New Roman"/>
                <w:sz w:val="24"/>
                <w:szCs w:val="24"/>
              </w:rPr>
            </w:pPr>
          </w:p>
        </w:tc>
        <w:tc>
          <w:tcPr>
            <w:tcW w:w="935"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Навалом </w:t>
            </w:r>
          </w:p>
        </w:tc>
        <w:tc>
          <w:tcPr>
            <w:tcW w:w="936"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В таре </w:t>
            </w:r>
          </w:p>
        </w:tc>
        <w:tc>
          <w:tcPr>
            <w:tcW w:w="979"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Навалом </w:t>
            </w:r>
          </w:p>
        </w:tc>
        <w:tc>
          <w:tcPr>
            <w:tcW w:w="979" w:type="dxa"/>
          </w:tcPr>
          <w:p w:rsidR="00151801" w:rsidRPr="00C5025E" w:rsidRDefault="00151801" w:rsidP="00697D94">
            <w:pPr>
              <w:rPr>
                <w:rFonts w:ascii="Times New Roman" w:hAnsi="Times New Roman"/>
                <w:sz w:val="24"/>
                <w:szCs w:val="24"/>
              </w:rPr>
            </w:pPr>
            <w:r>
              <w:rPr>
                <w:rFonts w:ascii="Times New Roman" w:hAnsi="Times New Roman"/>
                <w:sz w:val="24"/>
                <w:szCs w:val="24"/>
              </w:rPr>
              <w:t>В таре</w:t>
            </w:r>
          </w:p>
        </w:tc>
      </w:tr>
      <w:tr w:rsidR="00151801" w:rsidRPr="00C5025E" w:rsidTr="00697D94">
        <w:trPr>
          <w:cantSplit/>
          <w:tblHeader/>
          <w:jc w:val="center"/>
        </w:trPr>
        <w:tc>
          <w:tcPr>
            <w:tcW w:w="1353" w:type="dxa"/>
          </w:tcPr>
          <w:p w:rsidR="00151801" w:rsidRPr="00C5470C" w:rsidRDefault="00151801" w:rsidP="00697D94">
            <w:pPr>
              <w:pStyle w:val="a4"/>
              <w:spacing w:after="0" w:afterAutospacing="0"/>
              <w:rPr>
                <w:szCs w:val="24"/>
              </w:rPr>
            </w:pPr>
            <w:r w:rsidRPr="00C5470C">
              <w:rPr>
                <w:szCs w:val="24"/>
              </w:rPr>
              <w:t>2523</w:t>
            </w:r>
          </w:p>
        </w:tc>
        <w:tc>
          <w:tcPr>
            <w:tcW w:w="3178" w:type="dxa"/>
          </w:tcPr>
          <w:p w:rsidR="00151801" w:rsidRPr="00C5470C" w:rsidRDefault="00151801" w:rsidP="00697D94">
            <w:pPr>
              <w:pStyle w:val="a4"/>
              <w:spacing w:after="0" w:afterAutospacing="0"/>
              <w:rPr>
                <w:szCs w:val="24"/>
              </w:rPr>
            </w:pPr>
            <w:r w:rsidRPr="00C5470C">
              <w:rPr>
                <w:color w:val="000000"/>
                <w:szCs w:val="24"/>
              </w:rPr>
              <w:t xml:space="preserve">Портландцемент, цемент глиноземистый, цемент шлаковый, цемент </w:t>
            </w:r>
            <w:proofErr w:type="spellStart"/>
            <w:r w:rsidRPr="00C5470C">
              <w:rPr>
                <w:color w:val="000000"/>
                <w:szCs w:val="24"/>
              </w:rPr>
              <w:t>суперсульфатный</w:t>
            </w:r>
            <w:proofErr w:type="spellEnd"/>
            <w:r w:rsidRPr="00C5470C">
              <w:rPr>
                <w:color w:val="000000"/>
                <w:szCs w:val="24"/>
              </w:rPr>
              <w:t xml:space="preserve"> и аналогичные гидравлические цементы, неокрашенные или окрашенные, готовые или в форме клинкеров:</w:t>
            </w:r>
          </w:p>
        </w:tc>
        <w:tc>
          <w:tcPr>
            <w:tcW w:w="1313" w:type="dxa"/>
          </w:tcPr>
          <w:p w:rsidR="00151801" w:rsidRPr="00C5025E" w:rsidRDefault="00151801" w:rsidP="00697D94">
            <w:pPr>
              <w:rPr>
                <w:rFonts w:ascii="Times New Roman" w:hAnsi="Times New Roman"/>
                <w:sz w:val="24"/>
                <w:szCs w:val="24"/>
              </w:rPr>
            </w:pPr>
          </w:p>
        </w:tc>
        <w:tc>
          <w:tcPr>
            <w:tcW w:w="935" w:type="dxa"/>
          </w:tcPr>
          <w:p w:rsidR="00151801" w:rsidRPr="00C5025E" w:rsidRDefault="00151801" w:rsidP="00697D94">
            <w:pPr>
              <w:rPr>
                <w:rFonts w:ascii="Times New Roman" w:hAnsi="Times New Roman"/>
                <w:sz w:val="24"/>
                <w:szCs w:val="24"/>
              </w:rPr>
            </w:pPr>
          </w:p>
        </w:tc>
        <w:tc>
          <w:tcPr>
            <w:tcW w:w="936"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2523 29 000*</w:t>
            </w:r>
          </w:p>
        </w:tc>
        <w:tc>
          <w:tcPr>
            <w:tcW w:w="3178" w:type="dxa"/>
            <w:vAlign w:val="center"/>
          </w:tcPr>
          <w:p w:rsidR="00151801" w:rsidRPr="00C5470C" w:rsidRDefault="00151801" w:rsidP="00697D94">
            <w:pPr>
              <w:ind w:firstLineChars="300" w:firstLine="720"/>
              <w:rPr>
                <w:rFonts w:ascii="Times New Roman" w:hAnsi="Times New Roman"/>
                <w:color w:val="000000"/>
                <w:sz w:val="24"/>
                <w:szCs w:val="24"/>
              </w:rPr>
            </w:pPr>
            <w:r w:rsidRPr="00C5470C">
              <w:rPr>
                <w:rFonts w:ascii="Times New Roman" w:hAnsi="Times New Roman"/>
                <w:color w:val="000000"/>
                <w:sz w:val="24"/>
                <w:szCs w:val="24"/>
              </w:rPr>
              <w:t>– – прочий</w:t>
            </w:r>
          </w:p>
        </w:tc>
        <w:tc>
          <w:tcPr>
            <w:tcW w:w="1313" w:type="dxa"/>
          </w:tcPr>
          <w:p w:rsidR="00151801" w:rsidRPr="00C5025E" w:rsidRDefault="00151801" w:rsidP="00697D94">
            <w:pPr>
              <w:jc w:val="center"/>
              <w:rPr>
                <w:rFonts w:ascii="Times New Roman" w:hAnsi="Times New Roman"/>
                <w:sz w:val="24"/>
                <w:szCs w:val="24"/>
              </w:rPr>
            </w:pPr>
          </w:p>
        </w:tc>
        <w:tc>
          <w:tcPr>
            <w:tcW w:w="935" w:type="dxa"/>
          </w:tcPr>
          <w:p w:rsidR="00151801" w:rsidRPr="00C5025E" w:rsidRDefault="00151801" w:rsidP="00697D94">
            <w:pPr>
              <w:rPr>
                <w:rFonts w:ascii="Times New Roman" w:hAnsi="Times New Roman"/>
                <w:sz w:val="24"/>
                <w:szCs w:val="24"/>
              </w:rPr>
            </w:pPr>
          </w:p>
        </w:tc>
        <w:tc>
          <w:tcPr>
            <w:tcW w:w="936"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*000</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портландцемент марка: 400</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935" w:type="dxa"/>
          </w:tcPr>
          <w:p w:rsidR="00151801" w:rsidRPr="00C5025E" w:rsidRDefault="00151801" w:rsidP="00697D94">
            <w:pPr>
              <w:rPr>
                <w:rFonts w:ascii="Times New Roman" w:hAnsi="Times New Roman"/>
                <w:sz w:val="24"/>
                <w:szCs w:val="24"/>
              </w:rPr>
            </w:pPr>
          </w:p>
        </w:tc>
        <w:tc>
          <w:tcPr>
            <w:tcW w:w="936"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*001</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портландцемент марка: 500</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935" w:type="dxa"/>
          </w:tcPr>
          <w:p w:rsidR="00151801" w:rsidRPr="00C5025E" w:rsidRDefault="00151801" w:rsidP="00697D94">
            <w:pPr>
              <w:rPr>
                <w:rFonts w:ascii="Times New Roman" w:hAnsi="Times New Roman"/>
                <w:sz w:val="24"/>
                <w:szCs w:val="24"/>
              </w:rPr>
            </w:pPr>
          </w:p>
        </w:tc>
        <w:tc>
          <w:tcPr>
            <w:tcW w:w="936"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*002</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прочий</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935" w:type="dxa"/>
          </w:tcPr>
          <w:p w:rsidR="00151801" w:rsidRPr="00C5025E" w:rsidRDefault="00151801" w:rsidP="00697D94">
            <w:pPr>
              <w:rPr>
                <w:rFonts w:ascii="Times New Roman" w:hAnsi="Times New Roman"/>
                <w:sz w:val="24"/>
                <w:szCs w:val="24"/>
              </w:rPr>
            </w:pPr>
          </w:p>
        </w:tc>
        <w:tc>
          <w:tcPr>
            <w:tcW w:w="936"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bl>
    <w:p w:rsidR="00151801" w:rsidRPr="00C5470C" w:rsidRDefault="00151801" w:rsidP="00151801">
      <w:pPr>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sz w:val="24"/>
          <w:szCs w:val="24"/>
        </w:rPr>
      </w:pPr>
    </w:p>
    <w:p w:rsidR="00151801" w:rsidRDefault="00151801" w:rsidP="00151801">
      <w:pPr>
        <w:autoSpaceDE w:val="0"/>
        <w:autoSpaceDN w:val="0"/>
        <w:adjustRightInd w:val="0"/>
        <w:spacing w:after="0" w:line="240" w:lineRule="auto"/>
        <w:rPr>
          <w:rFonts w:ascii="Times New Roman" w:hAnsi="Times New Roman"/>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spacing w:after="0" w:line="240" w:lineRule="auto"/>
        <w:ind w:firstLine="709"/>
        <w:jc w:val="right"/>
        <w:rPr>
          <w:rFonts w:ascii="Times New Roman" w:hAnsi="Times New Roman"/>
          <w:sz w:val="24"/>
          <w:szCs w:val="24"/>
        </w:rPr>
      </w:pPr>
    </w:p>
    <w:p w:rsidR="00151801" w:rsidRDefault="00151801" w:rsidP="00151801">
      <w:pPr>
        <w:spacing w:after="0" w:line="240" w:lineRule="auto"/>
        <w:ind w:firstLine="709"/>
        <w:jc w:val="right"/>
        <w:rPr>
          <w:rFonts w:ascii="Times New Roman" w:hAnsi="Times New Roman"/>
          <w:sz w:val="24"/>
          <w:szCs w:val="24"/>
        </w:rPr>
      </w:pPr>
    </w:p>
    <w:p w:rsidR="00151801" w:rsidRDefault="00151801" w:rsidP="00151801">
      <w:pPr>
        <w:spacing w:after="0" w:line="240" w:lineRule="auto"/>
        <w:ind w:firstLine="709"/>
        <w:jc w:val="right"/>
        <w:rPr>
          <w:rFonts w:ascii="Times New Roman" w:hAnsi="Times New Roman"/>
          <w:sz w:val="24"/>
          <w:szCs w:val="24"/>
        </w:rPr>
      </w:pPr>
    </w:p>
    <w:p w:rsidR="00151801" w:rsidRDefault="00151801" w:rsidP="00151801">
      <w:pPr>
        <w:spacing w:after="0" w:line="240" w:lineRule="auto"/>
        <w:ind w:firstLine="709"/>
        <w:jc w:val="right"/>
        <w:rPr>
          <w:rFonts w:ascii="Times New Roman" w:hAnsi="Times New Roman"/>
          <w:sz w:val="24"/>
          <w:szCs w:val="24"/>
        </w:rPr>
      </w:pPr>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 xml:space="preserve">Приложение </w:t>
      </w:r>
      <w:r>
        <w:rPr>
          <w:rFonts w:ascii="Times New Roman" w:hAnsi="Times New Roman"/>
          <w:sz w:val="24"/>
          <w:szCs w:val="24"/>
        </w:rPr>
        <w:t xml:space="preserve">№ 2 </w:t>
      </w:r>
      <w:r w:rsidRPr="00C5470C">
        <w:rPr>
          <w:rFonts w:ascii="Times New Roman" w:hAnsi="Times New Roman"/>
          <w:sz w:val="24"/>
          <w:szCs w:val="24"/>
        </w:rPr>
        <w:t xml:space="preserve">к </w:t>
      </w:r>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 xml:space="preserve">Положению о порядке </w:t>
      </w:r>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 xml:space="preserve">формирования и представления  </w:t>
      </w:r>
      <w:proofErr w:type="gramStart"/>
      <w:r w:rsidRPr="00C5470C">
        <w:rPr>
          <w:rFonts w:ascii="Times New Roman" w:hAnsi="Times New Roman"/>
          <w:sz w:val="24"/>
          <w:szCs w:val="24"/>
        </w:rPr>
        <w:t>индикативных</w:t>
      </w:r>
      <w:proofErr w:type="gramEnd"/>
    </w:p>
    <w:p w:rsidR="00151801" w:rsidRPr="00C5470C" w:rsidRDefault="00151801" w:rsidP="00151801">
      <w:pPr>
        <w:spacing w:after="0" w:line="240" w:lineRule="auto"/>
        <w:ind w:firstLine="709"/>
        <w:jc w:val="right"/>
        <w:rPr>
          <w:rFonts w:ascii="Times New Roman" w:hAnsi="Times New Roman"/>
          <w:sz w:val="24"/>
          <w:szCs w:val="24"/>
        </w:rPr>
      </w:pPr>
      <w:r w:rsidRPr="00C5470C">
        <w:rPr>
          <w:rFonts w:ascii="Times New Roman" w:hAnsi="Times New Roman"/>
          <w:sz w:val="24"/>
          <w:szCs w:val="24"/>
        </w:rPr>
        <w:t>цен на портландцемент</w:t>
      </w:r>
    </w:p>
    <w:p w:rsidR="00151801" w:rsidRPr="00C5470C" w:rsidRDefault="00151801" w:rsidP="00151801">
      <w:pPr>
        <w:spacing w:after="0" w:line="240" w:lineRule="auto"/>
        <w:ind w:firstLine="709"/>
        <w:jc w:val="right"/>
        <w:rPr>
          <w:rFonts w:ascii="Times New Roman" w:hAnsi="Times New Roman"/>
          <w:sz w:val="24"/>
          <w:szCs w:val="24"/>
        </w:rPr>
      </w:pPr>
    </w:p>
    <w:p w:rsidR="00151801" w:rsidRDefault="00151801" w:rsidP="00151801">
      <w:pPr>
        <w:spacing w:after="0" w:line="240" w:lineRule="auto"/>
        <w:ind w:firstLine="709"/>
        <w:jc w:val="center"/>
        <w:rPr>
          <w:rFonts w:ascii="Times New Roman" w:hAnsi="Times New Roman"/>
          <w:sz w:val="24"/>
          <w:szCs w:val="24"/>
        </w:rPr>
      </w:pPr>
      <w:r w:rsidRPr="00B95B8E">
        <w:rPr>
          <w:rFonts w:ascii="Times New Roman" w:hAnsi="Times New Roman"/>
          <w:sz w:val="24"/>
          <w:szCs w:val="24"/>
        </w:rPr>
        <w:t xml:space="preserve">Индикативная цена на товары, применяемая в целях таможенного оформленияэкспорта в Румынию </w:t>
      </w:r>
      <w:r>
        <w:rPr>
          <w:rFonts w:ascii="Times New Roman" w:hAnsi="Times New Roman"/>
          <w:sz w:val="24"/>
          <w:szCs w:val="24"/>
        </w:rPr>
        <w:t>на период</w:t>
      </w:r>
    </w:p>
    <w:p w:rsidR="00151801" w:rsidRPr="00B95B8E" w:rsidRDefault="00151801" w:rsidP="00151801">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 </w:t>
      </w:r>
      <w:r w:rsidRPr="00B95B8E">
        <w:rPr>
          <w:rFonts w:ascii="Times New Roman" w:hAnsi="Times New Roman"/>
          <w:sz w:val="24"/>
          <w:szCs w:val="24"/>
        </w:rPr>
        <w:t>____</w:t>
      </w:r>
      <w:r>
        <w:rPr>
          <w:rFonts w:ascii="Times New Roman" w:hAnsi="Times New Roman"/>
          <w:sz w:val="24"/>
          <w:szCs w:val="24"/>
        </w:rPr>
        <w:t>_</w:t>
      </w:r>
      <w:r w:rsidRPr="00B95B8E">
        <w:rPr>
          <w:rFonts w:ascii="Times New Roman" w:hAnsi="Times New Roman"/>
          <w:sz w:val="24"/>
          <w:szCs w:val="24"/>
        </w:rPr>
        <w:t>___ 20__ г. по _________ 20___ г.</w:t>
      </w:r>
    </w:p>
    <w:p w:rsidR="00151801" w:rsidRPr="00C5470C" w:rsidRDefault="00151801" w:rsidP="00151801">
      <w:pPr>
        <w:spacing w:after="0" w:line="240" w:lineRule="auto"/>
        <w:rPr>
          <w:rFonts w:ascii="Times New Roman" w:hAnsi="Times New Roman"/>
          <w:color w:val="000000"/>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1353"/>
        <w:gridCol w:w="3178"/>
        <w:gridCol w:w="1313"/>
        <w:gridCol w:w="836"/>
        <w:gridCol w:w="1035"/>
        <w:gridCol w:w="979"/>
        <w:gridCol w:w="979"/>
      </w:tblGrid>
      <w:tr w:rsidR="00151801" w:rsidRPr="00C5025E" w:rsidTr="00697D94">
        <w:trPr>
          <w:cantSplit/>
          <w:tblHeader/>
          <w:jc w:val="center"/>
        </w:trPr>
        <w:tc>
          <w:tcPr>
            <w:tcW w:w="1353" w:type="dxa"/>
            <w:vMerge w:val="restart"/>
          </w:tcPr>
          <w:p w:rsidR="00151801" w:rsidRPr="00C5470C" w:rsidRDefault="00151801" w:rsidP="00697D94">
            <w:pPr>
              <w:pStyle w:val="a4"/>
              <w:spacing w:after="0" w:afterAutospacing="0"/>
              <w:jc w:val="center"/>
              <w:rPr>
                <w:szCs w:val="24"/>
              </w:rPr>
            </w:pPr>
            <w:r w:rsidRPr="00C5470C">
              <w:rPr>
                <w:szCs w:val="24"/>
              </w:rPr>
              <w:t>Код</w:t>
            </w:r>
          </w:p>
          <w:p w:rsidR="00151801" w:rsidRPr="00C5470C" w:rsidRDefault="00151801" w:rsidP="00697D94">
            <w:pPr>
              <w:pStyle w:val="a4"/>
              <w:spacing w:after="0" w:afterAutospacing="0"/>
              <w:jc w:val="center"/>
              <w:rPr>
                <w:szCs w:val="24"/>
              </w:rPr>
            </w:pPr>
            <w:r w:rsidRPr="00C5470C">
              <w:rPr>
                <w:szCs w:val="24"/>
              </w:rPr>
              <w:t>ТН ВЭД</w:t>
            </w:r>
          </w:p>
        </w:tc>
        <w:tc>
          <w:tcPr>
            <w:tcW w:w="3178" w:type="dxa"/>
            <w:vMerge w:val="restart"/>
          </w:tcPr>
          <w:p w:rsidR="00151801" w:rsidRPr="00C5470C" w:rsidRDefault="00151801" w:rsidP="00697D94">
            <w:pPr>
              <w:pStyle w:val="a4"/>
              <w:spacing w:after="0" w:afterAutospacing="0"/>
              <w:jc w:val="center"/>
              <w:rPr>
                <w:szCs w:val="24"/>
              </w:rPr>
            </w:pPr>
            <w:r w:rsidRPr="00C5470C">
              <w:rPr>
                <w:szCs w:val="24"/>
              </w:rPr>
              <w:t>Наименование</w:t>
            </w:r>
          </w:p>
          <w:p w:rsidR="00151801" w:rsidRPr="00C5470C" w:rsidRDefault="00151801" w:rsidP="00697D94">
            <w:pPr>
              <w:pStyle w:val="a4"/>
              <w:spacing w:after="0" w:afterAutospacing="0"/>
              <w:jc w:val="center"/>
              <w:rPr>
                <w:szCs w:val="24"/>
              </w:rPr>
            </w:pPr>
            <w:r w:rsidRPr="00C5470C">
              <w:rPr>
                <w:szCs w:val="24"/>
              </w:rPr>
              <w:t>позиции</w:t>
            </w:r>
          </w:p>
        </w:tc>
        <w:tc>
          <w:tcPr>
            <w:tcW w:w="1313" w:type="dxa"/>
            <w:vMerge w:val="restart"/>
          </w:tcPr>
          <w:p w:rsidR="00151801" w:rsidRPr="00C5470C" w:rsidRDefault="00151801" w:rsidP="00697D94">
            <w:pPr>
              <w:pStyle w:val="a4"/>
              <w:spacing w:after="0" w:afterAutospacing="0"/>
              <w:jc w:val="center"/>
              <w:rPr>
                <w:szCs w:val="24"/>
              </w:rPr>
            </w:pPr>
            <w:r w:rsidRPr="00C5470C">
              <w:rPr>
                <w:szCs w:val="24"/>
              </w:rPr>
              <w:t>Ед</w:t>
            </w:r>
            <w:r>
              <w:rPr>
                <w:szCs w:val="24"/>
              </w:rPr>
              <w:t>иница</w:t>
            </w:r>
            <w:r w:rsidRPr="00C5470C">
              <w:rPr>
                <w:szCs w:val="24"/>
              </w:rPr>
              <w:t xml:space="preserve"> измерения</w:t>
            </w:r>
          </w:p>
        </w:tc>
        <w:tc>
          <w:tcPr>
            <w:tcW w:w="1871" w:type="dxa"/>
            <w:gridSpan w:val="2"/>
          </w:tcPr>
          <w:p w:rsidR="00151801" w:rsidRPr="00C5470C" w:rsidRDefault="00151801" w:rsidP="00697D94">
            <w:pPr>
              <w:pStyle w:val="a4"/>
              <w:spacing w:after="0" w:afterAutospacing="0"/>
              <w:jc w:val="center"/>
              <w:rPr>
                <w:szCs w:val="24"/>
              </w:rPr>
            </w:pPr>
            <w:r w:rsidRPr="00C5470C">
              <w:rPr>
                <w:szCs w:val="24"/>
              </w:rPr>
              <w:t xml:space="preserve">Индикативная цена (CPT </w:t>
            </w:r>
            <w:r>
              <w:rPr>
                <w:szCs w:val="24"/>
              </w:rPr>
              <w:t xml:space="preserve">(город Яссы) </w:t>
            </w:r>
            <w:r w:rsidRPr="00C5470C">
              <w:rPr>
                <w:szCs w:val="24"/>
              </w:rPr>
              <w:t>и иных условий поставки, кроме FCA)</w:t>
            </w:r>
            <w:r>
              <w:rPr>
                <w:szCs w:val="24"/>
              </w:rPr>
              <w:t>,</w:t>
            </w:r>
            <w:r w:rsidRPr="00C5470C">
              <w:rPr>
                <w:szCs w:val="24"/>
              </w:rPr>
              <w:t xml:space="preserve"> долл</w:t>
            </w:r>
            <w:r>
              <w:rPr>
                <w:szCs w:val="24"/>
              </w:rPr>
              <w:t>аров</w:t>
            </w:r>
            <w:r w:rsidRPr="00C5470C">
              <w:rPr>
                <w:szCs w:val="24"/>
              </w:rPr>
              <w:t xml:space="preserve"> США</w:t>
            </w:r>
          </w:p>
        </w:tc>
        <w:tc>
          <w:tcPr>
            <w:tcW w:w="1958" w:type="dxa"/>
            <w:gridSpan w:val="2"/>
          </w:tcPr>
          <w:p w:rsidR="00151801" w:rsidRPr="00C5470C" w:rsidRDefault="00151801" w:rsidP="00697D94">
            <w:pPr>
              <w:pStyle w:val="a4"/>
              <w:spacing w:after="0" w:afterAutospacing="0"/>
              <w:jc w:val="center"/>
              <w:rPr>
                <w:szCs w:val="24"/>
              </w:rPr>
            </w:pPr>
            <w:r w:rsidRPr="00C5470C">
              <w:rPr>
                <w:szCs w:val="24"/>
              </w:rPr>
              <w:t>Индикативная цена (FCA)</w:t>
            </w:r>
            <w:r>
              <w:rPr>
                <w:szCs w:val="24"/>
              </w:rPr>
              <w:t>,</w:t>
            </w:r>
            <w:r w:rsidRPr="00C5470C">
              <w:rPr>
                <w:szCs w:val="24"/>
              </w:rPr>
              <w:t xml:space="preserve"> долл</w:t>
            </w:r>
            <w:r>
              <w:rPr>
                <w:szCs w:val="24"/>
              </w:rPr>
              <w:t>аров</w:t>
            </w:r>
            <w:r w:rsidRPr="00C5470C">
              <w:rPr>
                <w:szCs w:val="24"/>
              </w:rPr>
              <w:t xml:space="preserve"> США</w:t>
            </w:r>
          </w:p>
        </w:tc>
      </w:tr>
      <w:tr w:rsidR="00151801" w:rsidRPr="00C5025E" w:rsidTr="00697D94">
        <w:trPr>
          <w:cantSplit/>
          <w:tblHeader/>
          <w:jc w:val="center"/>
        </w:trPr>
        <w:tc>
          <w:tcPr>
            <w:tcW w:w="1353" w:type="dxa"/>
            <w:vMerge/>
          </w:tcPr>
          <w:p w:rsidR="00151801" w:rsidRPr="00C5470C" w:rsidRDefault="00151801" w:rsidP="00697D94">
            <w:pPr>
              <w:pStyle w:val="a4"/>
              <w:spacing w:after="0" w:afterAutospacing="0"/>
              <w:rPr>
                <w:szCs w:val="24"/>
              </w:rPr>
            </w:pPr>
          </w:p>
        </w:tc>
        <w:tc>
          <w:tcPr>
            <w:tcW w:w="3178" w:type="dxa"/>
            <w:vMerge/>
          </w:tcPr>
          <w:p w:rsidR="00151801" w:rsidRPr="00C5470C" w:rsidRDefault="00151801" w:rsidP="00697D94">
            <w:pPr>
              <w:pStyle w:val="a4"/>
              <w:spacing w:after="0" w:afterAutospacing="0"/>
              <w:rPr>
                <w:szCs w:val="24"/>
              </w:rPr>
            </w:pPr>
          </w:p>
        </w:tc>
        <w:tc>
          <w:tcPr>
            <w:tcW w:w="1313" w:type="dxa"/>
            <w:vMerge/>
          </w:tcPr>
          <w:p w:rsidR="00151801" w:rsidRPr="00C5025E" w:rsidRDefault="00151801" w:rsidP="00697D94">
            <w:pPr>
              <w:rPr>
                <w:rFonts w:ascii="Times New Roman" w:hAnsi="Times New Roman"/>
                <w:sz w:val="24"/>
                <w:szCs w:val="24"/>
              </w:rPr>
            </w:pPr>
          </w:p>
        </w:tc>
        <w:tc>
          <w:tcPr>
            <w:tcW w:w="836"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Навалом </w:t>
            </w:r>
          </w:p>
        </w:tc>
        <w:tc>
          <w:tcPr>
            <w:tcW w:w="1035"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В таре </w:t>
            </w:r>
          </w:p>
        </w:tc>
        <w:tc>
          <w:tcPr>
            <w:tcW w:w="979" w:type="dxa"/>
          </w:tcPr>
          <w:p w:rsidR="00151801" w:rsidRPr="00C5025E" w:rsidRDefault="00151801" w:rsidP="00697D94">
            <w:pPr>
              <w:rPr>
                <w:rFonts w:ascii="Times New Roman" w:hAnsi="Times New Roman"/>
                <w:sz w:val="24"/>
                <w:szCs w:val="24"/>
              </w:rPr>
            </w:pPr>
            <w:r>
              <w:rPr>
                <w:rFonts w:ascii="Times New Roman" w:hAnsi="Times New Roman"/>
                <w:sz w:val="24"/>
                <w:szCs w:val="24"/>
              </w:rPr>
              <w:t xml:space="preserve">Навалом </w:t>
            </w:r>
          </w:p>
        </w:tc>
        <w:tc>
          <w:tcPr>
            <w:tcW w:w="979" w:type="dxa"/>
          </w:tcPr>
          <w:p w:rsidR="00151801" w:rsidRPr="00C5025E" w:rsidRDefault="00151801" w:rsidP="00697D94">
            <w:pPr>
              <w:rPr>
                <w:rFonts w:ascii="Times New Roman" w:hAnsi="Times New Roman"/>
                <w:sz w:val="24"/>
                <w:szCs w:val="24"/>
              </w:rPr>
            </w:pPr>
            <w:r>
              <w:rPr>
                <w:rFonts w:ascii="Times New Roman" w:hAnsi="Times New Roman"/>
                <w:sz w:val="24"/>
                <w:szCs w:val="24"/>
              </w:rPr>
              <w:t>В таре</w:t>
            </w:r>
          </w:p>
        </w:tc>
      </w:tr>
      <w:tr w:rsidR="00151801" w:rsidRPr="00C5025E" w:rsidTr="00697D94">
        <w:trPr>
          <w:cantSplit/>
          <w:tblHeader/>
          <w:jc w:val="center"/>
        </w:trPr>
        <w:tc>
          <w:tcPr>
            <w:tcW w:w="1353" w:type="dxa"/>
          </w:tcPr>
          <w:p w:rsidR="00151801" w:rsidRPr="00C5470C" w:rsidRDefault="00151801" w:rsidP="00697D94">
            <w:pPr>
              <w:pStyle w:val="a4"/>
              <w:spacing w:after="0" w:afterAutospacing="0"/>
              <w:rPr>
                <w:szCs w:val="24"/>
              </w:rPr>
            </w:pPr>
            <w:r w:rsidRPr="00C5470C">
              <w:rPr>
                <w:szCs w:val="24"/>
              </w:rPr>
              <w:t>2523</w:t>
            </w:r>
          </w:p>
        </w:tc>
        <w:tc>
          <w:tcPr>
            <w:tcW w:w="3178" w:type="dxa"/>
          </w:tcPr>
          <w:p w:rsidR="00151801" w:rsidRPr="00C5470C" w:rsidRDefault="00151801" w:rsidP="00697D94">
            <w:pPr>
              <w:pStyle w:val="a4"/>
              <w:spacing w:after="0" w:afterAutospacing="0"/>
              <w:rPr>
                <w:szCs w:val="24"/>
              </w:rPr>
            </w:pPr>
            <w:r w:rsidRPr="00C5470C">
              <w:rPr>
                <w:color w:val="000000"/>
                <w:szCs w:val="24"/>
              </w:rPr>
              <w:t xml:space="preserve">Портландцемент, цемент глиноземистый, цемент шлаковый, цемент </w:t>
            </w:r>
            <w:proofErr w:type="spellStart"/>
            <w:r w:rsidRPr="00C5470C">
              <w:rPr>
                <w:color w:val="000000"/>
                <w:szCs w:val="24"/>
              </w:rPr>
              <w:t>суперсульфатный</w:t>
            </w:r>
            <w:proofErr w:type="spellEnd"/>
            <w:r w:rsidRPr="00C5470C">
              <w:rPr>
                <w:color w:val="000000"/>
                <w:szCs w:val="24"/>
              </w:rPr>
              <w:t xml:space="preserve"> и аналогичные гидравлические цементы, неокрашенные или окрашенные, готовые или в форме клинкеров:</w:t>
            </w:r>
          </w:p>
        </w:tc>
        <w:tc>
          <w:tcPr>
            <w:tcW w:w="1313" w:type="dxa"/>
          </w:tcPr>
          <w:p w:rsidR="00151801" w:rsidRPr="00C5025E" w:rsidRDefault="00151801" w:rsidP="00697D94">
            <w:pPr>
              <w:rPr>
                <w:rFonts w:ascii="Times New Roman" w:hAnsi="Times New Roman"/>
                <w:sz w:val="24"/>
                <w:szCs w:val="24"/>
              </w:rPr>
            </w:pPr>
          </w:p>
        </w:tc>
        <w:tc>
          <w:tcPr>
            <w:tcW w:w="836" w:type="dxa"/>
          </w:tcPr>
          <w:p w:rsidR="00151801" w:rsidRPr="00C5025E" w:rsidRDefault="00151801" w:rsidP="00697D94">
            <w:pPr>
              <w:rPr>
                <w:rFonts w:ascii="Times New Roman" w:hAnsi="Times New Roman"/>
                <w:sz w:val="24"/>
                <w:szCs w:val="24"/>
              </w:rPr>
            </w:pPr>
          </w:p>
        </w:tc>
        <w:tc>
          <w:tcPr>
            <w:tcW w:w="1035"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2523 29 000*</w:t>
            </w:r>
          </w:p>
        </w:tc>
        <w:tc>
          <w:tcPr>
            <w:tcW w:w="3178" w:type="dxa"/>
            <w:vAlign w:val="center"/>
          </w:tcPr>
          <w:p w:rsidR="00151801" w:rsidRPr="00C5470C" w:rsidRDefault="00151801" w:rsidP="00697D94">
            <w:pPr>
              <w:ind w:firstLineChars="300" w:firstLine="720"/>
              <w:rPr>
                <w:rFonts w:ascii="Times New Roman" w:hAnsi="Times New Roman"/>
                <w:color w:val="000000"/>
                <w:sz w:val="24"/>
                <w:szCs w:val="24"/>
              </w:rPr>
            </w:pPr>
            <w:r w:rsidRPr="00C5470C">
              <w:rPr>
                <w:rFonts w:ascii="Times New Roman" w:hAnsi="Times New Roman"/>
                <w:color w:val="000000"/>
                <w:sz w:val="24"/>
                <w:szCs w:val="24"/>
              </w:rPr>
              <w:t>– – прочий</w:t>
            </w:r>
          </w:p>
        </w:tc>
        <w:tc>
          <w:tcPr>
            <w:tcW w:w="1313" w:type="dxa"/>
          </w:tcPr>
          <w:p w:rsidR="00151801" w:rsidRPr="00C5025E" w:rsidRDefault="00151801" w:rsidP="00697D94">
            <w:pPr>
              <w:jc w:val="center"/>
              <w:rPr>
                <w:rFonts w:ascii="Times New Roman" w:hAnsi="Times New Roman"/>
                <w:sz w:val="24"/>
                <w:szCs w:val="24"/>
              </w:rPr>
            </w:pPr>
          </w:p>
        </w:tc>
        <w:tc>
          <w:tcPr>
            <w:tcW w:w="836" w:type="dxa"/>
          </w:tcPr>
          <w:p w:rsidR="00151801" w:rsidRPr="00C5025E" w:rsidRDefault="00151801" w:rsidP="00697D94">
            <w:pPr>
              <w:rPr>
                <w:rFonts w:ascii="Times New Roman" w:hAnsi="Times New Roman"/>
                <w:sz w:val="24"/>
                <w:szCs w:val="24"/>
              </w:rPr>
            </w:pPr>
          </w:p>
        </w:tc>
        <w:tc>
          <w:tcPr>
            <w:tcW w:w="1035"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*000</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портландцемент марка: 400</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836" w:type="dxa"/>
          </w:tcPr>
          <w:p w:rsidR="00151801" w:rsidRPr="00C5025E" w:rsidRDefault="00151801" w:rsidP="00697D94">
            <w:pPr>
              <w:rPr>
                <w:rFonts w:ascii="Times New Roman" w:hAnsi="Times New Roman"/>
                <w:sz w:val="24"/>
                <w:szCs w:val="24"/>
              </w:rPr>
            </w:pPr>
          </w:p>
        </w:tc>
        <w:tc>
          <w:tcPr>
            <w:tcW w:w="1035"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*001</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портландцемент марка: 500</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836" w:type="dxa"/>
          </w:tcPr>
          <w:p w:rsidR="00151801" w:rsidRPr="00C5025E" w:rsidRDefault="00151801" w:rsidP="00697D94">
            <w:pPr>
              <w:rPr>
                <w:rFonts w:ascii="Times New Roman" w:hAnsi="Times New Roman"/>
                <w:sz w:val="24"/>
                <w:szCs w:val="24"/>
              </w:rPr>
            </w:pPr>
          </w:p>
        </w:tc>
        <w:tc>
          <w:tcPr>
            <w:tcW w:w="1035"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r w:rsidR="00151801" w:rsidRPr="00C5025E" w:rsidTr="00697D94">
        <w:trPr>
          <w:cantSplit/>
          <w:tblHeader/>
          <w:jc w:val="center"/>
        </w:trPr>
        <w:tc>
          <w:tcPr>
            <w:tcW w:w="1353"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*002</w:t>
            </w:r>
          </w:p>
        </w:tc>
        <w:tc>
          <w:tcPr>
            <w:tcW w:w="3178" w:type="dxa"/>
            <w:vAlign w:val="center"/>
          </w:tcPr>
          <w:p w:rsidR="00151801" w:rsidRPr="00C5470C" w:rsidRDefault="00151801" w:rsidP="00697D94">
            <w:pPr>
              <w:rPr>
                <w:rFonts w:ascii="Times New Roman" w:hAnsi="Times New Roman"/>
                <w:color w:val="000000"/>
                <w:sz w:val="24"/>
                <w:szCs w:val="24"/>
              </w:rPr>
            </w:pPr>
            <w:r w:rsidRPr="00C5470C">
              <w:rPr>
                <w:rFonts w:ascii="Times New Roman" w:hAnsi="Times New Roman"/>
                <w:color w:val="000000"/>
                <w:sz w:val="24"/>
                <w:szCs w:val="24"/>
              </w:rPr>
              <w:t>прочий</w:t>
            </w:r>
          </w:p>
        </w:tc>
        <w:tc>
          <w:tcPr>
            <w:tcW w:w="1313" w:type="dxa"/>
          </w:tcPr>
          <w:p w:rsidR="00151801" w:rsidRPr="00C5025E" w:rsidRDefault="00151801" w:rsidP="00697D94">
            <w:pPr>
              <w:jc w:val="center"/>
              <w:rPr>
                <w:rFonts w:ascii="Times New Roman" w:hAnsi="Times New Roman"/>
                <w:sz w:val="24"/>
                <w:szCs w:val="24"/>
              </w:rPr>
            </w:pPr>
            <w:r w:rsidRPr="00C5025E">
              <w:rPr>
                <w:rFonts w:ascii="Times New Roman" w:hAnsi="Times New Roman"/>
                <w:sz w:val="24"/>
                <w:szCs w:val="24"/>
              </w:rPr>
              <w:t>т</w:t>
            </w:r>
          </w:p>
        </w:tc>
        <w:tc>
          <w:tcPr>
            <w:tcW w:w="836" w:type="dxa"/>
          </w:tcPr>
          <w:p w:rsidR="00151801" w:rsidRPr="00C5025E" w:rsidRDefault="00151801" w:rsidP="00697D94">
            <w:pPr>
              <w:rPr>
                <w:rFonts w:ascii="Times New Roman" w:hAnsi="Times New Roman"/>
                <w:sz w:val="24"/>
                <w:szCs w:val="24"/>
              </w:rPr>
            </w:pPr>
          </w:p>
        </w:tc>
        <w:tc>
          <w:tcPr>
            <w:tcW w:w="1035"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c>
          <w:tcPr>
            <w:tcW w:w="979" w:type="dxa"/>
          </w:tcPr>
          <w:p w:rsidR="00151801" w:rsidRPr="00C5025E" w:rsidRDefault="00151801" w:rsidP="00697D94">
            <w:pPr>
              <w:rPr>
                <w:rFonts w:ascii="Times New Roman" w:hAnsi="Times New Roman"/>
                <w:sz w:val="24"/>
                <w:szCs w:val="24"/>
              </w:rPr>
            </w:pPr>
          </w:p>
        </w:tc>
      </w:tr>
    </w:tbl>
    <w:p w:rsidR="00151801" w:rsidRPr="00C5470C" w:rsidRDefault="00151801" w:rsidP="00151801">
      <w:pPr>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sz w:val="24"/>
          <w:szCs w:val="24"/>
        </w:rPr>
      </w:pPr>
    </w:p>
    <w:p w:rsidR="00151801" w:rsidRDefault="00151801" w:rsidP="00151801">
      <w:pPr>
        <w:autoSpaceDE w:val="0"/>
        <w:autoSpaceDN w:val="0"/>
        <w:adjustRightInd w:val="0"/>
        <w:spacing w:after="0" w:line="240" w:lineRule="auto"/>
        <w:rPr>
          <w:rFonts w:ascii="Times New Roman" w:hAnsi="Times New Roman"/>
          <w:sz w:val="24"/>
          <w:szCs w:val="24"/>
        </w:rPr>
      </w:pPr>
    </w:p>
    <w:p w:rsidR="00151801" w:rsidRPr="00386FAD"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51801" w:rsidRDefault="00151801" w:rsidP="00151801">
      <w:pPr>
        <w:autoSpaceDE w:val="0"/>
        <w:autoSpaceDN w:val="0"/>
        <w:adjustRightInd w:val="0"/>
        <w:spacing w:after="0" w:line="240" w:lineRule="auto"/>
        <w:rPr>
          <w:rFonts w:ascii="Times New Roman" w:hAnsi="Times New Roman"/>
          <w:color w:val="000000"/>
          <w:sz w:val="24"/>
          <w:szCs w:val="24"/>
        </w:rPr>
      </w:pPr>
    </w:p>
    <w:p w:rsidR="00116E69" w:rsidRPr="00C5470C" w:rsidRDefault="00116E69" w:rsidP="00116E69">
      <w:pPr>
        <w:rPr>
          <w:rFonts w:ascii="Times New Roman" w:hAnsi="Times New Roman" w:cs="Times New Roman"/>
          <w:sz w:val="24"/>
          <w:szCs w:val="24"/>
        </w:rPr>
      </w:pPr>
    </w:p>
    <w:sectPr w:rsidR="00116E69" w:rsidRPr="00C5470C" w:rsidSect="000C03D7">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E69"/>
    <w:rsid w:val="0001352A"/>
    <w:rsid w:val="00024307"/>
    <w:rsid w:val="00067AD8"/>
    <w:rsid w:val="000748CA"/>
    <w:rsid w:val="000C03D7"/>
    <w:rsid w:val="000E0A38"/>
    <w:rsid w:val="000E1829"/>
    <w:rsid w:val="000F4365"/>
    <w:rsid w:val="00115C90"/>
    <w:rsid w:val="00116E69"/>
    <w:rsid w:val="0012378D"/>
    <w:rsid w:val="00151801"/>
    <w:rsid w:val="00154421"/>
    <w:rsid w:val="002341D4"/>
    <w:rsid w:val="002419E3"/>
    <w:rsid w:val="0024725C"/>
    <w:rsid w:val="00277BC1"/>
    <w:rsid w:val="00306B21"/>
    <w:rsid w:val="003320AB"/>
    <w:rsid w:val="0034496E"/>
    <w:rsid w:val="00360A6C"/>
    <w:rsid w:val="00377555"/>
    <w:rsid w:val="003E7015"/>
    <w:rsid w:val="004056F2"/>
    <w:rsid w:val="004663A3"/>
    <w:rsid w:val="004726C3"/>
    <w:rsid w:val="004A1E5F"/>
    <w:rsid w:val="004E46C1"/>
    <w:rsid w:val="00553F68"/>
    <w:rsid w:val="00596E9D"/>
    <w:rsid w:val="005E61FF"/>
    <w:rsid w:val="00652F31"/>
    <w:rsid w:val="006A171D"/>
    <w:rsid w:val="007071CD"/>
    <w:rsid w:val="00715EA1"/>
    <w:rsid w:val="007400F7"/>
    <w:rsid w:val="00767224"/>
    <w:rsid w:val="007B288A"/>
    <w:rsid w:val="007B3EAB"/>
    <w:rsid w:val="00803AC3"/>
    <w:rsid w:val="0080776C"/>
    <w:rsid w:val="008216F9"/>
    <w:rsid w:val="00834AA6"/>
    <w:rsid w:val="00861C37"/>
    <w:rsid w:val="00862523"/>
    <w:rsid w:val="008836ED"/>
    <w:rsid w:val="008944DB"/>
    <w:rsid w:val="008A0D38"/>
    <w:rsid w:val="008B6D5A"/>
    <w:rsid w:val="008F4758"/>
    <w:rsid w:val="009040F0"/>
    <w:rsid w:val="009B3635"/>
    <w:rsid w:val="00A5306A"/>
    <w:rsid w:val="00A56D4B"/>
    <w:rsid w:val="00A86105"/>
    <w:rsid w:val="00B50D83"/>
    <w:rsid w:val="00BC3EDC"/>
    <w:rsid w:val="00BC79AC"/>
    <w:rsid w:val="00C10DA4"/>
    <w:rsid w:val="00C5470C"/>
    <w:rsid w:val="00C5615E"/>
    <w:rsid w:val="00C81CA9"/>
    <w:rsid w:val="00C85E9A"/>
    <w:rsid w:val="00CA220D"/>
    <w:rsid w:val="00CC00AA"/>
    <w:rsid w:val="00D145C6"/>
    <w:rsid w:val="00D60562"/>
    <w:rsid w:val="00D63483"/>
    <w:rsid w:val="00D905DD"/>
    <w:rsid w:val="00DB1819"/>
    <w:rsid w:val="00E1640D"/>
    <w:rsid w:val="00E47C47"/>
    <w:rsid w:val="00E66D7D"/>
    <w:rsid w:val="00E93F50"/>
    <w:rsid w:val="00ED0291"/>
    <w:rsid w:val="00F04606"/>
    <w:rsid w:val="00F16F88"/>
    <w:rsid w:val="00F92278"/>
    <w:rsid w:val="00FD6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19"/>
  </w:style>
  <w:style w:type="paragraph" w:styleId="5">
    <w:name w:val="heading 5"/>
    <w:basedOn w:val="a"/>
    <w:next w:val="a"/>
    <w:link w:val="50"/>
    <w:uiPriority w:val="99"/>
    <w:qFormat/>
    <w:rsid w:val="00A56D4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116E69"/>
    <w:rPr>
      <w:color w:val="0066CC"/>
      <w:u w:val="single" w:color="0000FF"/>
    </w:rPr>
  </w:style>
  <w:style w:type="paragraph" w:styleId="a4">
    <w:name w:val="Normal (Web)"/>
    <w:basedOn w:val="a"/>
    <w:uiPriority w:val="99"/>
    <w:rsid w:val="00116E69"/>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a5">
    <w:name w:val="Стиль"/>
    <w:rsid w:val="00116E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6">
    <w:name w:val="header"/>
    <w:basedOn w:val="a"/>
    <w:link w:val="a7"/>
    <w:rsid w:val="00116E69"/>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116E69"/>
    <w:rPr>
      <w:rFonts w:ascii="Times New Roman" w:eastAsia="Times New Roman" w:hAnsi="Times New Roman" w:cs="Times New Roman"/>
      <w:sz w:val="20"/>
      <w:szCs w:val="20"/>
    </w:rPr>
  </w:style>
  <w:style w:type="table" w:styleId="a8">
    <w:name w:val="Table Grid"/>
    <w:basedOn w:val="a1"/>
    <w:uiPriority w:val="59"/>
    <w:rsid w:val="00116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next w:val="a"/>
    <w:uiPriority w:val="9"/>
    <w:qFormat/>
    <w:rsid w:val="00116E69"/>
    <w:pPr>
      <w:keepLines/>
      <w:spacing w:before="280" w:after="280" w:line="240" w:lineRule="auto"/>
      <w:outlineLvl w:val="0"/>
    </w:pPr>
    <w:rPr>
      <w:rFonts w:asciiTheme="majorHAnsi" w:eastAsia="Times New Roman" w:hAnsiTheme="majorHAnsi" w:cs="Cambria"/>
      <w:b/>
      <w:color w:val="4F81BD" w:themeColor="accent1"/>
      <w:sz w:val="48"/>
      <w:szCs w:val="20"/>
    </w:rPr>
  </w:style>
  <w:style w:type="table" w:customStyle="1" w:styleId="TableNormal">
    <w:name w:val="Table Normal"/>
    <w:uiPriority w:val="59"/>
    <w:rsid w:val="00116E6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50">
    <w:name w:val="Заголовок 5 Знак"/>
    <w:basedOn w:val="a0"/>
    <w:link w:val="5"/>
    <w:uiPriority w:val="99"/>
    <w:rsid w:val="00A56D4B"/>
    <w:rPr>
      <w:rFonts w:ascii="Times New Roman" w:eastAsia="Times New Roman" w:hAnsi="Times New Roman" w:cs="Times New Roman"/>
      <w:b/>
      <w:bCs/>
      <w:i/>
      <w:iCs/>
      <w:sz w:val="26"/>
      <w:szCs w:val="26"/>
    </w:rPr>
  </w:style>
  <w:style w:type="paragraph" w:styleId="a9">
    <w:name w:val="Balloon Text"/>
    <w:basedOn w:val="a"/>
    <w:link w:val="aa"/>
    <w:uiPriority w:val="99"/>
    <w:semiHidden/>
    <w:unhideWhenUsed/>
    <w:rsid w:val="00A56D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D4B"/>
    <w:rPr>
      <w:rFonts w:ascii="Tahoma" w:hAnsi="Tahoma" w:cs="Tahoma"/>
      <w:sz w:val="16"/>
      <w:szCs w:val="16"/>
    </w:rPr>
  </w:style>
  <w:style w:type="paragraph" w:styleId="ab">
    <w:name w:val="No Spacing"/>
    <w:uiPriority w:val="99"/>
    <w:qFormat/>
    <w:rsid w:val="00154421"/>
    <w:pPr>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518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pmr.ru/View.aspx?id=nJN274paQtXrEQwtN2ZQJ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 Олеся Николаевна</dc:creator>
  <cp:keywords/>
  <dc:description/>
  <cp:lastModifiedBy>zubrickaya-o</cp:lastModifiedBy>
  <cp:revision>30</cp:revision>
  <cp:lastPrinted>2020-09-24T07:14:00Z</cp:lastPrinted>
  <dcterms:created xsi:type="dcterms:W3CDTF">2019-11-02T09:32:00Z</dcterms:created>
  <dcterms:modified xsi:type="dcterms:W3CDTF">2021-04-09T08:54:00Z</dcterms:modified>
</cp:coreProperties>
</file>