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emf" ContentType="image/x-emf"/>
  <Default Extension="xls" ContentType="application/vnd.ms-excel"/>
  <Override PartName="/word/theme/themeOverride1.xml" ContentType="application/vnd.openxmlformats-officedocument.themeOverride+xml"/>
  <Override PartName="/word/theme/themeOverride11.xml" ContentType="application/vnd.openxmlformats-officedocument.themeOverride+xml"/>
  <Default Extension="jpeg" ContentType="image/jpeg"/>
  <Override PartName="/word/theme/themeOverride12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7D" w:rsidRPr="000B3CF8" w:rsidRDefault="00F3507D" w:rsidP="00F3507D">
      <w:pPr>
        <w:pStyle w:val="1"/>
        <w:tabs>
          <w:tab w:val="left" w:pos="993"/>
        </w:tabs>
        <w:spacing w:before="0"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0B3CF8">
        <w:rPr>
          <w:rFonts w:ascii="Times New Roman" w:hAnsi="Times New Roman"/>
          <w:sz w:val="24"/>
          <w:szCs w:val="24"/>
        </w:rPr>
        <w:t xml:space="preserve">Социально-экономическое развитие Приднестровской Молдавской Республики </w:t>
      </w:r>
    </w:p>
    <w:p w:rsidR="00F3507D" w:rsidRPr="000B3CF8" w:rsidRDefault="00F3507D" w:rsidP="00F3507D">
      <w:pPr>
        <w:pStyle w:val="1"/>
        <w:tabs>
          <w:tab w:val="left" w:pos="993"/>
        </w:tabs>
        <w:spacing w:before="0"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0B3CF8">
        <w:rPr>
          <w:rFonts w:ascii="Times New Roman" w:hAnsi="Times New Roman"/>
          <w:sz w:val="24"/>
          <w:szCs w:val="24"/>
        </w:rPr>
        <w:t>в январе-</w:t>
      </w:r>
      <w:r>
        <w:rPr>
          <w:rFonts w:ascii="Times New Roman" w:hAnsi="Times New Roman"/>
          <w:sz w:val="24"/>
          <w:szCs w:val="24"/>
        </w:rPr>
        <w:t>июне</w:t>
      </w:r>
      <w:r w:rsidRPr="000B3CF8">
        <w:rPr>
          <w:rFonts w:ascii="Times New Roman" w:hAnsi="Times New Roman"/>
          <w:sz w:val="24"/>
          <w:szCs w:val="24"/>
        </w:rPr>
        <w:t xml:space="preserve"> 2018 года</w:t>
      </w:r>
    </w:p>
    <w:p w:rsidR="00F3507D" w:rsidRDefault="00F3507D" w:rsidP="00F3507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F3507D" w:rsidRPr="00F330C8" w:rsidRDefault="00F3507D" w:rsidP="00F3507D">
      <w:pPr>
        <w:spacing w:after="0" w:line="240" w:lineRule="auto"/>
        <w:ind w:firstLine="425"/>
        <w:jc w:val="both"/>
        <w:rPr>
          <w:sz w:val="28"/>
          <w:szCs w:val="28"/>
        </w:rPr>
      </w:pPr>
      <w:r w:rsidRPr="007B073E">
        <w:rPr>
          <w:rFonts w:ascii="Times New Roman" w:hAnsi="Times New Roman"/>
          <w:sz w:val="24"/>
          <w:szCs w:val="24"/>
        </w:rPr>
        <w:t xml:space="preserve">Развитие экономики республики в </w:t>
      </w:r>
      <w:r w:rsidR="00B964D3">
        <w:rPr>
          <w:rFonts w:ascii="Times New Roman" w:hAnsi="Times New Roman"/>
          <w:sz w:val="24"/>
          <w:szCs w:val="24"/>
        </w:rPr>
        <w:t>первом полугодии текущего</w:t>
      </w:r>
      <w:r w:rsidRPr="007B073E">
        <w:rPr>
          <w:rFonts w:ascii="Times New Roman" w:hAnsi="Times New Roman"/>
          <w:sz w:val="24"/>
          <w:szCs w:val="24"/>
        </w:rPr>
        <w:t xml:space="preserve"> года характеризовалось </w:t>
      </w:r>
      <w:r w:rsidR="00B964D3">
        <w:rPr>
          <w:rFonts w:ascii="Times New Roman" w:hAnsi="Times New Roman"/>
          <w:sz w:val="24"/>
          <w:szCs w:val="24"/>
        </w:rPr>
        <w:t xml:space="preserve">сохранением позитивных трендов второй половины 2017 года, что выразилось в </w:t>
      </w:r>
      <w:r w:rsidRPr="007B073E">
        <w:rPr>
          <w:rFonts w:ascii="Times New Roman" w:hAnsi="Times New Roman"/>
          <w:sz w:val="24"/>
          <w:szCs w:val="24"/>
        </w:rPr>
        <w:t>повышательной динамик</w:t>
      </w:r>
      <w:r w:rsidR="00B964D3">
        <w:rPr>
          <w:rFonts w:ascii="Times New Roman" w:hAnsi="Times New Roman"/>
          <w:sz w:val="24"/>
          <w:szCs w:val="24"/>
        </w:rPr>
        <w:t>е</w:t>
      </w:r>
      <w:r w:rsidRPr="007B073E">
        <w:rPr>
          <w:rFonts w:ascii="Times New Roman" w:hAnsi="Times New Roman"/>
          <w:sz w:val="24"/>
          <w:szCs w:val="24"/>
        </w:rPr>
        <w:t xml:space="preserve"> большинства </w:t>
      </w:r>
      <w:r>
        <w:rPr>
          <w:rFonts w:ascii="Times New Roman" w:hAnsi="Times New Roman"/>
          <w:sz w:val="24"/>
          <w:szCs w:val="24"/>
        </w:rPr>
        <w:t xml:space="preserve">макроэкономических </w:t>
      </w:r>
      <w:r w:rsidRPr="007B073E">
        <w:rPr>
          <w:rFonts w:ascii="Times New Roman" w:hAnsi="Times New Roman"/>
          <w:sz w:val="24"/>
          <w:szCs w:val="24"/>
        </w:rPr>
        <w:t>показателей</w:t>
      </w:r>
      <w:r>
        <w:rPr>
          <w:rFonts w:ascii="Times New Roman" w:hAnsi="Times New Roman"/>
          <w:sz w:val="24"/>
          <w:szCs w:val="24"/>
        </w:rPr>
        <w:t xml:space="preserve">. Предпринимаемые на государственном уровне меры по поддержке отечественных товаропроизводителей в совокупности со складывающейся конъюнктурой на мировых товарно-сырьевых рынках </w:t>
      </w:r>
      <w:r w:rsidR="00B964D3">
        <w:rPr>
          <w:rFonts w:ascii="Times New Roman" w:hAnsi="Times New Roman"/>
          <w:sz w:val="24"/>
          <w:szCs w:val="24"/>
        </w:rPr>
        <w:t>способствовали</w:t>
      </w:r>
      <w:r w:rsidR="00553980">
        <w:rPr>
          <w:rFonts w:ascii="Times New Roman" w:hAnsi="Times New Roman"/>
          <w:sz w:val="24"/>
          <w:szCs w:val="24"/>
        </w:rPr>
        <w:t xml:space="preserve"> </w:t>
      </w:r>
      <w:r w:rsidR="00B964D3">
        <w:rPr>
          <w:rFonts w:ascii="Times New Roman" w:hAnsi="Times New Roman"/>
          <w:sz w:val="24"/>
          <w:szCs w:val="24"/>
        </w:rPr>
        <w:t>улучшению</w:t>
      </w:r>
      <w:r>
        <w:rPr>
          <w:rFonts w:ascii="Times New Roman" w:hAnsi="Times New Roman"/>
          <w:sz w:val="24"/>
          <w:szCs w:val="24"/>
        </w:rPr>
        <w:t xml:space="preserve"> отечественного </w:t>
      </w:r>
      <w:r w:rsidRPr="00BD0B9F">
        <w:rPr>
          <w:rFonts w:ascii="Times New Roman" w:hAnsi="Times New Roman"/>
          <w:sz w:val="24"/>
          <w:szCs w:val="24"/>
        </w:rPr>
        <w:t xml:space="preserve">бизнес </w:t>
      </w:r>
      <w:r>
        <w:rPr>
          <w:rFonts w:ascii="Times New Roman" w:hAnsi="Times New Roman"/>
          <w:sz w:val="24"/>
          <w:szCs w:val="24"/>
        </w:rPr>
        <w:t>- климата и росту товарного выпуска в ключевых отраслях индустрии. Вместе с тем, проводимые денежно-кредитная и фискальная политики обеспечивали повышение конкурентоспособности отечественной продукции на внешних рынках</w:t>
      </w:r>
      <w:r w:rsidR="00B964D3">
        <w:rPr>
          <w:rFonts w:ascii="Times New Roman" w:hAnsi="Times New Roman"/>
          <w:sz w:val="24"/>
          <w:szCs w:val="24"/>
        </w:rPr>
        <w:t>, что сопровождалось наращиванием</w:t>
      </w:r>
      <w:r>
        <w:rPr>
          <w:rFonts w:ascii="Times New Roman" w:hAnsi="Times New Roman"/>
          <w:sz w:val="24"/>
          <w:szCs w:val="24"/>
        </w:rPr>
        <w:t xml:space="preserve"> экспортных и импортных потоков.</w:t>
      </w:r>
      <w:r w:rsidR="00553980">
        <w:rPr>
          <w:rFonts w:ascii="Times New Roman" w:hAnsi="Times New Roman"/>
          <w:sz w:val="24"/>
          <w:szCs w:val="24"/>
        </w:rPr>
        <w:t xml:space="preserve"> </w:t>
      </w:r>
      <w:r w:rsidRPr="00E029F1">
        <w:rPr>
          <w:rFonts w:ascii="Times New Roman" w:hAnsi="Times New Roman"/>
          <w:sz w:val="24"/>
          <w:szCs w:val="24"/>
        </w:rPr>
        <w:t xml:space="preserve">Динамика показателей потребительского рынка на фоне </w:t>
      </w:r>
      <w:r w:rsidRPr="00E029F1">
        <w:rPr>
          <w:rFonts w:ascii="Times New Roman" w:hAnsi="Times New Roman"/>
          <w:sz w:val="24"/>
        </w:rPr>
        <w:t>сезонного роста цен на отдельные виды продовольственных товаров</w:t>
      </w:r>
      <w:r w:rsidR="0055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продолжала демонстрировать </w:t>
      </w:r>
      <w:r w:rsidRPr="00E029F1">
        <w:rPr>
          <w:rFonts w:ascii="Times New Roman" w:hAnsi="Times New Roman"/>
          <w:sz w:val="24"/>
          <w:szCs w:val="24"/>
        </w:rPr>
        <w:t>рост потребительской активности в сфер</w:t>
      </w:r>
      <w:r w:rsidR="00B964D3">
        <w:rPr>
          <w:rFonts w:ascii="Times New Roman" w:hAnsi="Times New Roman"/>
          <w:sz w:val="24"/>
          <w:szCs w:val="24"/>
        </w:rPr>
        <w:t>ах</w:t>
      </w:r>
      <w:r w:rsidRPr="00E029F1">
        <w:rPr>
          <w:rFonts w:ascii="Times New Roman" w:hAnsi="Times New Roman"/>
          <w:sz w:val="24"/>
          <w:szCs w:val="24"/>
        </w:rPr>
        <w:t xml:space="preserve"> розничных продаж и общественного питания.</w:t>
      </w:r>
    </w:p>
    <w:p w:rsidR="0019634C" w:rsidRPr="000B3CF8" w:rsidRDefault="0019634C" w:rsidP="009916C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9916CB" w:rsidRPr="000B3CF8" w:rsidRDefault="009916CB" w:rsidP="009916CB">
      <w:pPr>
        <w:pStyle w:val="ab"/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B3CF8">
        <w:rPr>
          <w:rFonts w:ascii="Times New Roman" w:hAnsi="Times New Roman"/>
          <w:b/>
          <w:sz w:val="24"/>
          <w:szCs w:val="24"/>
          <w:u w:val="single"/>
        </w:rPr>
        <w:t>Промышленност</w:t>
      </w:r>
      <w:proofErr w:type="gramStart"/>
      <w:r w:rsidRPr="000B3CF8">
        <w:rPr>
          <w:rFonts w:ascii="Times New Roman" w:hAnsi="Times New Roman"/>
          <w:b/>
          <w:sz w:val="24"/>
          <w:szCs w:val="24"/>
          <w:u w:val="single"/>
        </w:rPr>
        <w:t>ь</w:t>
      </w:r>
      <w:r w:rsidRPr="000B3CF8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0B3CF8">
        <w:rPr>
          <w:rFonts w:ascii="Times New Roman" w:hAnsi="Times New Roman"/>
          <w:i/>
          <w:sz w:val="24"/>
          <w:szCs w:val="24"/>
        </w:rPr>
        <w:t>данные</w:t>
      </w:r>
      <w:r w:rsidR="00451537" w:rsidRPr="000B3CF8">
        <w:rPr>
          <w:rFonts w:ascii="Times New Roman" w:hAnsi="Times New Roman"/>
          <w:i/>
          <w:sz w:val="24"/>
          <w:szCs w:val="24"/>
        </w:rPr>
        <w:t xml:space="preserve"> за 2017 год</w:t>
      </w:r>
      <w:r w:rsidRPr="000B3CF8">
        <w:rPr>
          <w:rFonts w:ascii="Times New Roman" w:hAnsi="Times New Roman"/>
          <w:i/>
          <w:sz w:val="24"/>
          <w:szCs w:val="24"/>
        </w:rPr>
        <w:t xml:space="preserve"> скорректированы на объем промышленного выпуска ОАО «</w:t>
      </w:r>
      <w:proofErr w:type="spellStart"/>
      <w:r w:rsidRPr="000B3CF8">
        <w:rPr>
          <w:rFonts w:ascii="Times New Roman" w:hAnsi="Times New Roman"/>
          <w:i/>
          <w:sz w:val="24"/>
          <w:szCs w:val="24"/>
        </w:rPr>
        <w:t>Энергокапита</w:t>
      </w:r>
      <w:r w:rsidR="00451537" w:rsidRPr="000B3CF8">
        <w:rPr>
          <w:rFonts w:ascii="Times New Roman" w:hAnsi="Times New Roman"/>
          <w:i/>
          <w:sz w:val="24"/>
          <w:szCs w:val="24"/>
        </w:rPr>
        <w:t>л</w:t>
      </w:r>
      <w:proofErr w:type="spellEnd"/>
      <w:r w:rsidRPr="000B3CF8">
        <w:rPr>
          <w:rFonts w:ascii="Times New Roman" w:hAnsi="Times New Roman"/>
          <w:i/>
          <w:sz w:val="24"/>
          <w:szCs w:val="24"/>
        </w:rPr>
        <w:t>»)</w:t>
      </w:r>
    </w:p>
    <w:p w:rsidR="005D4126" w:rsidRPr="000B3CF8" w:rsidRDefault="00473910" w:rsidP="005D4126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Объём п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ромышленного производства</w:t>
      </w:r>
      <w:r w:rsidR="00553980" w:rsidRPr="00553980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итогам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полугодия 2018 года (без учёта субъектов малого предпринимательства)</w:t>
      </w:r>
      <w:r w:rsidR="003C5A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 данным Государственной службы статистики Приднестровской Молдавской Республики</w:t>
      </w:r>
      <w:r w:rsidR="003C5A58">
        <w:rPr>
          <w:rFonts w:ascii="Times New Roman" w:hAnsi="Times New Roman"/>
          <w:sz w:val="24"/>
          <w:szCs w:val="24"/>
        </w:rPr>
        <w:t>,</w:t>
      </w:r>
      <w:r w:rsidR="005539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составил 6 610,2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млн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руб</w:t>
      </w:r>
      <w:r>
        <w:rPr>
          <w:rFonts w:ascii="Times New Roman" w:hAnsi="Times New Roman"/>
          <w:sz w:val="24"/>
          <w:szCs w:val="24"/>
        </w:rPr>
        <w:t xml:space="preserve">., увеличившись по отношению к аналогичному показателю 2017 года в текущих ценах на 97,2%, в сопоставимых – на 36,7%, в долларовом выражении – на 42,4%. При этом, если рассматривать динамику показателя по отношению к </w:t>
      </w:r>
      <w:r w:rsidRPr="003C5A58">
        <w:rPr>
          <w:rFonts w:ascii="Times New Roman" w:hAnsi="Times New Roman"/>
          <w:i/>
          <w:sz w:val="24"/>
          <w:szCs w:val="24"/>
          <w:u w:val="single"/>
        </w:rPr>
        <w:t xml:space="preserve">сопоставимому расчетному </w:t>
      </w:r>
      <w:r w:rsidR="003C5A58">
        <w:rPr>
          <w:rFonts w:ascii="Times New Roman" w:hAnsi="Times New Roman"/>
          <w:i/>
          <w:sz w:val="24"/>
          <w:szCs w:val="24"/>
          <w:u w:val="single"/>
        </w:rPr>
        <w:t>значению</w:t>
      </w:r>
      <w:r w:rsidRPr="003C5A58">
        <w:rPr>
          <w:rFonts w:ascii="Times New Roman" w:hAnsi="Times New Roman"/>
          <w:i/>
          <w:sz w:val="24"/>
          <w:szCs w:val="24"/>
          <w:u w:val="single"/>
        </w:rPr>
        <w:t xml:space="preserve"> предыдущего года</w:t>
      </w:r>
      <w:r>
        <w:rPr>
          <w:rFonts w:ascii="Times New Roman" w:hAnsi="Times New Roman"/>
          <w:sz w:val="24"/>
          <w:szCs w:val="24"/>
        </w:rPr>
        <w:t xml:space="preserve"> (</w:t>
      </w:r>
      <w:r w:rsidR="00A104F5">
        <w:rPr>
          <w:rFonts w:ascii="Times New Roman" w:hAnsi="Times New Roman"/>
          <w:sz w:val="24"/>
          <w:szCs w:val="24"/>
        </w:rPr>
        <w:t xml:space="preserve">сформированного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 учетом выпуска ОАО «</w:t>
      </w:r>
      <w:proofErr w:type="spellStart"/>
      <w:r>
        <w:rPr>
          <w:rFonts w:ascii="Times New Roman" w:hAnsi="Times New Roman"/>
          <w:sz w:val="24"/>
          <w:szCs w:val="24"/>
        </w:rPr>
        <w:t>Энергокапитал</w:t>
      </w:r>
      <w:proofErr w:type="spellEnd"/>
      <w:r>
        <w:rPr>
          <w:rFonts w:ascii="Times New Roman" w:hAnsi="Times New Roman"/>
          <w:sz w:val="24"/>
          <w:szCs w:val="24"/>
        </w:rPr>
        <w:t>»), то</w:t>
      </w:r>
      <w:r w:rsidR="00A104F5">
        <w:rPr>
          <w:rFonts w:ascii="Times New Roman" w:hAnsi="Times New Roman"/>
          <w:sz w:val="24"/>
          <w:szCs w:val="24"/>
        </w:rPr>
        <w:t xml:space="preserve"> складываются следующие</w:t>
      </w:r>
      <w:r w:rsidR="00553980">
        <w:rPr>
          <w:rFonts w:ascii="Times New Roman" w:hAnsi="Times New Roman"/>
          <w:sz w:val="24"/>
          <w:szCs w:val="24"/>
        </w:rPr>
        <w:t xml:space="preserve"> </w:t>
      </w:r>
      <w:r w:rsidR="003C5A58">
        <w:rPr>
          <w:rFonts w:ascii="Times New Roman" w:hAnsi="Times New Roman"/>
          <w:sz w:val="24"/>
          <w:szCs w:val="24"/>
        </w:rPr>
        <w:t>параметры</w:t>
      </w:r>
      <w:r w:rsidR="00553980">
        <w:rPr>
          <w:rFonts w:ascii="Times New Roman" w:hAnsi="Times New Roman"/>
          <w:sz w:val="24"/>
          <w:szCs w:val="24"/>
        </w:rPr>
        <w:t xml:space="preserve"> </w:t>
      </w:r>
      <w:r w:rsidR="003C5A58">
        <w:rPr>
          <w:rFonts w:ascii="Times New Roman" w:hAnsi="Times New Roman"/>
          <w:sz w:val="24"/>
          <w:szCs w:val="24"/>
        </w:rPr>
        <w:t>прироста</w:t>
      </w:r>
      <w:r w:rsidR="00A104F5">
        <w:rPr>
          <w:rFonts w:ascii="Times New Roman" w:hAnsi="Times New Roman"/>
          <w:sz w:val="24"/>
          <w:szCs w:val="24"/>
        </w:rPr>
        <w:t>:</w:t>
      </w:r>
      <w:r w:rsidR="005539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текущих ценах </w:t>
      </w:r>
      <w:r w:rsidR="00A104F5">
        <w:rPr>
          <w:rFonts w:ascii="Times New Roman" w:hAnsi="Times New Roman"/>
          <w:sz w:val="24"/>
          <w:szCs w:val="24"/>
        </w:rPr>
        <w:t>–</w:t>
      </w:r>
      <w:r w:rsidR="00553980">
        <w:rPr>
          <w:rFonts w:ascii="Times New Roman" w:hAnsi="Times New Roman"/>
          <w:sz w:val="24"/>
          <w:szCs w:val="24"/>
        </w:rPr>
        <w:t xml:space="preserve"> </w:t>
      </w:r>
      <w:r w:rsidR="00A104F5">
        <w:rPr>
          <w:rFonts w:ascii="Times New Roman" w:hAnsi="Times New Roman"/>
          <w:sz w:val="24"/>
          <w:szCs w:val="24"/>
        </w:rPr>
        <w:t>+</w:t>
      </w:r>
      <w:r w:rsidRPr="003C5A58">
        <w:rPr>
          <w:rFonts w:ascii="Times New Roman" w:hAnsi="Times New Roman"/>
          <w:sz w:val="24"/>
          <w:szCs w:val="24"/>
        </w:rPr>
        <w:t xml:space="preserve">76,0%, в реальном выражении – </w:t>
      </w:r>
      <w:r w:rsidR="00A104F5">
        <w:rPr>
          <w:rFonts w:ascii="Times New Roman" w:hAnsi="Times New Roman"/>
          <w:sz w:val="24"/>
          <w:szCs w:val="24"/>
        </w:rPr>
        <w:t>+</w:t>
      </w:r>
      <w:r w:rsidRPr="003C5A58">
        <w:rPr>
          <w:rFonts w:ascii="Times New Roman" w:hAnsi="Times New Roman"/>
          <w:sz w:val="24"/>
          <w:szCs w:val="24"/>
        </w:rPr>
        <w:t>36,7%</w:t>
      </w:r>
      <w:r w:rsidR="003C5A58" w:rsidRPr="003C5A58">
        <w:rPr>
          <w:rFonts w:ascii="Times New Roman" w:hAnsi="Times New Roman"/>
          <w:sz w:val="24"/>
          <w:szCs w:val="24"/>
        </w:rPr>
        <w:t>,</w:t>
      </w:r>
      <w:r w:rsidR="00770CF4">
        <w:rPr>
          <w:rFonts w:ascii="Times New Roman" w:hAnsi="Times New Roman"/>
          <w:sz w:val="24"/>
          <w:szCs w:val="24"/>
        </w:rPr>
        <w:t xml:space="preserve"> </w:t>
      </w:r>
      <w:r w:rsidR="003C5A58">
        <w:rPr>
          <w:rFonts w:ascii="Times New Roman" w:hAnsi="Times New Roman"/>
          <w:sz w:val="24"/>
          <w:szCs w:val="24"/>
        </w:rPr>
        <w:t>в</w:t>
      </w:r>
      <w:r w:rsidR="00F3507D" w:rsidRPr="00C74EAD">
        <w:rPr>
          <w:rFonts w:ascii="Times New Roman" w:hAnsi="Times New Roman"/>
          <w:sz w:val="24"/>
          <w:szCs w:val="24"/>
        </w:rPr>
        <w:t xml:space="preserve"> долларовом эквиваленте </w:t>
      </w:r>
      <w:r w:rsidR="00A104F5">
        <w:rPr>
          <w:rFonts w:ascii="Times New Roman" w:hAnsi="Times New Roman"/>
          <w:sz w:val="24"/>
          <w:szCs w:val="24"/>
        </w:rPr>
        <w:t>– +</w:t>
      </w:r>
      <w:r w:rsidR="00F3507D" w:rsidRPr="00C74EAD">
        <w:rPr>
          <w:rFonts w:ascii="Times New Roman" w:hAnsi="Times New Roman"/>
          <w:sz w:val="24"/>
          <w:szCs w:val="24"/>
        </w:rPr>
        <w:t xml:space="preserve">26,8%. </w:t>
      </w:r>
      <w:proofErr w:type="gramStart"/>
      <w:r w:rsidR="00A104F5">
        <w:rPr>
          <w:rFonts w:ascii="Times New Roman" w:hAnsi="Times New Roman"/>
          <w:sz w:val="24"/>
          <w:szCs w:val="24"/>
        </w:rPr>
        <w:t>Формирование столь высоких темпов расширения объёмов производства</w:t>
      </w:r>
      <w:r w:rsidR="00F3507D" w:rsidRPr="00C74EAD">
        <w:rPr>
          <w:rFonts w:ascii="Times New Roman" w:hAnsi="Times New Roman"/>
          <w:sz w:val="24"/>
          <w:szCs w:val="24"/>
        </w:rPr>
        <w:t xml:space="preserve"> обусловлен</w:t>
      </w:r>
      <w:r w:rsidR="00A104F5">
        <w:rPr>
          <w:rFonts w:ascii="Times New Roman" w:hAnsi="Times New Roman"/>
          <w:sz w:val="24"/>
          <w:szCs w:val="24"/>
        </w:rPr>
        <w:t>о</w:t>
      </w:r>
      <w:r w:rsidR="00F3507D" w:rsidRPr="00C74EAD">
        <w:rPr>
          <w:rFonts w:ascii="Times New Roman" w:hAnsi="Times New Roman"/>
          <w:sz w:val="24"/>
          <w:szCs w:val="24"/>
        </w:rPr>
        <w:t xml:space="preserve"> как более сдержанной динамикой развития в первом полугодии 2017 года, так и повышением качества реализуемой управленческой политик</w:t>
      </w:r>
      <w:r w:rsidR="00F3507D">
        <w:rPr>
          <w:rFonts w:ascii="Times New Roman" w:hAnsi="Times New Roman"/>
          <w:sz w:val="24"/>
          <w:szCs w:val="24"/>
        </w:rPr>
        <w:t>и</w:t>
      </w:r>
      <w:r w:rsidR="00F3507D" w:rsidRPr="00C74EAD">
        <w:rPr>
          <w:rFonts w:ascii="Times New Roman" w:hAnsi="Times New Roman"/>
          <w:sz w:val="24"/>
          <w:szCs w:val="24"/>
        </w:rPr>
        <w:t xml:space="preserve"> экономических агентов ключевых отраслей индустрии.</w:t>
      </w:r>
      <w:proofErr w:type="gramEnd"/>
      <w:r w:rsidR="00553980">
        <w:rPr>
          <w:rFonts w:ascii="Times New Roman" w:hAnsi="Times New Roman"/>
          <w:sz w:val="24"/>
          <w:szCs w:val="24"/>
        </w:rPr>
        <w:t xml:space="preserve"> </w:t>
      </w:r>
      <w:r w:rsidR="005D4126" w:rsidRPr="008F5D83">
        <w:rPr>
          <w:rFonts w:ascii="Times New Roman" w:hAnsi="Times New Roman"/>
          <w:sz w:val="24"/>
          <w:szCs w:val="24"/>
        </w:rPr>
        <w:t xml:space="preserve">Доход от реализации промышленной продукции </w:t>
      </w:r>
      <w:r w:rsidR="005D4126">
        <w:rPr>
          <w:rFonts w:ascii="Times New Roman" w:hAnsi="Times New Roman"/>
          <w:sz w:val="24"/>
          <w:szCs w:val="24"/>
        </w:rPr>
        <w:t>по итогам</w:t>
      </w:r>
      <w:r w:rsidR="005D4126" w:rsidRPr="008F5D83">
        <w:rPr>
          <w:rFonts w:ascii="Times New Roman" w:hAnsi="Times New Roman"/>
          <w:sz w:val="24"/>
          <w:szCs w:val="24"/>
        </w:rPr>
        <w:t xml:space="preserve"> первого полугодия 2018 года возрос на 78,2% до 6 635,0 </w:t>
      </w:r>
      <w:proofErr w:type="spellStart"/>
      <w:proofErr w:type="gramStart"/>
      <w:r w:rsidR="005D4126" w:rsidRPr="008F5D83">
        <w:rPr>
          <w:rFonts w:ascii="Times New Roman" w:hAnsi="Times New Roman"/>
          <w:sz w:val="24"/>
          <w:szCs w:val="24"/>
        </w:rPr>
        <w:t>млн</w:t>
      </w:r>
      <w:proofErr w:type="spellEnd"/>
      <w:proofErr w:type="gramEnd"/>
      <w:r w:rsidR="005D4126" w:rsidRPr="008F5D83">
        <w:rPr>
          <w:rFonts w:ascii="Times New Roman" w:hAnsi="Times New Roman"/>
          <w:sz w:val="24"/>
          <w:szCs w:val="24"/>
        </w:rPr>
        <w:t xml:space="preserve"> руб., или 414,2 </w:t>
      </w:r>
      <w:proofErr w:type="spellStart"/>
      <w:r w:rsidR="005D4126" w:rsidRPr="008F5D83">
        <w:rPr>
          <w:rFonts w:ascii="Times New Roman" w:hAnsi="Times New Roman"/>
          <w:sz w:val="24"/>
          <w:szCs w:val="24"/>
        </w:rPr>
        <w:t>млн</w:t>
      </w:r>
      <w:proofErr w:type="spellEnd"/>
      <w:r w:rsidR="005D4126" w:rsidRPr="008F5D83">
        <w:rPr>
          <w:rFonts w:ascii="Times New Roman" w:hAnsi="Times New Roman"/>
          <w:sz w:val="24"/>
          <w:szCs w:val="24"/>
        </w:rPr>
        <w:t xml:space="preserve"> долл. (+28,9%).</w:t>
      </w:r>
    </w:p>
    <w:p w:rsidR="00F3507D" w:rsidRPr="008F5D83" w:rsidRDefault="005D4126" w:rsidP="00F3507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F3507D" w:rsidRPr="00DC02EB">
        <w:rPr>
          <w:rFonts w:ascii="Times New Roman" w:hAnsi="Times New Roman"/>
          <w:sz w:val="24"/>
          <w:szCs w:val="24"/>
        </w:rPr>
        <w:t xml:space="preserve">ри анализе </w:t>
      </w:r>
      <w:r>
        <w:rPr>
          <w:rFonts w:ascii="Times New Roman" w:hAnsi="Times New Roman"/>
          <w:sz w:val="24"/>
          <w:szCs w:val="24"/>
        </w:rPr>
        <w:t>квартальной</w:t>
      </w:r>
      <w:r w:rsidR="00F3507D" w:rsidRPr="00DC02EB">
        <w:rPr>
          <w:rFonts w:ascii="Times New Roman" w:hAnsi="Times New Roman"/>
          <w:sz w:val="24"/>
          <w:szCs w:val="24"/>
        </w:rPr>
        <w:t xml:space="preserve"> динамики необходимо отметить, что </w:t>
      </w:r>
      <w:r>
        <w:rPr>
          <w:rFonts w:ascii="Times New Roman" w:hAnsi="Times New Roman"/>
          <w:sz w:val="24"/>
          <w:szCs w:val="24"/>
        </w:rPr>
        <w:t>в</w:t>
      </w:r>
      <w:r w:rsidR="00B964D3">
        <w:rPr>
          <w:rFonts w:ascii="Times New Roman" w:hAnsi="Times New Roman"/>
          <w:sz w:val="24"/>
          <w:szCs w:val="24"/>
        </w:rPr>
        <w:t xml:space="preserve"> целом</w:t>
      </w:r>
      <w:r w:rsidR="00F3507D">
        <w:rPr>
          <w:rFonts w:ascii="Times New Roman" w:hAnsi="Times New Roman"/>
          <w:sz w:val="24"/>
          <w:szCs w:val="24"/>
        </w:rPr>
        <w:t xml:space="preserve"> по итогам II квартала 2018 года </w:t>
      </w:r>
      <w:r>
        <w:rPr>
          <w:rFonts w:ascii="Times New Roman" w:hAnsi="Times New Roman"/>
          <w:sz w:val="24"/>
          <w:szCs w:val="24"/>
        </w:rPr>
        <w:t>объём промышленного производства превысил сопоставимые параметры прошлого</w:t>
      </w:r>
      <w:r w:rsidR="00F3507D">
        <w:rPr>
          <w:rFonts w:ascii="Times New Roman" w:hAnsi="Times New Roman"/>
          <w:sz w:val="24"/>
          <w:szCs w:val="24"/>
        </w:rPr>
        <w:t xml:space="preserve"> года</w:t>
      </w:r>
      <w:r w:rsidR="00C81719">
        <w:rPr>
          <w:rFonts w:ascii="Times New Roman" w:hAnsi="Times New Roman"/>
          <w:sz w:val="24"/>
          <w:szCs w:val="24"/>
        </w:rPr>
        <w:t xml:space="preserve"> </w:t>
      </w:r>
      <w:r w:rsidRPr="001444A6">
        <w:rPr>
          <w:rFonts w:ascii="Times New Roman" w:hAnsi="Times New Roman"/>
          <w:sz w:val="24"/>
          <w:szCs w:val="24"/>
        </w:rPr>
        <w:t xml:space="preserve">на </w:t>
      </w:r>
      <w:r w:rsidR="00131A60" w:rsidRPr="001444A6">
        <w:rPr>
          <w:rFonts w:ascii="Times New Roman" w:hAnsi="Times New Roman"/>
          <w:sz w:val="24"/>
          <w:szCs w:val="24"/>
        </w:rPr>
        <w:t>82,6</w:t>
      </w:r>
      <w:r w:rsidRPr="001444A6">
        <w:rPr>
          <w:rFonts w:ascii="Times New Roman" w:hAnsi="Times New Roman"/>
          <w:sz w:val="24"/>
          <w:szCs w:val="24"/>
        </w:rPr>
        <w:t>%</w:t>
      </w:r>
      <w:r w:rsidR="00F3507D" w:rsidRPr="001444A6">
        <w:rPr>
          <w:rFonts w:ascii="Times New Roman" w:hAnsi="Times New Roman"/>
          <w:sz w:val="24"/>
          <w:szCs w:val="24"/>
        </w:rPr>
        <w:t>, однако принимая</w:t>
      </w:r>
      <w:r w:rsidR="00F3507D">
        <w:rPr>
          <w:rFonts w:ascii="Times New Roman" w:hAnsi="Times New Roman"/>
          <w:sz w:val="24"/>
          <w:szCs w:val="24"/>
        </w:rPr>
        <w:t xml:space="preserve"> во внимание сезонные факторы и ряд внешних негативных тенденций, по отношению к первому кварталу 2018 года в текущих ценах отмечено снижение по электроэнергетике (-18,4%), черной металлургии (-1,3%), мукомольно-крупяной и </w:t>
      </w:r>
      <w:r w:rsidR="00F3507D" w:rsidRPr="008F5D83">
        <w:rPr>
          <w:rFonts w:ascii="Times New Roman" w:hAnsi="Times New Roman"/>
          <w:sz w:val="24"/>
          <w:szCs w:val="24"/>
        </w:rPr>
        <w:t>комбикормов</w:t>
      </w:r>
      <w:r w:rsidR="00F3507D">
        <w:rPr>
          <w:rFonts w:ascii="Times New Roman" w:hAnsi="Times New Roman"/>
          <w:sz w:val="24"/>
          <w:szCs w:val="24"/>
        </w:rPr>
        <w:t>ой</w:t>
      </w:r>
      <w:r w:rsidR="00F3507D" w:rsidRPr="008F5D83">
        <w:rPr>
          <w:rFonts w:ascii="Times New Roman" w:hAnsi="Times New Roman"/>
          <w:sz w:val="24"/>
          <w:szCs w:val="24"/>
        </w:rPr>
        <w:t xml:space="preserve"> промышленност</w:t>
      </w:r>
      <w:r w:rsidR="00F3507D">
        <w:rPr>
          <w:rFonts w:ascii="Times New Roman" w:hAnsi="Times New Roman"/>
          <w:sz w:val="24"/>
          <w:szCs w:val="24"/>
        </w:rPr>
        <w:t>и</w:t>
      </w:r>
      <w:r w:rsidR="00F3507D" w:rsidRPr="008F5D83">
        <w:rPr>
          <w:rFonts w:ascii="Times New Roman" w:hAnsi="Times New Roman"/>
          <w:sz w:val="24"/>
          <w:szCs w:val="24"/>
        </w:rPr>
        <w:t xml:space="preserve"> (-1,0%)</w:t>
      </w:r>
      <w:proofErr w:type="gramEnd"/>
      <w:r w:rsidR="00F3507D" w:rsidRPr="008F5D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Что касается месячных показателей, то </w:t>
      </w:r>
      <w:r w:rsidRPr="00DC02EB">
        <w:rPr>
          <w:rFonts w:ascii="Times New Roman" w:hAnsi="Times New Roman"/>
          <w:sz w:val="24"/>
          <w:szCs w:val="24"/>
        </w:rPr>
        <w:t>в июне по отношению к уровню мая текущего года, на фоне более сдержанной динамики цен, товарный выпуск в текущих ценах увеличился на 1,5%, а в сопоставимых на 2,6%</w:t>
      </w:r>
      <w:r w:rsidR="001444A6">
        <w:rPr>
          <w:rFonts w:ascii="Times New Roman" w:hAnsi="Times New Roman"/>
          <w:sz w:val="24"/>
          <w:szCs w:val="24"/>
        </w:rPr>
        <w:t>.</w:t>
      </w:r>
    </w:p>
    <w:p w:rsidR="00CC67E3" w:rsidRPr="000B3CF8" w:rsidRDefault="00CC67E3" w:rsidP="00CC67E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B3CF8">
        <w:rPr>
          <w:rFonts w:ascii="Times New Roman" w:hAnsi="Times New Roman"/>
          <w:sz w:val="24"/>
          <w:szCs w:val="24"/>
        </w:rPr>
        <w:t>Отраслевая структура промышленного производства</w:t>
      </w:r>
      <w:r w:rsidR="00C81719">
        <w:rPr>
          <w:rFonts w:ascii="Times New Roman" w:hAnsi="Times New Roman"/>
          <w:sz w:val="24"/>
          <w:szCs w:val="24"/>
        </w:rPr>
        <w:t xml:space="preserve"> </w:t>
      </w:r>
      <w:r w:rsidRPr="000B3CF8">
        <w:rPr>
          <w:rFonts w:ascii="Times New Roman" w:hAnsi="Times New Roman"/>
          <w:sz w:val="24"/>
          <w:szCs w:val="24"/>
        </w:rPr>
        <w:t>с учётом отмечаемых тенденций в январе</w:t>
      </w:r>
      <w:r>
        <w:rPr>
          <w:rFonts w:ascii="Times New Roman" w:hAnsi="Times New Roman"/>
          <w:sz w:val="24"/>
          <w:szCs w:val="24"/>
        </w:rPr>
        <w:t>-июне</w:t>
      </w:r>
      <w:r w:rsidRPr="000B3CF8">
        <w:rPr>
          <w:rFonts w:ascii="Times New Roman" w:hAnsi="Times New Roman"/>
          <w:sz w:val="24"/>
          <w:szCs w:val="24"/>
        </w:rPr>
        <w:t xml:space="preserve"> 2018 года перераспредели</w:t>
      </w:r>
      <w:r>
        <w:rPr>
          <w:rFonts w:ascii="Times New Roman" w:hAnsi="Times New Roman"/>
          <w:sz w:val="24"/>
          <w:szCs w:val="24"/>
        </w:rPr>
        <w:t xml:space="preserve">лась следующим образом </w:t>
      </w:r>
      <w:r w:rsidRPr="000B3CF8">
        <w:rPr>
          <w:rFonts w:ascii="Times New Roman" w:hAnsi="Times New Roman"/>
          <w:sz w:val="24"/>
          <w:szCs w:val="24"/>
        </w:rPr>
        <w:t>(рис. 1).</w:t>
      </w:r>
    </w:p>
    <w:p w:rsidR="00CC67E3" w:rsidRPr="000B3CF8" w:rsidRDefault="00963302" w:rsidP="00CC67E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96330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.8pt;margin-top:13.8pt;width:287.75pt;height:174.3pt;z-index:-251659264;visibility:visible;mso-wrap-distance-right:9.19pt;mso-wrap-distance-bottom:2.98pt" wrapcoords="-106 0 -106 21300 21618 21300 21618 0 -106 0">
            <v:imagedata r:id="rId7" o:title=""/>
            <w10:wrap type="tight"/>
          </v:shape>
          <o:OLEObject Type="Embed" ProgID="Excel.Sheet.8" ShapeID="_x0000_s1028" DrawAspect="Content" ObjectID="_1593932529" r:id="rId8">
            <o:FieldCodes>\s</o:FieldCodes>
          </o:OLEObject>
        </w:pict>
      </w:r>
      <w:r w:rsidR="00CC67E3" w:rsidRPr="000B3CF8">
        <w:rPr>
          <w:rFonts w:ascii="Times New Roman" w:hAnsi="Times New Roman"/>
          <w:b/>
          <w:i/>
          <w:sz w:val="24"/>
          <w:szCs w:val="24"/>
        </w:rPr>
        <w:t>Рисунок 1</w:t>
      </w:r>
    </w:p>
    <w:p w:rsidR="00CC67E3" w:rsidRDefault="00963302" w:rsidP="00CC67E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63302">
        <w:rPr>
          <w:noProof/>
        </w:rPr>
        <w:pict>
          <v:shape id="_x0000_s1029" type="#_x0000_t75" style="position:absolute;left:0;text-align:left;margin-left:24pt;margin-top:6.8pt;width:201pt;height:161.85pt;z-index:-251658240;visibility:visible;mso-wrap-distance-left:9pt;mso-wrap-distance-top:0;mso-wrap-distance-right:9.29pt;mso-wrap-distance-bottom:3pt;mso-position-horizontal:absolute;mso-position-horizontal-relative:text;mso-position-vertical:absolute;mso-position-vertical-relative:text" wrapcoords="-154 0 -154 21468 21579 21468 21579 0 -154 0">
            <v:imagedata r:id="rId9" o:title=""/>
            <w10:wrap type="tight"/>
          </v:shape>
          <o:OLEObject Type="Embed" ProgID="Excel.Sheet.8" ShapeID="_x0000_s1029" DrawAspect="Content" ObjectID="_1593932530" r:id="rId10">
            <o:FieldCodes>\s</o:FieldCodes>
          </o:OLEObject>
        </w:pict>
      </w:r>
    </w:p>
    <w:p w:rsidR="00CC67E3" w:rsidRDefault="00CC67E3" w:rsidP="00F3507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CC67E3" w:rsidRDefault="00CC67E3" w:rsidP="00F3507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F3507D" w:rsidRDefault="00F3507D" w:rsidP="00F3507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830FA">
        <w:rPr>
          <w:rFonts w:ascii="Times New Roman" w:hAnsi="Times New Roman"/>
          <w:sz w:val="24"/>
          <w:szCs w:val="24"/>
        </w:rPr>
        <w:lastRenderedPageBreak/>
        <w:t xml:space="preserve">Ритмичная работа ОАО «ММЗ» в текущем году, а также положительная динамика биржевых показателей по черной металлургии, в совокупности с растущим на мировых рынках </w:t>
      </w:r>
      <w:r w:rsidRPr="00392F91">
        <w:rPr>
          <w:rFonts w:ascii="Times New Roman" w:hAnsi="Times New Roman"/>
          <w:sz w:val="24"/>
          <w:szCs w:val="24"/>
          <w:shd w:val="clear" w:color="auto" w:fill="FFFFFF"/>
        </w:rPr>
        <w:t>спросом на трансформаторную сталь</w:t>
      </w:r>
      <w:r w:rsidRPr="007830FA">
        <w:rPr>
          <w:rFonts w:ascii="Times New Roman" w:hAnsi="Times New Roman"/>
          <w:sz w:val="24"/>
          <w:szCs w:val="24"/>
        </w:rPr>
        <w:t xml:space="preserve">, обусловила практически двукратное расширение долевого участия чёрной металлургии в структуре выпуска с 19,6% до 39,0%. </w:t>
      </w:r>
      <w:r w:rsidR="005D4126">
        <w:rPr>
          <w:rFonts w:ascii="Times New Roman" w:hAnsi="Times New Roman"/>
          <w:sz w:val="24"/>
          <w:szCs w:val="24"/>
        </w:rPr>
        <w:t>На этом фоне</w:t>
      </w:r>
      <w:r w:rsidRPr="007830FA">
        <w:rPr>
          <w:rFonts w:ascii="Times New Roman" w:hAnsi="Times New Roman"/>
          <w:sz w:val="24"/>
          <w:szCs w:val="24"/>
        </w:rPr>
        <w:t xml:space="preserve"> отмечалось снижение в совокупном объёме производства удельного веса предприятий энергетического сектора на </w:t>
      </w:r>
      <w:r w:rsidR="00C81719">
        <w:rPr>
          <w:rFonts w:ascii="Times New Roman" w:hAnsi="Times New Roman"/>
          <w:sz w:val="24"/>
          <w:szCs w:val="24"/>
        </w:rPr>
        <w:t xml:space="preserve">             </w:t>
      </w:r>
      <w:r w:rsidRPr="007830FA">
        <w:rPr>
          <w:rFonts w:ascii="Times New Roman" w:hAnsi="Times New Roman"/>
          <w:sz w:val="24"/>
          <w:szCs w:val="24"/>
        </w:rPr>
        <w:t>10,0 п.п</w:t>
      </w:r>
      <w:proofErr w:type="gramEnd"/>
      <w:r w:rsidRPr="007830FA">
        <w:rPr>
          <w:rFonts w:ascii="Times New Roman" w:hAnsi="Times New Roman"/>
          <w:sz w:val="24"/>
          <w:szCs w:val="24"/>
        </w:rPr>
        <w:t>. до 27,0%, лёгкой и пищевой промышленностей – на 4,0 п.п. до 11,6% и на 3,7 п.п. до 10,7% соответственно.</w:t>
      </w:r>
    </w:p>
    <w:p w:rsidR="000B5F23" w:rsidRPr="000B3CF8" w:rsidRDefault="000B5F23" w:rsidP="000B5F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3CF8">
        <w:rPr>
          <w:rFonts w:ascii="Times New Roman" w:hAnsi="Times New Roman"/>
          <w:sz w:val="24"/>
          <w:szCs w:val="24"/>
        </w:rPr>
        <w:t xml:space="preserve">В отраслевом разрезе в </w:t>
      </w:r>
      <w:r>
        <w:rPr>
          <w:rFonts w:ascii="Times New Roman" w:hAnsi="Times New Roman"/>
          <w:sz w:val="24"/>
          <w:szCs w:val="24"/>
        </w:rPr>
        <w:t>июн</w:t>
      </w:r>
      <w:r w:rsidRPr="000B3CF8">
        <w:rPr>
          <w:rFonts w:ascii="Times New Roman" w:hAnsi="Times New Roman"/>
          <w:sz w:val="24"/>
          <w:szCs w:val="24"/>
        </w:rPr>
        <w:t>е текущего года по отношению к базовому показателю            2017 года динамика промышленного производства по большинству отраслей характеризовалась повышательной динамикой (рис. 2,3).</w:t>
      </w:r>
    </w:p>
    <w:p w:rsidR="000B5F23" w:rsidRPr="000B3CF8" w:rsidRDefault="000B5F23" w:rsidP="000B5F2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0B3CF8">
        <w:rPr>
          <w:rFonts w:ascii="Times New Roman" w:hAnsi="Times New Roman"/>
          <w:b/>
          <w:i/>
          <w:sz w:val="24"/>
          <w:szCs w:val="24"/>
        </w:rPr>
        <w:t>Рисунок 2</w:t>
      </w:r>
    </w:p>
    <w:p w:rsidR="000B5F23" w:rsidRPr="000B3CF8" w:rsidRDefault="000B5F23" w:rsidP="000B5F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24625" cy="2105025"/>
            <wp:effectExtent l="0" t="0" r="0" b="0"/>
            <wp:docPr id="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B5F23" w:rsidRPr="000B3CF8" w:rsidRDefault="000B5F23" w:rsidP="000B5F2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0B3CF8">
        <w:rPr>
          <w:rFonts w:ascii="Times New Roman" w:hAnsi="Times New Roman"/>
          <w:b/>
          <w:i/>
          <w:sz w:val="24"/>
          <w:szCs w:val="24"/>
        </w:rPr>
        <w:t>Рисунок 3</w:t>
      </w:r>
    </w:p>
    <w:p w:rsidR="000B5F23" w:rsidRPr="000B3CF8" w:rsidRDefault="000B5F23" w:rsidP="000B5F2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B3CF8">
        <w:rPr>
          <w:rFonts w:ascii="Times New Roman" w:hAnsi="Times New Roman"/>
          <w:b/>
          <w:sz w:val="24"/>
          <w:szCs w:val="24"/>
        </w:rPr>
        <w:t xml:space="preserve">Динамика промышленной продукции в разрезе </w:t>
      </w:r>
      <w:proofErr w:type="spellStart"/>
      <w:r w:rsidRPr="000B3CF8">
        <w:rPr>
          <w:rFonts w:ascii="Times New Roman" w:hAnsi="Times New Roman"/>
          <w:b/>
          <w:sz w:val="24"/>
          <w:szCs w:val="24"/>
        </w:rPr>
        <w:t>подотраслей</w:t>
      </w:r>
      <w:proofErr w:type="spellEnd"/>
      <w:r w:rsidRPr="000B3CF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0B3CF8">
        <w:rPr>
          <w:rFonts w:ascii="Times New Roman" w:hAnsi="Times New Roman"/>
          <w:b/>
          <w:sz w:val="24"/>
          <w:szCs w:val="24"/>
        </w:rPr>
        <w:t>млн</w:t>
      </w:r>
      <w:proofErr w:type="spellEnd"/>
      <w:proofErr w:type="gramEnd"/>
      <w:r w:rsidRPr="000B3CF8">
        <w:rPr>
          <w:rFonts w:ascii="Times New Roman" w:hAnsi="Times New Roman"/>
          <w:b/>
          <w:sz w:val="24"/>
          <w:szCs w:val="24"/>
        </w:rPr>
        <w:t xml:space="preserve"> руб.</w:t>
      </w:r>
    </w:p>
    <w:p w:rsidR="000B5F23" w:rsidRPr="000B3CF8" w:rsidRDefault="000B5F23" w:rsidP="000B5F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B3CF8">
        <w:rPr>
          <w:rFonts w:ascii="Times New Roman" w:hAnsi="Times New Roman"/>
          <w:b/>
          <w:sz w:val="24"/>
          <w:szCs w:val="24"/>
        </w:rPr>
        <w:t>(в сопоставимых ценах)</w:t>
      </w:r>
    </w:p>
    <w:p w:rsidR="000B5F23" w:rsidRPr="000B3CF8" w:rsidRDefault="000B5F23" w:rsidP="000B5F23">
      <w:pPr>
        <w:spacing w:after="0" w:line="240" w:lineRule="auto"/>
        <w:ind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91325" cy="2781300"/>
            <wp:effectExtent l="19050" t="0" r="9525" b="0"/>
            <wp:docPr id="6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B5F23" w:rsidRPr="007830FA" w:rsidRDefault="000B5F23" w:rsidP="00F3507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F3507D" w:rsidRPr="00322270" w:rsidRDefault="00F3507D" w:rsidP="00F3507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830FA">
        <w:rPr>
          <w:rFonts w:ascii="Times New Roman" w:hAnsi="Times New Roman"/>
          <w:sz w:val="24"/>
          <w:szCs w:val="24"/>
        </w:rPr>
        <w:t xml:space="preserve">В целом по итогам </w:t>
      </w:r>
      <w:r w:rsidR="005D4126">
        <w:rPr>
          <w:rFonts w:ascii="Times New Roman" w:hAnsi="Times New Roman"/>
          <w:sz w:val="24"/>
          <w:szCs w:val="24"/>
        </w:rPr>
        <w:t xml:space="preserve">полугодия </w:t>
      </w:r>
      <w:r w:rsidRPr="007830FA">
        <w:rPr>
          <w:rFonts w:ascii="Times New Roman" w:hAnsi="Times New Roman"/>
          <w:sz w:val="24"/>
          <w:szCs w:val="24"/>
        </w:rPr>
        <w:t xml:space="preserve">расширение промышленного производства </w:t>
      </w:r>
      <w:r w:rsidRPr="00322270">
        <w:rPr>
          <w:rFonts w:ascii="Times New Roman" w:hAnsi="Times New Roman"/>
          <w:sz w:val="24"/>
          <w:szCs w:val="24"/>
        </w:rPr>
        <w:t xml:space="preserve">зафиксировано практически по всем </w:t>
      </w:r>
      <w:proofErr w:type="spellStart"/>
      <w:r w:rsidRPr="00322270">
        <w:rPr>
          <w:rFonts w:ascii="Times New Roman" w:hAnsi="Times New Roman"/>
          <w:sz w:val="24"/>
          <w:szCs w:val="24"/>
        </w:rPr>
        <w:t>подотраслям</w:t>
      </w:r>
      <w:proofErr w:type="spellEnd"/>
      <w:r w:rsidRPr="00322270">
        <w:rPr>
          <w:rFonts w:ascii="Times New Roman" w:hAnsi="Times New Roman"/>
          <w:sz w:val="24"/>
          <w:szCs w:val="24"/>
        </w:rPr>
        <w:t>:</w:t>
      </w:r>
    </w:p>
    <w:p w:rsidR="00F3507D" w:rsidRPr="005D4126" w:rsidRDefault="00F3507D" w:rsidP="005D412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22270">
        <w:rPr>
          <w:rFonts w:ascii="Times New Roman" w:hAnsi="Times New Roman"/>
          <w:sz w:val="24"/>
          <w:szCs w:val="24"/>
        </w:rPr>
        <w:t xml:space="preserve">- в </w:t>
      </w:r>
      <w:r w:rsidRPr="00322270">
        <w:rPr>
          <w:rFonts w:ascii="Times New Roman" w:hAnsi="Times New Roman"/>
          <w:b/>
          <w:sz w:val="24"/>
          <w:szCs w:val="24"/>
        </w:rPr>
        <w:t>электроэнергетическом комплексе</w:t>
      </w:r>
      <w:r w:rsidRPr="00322270">
        <w:rPr>
          <w:rFonts w:ascii="Times New Roman" w:hAnsi="Times New Roman"/>
          <w:sz w:val="24"/>
          <w:szCs w:val="24"/>
        </w:rPr>
        <w:t xml:space="preserve"> республики на фоне повышения с апреля</w:t>
      </w:r>
      <w:r w:rsidR="005D4126">
        <w:rPr>
          <w:rFonts w:ascii="Times New Roman" w:hAnsi="Times New Roman"/>
          <w:sz w:val="24"/>
          <w:szCs w:val="24"/>
        </w:rPr>
        <w:t xml:space="preserve"> контрактной</w:t>
      </w:r>
      <w:r w:rsidRPr="00322270">
        <w:rPr>
          <w:rFonts w:ascii="Times New Roman" w:hAnsi="Times New Roman"/>
          <w:sz w:val="24"/>
          <w:szCs w:val="24"/>
        </w:rPr>
        <w:t xml:space="preserve"> стоимости отпускаемой на экспорт электроэнергии, а также роста спроса со стороны отечественных хозяйственных субъектов фиксируется увеличение отраслевого выпуска в стоимостном выражении на 28,1% до 1 782,0 </w:t>
      </w:r>
      <w:proofErr w:type="spellStart"/>
      <w:proofErr w:type="gramStart"/>
      <w:r w:rsidRPr="00322270">
        <w:rPr>
          <w:rFonts w:ascii="Times New Roman" w:hAnsi="Times New Roman"/>
          <w:sz w:val="24"/>
          <w:szCs w:val="24"/>
        </w:rPr>
        <w:t>млн</w:t>
      </w:r>
      <w:proofErr w:type="spellEnd"/>
      <w:proofErr w:type="gramEnd"/>
      <w:r w:rsidRPr="00322270">
        <w:rPr>
          <w:rFonts w:ascii="Times New Roman" w:hAnsi="Times New Roman"/>
          <w:sz w:val="24"/>
          <w:szCs w:val="24"/>
        </w:rPr>
        <w:t xml:space="preserve"> руб., в реальном выражении на 26,6%. При этом в натуральном выражении выработка электроэнергии возросла на 28,9%, или на 492915 тыс. кВт/ч., </w:t>
      </w:r>
      <w:r w:rsidRPr="00322270">
        <w:rPr>
          <w:rFonts w:ascii="Times New Roman" w:hAnsi="Times New Roman"/>
          <w:color w:val="000000"/>
          <w:sz w:val="24"/>
          <w:szCs w:val="24"/>
        </w:rPr>
        <w:t xml:space="preserve">товарный выпуск </w:t>
      </w:r>
      <w:proofErr w:type="spellStart"/>
      <w:r w:rsidRPr="00322270">
        <w:rPr>
          <w:rFonts w:ascii="Times New Roman" w:hAnsi="Times New Roman"/>
          <w:color w:val="000000"/>
          <w:sz w:val="24"/>
          <w:szCs w:val="24"/>
        </w:rPr>
        <w:t>теплоэнергии</w:t>
      </w:r>
      <w:proofErr w:type="spellEnd"/>
      <w:r w:rsidRPr="00322270">
        <w:rPr>
          <w:rFonts w:ascii="Times New Roman" w:hAnsi="Times New Roman"/>
          <w:color w:val="000000"/>
          <w:sz w:val="24"/>
          <w:szCs w:val="24"/>
        </w:rPr>
        <w:t xml:space="preserve"> сократилс</w:t>
      </w:r>
      <w:r w:rsidR="005D4126">
        <w:rPr>
          <w:rFonts w:ascii="Times New Roman" w:hAnsi="Times New Roman"/>
          <w:color w:val="000000"/>
          <w:sz w:val="24"/>
          <w:szCs w:val="24"/>
        </w:rPr>
        <w:t>я на 4,2%, или на 37 тыс. Гкал</w:t>
      </w:r>
      <w:r w:rsidRPr="00322270">
        <w:rPr>
          <w:rFonts w:ascii="Times New Roman" w:hAnsi="Times New Roman"/>
          <w:color w:val="000000"/>
          <w:sz w:val="24"/>
          <w:szCs w:val="24"/>
        </w:rPr>
        <w:t>;</w:t>
      </w:r>
    </w:p>
    <w:p w:rsidR="00F3507D" w:rsidRPr="00FB03EA" w:rsidRDefault="00F3507D" w:rsidP="00F3507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22270">
        <w:rPr>
          <w:rFonts w:ascii="Times New Roman" w:hAnsi="Times New Roman"/>
          <w:sz w:val="24"/>
          <w:szCs w:val="24"/>
        </w:rPr>
        <w:t xml:space="preserve">- в </w:t>
      </w:r>
      <w:r w:rsidRPr="00322270">
        <w:rPr>
          <w:rFonts w:ascii="Times New Roman" w:hAnsi="Times New Roman"/>
          <w:b/>
          <w:sz w:val="24"/>
          <w:szCs w:val="24"/>
        </w:rPr>
        <w:t xml:space="preserve">чёрной металлургии </w:t>
      </w:r>
      <w:r w:rsidRPr="00322270">
        <w:rPr>
          <w:rFonts w:ascii="Times New Roman" w:hAnsi="Times New Roman"/>
          <w:sz w:val="24"/>
          <w:szCs w:val="24"/>
        </w:rPr>
        <w:t xml:space="preserve">активизация деятельности на ОАО «Молдавский металлургический завод» в текущем году на фоне низкой базы сравнения (отсутствие товарного выпуска в январе-феврале 2017 года) сопровождалась наращиванием выпуска проката черных металлов в </w:t>
      </w:r>
      <w:r w:rsidRPr="00322270">
        <w:rPr>
          <w:rFonts w:ascii="Times New Roman" w:hAnsi="Times New Roman"/>
          <w:sz w:val="24"/>
          <w:szCs w:val="24"/>
        </w:rPr>
        <w:lastRenderedPageBreak/>
        <w:t xml:space="preserve">натуральном выражении на 91,2%, что в </w:t>
      </w:r>
      <w:proofErr w:type="gramStart"/>
      <w:r w:rsidRPr="00322270">
        <w:rPr>
          <w:rFonts w:ascii="Times New Roman" w:hAnsi="Times New Roman"/>
          <w:sz w:val="24"/>
          <w:szCs w:val="24"/>
        </w:rPr>
        <w:t>условиях</w:t>
      </w:r>
      <w:proofErr w:type="gramEnd"/>
      <w:r w:rsidRPr="00322270">
        <w:rPr>
          <w:rFonts w:ascii="Times New Roman" w:hAnsi="Times New Roman"/>
          <w:sz w:val="24"/>
          <w:szCs w:val="24"/>
        </w:rPr>
        <w:t xml:space="preserve"> складывающихся на мировых биржах котировок на лом черных металлов, а также на готовую продукцию отрасли, обеспечило увеличение объёма промышленного производства в стоимостном выражении в текущих ценах в 3,5 раза до 2 581,1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 w:rsidRPr="00322270">
        <w:rPr>
          <w:rFonts w:ascii="Times New Roman" w:hAnsi="Times New Roman"/>
          <w:sz w:val="24"/>
          <w:szCs w:val="24"/>
        </w:rPr>
        <w:t>млн</w:t>
      </w:r>
      <w:proofErr w:type="spellEnd"/>
      <w:proofErr w:type="gramEnd"/>
      <w:r w:rsidRPr="00322270">
        <w:rPr>
          <w:rFonts w:ascii="Times New Roman" w:hAnsi="Times New Roman"/>
          <w:sz w:val="24"/>
          <w:szCs w:val="24"/>
        </w:rPr>
        <w:t xml:space="preserve"> </w:t>
      </w:r>
      <w:r w:rsidRPr="00FB03EA">
        <w:rPr>
          <w:rFonts w:ascii="Times New Roman" w:hAnsi="Times New Roman"/>
          <w:sz w:val="24"/>
          <w:szCs w:val="24"/>
        </w:rPr>
        <w:t>руб., в реальном выражении – на 87,8%.</w:t>
      </w:r>
    </w:p>
    <w:p w:rsidR="00F3507D" w:rsidRPr="00FB03EA" w:rsidRDefault="00F3507D" w:rsidP="005D412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FB03EA">
        <w:rPr>
          <w:rFonts w:ascii="Times New Roman" w:hAnsi="Times New Roman"/>
          <w:sz w:val="24"/>
          <w:szCs w:val="24"/>
        </w:rPr>
        <w:t xml:space="preserve">Между тем в июне 2018 года в условиях действия целого ряда факторов ограничительного характера (проведение на предприятии работ по модернизации оборудования, в частности приобретение </w:t>
      </w:r>
      <w:r w:rsidRPr="00FB03EA">
        <w:rPr>
          <w:rFonts w:ascii="Times New Roman" w:hAnsi="Times New Roman"/>
          <w:color w:val="222222"/>
          <w:sz w:val="24"/>
          <w:szCs w:val="24"/>
        </w:rPr>
        <w:t>итальянских ножниц для резки металлолома,</w:t>
      </w:r>
      <w:r w:rsidRPr="00FB03EA">
        <w:rPr>
          <w:rFonts w:ascii="Times New Roman" w:hAnsi="Times New Roman"/>
          <w:sz w:val="24"/>
          <w:szCs w:val="24"/>
        </w:rPr>
        <w:t xml:space="preserve"> действие введенных со стороны Украины санкций против ОАО «Молдавский металлургический завод»</w:t>
      </w:r>
      <w:r>
        <w:rPr>
          <w:rFonts w:ascii="Times New Roman" w:hAnsi="Times New Roman"/>
          <w:sz w:val="24"/>
          <w:szCs w:val="24"/>
        </w:rPr>
        <w:t>)</w:t>
      </w:r>
      <w:r w:rsidR="00C81719">
        <w:rPr>
          <w:rFonts w:ascii="Times New Roman" w:hAnsi="Times New Roman"/>
          <w:sz w:val="24"/>
          <w:szCs w:val="24"/>
        </w:rPr>
        <w:t xml:space="preserve"> </w:t>
      </w:r>
      <w:r w:rsidRPr="00FB03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отмечалась отрицательная динамика ценовой конъюнктуры, что выразилось в снижении объёмов производства в текущих ценах на 7,9%, а в сопоставимых –</w:t>
      </w:r>
      <w:r w:rsidR="005D4126">
        <w:rPr>
          <w:rFonts w:ascii="Times New Roman" w:hAnsi="Times New Roman"/>
          <w:sz w:val="24"/>
          <w:szCs w:val="24"/>
          <w:shd w:val="clear" w:color="auto" w:fill="FFFFFF"/>
        </w:rPr>
        <w:t xml:space="preserve"> на</w:t>
      </w:r>
      <w:proofErr w:type="gramEnd"/>
      <w:r w:rsidR="005D4126">
        <w:rPr>
          <w:rFonts w:ascii="Times New Roman" w:hAnsi="Times New Roman"/>
          <w:sz w:val="24"/>
          <w:szCs w:val="24"/>
          <w:shd w:val="clear" w:color="auto" w:fill="FFFFFF"/>
        </w:rPr>
        <w:t xml:space="preserve"> 6,2%</w:t>
      </w:r>
      <w:r w:rsidRPr="00FB03EA">
        <w:rPr>
          <w:rFonts w:ascii="Times New Roman" w:hAnsi="Times New Roman"/>
          <w:sz w:val="24"/>
          <w:szCs w:val="24"/>
        </w:rPr>
        <w:t>;</w:t>
      </w:r>
    </w:p>
    <w:p w:rsidR="00F3507D" w:rsidRPr="003304B5" w:rsidRDefault="00F3507D" w:rsidP="00F3507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304B5">
        <w:rPr>
          <w:rFonts w:ascii="Times New Roman" w:hAnsi="Times New Roman"/>
          <w:sz w:val="24"/>
          <w:szCs w:val="24"/>
        </w:rPr>
        <w:t xml:space="preserve">- </w:t>
      </w:r>
      <w:r w:rsidRPr="003304B5">
        <w:rPr>
          <w:rFonts w:ascii="Times New Roman" w:hAnsi="Times New Roman"/>
          <w:b/>
          <w:sz w:val="24"/>
          <w:szCs w:val="24"/>
        </w:rPr>
        <w:t xml:space="preserve">в химической промышленности </w:t>
      </w:r>
      <w:r w:rsidRPr="003304B5">
        <w:rPr>
          <w:rFonts w:ascii="Times New Roman" w:hAnsi="Times New Roman"/>
          <w:sz w:val="24"/>
          <w:szCs w:val="24"/>
        </w:rPr>
        <w:t xml:space="preserve">объем отраслевого выпуска достиг 147,5 </w:t>
      </w:r>
      <w:proofErr w:type="spellStart"/>
      <w:proofErr w:type="gramStart"/>
      <w:r w:rsidRPr="003304B5">
        <w:rPr>
          <w:rFonts w:ascii="Times New Roman" w:hAnsi="Times New Roman"/>
          <w:sz w:val="24"/>
          <w:szCs w:val="24"/>
        </w:rPr>
        <w:t>млн</w:t>
      </w:r>
      <w:proofErr w:type="spellEnd"/>
      <w:proofErr w:type="gramEnd"/>
      <w:r w:rsidRPr="003304B5">
        <w:rPr>
          <w:rFonts w:ascii="Times New Roman" w:hAnsi="Times New Roman"/>
          <w:sz w:val="24"/>
          <w:szCs w:val="24"/>
        </w:rPr>
        <w:t xml:space="preserve"> руб., превыси</w:t>
      </w:r>
      <w:r>
        <w:rPr>
          <w:rFonts w:ascii="Times New Roman" w:hAnsi="Times New Roman"/>
          <w:sz w:val="24"/>
          <w:szCs w:val="24"/>
        </w:rPr>
        <w:t>в</w:t>
      </w:r>
      <w:r w:rsidRPr="003304B5">
        <w:rPr>
          <w:rFonts w:ascii="Times New Roman" w:hAnsi="Times New Roman"/>
          <w:sz w:val="24"/>
          <w:szCs w:val="24"/>
        </w:rPr>
        <w:t xml:space="preserve"> прошлогодний показатель на 70,3% в текущих и на 25,9% в сопоставимых ценах;</w:t>
      </w:r>
    </w:p>
    <w:p w:rsidR="00F3507D" w:rsidRPr="003304B5" w:rsidRDefault="00F3507D" w:rsidP="00F3507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304B5">
        <w:rPr>
          <w:rFonts w:ascii="Times New Roman" w:hAnsi="Times New Roman"/>
          <w:sz w:val="24"/>
          <w:szCs w:val="24"/>
        </w:rPr>
        <w:t xml:space="preserve">- на предприятиях </w:t>
      </w:r>
      <w:r w:rsidRPr="003304B5">
        <w:rPr>
          <w:rFonts w:ascii="Times New Roman" w:hAnsi="Times New Roman"/>
          <w:b/>
          <w:sz w:val="24"/>
          <w:szCs w:val="24"/>
        </w:rPr>
        <w:t xml:space="preserve">машиностроения и металлообработки, </w:t>
      </w:r>
      <w:r w:rsidRPr="003304B5">
        <w:rPr>
          <w:rFonts w:ascii="Times New Roman" w:hAnsi="Times New Roman"/>
          <w:sz w:val="24"/>
          <w:szCs w:val="24"/>
        </w:rPr>
        <w:t xml:space="preserve">деятельность которых в основном ориентирована на российский рынок, в июне 2018 года зафиксирован рост относительно майских параметров на 13,7% (в сопоставимых ценах). В целом же по итогам </w:t>
      </w:r>
      <w:r w:rsidR="005D4126">
        <w:rPr>
          <w:rFonts w:ascii="Times New Roman" w:hAnsi="Times New Roman"/>
          <w:sz w:val="24"/>
          <w:szCs w:val="24"/>
        </w:rPr>
        <w:t>отчетного периода</w:t>
      </w:r>
      <w:r w:rsidRPr="003304B5">
        <w:rPr>
          <w:rFonts w:ascii="Times New Roman" w:hAnsi="Times New Roman"/>
          <w:sz w:val="24"/>
          <w:szCs w:val="24"/>
        </w:rPr>
        <w:t xml:space="preserve"> товарный выпуск отрасли сократился в реальном выражении на 3,4%, при этом в текущих ценах на фоне положительных ценовых тенденций зафиксирован прирост на 32,6% до 175,8 </w:t>
      </w:r>
      <w:proofErr w:type="spellStart"/>
      <w:proofErr w:type="gramStart"/>
      <w:r w:rsidRPr="003304B5">
        <w:rPr>
          <w:rFonts w:ascii="Times New Roman" w:hAnsi="Times New Roman"/>
          <w:sz w:val="24"/>
          <w:szCs w:val="24"/>
        </w:rPr>
        <w:t>млн</w:t>
      </w:r>
      <w:proofErr w:type="spellEnd"/>
      <w:proofErr w:type="gramEnd"/>
      <w:r w:rsidRPr="003304B5">
        <w:rPr>
          <w:rFonts w:ascii="Times New Roman" w:hAnsi="Times New Roman"/>
          <w:sz w:val="24"/>
          <w:szCs w:val="24"/>
        </w:rPr>
        <w:t xml:space="preserve"> руб.;</w:t>
      </w:r>
    </w:p>
    <w:p w:rsidR="00F3507D" w:rsidRPr="003304B5" w:rsidRDefault="00F3507D" w:rsidP="00F3507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304B5">
        <w:rPr>
          <w:rFonts w:ascii="Times New Roman" w:hAnsi="Times New Roman"/>
          <w:sz w:val="24"/>
          <w:szCs w:val="24"/>
        </w:rPr>
        <w:t>- в</w:t>
      </w:r>
      <w:r w:rsidRPr="003304B5">
        <w:rPr>
          <w:rFonts w:ascii="Times New Roman" w:hAnsi="Times New Roman"/>
          <w:b/>
          <w:sz w:val="24"/>
          <w:szCs w:val="24"/>
        </w:rPr>
        <w:t xml:space="preserve"> электротехнической промышленности </w:t>
      </w:r>
      <w:r w:rsidRPr="003304B5">
        <w:rPr>
          <w:rFonts w:ascii="Times New Roman" w:hAnsi="Times New Roman"/>
          <w:sz w:val="24"/>
          <w:szCs w:val="24"/>
        </w:rPr>
        <w:t xml:space="preserve">объем выработки </w:t>
      </w:r>
      <w:r w:rsidR="005D4126">
        <w:rPr>
          <w:rFonts w:ascii="Times New Roman" w:hAnsi="Times New Roman"/>
          <w:sz w:val="24"/>
          <w:szCs w:val="24"/>
        </w:rPr>
        <w:t>достиг</w:t>
      </w:r>
      <w:r w:rsidRPr="003304B5">
        <w:rPr>
          <w:rFonts w:ascii="Times New Roman" w:hAnsi="Times New Roman"/>
          <w:sz w:val="24"/>
          <w:szCs w:val="24"/>
        </w:rPr>
        <w:t xml:space="preserve"> 124,3 </w:t>
      </w:r>
      <w:proofErr w:type="spellStart"/>
      <w:proofErr w:type="gramStart"/>
      <w:r w:rsidRPr="003304B5">
        <w:rPr>
          <w:rFonts w:ascii="Times New Roman" w:hAnsi="Times New Roman"/>
          <w:sz w:val="24"/>
          <w:szCs w:val="24"/>
        </w:rPr>
        <w:t>млн</w:t>
      </w:r>
      <w:proofErr w:type="spellEnd"/>
      <w:proofErr w:type="gramEnd"/>
      <w:r w:rsidRPr="003304B5">
        <w:rPr>
          <w:rFonts w:ascii="Times New Roman" w:hAnsi="Times New Roman"/>
          <w:sz w:val="24"/>
          <w:szCs w:val="24"/>
        </w:rPr>
        <w:t xml:space="preserve"> руб., превысив значение предыдущего года в текущих ценах на 85,5%, в сопоставимых – на 37,8%. В разрезе товарной номенклатуры зафиксирован рост по всем основным видам выпускаемой продукции в натуральном выражении, в том числе </w:t>
      </w:r>
      <w:r w:rsidR="005D4126" w:rsidRPr="003304B5">
        <w:rPr>
          <w:rFonts w:ascii="Times New Roman" w:hAnsi="Times New Roman"/>
          <w:sz w:val="24"/>
          <w:szCs w:val="24"/>
        </w:rPr>
        <w:t xml:space="preserve">выросло </w:t>
      </w:r>
      <w:r w:rsidRPr="003304B5">
        <w:rPr>
          <w:rFonts w:ascii="Times New Roman" w:hAnsi="Times New Roman"/>
          <w:sz w:val="24"/>
          <w:szCs w:val="24"/>
        </w:rPr>
        <w:t>производство кабелей силовых с алюминиевой жилкой – в 2,3 раза, электромашин крупных</w:t>
      </w:r>
      <w:r w:rsidR="005D4126">
        <w:rPr>
          <w:rFonts w:ascii="Times New Roman" w:hAnsi="Times New Roman"/>
          <w:sz w:val="24"/>
          <w:szCs w:val="24"/>
        </w:rPr>
        <w:t xml:space="preserve"> –</w:t>
      </w:r>
      <w:r w:rsidRPr="003304B5">
        <w:rPr>
          <w:rFonts w:ascii="Times New Roman" w:hAnsi="Times New Roman"/>
          <w:sz w:val="24"/>
          <w:szCs w:val="24"/>
        </w:rPr>
        <w:t xml:space="preserve"> в 2,1 раза, кабельных изделий – на 63,4%, проводов обмоточных – на 46,6% и др.;</w:t>
      </w:r>
    </w:p>
    <w:p w:rsidR="00F3507D" w:rsidRPr="003304B5" w:rsidRDefault="00F3507D" w:rsidP="00F3507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304B5">
        <w:rPr>
          <w:rFonts w:ascii="Times New Roman" w:hAnsi="Times New Roman"/>
          <w:sz w:val="24"/>
          <w:szCs w:val="24"/>
        </w:rPr>
        <w:t xml:space="preserve">- в </w:t>
      </w:r>
      <w:r w:rsidRPr="003304B5">
        <w:rPr>
          <w:rFonts w:ascii="Times New Roman" w:hAnsi="Times New Roman"/>
          <w:b/>
          <w:sz w:val="24"/>
          <w:szCs w:val="24"/>
        </w:rPr>
        <w:t xml:space="preserve">промышленности строительных материалов </w:t>
      </w:r>
      <w:r w:rsidRPr="003304B5">
        <w:rPr>
          <w:rFonts w:ascii="Times New Roman" w:hAnsi="Times New Roman"/>
          <w:sz w:val="24"/>
          <w:szCs w:val="24"/>
        </w:rPr>
        <w:t xml:space="preserve">товарный выпуск расширился в текущих ценах на 66,0% до 251,8 </w:t>
      </w:r>
      <w:proofErr w:type="spellStart"/>
      <w:proofErr w:type="gramStart"/>
      <w:r w:rsidRPr="003304B5">
        <w:rPr>
          <w:rFonts w:ascii="Times New Roman" w:hAnsi="Times New Roman"/>
          <w:sz w:val="24"/>
          <w:szCs w:val="24"/>
        </w:rPr>
        <w:t>млн</w:t>
      </w:r>
      <w:proofErr w:type="spellEnd"/>
      <w:proofErr w:type="gramEnd"/>
      <w:r w:rsidRPr="003304B5">
        <w:rPr>
          <w:rFonts w:ascii="Times New Roman" w:hAnsi="Times New Roman"/>
          <w:sz w:val="24"/>
          <w:szCs w:val="24"/>
        </w:rPr>
        <w:t xml:space="preserve"> руб., в сопоставимых – на 22,2%. При этом, учитывая сезонный фактор и складывающуюся на рынке конкуренцию, рост спроса на товарную номенклатуру отрасли обеспечил увеличение производственных параметров во втором квартале 2018 года на 81,0% относительно аналогичного периода 2017 года и в 4,7 раз по отношению к первому кварт</w:t>
      </w:r>
      <w:r>
        <w:rPr>
          <w:rFonts w:ascii="Times New Roman" w:hAnsi="Times New Roman"/>
          <w:sz w:val="24"/>
          <w:szCs w:val="24"/>
        </w:rPr>
        <w:t>а</w:t>
      </w:r>
      <w:r w:rsidRPr="003304B5">
        <w:rPr>
          <w:rFonts w:ascii="Times New Roman" w:hAnsi="Times New Roman"/>
          <w:sz w:val="24"/>
          <w:szCs w:val="24"/>
        </w:rPr>
        <w:t>лу текущего года;</w:t>
      </w:r>
    </w:p>
    <w:p w:rsidR="00F3507D" w:rsidRPr="003304B5" w:rsidRDefault="00F3507D" w:rsidP="00F3507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04B5">
        <w:rPr>
          <w:rFonts w:ascii="Times New Roman" w:hAnsi="Times New Roman"/>
          <w:sz w:val="24"/>
          <w:szCs w:val="24"/>
        </w:rPr>
        <w:t xml:space="preserve">- на предприятиях </w:t>
      </w:r>
      <w:r w:rsidRPr="003304B5">
        <w:rPr>
          <w:rFonts w:ascii="Times New Roman" w:hAnsi="Times New Roman"/>
          <w:b/>
          <w:sz w:val="24"/>
          <w:szCs w:val="24"/>
        </w:rPr>
        <w:t xml:space="preserve">лёгкой промышленности </w:t>
      </w:r>
      <w:r>
        <w:rPr>
          <w:rFonts w:ascii="Times New Roman" w:hAnsi="Times New Roman"/>
          <w:sz w:val="24"/>
          <w:szCs w:val="24"/>
        </w:rPr>
        <w:t>б</w:t>
      </w:r>
      <w:r w:rsidRPr="003304B5">
        <w:rPr>
          <w:rFonts w:ascii="Times New Roman" w:hAnsi="Times New Roman"/>
          <w:sz w:val="24"/>
          <w:szCs w:val="24"/>
        </w:rPr>
        <w:t>лагоприятная ценовая конъюнктура на основные виды товарной номенклатуры</w:t>
      </w:r>
      <w:r>
        <w:rPr>
          <w:rFonts w:ascii="Times New Roman" w:hAnsi="Times New Roman"/>
          <w:sz w:val="24"/>
          <w:szCs w:val="24"/>
        </w:rPr>
        <w:t xml:space="preserve"> в совокупности с реализацией</w:t>
      </w:r>
      <w:r w:rsidRPr="003304B5">
        <w:rPr>
          <w:rFonts w:ascii="Times New Roman" w:hAnsi="Times New Roman"/>
          <w:sz w:val="24"/>
          <w:szCs w:val="24"/>
        </w:rPr>
        <w:t xml:space="preserve"> активной маркетинговой и сбытовой стратеги</w:t>
      </w:r>
      <w:r w:rsidR="00AF360A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обусловили</w:t>
      </w:r>
      <w:r w:rsidRPr="003304B5">
        <w:rPr>
          <w:rFonts w:ascii="Times New Roman" w:hAnsi="Times New Roman"/>
          <w:sz w:val="24"/>
          <w:szCs w:val="24"/>
        </w:rPr>
        <w:t xml:space="preserve"> увеличение выпуска хлопчатобумажной пряжи – на 3,0%, хлопчатобумажных тканей – на 0,7%, отдельных видов швейных изделий, таких как, брюки – в 3,1</w:t>
      </w:r>
      <w:r>
        <w:rPr>
          <w:rFonts w:ascii="Times New Roman" w:hAnsi="Times New Roman"/>
          <w:sz w:val="24"/>
          <w:szCs w:val="24"/>
        </w:rPr>
        <w:t> </w:t>
      </w:r>
      <w:r w:rsidRPr="003304B5">
        <w:rPr>
          <w:rFonts w:ascii="Times New Roman" w:hAnsi="Times New Roman"/>
          <w:sz w:val="24"/>
          <w:szCs w:val="24"/>
        </w:rPr>
        <w:t xml:space="preserve">раза, пиджаки – на 74,5%, пальто и полупальто – на 29,8%, одеяла – на 41,9%, </w:t>
      </w:r>
      <w:r>
        <w:rPr>
          <w:rFonts w:ascii="Times New Roman" w:hAnsi="Times New Roman"/>
          <w:sz w:val="24"/>
          <w:szCs w:val="24"/>
        </w:rPr>
        <w:t>комплекты</w:t>
      </w:r>
      <w:r w:rsidRPr="003304B5">
        <w:rPr>
          <w:rFonts w:ascii="Times New Roman" w:hAnsi="Times New Roman"/>
          <w:sz w:val="24"/>
          <w:szCs w:val="24"/>
        </w:rPr>
        <w:t xml:space="preserve"> постельного белья – на </w:t>
      </w:r>
      <w:r>
        <w:rPr>
          <w:rFonts w:ascii="Times New Roman" w:hAnsi="Times New Roman"/>
          <w:sz w:val="24"/>
          <w:szCs w:val="24"/>
        </w:rPr>
        <w:t>21,3</w:t>
      </w:r>
      <w:r w:rsidRPr="003304B5">
        <w:rPr>
          <w:rFonts w:ascii="Times New Roman" w:hAnsi="Times New Roman"/>
          <w:sz w:val="24"/>
          <w:szCs w:val="24"/>
        </w:rPr>
        <w:t>%, а также</w:t>
      </w:r>
      <w:proofErr w:type="gramEnd"/>
      <w:r w:rsidRPr="003304B5">
        <w:rPr>
          <w:rFonts w:ascii="Times New Roman" w:hAnsi="Times New Roman"/>
          <w:sz w:val="24"/>
          <w:szCs w:val="24"/>
        </w:rPr>
        <w:t xml:space="preserve"> обувь – на 21,1%</w:t>
      </w:r>
      <w:r>
        <w:rPr>
          <w:rFonts w:ascii="Times New Roman" w:hAnsi="Times New Roman"/>
          <w:sz w:val="24"/>
          <w:szCs w:val="24"/>
        </w:rPr>
        <w:t xml:space="preserve">, что в совокупности с динамикой </w:t>
      </w:r>
      <w:r w:rsidR="00AF360A">
        <w:rPr>
          <w:rFonts w:ascii="Times New Roman" w:hAnsi="Times New Roman"/>
          <w:sz w:val="24"/>
          <w:szCs w:val="24"/>
        </w:rPr>
        <w:t>производства</w:t>
      </w:r>
      <w:r>
        <w:rPr>
          <w:rFonts w:ascii="Times New Roman" w:hAnsi="Times New Roman"/>
          <w:sz w:val="24"/>
          <w:szCs w:val="24"/>
        </w:rPr>
        <w:t xml:space="preserve"> прочих отраслевых товаров стимулировало </w:t>
      </w:r>
      <w:r w:rsidRPr="003304B5">
        <w:rPr>
          <w:rFonts w:ascii="Times New Roman" w:hAnsi="Times New Roman"/>
          <w:sz w:val="24"/>
          <w:szCs w:val="24"/>
        </w:rPr>
        <w:t xml:space="preserve">прирост товарного выпуска в текущих ценах на 30,8% до 765,4 </w:t>
      </w:r>
      <w:proofErr w:type="spellStart"/>
      <w:proofErr w:type="gramStart"/>
      <w:r w:rsidRPr="003304B5">
        <w:rPr>
          <w:rFonts w:ascii="Times New Roman" w:hAnsi="Times New Roman"/>
          <w:sz w:val="24"/>
          <w:szCs w:val="24"/>
        </w:rPr>
        <w:t>млн</w:t>
      </w:r>
      <w:proofErr w:type="spellEnd"/>
      <w:proofErr w:type="gramEnd"/>
      <w:r w:rsidRPr="003304B5">
        <w:rPr>
          <w:rFonts w:ascii="Times New Roman" w:hAnsi="Times New Roman"/>
          <w:sz w:val="24"/>
          <w:szCs w:val="24"/>
        </w:rPr>
        <w:t xml:space="preserve"> руб., в сопоставимых – на 12,8%;</w:t>
      </w:r>
    </w:p>
    <w:p w:rsidR="00F3507D" w:rsidRPr="003304B5" w:rsidRDefault="00F3507D" w:rsidP="00F3507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304B5">
        <w:rPr>
          <w:rFonts w:ascii="Times New Roman" w:hAnsi="Times New Roman"/>
          <w:sz w:val="24"/>
          <w:szCs w:val="24"/>
        </w:rPr>
        <w:t xml:space="preserve">- в </w:t>
      </w:r>
      <w:r w:rsidRPr="003304B5">
        <w:rPr>
          <w:rFonts w:ascii="Times New Roman" w:hAnsi="Times New Roman"/>
          <w:b/>
          <w:snapToGrid w:val="0"/>
          <w:sz w:val="24"/>
          <w:szCs w:val="24"/>
        </w:rPr>
        <w:t xml:space="preserve">пищевой промышленности </w:t>
      </w:r>
      <w:r w:rsidRPr="003304B5">
        <w:rPr>
          <w:rFonts w:ascii="Times New Roman" w:hAnsi="Times New Roman"/>
          <w:snapToGrid w:val="0"/>
          <w:sz w:val="24"/>
          <w:szCs w:val="24"/>
        </w:rPr>
        <w:t xml:space="preserve">в условиях расширения спроса на отечественную продукцию отмечается </w:t>
      </w:r>
      <w:r w:rsidRPr="003304B5">
        <w:rPr>
          <w:rFonts w:ascii="Times New Roman" w:hAnsi="Times New Roman"/>
          <w:sz w:val="24"/>
          <w:szCs w:val="24"/>
        </w:rPr>
        <w:t>наращивание производства в разрезе практически всех крупнейших предприятий отрасли, за исключением З</w:t>
      </w:r>
      <w:r w:rsidR="00F81C0C">
        <w:rPr>
          <w:rFonts w:ascii="Times New Roman" w:hAnsi="Times New Roman"/>
          <w:sz w:val="24"/>
          <w:szCs w:val="24"/>
        </w:rPr>
        <w:t>АО «Каменский консервный завод»</w:t>
      </w:r>
      <w:r w:rsidRPr="003304B5">
        <w:rPr>
          <w:rFonts w:ascii="Times New Roman" w:hAnsi="Times New Roman"/>
          <w:sz w:val="24"/>
          <w:szCs w:val="24"/>
        </w:rPr>
        <w:t xml:space="preserve">, что предопределило увеличение совокупного показателя в текущих ценах на 31,0% до 709,5 </w:t>
      </w:r>
      <w:proofErr w:type="spellStart"/>
      <w:proofErr w:type="gramStart"/>
      <w:r w:rsidRPr="003304B5">
        <w:rPr>
          <w:rFonts w:ascii="Times New Roman" w:hAnsi="Times New Roman"/>
          <w:sz w:val="24"/>
          <w:szCs w:val="24"/>
        </w:rPr>
        <w:t>млн</w:t>
      </w:r>
      <w:proofErr w:type="spellEnd"/>
      <w:proofErr w:type="gramEnd"/>
      <w:r w:rsidRPr="003304B5">
        <w:rPr>
          <w:rFonts w:ascii="Times New Roman" w:hAnsi="Times New Roman"/>
          <w:sz w:val="24"/>
          <w:szCs w:val="24"/>
        </w:rPr>
        <w:t xml:space="preserve"> руб., в сопоставимых – на 13,3%. В натуральном выражении положительная динамика отмечена по выпуску безалкогольных напитков</w:t>
      </w:r>
      <w:r w:rsidR="00C81719">
        <w:rPr>
          <w:rFonts w:ascii="Times New Roman" w:hAnsi="Times New Roman"/>
          <w:sz w:val="24"/>
          <w:szCs w:val="24"/>
        </w:rPr>
        <w:t xml:space="preserve"> </w:t>
      </w:r>
      <w:r w:rsidRPr="003304B5">
        <w:rPr>
          <w:rFonts w:ascii="Times New Roman" w:hAnsi="Times New Roman"/>
          <w:sz w:val="24"/>
          <w:szCs w:val="24"/>
        </w:rPr>
        <w:t>(+5,4%), колбасных (+9,6%), макаронных (+15,4%) изделий, мясных полуфабрикатов (+14,5%), коньяков (+17,5%), цельномолочной продукции (в пересчете на молоко) (+22,3%), вин виноградных (+29,5%), масла животного (+71,1%), масла растительного (+86,7%) и др.;</w:t>
      </w:r>
    </w:p>
    <w:p w:rsidR="00F3507D" w:rsidRPr="000236DC" w:rsidRDefault="00F3507D" w:rsidP="00F3507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304B5">
        <w:rPr>
          <w:rFonts w:ascii="Times New Roman" w:hAnsi="Times New Roman"/>
          <w:sz w:val="24"/>
          <w:szCs w:val="24"/>
        </w:rPr>
        <w:t xml:space="preserve">- в </w:t>
      </w:r>
      <w:r w:rsidRPr="003304B5">
        <w:rPr>
          <w:rFonts w:ascii="Times New Roman" w:hAnsi="Times New Roman"/>
          <w:b/>
          <w:sz w:val="24"/>
          <w:szCs w:val="24"/>
        </w:rPr>
        <w:t xml:space="preserve">мукомольно-крупяной и комбикормовой промышленности, </w:t>
      </w:r>
      <w:r w:rsidRPr="003304B5">
        <w:rPr>
          <w:rFonts w:ascii="Times New Roman" w:hAnsi="Times New Roman"/>
          <w:sz w:val="24"/>
          <w:szCs w:val="24"/>
        </w:rPr>
        <w:t xml:space="preserve">учитывая складывающуюся ценовую ситуацию на отраслевом рынке, в текущих ценах отмечается прирост показателя на 7,3% до 58,5 </w:t>
      </w:r>
      <w:proofErr w:type="spellStart"/>
      <w:proofErr w:type="gramStart"/>
      <w:r w:rsidRPr="003304B5">
        <w:rPr>
          <w:rFonts w:ascii="Times New Roman" w:hAnsi="Times New Roman"/>
          <w:sz w:val="24"/>
          <w:szCs w:val="24"/>
        </w:rPr>
        <w:t>млн</w:t>
      </w:r>
      <w:proofErr w:type="spellEnd"/>
      <w:proofErr w:type="gramEnd"/>
      <w:r w:rsidRPr="003304B5">
        <w:rPr>
          <w:rFonts w:ascii="Times New Roman" w:hAnsi="Times New Roman"/>
          <w:sz w:val="24"/>
          <w:szCs w:val="24"/>
        </w:rPr>
        <w:t xml:space="preserve"> руб. При этом в условиях сокращения производства муки на 12,3% до 12 488 тонн, на фоне жесткой конкуренции с импортными аналогами, в сопоставимых ценах наблюдалось снижение </w:t>
      </w:r>
      <w:r>
        <w:rPr>
          <w:rFonts w:ascii="Times New Roman" w:hAnsi="Times New Roman"/>
          <w:sz w:val="24"/>
          <w:szCs w:val="24"/>
        </w:rPr>
        <w:t xml:space="preserve">отраслевого показателя </w:t>
      </w:r>
      <w:r w:rsidRPr="003304B5">
        <w:rPr>
          <w:rFonts w:ascii="Times New Roman" w:hAnsi="Times New Roman"/>
          <w:sz w:val="24"/>
          <w:szCs w:val="24"/>
        </w:rPr>
        <w:t>на 8,7%</w:t>
      </w:r>
      <w:r w:rsidRPr="000236DC">
        <w:rPr>
          <w:rFonts w:ascii="Times New Roman" w:hAnsi="Times New Roman"/>
          <w:sz w:val="24"/>
          <w:szCs w:val="24"/>
        </w:rPr>
        <w:t>;</w:t>
      </w:r>
    </w:p>
    <w:p w:rsidR="00F3507D" w:rsidRPr="0078769A" w:rsidRDefault="00F3507D" w:rsidP="00F3507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304B5">
        <w:rPr>
          <w:rFonts w:ascii="Times New Roman" w:hAnsi="Times New Roman"/>
          <w:sz w:val="24"/>
          <w:szCs w:val="24"/>
        </w:rPr>
        <w:t xml:space="preserve">- параметры деятельности </w:t>
      </w:r>
      <w:r w:rsidRPr="003304B5">
        <w:rPr>
          <w:rFonts w:ascii="Times New Roman" w:hAnsi="Times New Roman"/>
          <w:b/>
          <w:sz w:val="24"/>
          <w:szCs w:val="24"/>
        </w:rPr>
        <w:t>полиграфии</w:t>
      </w:r>
      <w:r w:rsidRPr="003304B5">
        <w:rPr>
          <w:rFonts w:ascii="Times New Roman" w:hAnsi="Times New Roman"/>
          <w:color w:val="000000"/>
          <w:sz w:val="24"/>
          <w:szCs w:val="24"/>
        </w:rPr>
        <w:t xml:space="preserve"> в текущих ценах расширились на 19,3% до 10,4 </w:t>
      </w:r>
      <w:proofErr w:type="spellStart"/>
      <w:proofErr w:type="gramStart"/>
      <w:r w:rsidRPr="003304B5">
        <w:rPr>
          <w:rFonts w:ascii="Times New Roman" w:hAnsi="Times New Roman"/>
          <w:color w:val="000000"/>
          <w:sz w:val="24"/>
          <w:szCs w:val="24"/>
        </w:rPr>
        <w:t>млн</w:t>
      </w:r>
      <w:proofErr w:type="spellEnd"/>
      <w:proofErr w:type="gramEnd"/>
      <w:r w:rsidRPr="003304B5">
        <w:rPr>
          <w:rFonts w:ascii="Times New Roman" w:hAnsi="Times New Roman"/>
          <w:color w:val="000000"/>
          <w:sz w:val="24"/>
          <w:szCs w:val="24"/>
        </w:rPr>
        <w:t> руб., в сопоставимых отмечен спад на 3,5%.</w:t>
      </w:r>
    </w:p>
    <w:p w:rsidR="002D17FC" w:rsidRDefault="002D17FC" w:rsidP="00C555A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D17FC" w:rsidRPr="00CD2374" w:rsidRDefault="002D17FC" w:rsidP="002D17FC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В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нешнеэкономическая деятельность</w:t>
      </w:r>
      <w:r>
        <w:rPr>
          <w:rStyle w:val="ae"/>
          <w:rFonts w:ascii="Times New Roman" w:hAnsi="Times New Roman"/>
          <w:b/>
          <w:color w:val="000000"/>
          <w:sz w:val="24"/>
          <w:szCs w:val="24"/>
          <w:u w:val="single"/>
        </w:rPr>
        <w:footnoteReference w:id="2"/>
      </w:r>
      <w:r w:rsidR="00C8171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(Приложение 2, 3)</w:t>
      </w:r>
    </w:p>
    <w:p w:rsidR="002D17FC" w:rsidRDefault="002D17FC" w:rsidP="002D17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3507D" w:rsidRDefault="00F3507D" w:rsidP="00F3507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2B28">
        <w:rPr>
          <w:rFonts w:ascii="Times New Roman" w:hAnsi="Times New Roman"/>
          <w:sz w:val="24"/>
          <w:szCs w:val="24"/>
        </w:rPr>
        <w:t>На протяжении I полугодия 2018 года динамика структурных составляющих внешнеторгов</w:t>
      </w:r>
      <w:r>
        <w:rPr>
          <w:rFonts w:ascii="Times New Roman" w:hAnsi="Times New Roman"/>
          <w:sz w:val="24"/>
          <w:szCs w:val="24"/>
        </w:rPr>
        <w:t xml:space="preserve">ой деятельности </w:t>
      </w:r>
      <w:r w:rsidR="00AF360A">
        <w:rPr>
          <w:rFonts w:ascii="Times New Roman" w:hAnsi="Times New Roman"/>
          <w:sz w:val="24"/>
          <w:szCs w:val="24"/>
        </w:rPr>
        <w:t>определялась</w:t>
      </w:r>
      <w:r w:rsidR="00C81719">
        <w:rPr>
          <w:rFonts w:ascii="Times New Roman" w:hAnsi="Times New Roman"/>
          <w:sz w:val="24"/>
          <w:szCs w:val="24"/>
        </w:rPr>
        <w:t xml:space="preserve"> </w:t>
      </w:r>
      <w:r w:rsidR="00AF360A">
        <w:rPr>
          <w:rFonts w:ascii="Times New Roman" w:hAnsi="Times New Roman"/>
          <w:sz w:val="24"/>
          <w:szCs w:val="24"/>
        </w:rPr>
        <w:t>ритмичностью производства</w:t>
      </w:r>
      <w:r w:rsidRPr="00B22B28">
        <w:rPr>
          <w:rFonts w:ascii="Times New Roman" w:hAnsi="Times New Roman"/>
          <w:sz w:val="24"/>
          <w:szCs w:val="24"/>
        </w:rPr>
        <w:t xml:space="preserve"> ведущих </w:t>
      </w:r>
      <w:proofErr w:type="spellStart"/>
      <w:r w:rsidRPr="00B22B28">
        <w:rPr>
          <w:rFonts w:ascii="Times New Roman" w:hAnsi="Times New Roman"/>
          <w:sz w:val="24"/>
          <w:szCs w:val="24"/>
        </w:rPr>
        <w:t>экспортоориентированных</w:t>
      </w:r>
      <w:proofErr w:type="spellEnd"/>
      <w:r w:rsidRPr="00B22B28">
        <w:rPr>
          <w:rFonts w:ascii="Times New Roman" w:hAnsi="Times New Roman"/>
          <w:sz w:val="24"/>
          <w:szCs w:val="24"/>
        </w:rPr>
        <w:t xml:space="preserve"> предприятий</w:t>
      </w:r>
      <w:r>
        <w:rPr>
          <w:rFonts w:ascii="Times New Roman" w:hAnsi="Times New Roman"/>
          <w:sz w:val="24"/>
          <w:szCs w:val="24"/>
        </w:rPr>
        <w:t xml:space="preserve"> республики и</w:t>
      </w:r>
      <w:r w:rsidR="00C817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отчасти </w:t>
      </w:r>
      <w:r w:rsidRPr="00B22B28">
        <w:rPr>
          <w:rFonts w:ascii="Times New Roman" w:hAnsi="Times New Roman"/>
          <w:sz w:val="24"/>
          <w:szCs w:val="24"/>
        </w:rPr>
        <w:t xml:space="preserve">низкой базой сравнения </w:t>
      </w:r>
      <w:r>
        <w:rPr>
          <w:rFonts w:ascii="Times New Roman" w:hAnsi="Times New Roman"/>
          <w:sz w:val="24"/>
          <w:szCs w:val="24"/>
        </w:rPr>
        <w:t xml:space="preserve">сопоставимых показателей </w:t>
      </w:r>
      <w:r w:rsidR="00AF360A">
        <w:rPr>
          <w:rFonts w:ascii="Times New Roman" w:hAnsi="Times New Roman"/>
          <w:sz w:val="24"/>
          <w:szCs w:val="24"/>
        </w:rPr>
        <w:t xml:space="preserve">предыдущего </w:t>
      </w:r>
      <w:r>
        <w:rPr>
          <w:rFonts w:ascii="Times New Roman" w:hAnsi="Times New Roman"/>
          <w:sz w:val="24"/>
          <w:szCs w:val="24"/>
        </w:rPr>
        <w:t>года.</w:t>
      </w:r>
    </w:p>
    <w:p w:rsidR="00F3507D" w:rsidRDefault="00F3507D" w:rsidP="00F3507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</w:t>
      </w:r>
      <w:r w:rsidR="00AF360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 данными Государственного таможенного комитета ПМР</w:t>
      </w:r>
      <w:r w:rsidR="00AF360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январе-июне 2018 года объем </w:t>
      </w:r>
      <w:r>
        <w:rPr>
          <w:rFonts w:ascii="Times New Roman" w:hAnsi="Times New Roman"/>
          <w:b/>
          <w:i/>
          <w:sz w:val="24"/>
          <w:szCs w:val="24"/>
        </w:rPr>
        <w:t>экспорта в денежном эквиваленте увеличился на 70,1%</w:t>
      </w:r>
      <w:r>
        <w:rPr>
          <w:rFonts w:ascii="Times New Roman" w:hAnsi="Times New Roman"/>
          <w:sz w:val="24"/>
          <w:szCs w:val="24"/>
        </w:rPr>
        <w:t xml:space="preserve"> к базовому уровню 2017 года, составив </w:t>
      </w:r>
      <w:r>
        <w:rPr>
          <w:rFonts w:ascii="Times New Roman" w:hAnsi="Times New Roman"/>
          <w:b/>
          <w:i/>
          <w:sz w:val="24"/>
          <w:szCs w:val="24"/>
        </w:rPr>
        <w:t xml:space="preserve">350,9 </w:t>
      </w: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</w:rPr>
        <w:t>млн</w:t>
      </w:r>
      <w:proofErr w:type="spellEnd"/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долл.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 xml:space="preserve">без учёта </w:t>
      </w:r>
      <w:r w:rsidR="00C81719">
        <w:rPr>
          <w:rFonts w:ascii="Times New Roman" w:hAnsi="Times New Roman"/>
          <w:b/>
          <w:i/>
          <w:sz w:val="24"/>
          <w:szCs w:val="24"/>
        </w:rPr>
        <w:t>топливно-энергетических товаров</w:t>
      </w:r>
      <w:r>
        <w:rPr>
          <w:rFonts w:ascii="Times New Roman" w:hAnsi="Times New Roman"/>
          <w:b/>
          <w:i/>
          <w:sz w:val="24"/>
          <w:szCs w:val="24"/>
        </w:rPr>
        <w:t xml:space="preserve"> экспортные поставки </w:t>
      </w:r>
      <w:r>
        <w:rPr>
          <w:rFonts w:ascii="Times New Roman" w:hAnsi="Times New Roman"/>
          <w:sz w:val="24"/>
          <w:szCs w:val="24"/>
        </w:rPr>
        <w:t xml:space="preserve">возросли </w:t>
      </w:r>
      <w:r>
        <w:rPr>
          <w:rFonts w:ascii="Times New Roman" w:hAnsi="Times New Roman"/>
          <w:b/>
          <w:i/>
          <w:sz w:val="24"/>
          <w:szCs w:val="24"/>
        </w:rPr>
        <w:t xml:space="preserve">на 84,9% до 297,1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млн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долл. Объём импорта на 44,4% превысил сопоставимый уровень 2017 года, достигнув 616,7 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млн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долл. </w:t>
      </w:r>
      <w:r>
        <w:rPr>
          <w:rFonts w:ascii="Times New Roman" w:hAnsi="Times New Roman"/>
          <w:sz w:val="24"/>
          <w:szCs w:val="24"/>
        </w:rPr>
        <w:t xml:space="preserve">(с учётом операций физических лиц), при этом </w:t>
      </w:r>
      <w:r>
        <w:rPr>
          <w:rFonts w:ascii="Times New Roman" w:hAnsi="Times New Roman"/>
          <w:b/>
          <w:i/>
          <w:sz w:val="24"/>
          <w:szCs w:val="24"/>
        </w:rPr>
        <w:t xml:space="preserve">без учёта поставок </w:t>
      </w:r>
      <w:r w:rsidR="00E77909">
        <w:rPr>
          <w:rFonts w:ascii="Times New Roman" w:hAnsi="Times New Roman"/>
          <w:b/>
          <w:i/>
          <w:sz w:val="24"/>
          <w:szCs w:val="24"/>
        </w:rPr>
        <w:t>топливно-энергетических товаров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i/>
          <w:sz w:val="24"/>
          <w:szCs w:val="24"/>
        </w:rPr>
        <w:t xml:space="preserve">на </w:t>
      </w:r>
      <w:r w:rsidR="00E77909">
        <w:rPr>
          <w:rFonts w:ascii="Times New Roman" w:hAnsi="Times New Roman"/>
          <w:b/>
          <w:i/>
          <w:sz w:val="24"/>
          <w:szCs w:val="24"/>
        </w:rPr>
        <w:t>49,0</w:t>
      </w:r>
      <w:r>
        <w:rPr>
          <w:rFonts w:ascii="Times New Roman" w:hAnsi="Times New Roman"/>
          <w:b/>
          <w:i/>
          <w:sz w:val="24"/>
          <w:szCs w:val="24"/>
        </w:rPr>
        <w:t xml:space="preserve">% до </w:t>
      </w:r>
      <w:r w:rsidR="00E77909">
        <w:rPr>
          <w:rFonts w:ascii="Times New Roman" w:hAnsi="Times New Roman"/>
          <w:b/>
          <w:i/>
          <w:sz w:val="24"/>
          <w:szCs w:val="24"/>
        </w:rPr>
        <w:t>396,4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</w:rPr>
        <w:t>млн</w:t>
      </w:r>
      <w:proofErr w:type="spellEnd"/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долл</w:t>
      </w:r>
      <w:r>
        <w:rPr>
          <w:rFonts w:ascii="Times New Roman" w:hAnsi="Times New Roman"/>
          <w:sz w:val="24"/>
          <w:szCs w:val="24"/>
        </w:rPr>
        <w:t xml:space="preserve">. Совокупная величина внешнеторгового оборота увеличилась на 52,8% до 967,6 </w:t>
      </w:r>
      <w:proofErr w:type="spellStart"/>
      <w:r>
        <w:rPr>
          <w:rFonts w:ascii="Times New Roman" w:hAnsi="Times New Roman"/>
          <w:sz w:val="24"/>
          <w:szCs w:val="24"/>
        </w:rPr>
        <w:t>млн</w:t>
      </w:r>
      <w:proofErr w:type="spellEnd"/>
      <w:r>
        <w:rPr>
          <w:rFonts w:ascii="Times New Roman" w:hAnsi="Times New Roman"/>
          <w:sz w:val="24"/>
          <w:szCs w:val="24"/>
        </w:rPr>
        <w:t xml:space="preserve"> долл., отрицательное сальдо сформировалось на уровне -265,8 </w:t>
      </w:r>
      <w:proofErr w:type="spellStart"/>
      <w:r>
        <w:rPr>
          <w:rFonts w:ascii="Times New Roman" w:hAnsi="Times New Roman"/>
          <w:sz w:val="24"/>
          <w:szCs w:val="24"/>
        </w:rPr>
        <w:t>млн</w:t>
      </w:r>
      <w:proofErr w:type="spellEnd"/>
      <w:r>
        <w:rPr>
          <w:rFonts w:ascii="Times New Roman" w:hAnsi="Times New Roman"/>
          <w:sz w:val="24"/>
          <w:szCs w:val="24"/>
        </w:rPr>
        <w:t xml:space="preserve"> долл. против –220,9 </w:t>
      </w:r>
      <w:proofErr w:type="spellStart"/>
      <w:r>
        <w:rPr>
          <w:rFonts w:ascii="Times New Roman" w:hAnsi="Times New Roman"/>
          <w:sz w:val="24"/>
          <w:szCs w:val="24"/>
        </w:rPr>
        <w:t>мл</w:t>
      </w:r>
      <w:r w:rsidR="006E3687">
        <w:rPr>
          <w:rFonts w:ascii="Times New Roman" w:hAnsi="Times New Roman"/>
          <w:sz w:val="24"/>
          <w:szCs w:val="24"/>
        </w:rPr>
        <w:t>н</w:t>
      </w:r>
      <w:proofErr w:type="spellEnd"/>
      <w:r w:rsidR="006E3687">
        <w:rPr>
          <w:rFonts w:ascii="Times New Roman" w:hAnsi="Times New Roman"/>
          <w:sz w:val="24"/>
          <w:szCs w:val="24"/>
        </w:rPr>
        <w:t xml:space="preserve"> долл. в январе-июне 2017 года (рис. 4).</w:t>
      </w:r>
    </w:p>
    <w:p w:rsidR="006E3687" w:rsidRPr="000B3CF8" w:rsidRDefault="006E3687" w:rsidP="006E368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0B3CF8">
        <w:rPr>
          <w:rFonts w:ascii="Times New Roman" w:hAnsi="Times New Roman"/>
          <w:b/>
          <w:i/>
          <w:sz w:val="24"/>
          <w:szCs w:val="24"/>
        </w:rPr>
        <w:t xml:space="preserve">Рисунок </w:t>
      </w:r>
      <w:r>
        <w:rPr>
          <w:rFonts w:ascii="Times New Roman" w:hAnsi="Times New Roman"/>
          <w:b/>
          <w:i/>
          <w:sz w:val="24"/>
          <w:szCs w:val="24"/>
        </w:rPr>
        <w:t>4</w:t>
      </w:r>
    </w:p>
    <w:p w:rsidR="006E3687" w:rsidRDefault="006E3687" w:rsidP="006E3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8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48425" cy="1762125"/>
            <wp:effectExtent l="19050" t="0" r="0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3507D" w:rsidRDefault="00F3507D" w:rsidP="00F3507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B351D">
        <w:rPr>
          <w:rFonts w:ascii="Times New Roman" w:hAnsi="Times New Roman"/>
          <w:sz w:val="24"/>
          <w:szCs w:val="24"/>
        </w:rPr>
        <w:t>В отчетном периоде по большинству товарных групп экспорта отмечено не только восстановление утраченных позиций, но и улучшение ранее достигнутых показателей</w:t>
      </w:r>
      <w:r w:rsidR="006E3687">
        <w:rPr>
          <w:rFonts w:ascii="Times New Roman" w:hAnsi="Times New Roman"/>
          <w:sz w:val="24"/>
          <w:szCs w:val="24"/>
        </w:rPr>
        <w:t xml:space="preserve"> (рис. 5)</w:t>
      </w:r>
      <w:r w:rsidRPr="00CB351D">
        <w:rPr>
          <w:rFonts w:ascii="Times New Roman" w:hAnsi="Times New Roman"/>
          <w:sz w:val="24"/>
          <w:szCs w:val="24"/>
        </w:rPr>
        <w:t>. Так, наращивание поставок продукции черной металлургии на рынки стран ближнего и дальнего зарубежья сопровождалось</w:t>
      </w:r>
      <w:r>
        <w:rPr>
          <w:rFonts w:ascii="Times New Roman" w:hAnsi="Times New Roman"/>
          <w:sz w:val="24"/>
          <w:szCs w:val="24"/>
        </w:rPr>
        <w:t xml:space="preserve"> увеличением стоимостного объема экспорта металлов и изделий из них в 2,5 раза до 166,1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млн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долл. и расширением долевого представления группы в товарной структуре на 14,6 п.п. до 47,3%.</w:t>
      </w:r>
    </w:p>
    <w:p w:rsidR="00F3507D" w:rsidRDefault="00F3507D" w:rsidP="00F3507D">
      <w:pPr>
        <w:pStyle w:val="a5"/>
        <w:ind w:firstLine="426"/>
        <w:rPr>
          <w:szCs w:val="24"/>
        </w:rPr>
      </w:pPr>
      <w:r>
        <w:rPr>
          <w:szCs w:val="24"/>
        </w:rPr>
        <w:t xml:space="preserve">Экспорт продовольственных товаров и сырья возрос к уровню шести месяцев 2017 года на 87,1% до 57,4 </w:t>
      </w:r>
      <w:proofErr w:type="spellStart"/>
      <w:proofErr w:type="gramStart"/>
      <w:r>
        <w:rPr>
          <w:szCs w:val="24"/>
        </w:rPr>
        <w:t>млн</w:t>
      </w:r>
      <w:proofErr w:type="spellEnd"/>
      <w:proofErr w:type="gramEnd"/>
      <w:r>
        <w:rPr>
          <w:szCs w:val="24"/>
        </w:rPr>
        <w:t xml:space="preserve"> долл., </w:t>
      </w:r>
      <w:r w:rsidR="00AF360A">
        <w:rPr>
          <w:szCs w:val="24"/>
        </w:rPr>
        <w:t>что сопровождалось повышением удельного</w:t>
      </w:r>
      <w:r>
        <w:rPr>
          <w:szCs w:val="24"/>
        </w:rPr>
        <w:t xml:space="preserve"> вес</w:t>
      </w:r>
      <w:r w:rsidR="00AF360A">
        <w:rPr>
          <w:szCs w:val="24"/>
        </w:rPr>
        <w:t>а</w:t>
      </w:r>
      <w:r>
        <w:rPr>
          <w:szCs w:val="24"/>
        </w:rPr>
        <w:t xml:space="preserve"> в товарной структуре на 1,5 п.п. до 16,3%.</w:t>
      </w:r>
    </w:p>
    <w:p w:rsidR="006E3687" w:rsidRPr="000B3CF8" w:rsidRDefault="006E3687" w:rsidP="006E368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0B3CF8">
        <w:rPr>
          <w:rFonts w:ascii="Times New Roman" w:hAnsi="Times New Roman"/>
          <w:b/>
          <w:i/>
          <w:sz w:val="24"/>
          <w:szCs w:val="24"/>
        </w:rPr>
        <w:t xml:space="preserve">Рисунок </w:t>
      </w:r>
      <w:r>
        <w:rPr>
          <w:rFonts w:ascii="Times New Roman" w:hAnsi="Times New Roman"/>
          <w:b/>
          <w:i/>
          <w:sz w:val="24"/>
          <w:szCs w:val="24"/>
        </w:rPr>
        <w:t>5</w:t>
      </w:r>
    </w:p>
    <w:p w:rsidR="006E3687" w:rsidRDefault="006E3687" w:rsidP="006E3687">
      <w:pPr>
        <w:pStyle w:val="a5"/>
        <w:ind w:firstLine="0"/>
        <w:rPr>
          <w:szCs w:val="24"/>
        </w:rPr>
      </w:pPr>
      <w:r w:rsidRPr="006E3687">
        <w:rPr>
          <w:noProof/>
          <w:szCs w:val="24"/>
        </w:rPr>
        <w:drawing>
          <wp:inline distT="0" distB="0" distL="0" distR="0">
            <wp:extent cx="6477000" cy="250507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3507D" w:rsidRDefault="00F3507D" w:rsidP="00F3507D">
      <w:pPr>
        <w:pStyle w:val="a5"/>
        <w:ind w:firstLine="426"/>
        <w:rPr>
          <w:szCs w:val="24"/>
        </w:rPr>
      </w:pPr>
      <w:r>
        <w:rPr>
          <w:szCs w:val="24"/>
        </w:rPr>
        <w:lastRenderedPageBreak/>
        <w:t>Изменение с апреля 2018 года контрактной цены на поставляемую в Республику Молдова электроэнергию позволило нарастить экспортные поставки топливно-энергетич</w:t>
      </w:r>
      <w:r w:rsidR="00AF360A">
        <w:rPr>
          <w:szCs w:val="24"/>
        </w:rPr>
        <w:t xml:space="preserve">еских товаров на 18,0% до 53,8 </w:t>
      </w:r>
      <w:proofErr w:type="spellStart"/>
      <w:proofErr w:type="gramStart"/>
      <w:r w:rsidR="00AF360A">
        <w:rPr>
          <w:szCs w:val="24"/>
        </w:rPr>
        <w:t>млн</w:t>
      </w:r>
      <w:proofErr w:type="spellEnd"/>
      <w:proofErr w:type="gramEnd"/>
      <w:r w:rsidR="00AF360A">
        <w:rPr>
          <w:szCs w:val="24"/>
        </w:rPr>
        <w:t xml:space="preserve"> долл.</w:t>
      </w:r>
      <w:r>
        <w:rPr>
          <w:szCs w:val="24"/>
        </w:rPr>
        <w:t xml:space="preserve">, </w:t>
      </w:r>
      <w:r w:rsidR="00AF360A">
        <w:rPr>
          <w:szCs w:val="24"/>
        </w:rPr>
        <w:t>что в долевом представлении соответствует</w:t>
      </w:r>
      <w:r>
        <w:rPr>
          <w:szCs w:val="24"/>
        </w:rPr>
        <w:t xml:space="preserve"> 15,3% против 22,1% в минувшем году.</w:t>
      </w:r>
    </w:p>
    <w:p w:rsidR="00F3507D" w:rsidRDefault="00F3507D" w:rsidP="00F3507D">
      <w:pPr>
        <w:pStyle w:val="a5"/>
        <w:ind w:firstLine="426"/>
        <w:rPr>
          <w:szCs w:val="24"/>
        </w:rPr>
      </w:pPr>
      <w:r>
        <w:rPr>
          <w:szCs w:val="24"/>
        </w:rPr>
        <w:t xml:space="preserve">В январе-июне 2018 года снижение стоимостного объема экспорта отмечено по таким товарным группам как товары легкой промышленности – до 34,8 </w:t>
      </w:r>
      <w:proofErr w:type="spellStart"/>
      <w:proofErr w:type="gramStart"/>
      <w:r>
        <w:rPr>
          <w:szCs w:val="24"/>
        </w:rPr>
        <w:t>млн</w:t>
      </w:r>
      <w:proofErr w:type="spellEnd"/>
      <w:proofErr w:type="gramEnd"/>
      <w:r>
        <w:rPr>
          <w:szCs w:val="24"/>
        </w:rPr>
        <w:t xml:space="preserve"> долл. (-0,8%), машиностроительная продукция – до 14,0 </w:t>
      </w:r>
      <w:proofErr w:type="spellStart"/>
      <w:r>
        <w:rPr>
          <w:szCs w:val="24"/>
        </w:rPr>
        <w:t>млн</w:t>
      </w:r>
      <w:proofErr w:type="spellEnd"/>
      <w:r>
        <w:rPr>
          <w:szCs w:val="24"/>
        </w:rPr>
        <w:t xml:space="preserve"> долл. (-14,1%), в связи, с чем их удельный вес сузился до 9,9% (-7,1 п.п.) и 4,0% (-3,9 п.п.) соответственно.</w:t>
      </w:r>
    </w:p>
    <w:p w:rsidR="00F3507D" w:rsidRDefault="00F3507D" w:rsidP="00F3507D">
      <w:pPr>
        <w:pStyle w:val="a5"/>
        <w:ind w:firstLine="426"/>
        <w:rPr>
          <w:szCs w:val="24"/>
        </w:rPr>
      </w:pPr>
      <w:r>
        <w:rPr>
          <w:szCs w:val="24"/>
        </w:rPr>
        <w:t>Экспортные поставки в отчетном периоде были преимущественно ориентированы в такие страны как</w:t>
      </w:r>
      <w:r w:rsidR="006E3687">
        <w:rPr>
          <w:szCs w:val="24"/>
        </w:rPr>
        <w:t xml:space="preserve"> (рис. 6)</w:t>
      </w:r>
      <w:r>
        <w:rPr>
          <w:szCs w:val="24"/>
        </w:rPr>
        <w:t>:</w:t>
      </w:r>
    </w:p>
    <w:p w:rsidR="00F3507D" w:rsidRDefault="00F3507D" w:rsidP="00F3507D">
      <w:pPr>
        <w:pStyle w:val="a5"/>
        <w:ind w:firstLine="426"/>
        <w:rPr>
          <w:szCs w:val="24"/>
        </w:rPr>
      </w:pPr>
      <w:r>
        <w:rPr>
          <w:szCs w:val="24"/>
        </w:rPr>
        <w:t xml:space="preserve">- Республика Молдова (26,8% совокупного экспорта, или 94,2 </w:t>
      </w:r>
      <w:proofErr w:type="spellStart"/>
      <w:proofErr w:type="gramStart"/>
      <w:r>
        <w:rPr>
          <w:szCs w:val="24"/>
        </w:rPr>
        <w:t>млн</w:t>
      </w:r>
      <w:proofErr w:type="spellEnd"/>
      <w:proofErr w:type="gramEnd"/>
      <w:r>
        <w:rPr>
          <w:szCs w:val="24"/>
        </w:rPr>
        <w:t xml:space="preserve"> долл. (+28,0% к уровню шести месяцев 2017 года в стоимостном выражении)). Основными товарными группами, экспортируемыми в данную страну, являются топливно-энергетические товары (57,1%). Также, значительная доля приходится на продовольственные товары и сырье – 13,3%, металлы и изделия из них – 14,0%. По всем структурным составляющим зафиксировано увеличение поставок;</w:t>
      </w:r>
    </w:p>
    <w:p w:rsidR="00F3507D" w:rsidRDefault="00F3507D" w:rsidP="00F3507D">
      <w:pPr>
        <w:pStyle w:val="a5"/>
        <w:ind w:firstLine="426"/>
        <w:rPr>
          <w:szCs w:val="24"/>
        </w:rPr>
      </w:pPr>
      <w:r>
        <w:rPr>
          <w:szCs w:val="24"/>
        </w:rPr>
        <w:t xml:space="preserve">- Украина (23,2% совокупного показателя, или 84,4 </w:t>
      </w:r>
      <w:proofErr w:type="spellStart"/>
      <w:proofErr w:type="gramStart"/>
      <w:r>
        <w:rPr>
          <w:szCs w:val="24"/>
        </w:rPr>
        <w:t>млн</w:t>
      </w:r>
      <w:proofErr w:type="spellEnd"/>
      <w:proofErr w:type="gramEnd"/>
      <w:r>
        <w:rPr>
          <w:szCs w:val="24"/>
        </w:rPr>
        <w:t xml:space="preserve"> долл. (увеличение в 3,0 раза)). Существенная доля экспорта приходится на металлы и изделия из них (52,3%), продовольственные товары и сырье (37,6%), товары легкой промышленности (3,3%). При этом отмечено кратное увеличение поставок в данную страну как металлов и изделий из их, так и продовольственных товаров и сырья (4,2 раз и 3,2 раза соответственно);</w:t>
      </w:r>
    </w:p>
    <w:p w:rsidR="00F3507D" w:rsidRDefault="00F3507D" w:rsidP="00F3507D">
      <w:pPr>
        <w:pStyle w:val="a5"/>
        <w:ind w:firstLine="426"/>
        <w:rPr>
          <w:szCs w:val="24"/>
        </w:rPr>
      </w:pPr>
      <w:r>
        <w:rPr>
          <w:szCs w:val="24"/>
        </w:rPr>
        <w:t xml:space="preserve">- Румыния (16,7% всего экспорта, или 58,7 </w:t>
      </w:r>
      <w:proofErr w:type="spellStart"/>
      <w:proofErr w:type="gramStart"/>
      <w:r>
        <w:rPr>
          <w:szCs w:val="24"/>
        </w:rPr>
        <w:t>млн</w:t>
      </w:r>
      <w:proofErr w:type="spellEnd"/>
      <w:proofErr w:type="gramEnd"/>
      <w:r>
        <w:rPr>
          <w:szCs w:val="24"/>
        </w:rPr>
        <w:t xml:space="preserve"> долл. (+59,3%)). Ключевой экспортной </w:t>
      </w:r>
      <w:r w:rsidR="00AF360A">
        <w:rPr>
          <w:szCs w:val="24"/>
        </w:rPr>
        <w:t>г</w:t>
      </w:r>
      <w:r>
        <w:rPr>
          <w:szCs w:val="24"/>
        </w:rPr>
        <w:t>руппой</w:t>
      </w:r>
      <w:r w:rsidR="00AF360A">
        <w:rPr>
          <w:szCs w:val="24"/>
        </w:rPr>
        <w:t>,</w:t>
      </w:r>
      <w:r>
        <w:rPr>
          <w:szCs w:val="24"/>
        </w:rPr>
        <w:t xml:space="preserve"> поставляемой в рассматриваемом направлении</w:t>
      </w:r>
      <w:r w:rsidR="00AF360A">
        <w:rPr>
          <w:szCs w:val="24"/>
        </w:rPr>
        <w:t>,</w:t>
      </w:r>
      <w:r>
        <w:rPr>
          <w:szCs w:val="24"/>
        </w:rPr>
        <w:t xml:space="preserve"> выступают металлы и изделия из них (95,4%), поставки которых увеличились на 59,1%;</w:t>
      </w:r>
    </w:p>
    <w:p w:rsidR="00F3507D" w:rsidRDefault="00F3507D" w:rsidP="00F3507D">
      <w:pPr>
        <w:pStyle w:val="a5"/>
        <w:ind w:firstLine="426"/>
        <w:rPr>
          <w:szCs w:val="24"/>
        </w:rPr>
      </w:pPr>
      <w:r>
        <w:rPr>
          <w:szCs w:val="24"/>
        </w:rPr>
        <w:t xml:space="preserve">- Российская Федерация (10,3% совокупного значения, или 36,0 </w:t>
      </w:r>
      <w:proofErr w:type="spellStart"/>
      <w:proofErr w:type="gramStart"/>
      <w:r>
        <w:rPr>
          <w:szCs w:val="24"/>
        </w:rPr>
        <w:t>млн</w:t>
      </w:r>
      <w:proofErr w:type="spellEnd"/>
      <w:proofErr w:type="gramEnd"/>
      <w:r>
        <w:rPr>
          <w:szCs w:val="24"/>
        </w:rPr>
        <w:t xml:space="preserve"> долл. (+18,9%)). Основными товарными группами являются машиностроительная продукция (31,2%), продовольственные товары и сырье (19,6%), металлы и изделия из них (18,9%), товары легкой промышленности (19,6%). По всем структурным составляющим наблюдалось увеличение поставок;</w:t>
      </w:r>
    </w:p>
    <w:p w:rsidR="00F3507D" w:rsidRDefault="00F3507D" w:rsidP="00F3507D">
      <w:pPr>
        <w:pStyle w:val="a5"/>
        <w:ind w:firstLine="426"/>
        <w:rPr>
          <w:szCs w:val="24"/>
        </w:rPr>
      </w:pPr>
      <w:r>
        <w:rPr>
          <w:szCs w:val="24"/>
        </w:rPr>
        <w:t xml:space="preserve">- Италия (3,6%, или 12,6 </w:t>
      </w:r>
      <w:proofErr w:type="spellStart"/>
      <w:proofErr w:type="gramStart"/>
      <w:r>
        <w:rPr>
          <w:szCs w:val="24"/>
        </w:rPr>
        <w:t>млн</w:t>
      </w:r>
      <w:proofErr w:type="spellEnd"/>
      <w:proofErr w:type="gramEnd"/>
      <w:r>
        <w:rPr>
          <w:szCs w:val="24"/>
        </w:rPr>
        <w:t xml:space="preserve"> долл. (+11,0%)). Главной экспортной товарной группой являются товары легкой промышленности (99,8%), поставки которых возросли на 10,8%;</w:t>
      </w:r>
    </w:p>
    <w:p w:rsidR="00F3507D" w:rsidRDefault="00F3507D" w:rsidP="00F3507D">
      <w:pPr>
        <w:pStyle w:val="a5"/>
        <w:ind w:firstLine="426"/>
        <w:rPr>
          <w:szCs w:val="24"/>
        </w:rPr>
      </w:pPr>
      <w:r>
        <w:rPr>
          <w:szCs w:val="24"/>
        </w:rPr>
        <w:t xml:space="preserve">- Германия (1,1%, или 3,9 </w:t>
      </w:r>
      <w:proofErr w:type="spellStart"/>
      <w:proofErr w:type="gramStart"/>
      <w:r>
        <w:rPr>
          <w:szCs w:val="24"/>
        </w:rPr>
        <w:t>млн</w:t>
      </w:r>
      <w:proofErr w:type="spellEnd"/>
      <w:proofErr w:type="gramEnd"/>
      <w:r>
        <w:rPr>
          <w:szCs w:val="24"/>
        </w:rPr>
        <w:t xml:space="preserve"> долл. (+81,0%)). Существенный объем экспорта в данном направлении приходится на металлы и изделия из них (71,4%) и товары лёгкой промышленности (27,0%). При этом если по металлам и изделиям из них зафиксирован рост стоимостного показателя в 50,9 раз, то по товарам легкой промышленности отмечен спад на 47,9%.</w:t>
      </w:r>
    </w:p>
    <w:p w:rsidR="006E3687" w:rsidRPr="000B3CF8" w:rsidRDefault="006E3687" w:rsidP="006E368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0B3CF8">
        <w:rPr>
          <w:rFonts w:ascii="Times New Roman" w:hAnsi="Times New Roman"/>
          <w:b/>
          <w:i/>
          <w:sz w:val="24"/>
          <w:szCs w:val="24"/>
        </w:rPr>
        <w:t xml:space="preserve">Рисунок </w:t>
      </w:r>
      <w:r>
        <w:rPr>
          <w:rFonts w:ascii="Times New Roman" w:hAnsi="Times New Roman"/>
          <w:b/>
          <w:i/>
          <w:sz w:val="24"/>
          <w:szCs w:val="24"/>
        </w:rPr>
        <w:t>6</w:t>
      </w:r>
    </w:p>
    <w:p w:rsidR="006E3687" w:rsidRDefault="006E3687" w:rsidP="006E3687">
      <w:pPr>
        <w:pStyle w:val="a5"/>
        <w:ind w:firstLine="0"/>
        <w:rPr>
          <w:szCs w:val="24"/>
        </w:rPr>
      </w:pPr>
      <w:r w:rsidRPr="006E3687">
        <w:rPr>
          <w:noProof/>
          <w:szCs w:val="24"/>
        </w:rPr>
        <w:drawing>
          <wp:inline distT="0" distB="0" distL="0" distR="0">
            <wp:extent cx="6600825" cy="2257425"/>
            <wp:effectExtent l="0" t="0" r="0" b="0"/>
            <wp:docPr id="8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3507D" w:rsidRDefault="00F3507D" w:rsidP="00F3507D">
      <w:pPr>
        <w:pStyle w:val="a5"/>
        <w:ind w:firstLine="426"/>
        <w:rPr>
          <w:szCs w:val="24"/>
        </w:rPr>
      </w:pPr>
      <w:r>
        <w:rPr>
          <w:szCs w:val="24"/>
        </w:rPr>
        <w:t xml:space="preserve">На фоне </w:t>
      </w:r>
      <w:r w:rsidRPr="007A52BA">
        <w:rPr>
          <w:szCs w:val="24"/>
        </w:rPr>
        <w:t>активизации экспорта</w:t>
      </w:r>
      <w:r>
        <w:rPr>
          <w:szCs w:val="24"/>
        </w:rPr>
        <w:t xml:space="preserve">, в </w:t>
      </w:r>
      <w:r w:rsidRPr="007A52BA">
        <w:rPr>
          <w:szCs w:val="24"/>
          <w:lang w:val="en-US"/>
        </w:rPr>
        <w:t>I</w:t>
      </w:r>
      <w:r w:rsidRPr="007A52BA">
        <w:rPr>
          <w:szCs w:val="24"/>
        </w:rPr>
        <w:t xml:space="preserve"> полугодии</w:t>
      </w:r>
      <w:r>
        <w:rPr>
          <w:szCs w:val="24"/>
        </w:rPr>
        <w:t xml:space="preserve"> 2018 года </w:t>
      </w:r>
      <w:r w:rsidRPr="007A52BA">
        <w:rPr>
          <w:szCs w:val="24"/>
        </w:rPr>
        <w:t>значительно возросла потребность в сырьевых товарах</w:t>
      </w:r>
      <w:r>
        <w:rPr>
          <w:szCs w:val="24"/>
        </w:rPr>
        <w:t>, обусловив тем самым повышательную динамику стоимостного объема структурных компонентов импорта</w:t>
      </w:r>
      <w:r w:rsidR="006E3687">
        <w:rPr>
          <w:szCs w:val="24"/>
        </w:rPr>
        <w:t xml:space="preserve"> (рис. 7)</w:t>
      </w:r>
      <w:r>
        <w:rPr>
          <w:szCs w:val="24"/>
        </w:rPr>
        <w:t xml:space="preserve">. </w:t>
      </w:r>
    </w:p>
    <w:p w:rsidR="00F3507D" w:rsidRDefault="00F3507D" w:rsidP="00F3507D">
      <w:pPr>
        <w:pStyle w:val="a5"/>
        <w:ind w:firstLine="426"/>
        <w:rPr>
          <w:szCs w:val="24"/>
        </w:rPr>
      </w:pPr>
      <w:r>
        <w:rPr>
          <w:szCs w:val="24"/>
        </w:rPr>
        <w:t xml:space="preserve">Так, объем импорта топливно-энергетических товаров в денежном эквиваленте превысил базовое значение 2017 года на 36,7%, составив 220,3 </w:t>
      </w:r>
      <w:proofErr w:type="spellStart"/>
      <w:proofErr w:type="gramStart"/>
      <w:r>
        <w:rPr>
          <w:szCs w:val="24"/>
        </w:rPr>
        <w:t>млн</w:t>
      </w:r>
      <w:proofErr w:type="spellEnd"/>
      <w:proofErr w:type="gramEnd"/>
      <w:r>
        <w:rPr>
          <w:szCs w:val="24"/>
        </w:rPr>
        <w:t xml:space="preserve"> долл., </w:t>
      </w:r>
      <w:r w:rsidR="00AF360A">
        <w:rPr>
          <w:szCs w:val="24"/>
        </w:rPr>
        <w:t>что соответствует 35,7% (</w:t>
      </w:r>
      <w:r w:rsidR="00E05DAF">
        <w:rPr>
          <w:szCs w:val="24"/>
        </w:rPr>
        <w:t xml:space="preserve">-2,0 </w:t>
      </w:r>
      <w:r w:rsidR="00AF360A">
        <w:rPr>
          <w:szCs w:val="24"/>
        </w:rPr>
        <w:t>п.п.) в товарной структуре импорта</w:t>
      </w:r>
      <w:r>
        <w:rPr>
          <w:szCs w:val="24"/>
        </w:rPr>
        <w:t>.</w:t>
      </w:r>
    </w:p>
    <w:p w:rsidR="00F3507D" w:rsidRDefault="00F3507D" w:rsidP="00F3507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Прирост импорта металлов и изделий из них в 2,5 раза до 135,9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млн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долл. позволил расширить удельное представление группы в товарной структуре на 9,2 п.п. до 22,0%.</w:t>
      </w:r>
    </w:p>
    <w:p w:rsidR="00F3507D" w:rsidRDefault="00F3507D" w:rsidP="00F3507D">
      <w:pPr>
        <w:pStyle w:val="a5"/>
        <w:ind w:firstLine="426"/>
      </w:pPr>
      <w:r>
        <w:t xml:space="preserve">Поставки </w:t>
      </w:r>
      <w:r w:rsidR="00E05DAF">
        <w:t>из-</w:t>
      </w:r>
      <w:r>
        <w:t>за рубеж</w:t>
      </w:r>
      <w:r w:rsidR="00E05DAF">
        <w:t>а</w:t>
      </w:r>
      <w:r>
        <w:t xml:space="preserve"> продовольственных товаров (сырья) превысили сопоставимое значение января-июня 2017 года на 8,6% до 65,8 </w:t>
      </w:r>
      <w:proofErr w:type="spellStart"/>
      <w:proofErr w:type="gramStart"/>
      <w:r>
        <w:rPr>
          <w:szCs w:val="24"/>
        </w:rPr>
        <w:t>млн</w:t>
      </w:r>
      <w:proofErr w:type="spellEnd"/>
      <w:proofErr w:type="gramEnd"/>
      <w:r>
        <w:rPr>
          <w:szCs w:val="24"/>
        </w:rPr>
        <w:t xml:space="preserve"> долл., при этом долевое представление </w:t>
      </w:r>
      <w:r>
        <w:t>в структурном разрезе сузилось на 3,5 п.п. до 10,7%.</w:t>
      </w:r>
    </w:p>
    <w:p w:rsidR="006E3687" w:rsidRPr="000B3CF8" w:rsidRDefault="006E3687" w:rsidP="006E368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0B3CF8">
        <w:rPr>
          <w:rFonts w:ascii="Times New Roman" w:hAnsi="Times New Roman"/>
          <w:b/>
          <w:i/>
          <w:sz w:val="24"/>
          <w:szCs w:val="24"/>
        </w:rPr>
        <w:t xml:space="preserve">Рисунок </w:t>
      </w:r>
      <w:r>
        <w:rPr>
          <w:rFonts w:ascii="Times New Roman" w:hAnsi="Times New Roman"/>
          <w:b/>
          <w:i/>
          <w:sz w:val="24"/>
          <w:szCs w:val="24"/>
        </w:rPr>
        <w:t>7</w:t>
      </w:r>
    </w:p>
    <w:p w:rsidR="006E3687" w:rsidRDefault="006E3687" w:rsidP="006E3687">
      <w:pPr>
        <w:pStyle w:val="a5"/>
        <w:ind w:firstLine="0"/>
      </w:pPr>
      <w:r w:rsidRPr="006E3687">
        <w:rPr>
          <w:noProof/>
        </w:rPr>
        <w:drawing>
          <wp:inline distT="0" distB="0" distL="0" distR="0">
            <wp:extent cx="6477000" cy="2781300"/>
            <wp:effectExtent l="0" t="0" r="0" b="0"/>
            <wp:docPr id="9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3507D" w:rsidRDefault="00F3507D" w:rsidP="00F3507D">
      <w:pPr>
        <w:pStyle w:val="a5"/>
        <w:ind w:firstLine="426"/>
        <w:rPr>
          <w:szCs w:val="24"/>
        </w:rPr>
      </w:pPr>
      <w:r>
        <w:t xml:space="preserve">В рассматриваемом периоде также отмечено увеличение импорта </w:t>
      </w:r>
      <w:r>
        <w:rPr>
          <w:szCs w:val="24"/>
        </w:rPr>
        <w:t xml:space="preserve">машиностроительной продукции (на 41,8% до 64,2 </w:t>
      </w:r>
      <w:proofErr w:type="spellStart"/>
      <w:proofErr w:type="gramStart"/>
      <w:r>
        <w:rPr>
          <w:szCs w:val="24"/>
        </w:rPr>
        <w:t>млн</w:t>
      </w:r>
      <w:proofErr w:type="spellEnd"/>
      <w:proofErr w:type="gramEnd"/>
      <w:r>
        <w:rPr>
          <w:szCs w:val="24"/>
        </w:rPr>
        <w:t xml:space="preserve"> долл.), продукции химической и связанных с ней отраслей промышленности (на 23,3% до 43,5 </w:t>
      </w:r>
      <w:proofErr w:type="spellStart"/>
      <w:r>
        <w:rPr>
          <w:szCs w:val="24"/>
        </w:rPr>
        <w:t>млн</w:t>
      </w:r>
      <w:proofErr w:type="spellEnd"/>
      <w:r>
        <w:rPr>
          <w:szCs w:val="24"/>
        </w:rPr>
        <w:t xml:space="preserve"> долл.), </w:t>
      </w:r>
      <w:r>
        <w:t xml:space="preserve">товаров </w:t>
      </w:r>
      <w:r>
        <w:rPr>
          <w:szCs w:val="24"/>
        </w:rPr>
        <w:t>лёгкой промышленности (на 24,7% до 32,0 </w:t>
      </w:r>
      <w:proofErr w:type="spellStart"/>
      <w:r>
        <w:rPr>
          <w:szCs w:val="24"/>
        </w:rPr>
        <w:t>млн</w:t>
      </w:r>
      <w:proofErr w:type="spellEnd"/>
      <w:r>
        <w:rPr>
          <w:szCs w:val="24"/>
        </w:rPr>
        <w:t xml:space="preserve"> долл.). При этом в товарной структуре по данным группам фиксировалось сужение удельного веса. Так, по машиностроительной продукции долевое представление составило 10,4% (-0,2 п.п</w:t>
      </w:r>
      <w:r w:rsidRPr="002A3F76">
        <w:rPr>
          <w:szCs w:val="24"/>
        </w:rPr>
        <w:t>.), по товарам легкой промышленности 5,2% (-0,8 п.п.)</w:t>
      </w:r>
      <w:r>
        <w:rPr>
          <w:szCs w:val="24"/>
        </w:rPr>
        <w:t>,</w:t>
      </w:r>
      <w:r w:rsidRPr="002A3F76">
        <w:rPr>
          <w:szCs w:val="24"/>
        </w:rPr>
        <w:t xml:space="preserve"> по продукции химической и связанных с ней отраслей промышленности 7,0% (-1,2 п.п.) соответственно.</w:t>
      </w:r>
    </w:p>
    <w:p w:rsidR="00F3507D" w:rsidRDefault="00E05DAF" w:rsidP="00F3507D">
      <w:pPr>
        <w:pStyle w:val="a5"/>
        <w:ind w:firstLine="426"/>
        <w:rPr>
          <w:szCs w:val="24"/>
        </w:rPr>
      </w:pPr>
      <w:r>
        <w:rPr>
          <w:szCs w:val="24"/>
        </w:rPr>
        <w:t>Преимущественно поставки осуществлялись из таких стран</w:t>
      </w:r>
      <w:r w:rsidR="00F3507D">
        <w:rPr>
          <w:szCs w:val="24"/>
        </w:rPr>
        <w:t xml:space="preserve"> как</w:t>
      </w:r>
      <w:r w:rsidR="006E3687">
        <w:rPr>
          <w:szCs w:val="24"/>
        </w:rPr>
        <w:t xml:space="preserve"> (рис. 8)</w:t>
      </w:r>
      <w:r w:rsidR="00F3507D">
        <w:rPr>
          <w:szCs w:val="24"/>
        </w:rPr>
        <w:t>:</w:t>
      </w:r>
    </w:p>
    <w:p w:rsidR="00F3507D" w:rsidRDefault="00F3507D" w:rsidP="00F3507D">
      <w:pPr>
        <w:pStyle w:val="a5"/>
        <w:ind w:firstLine="426"/>
        <w:rPr>
          <w:szCs w:val="24"/>
        </w:rPr>
      </w:pPr>
      <w:r>
        <w:rPr>
          <w:szCs w:val="24"/>
        </w:rPr>
        <w:t xml:space="preserve">- Российская Федерация (38,4% совокупного импорта, или 236,6 </w:t>
      </w:r>
      <w:proofErr w:type="spellStart"/>
      <w:proofErr w:type="gramStart"/>
      <w:r>
        <w:rPr>
          <w:szCs w:val="24"/>
        </w:rPr>
        <w:t>млн</w:t>
      </w:r>
      <w:proofErr w:type="spellEnd"/>
      <w:proofErr w:type="gramEnd"/>
      <w:r>
        <w:rPr>
          <w:szCs w:val="24"/>
        </w:rPr>
        <w:t xml:space="preserve"> долл. в стоимостном выражении (+38,7% к уровню января-июня 2017 года)). Наибольшая доля импорта приходится на топливно-энергетические товары (81,1%), объём которых увеличился на 38,6%. На продукцию химической и связанных с ней отраслей промышленности и машиностроительную продукцию пришлось 4,8% и 3,4% всего импорта из России. По всем товарным группам наблюдалось наращивание поставок;</w:t>
      </w:r>
    </w:p>
    <w:p w:rsidR="00F3507D" w:rsidRDefault="00F3507D" w:rsidP="00F3507D">
      <w:pPr>
        <w:pStyle w:val="a5"/>
        <w:ind w:firstLine="426"/>
        <w:rPr>
          <w:szCs w:val="24"/>
        </w:rPr>
      </w:pPr>
      <w:r>
        <w:rPr>
          <w:szCs w:val="24"/>
        </w:rPr>
        <w:t xml:space="preserve">- Украина (27,1% итогового показателя, или 167,1 </w:t>
      </w:r>
      <w:proofErr w:type="spellStart"/>
      <w:proofErr w:type="gramStart"/>
      <w:r>
        <w:rPr>
          <w:szCs w:val="24"/>
        </w:rPr>
        <w:t>млн</w:t>
      </w:r>
      <w:proofErr w:type="spellEnd"/>
      <w:proofErr w:type="gramEnd"/>
      <w:r>
        <w:rPr>
          <w:szCs w:val="24"/>
        </w:rPr>
        <w:t xml:space="preserve"> долл. (увеличение в 2,3 раза)). Основная доля приходится на металлы и изделия из них (48,4%), продовольственные товары и сырье (16,8%), а также на машиностроительную продукцию (10,7%) и продукцию химической и связанных с ней отраслей промышленности (6,4%). По всем товарным группам фиксировалось увеличение поставок; </w:t>
      </w:r>
    </w:p>
    <w:p w:rsidR="00F3507D" w:rsidRDefault="00F3507D" w:rsidP="00F3507D">
      <w:pPr>
        <w:pStyle w:val="22"/>
        <w:widowControl/>
        <w:tabs>
          <w:tab w:val="left" w:pos="1080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- Республика Молдова (9,1%, или 56,1 </w:t>
      </w:r>
      <w:proofErr w:type="spellStart"/>
      <w:proofErr w:type="gramStart"/>
      <w:r>
        <w:rPr>
          <w:sz w:val="24"/>
          <w:szCs w:val="24"/>
        </w:rPr>
        <w:t>млн</w:t>
      </w:r>
      <w:proofErr w:type="spellEnd"/>
      <w:proofErr w:type="gramEnd"/>
      <w:r>
        <w:rPr>
          <w:sz w:val="24"/>
          <w:szCs w:val="24"/>
        </w:rPr>
        <w:t xml:space="preserve"> долл. (+16,3%)). Из поставляемых на территорию Приднестровья товаров значительную часть занимали металлы и изделия из них (57,5%), продовольственные товары и сырье (13,7%). При этом по импорту металлов и изделий из них отмечался рост стоимостных показателей на 55,5%, тогда как по продовольственным товарам и сырью – снижение на 13,1%;</w:t>
      </w:r>
    </w:p>
    <w:p w:rsidR="00F3507D" w:rsidRDefault="00F3507D" w:rsidP="00F3507D">
      <w:pPr>
        <w:pStyle w:val="a5"/>
        <w:ind w:firstLine="426"/>
        <w:rPr>
          <w:szCs w:val="24"/>
        </w:rPr>
      </w:pPr>
      <w:r>
        <w:rPr>
          <w:szCs w:val="24"/>
        </w:rPr>
        <w:t xml:space="preserve">- Германия (2,6%, или 15,8 </w:t>
      </w:r>
      <w:proofErr w:type="spellStart"/>
      <w:proofErr w:type="gramStart"/>
      <w:r>
        <w:rPr>
          <w:szCs w:val="24"/>
        </w:rPr>
        <w:t>млн</w:t>
      </w:r>
      <w:proofErr w:type="spellEnd"/>
      <w:proofErr w:type="gramEnd"/>
      <w:r>
        <w:rPr>
          <w:szCs w:val="24"/>
        </w:rPr>
        <w:t xml:space="preserve"> долл. (+21,3%)) и Румыния (2,6%, или 16,0 </w:t>
      </w:r>
      <w:proofErr w:type="spellStart"/>
      <w:r>
        <w:rPr>
          <w:szCs w:val="24"/>
        </w:rPr>
        <w:t>млн</w:t>
      </w:r>
      <w:proofErr w:type="spellEnd"/>
      <w:r>
        <w:rPr>
          <w:szCs w:val="24"/>
        </w:rPr>
        <w:t xml:space="preserve"> долл.                     (-13,8%)). Из Германии в большем количестве импортировалась машиностроительная продукция (50,5%), продукция химической и связанных с ней отраслей промышленности (21,4%). Из Румынии поступали металлы и изделия из них (62,1%), а также топливно-энергетические товары (5,1%).</w:t>
      </w:r>
    </w:p>
    <w:p w:rsidR="006E3687" w:rsidRDefault="006E3687" w:rsidP="006E368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E3687" w:rsidRDefault="006E3687" w:rsidP="006E368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E3687" w:rsidRDefault="006E3687" w:rsidP="006E368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E3687" w:rsidRPr="000B3CF8" w:rsidRDefault="006E3687" w:rsidP="006E368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0B3CF8">
        <w:rPr>
          <w:rFonts w:ascii="Times New Roman" w:hAnsi="Times New Roman"/>
          <w:b/>
          <w:i/>
          <w:sz w:val="24"/>
          <w:szCs w:val="24"/>
        </w:rPr>
        <w:lastRenderedPageBreak/>
        <w:t xml:space="preserve">Рисунок </w:t>
      </w:r>
      <w:r>
        <w:rPr>
          <w:rFonts w:ascii="Times New Roman" w:hAnsi="Times New Roman"/>
          <w:b/>
          <w:i/>
          <w:sz w:val="24"/>
          <w:szCs w:val="24"/>
        </w:rPr>
        <w:t>8</w:t>
      </w:r>
    </w:p>
    <w:p w:rsidR="0068214C" w:rsidRDefault="006E3687" w:rsidP="006E3687">
      <w:pPr>
        <w:pStyle w:val="a5"/>
        <w:ind w:firstLine="0"/>
        <w:rPr>
          <w:szCs w:val="24"/>
        </w:rPr>
      </w:pPr>
      <w:r w:rsidRPr="006E3687">
        <w:rPr>
          <w:noProof/>
          <w:szCs w:val="24"/>
        </w:rPr>
        <w:drawing>
          <wp:inline distT="0" distB="0" distL="0" distR="0">
            <wp:extent cx="6543675" cy="1876425"/>
            <wp:effectExtent l="0" t="0" r="0" b="0"/>
            <wp:docPr id="10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E3687" w:rsidRDefault="006E3687" w:rsidP="002D17FC">
      <w:pPr>
        <w:pStyle w:val="a5"/>
        <w:ind w:firstLine="426"/>
        <w:rPr>
          <w:szCs w:val="24"/>
        </w:rPr>
      </w:pPr>
    </w:p>
    <w:p w:rsidR="00A87FDC" w:rsidRDefault="00A87FDC" w:rsidP="00A87FDC">
      <w:pPr>
        <w:tabs>
          <w:tab w:val="left" w:pos="3844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 w:rsidRPr="00762289">
        <w:rPr>
          <w:rFonts w:ascii="Times New Roman" w:hAnsi="Times New Roman"/>
          <w:b/>
          <w:sz w:val="24"/>
          <w:szCs w:val="24"/>
          <w:u w:val="single"/>
        </w:rPr>
        <w:t xml:space="preserve">Инфляционные процессы </w:t>
      </w:r>
    </w:p>
    <w:p w:rsidR="00A87FDC" w:rsidRDefault="00A87FDC" w:rsidP="00A87FDC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Изменение ценовой конъюнктуры на потребительском рынке республики в                                   </w:t>
      </w:r>
      <w:r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полугодии текущего года определялось влиянием характерных для данного периода сезонных факторов, а также динамикой цен на рынках </w:t>
      </w:r>
      <w:proofErr w:type="spellStart"/>
      <w:proofErr w:type="gramStart"/>
      <w:r>
        <w:rPr>
          <w:rFonts w:ascii="Times New Roman" w:hAnsi="Times New Roman"/>
          <w:sz w:val="24"/>
        </w:rPr>
        <w:t>стран-основных</w:t>
      </w:r>
      <w:proofErr w:type="spellEnd"/>
      <w:proofErr w:type="gramEnd"/>
      <w:r>
        <w:rPr>
          <w:rFonts w:ascii="Times New Roman" w:hAnsi="Times New Roman"/>
          <w:sz w:val="24"/>
        </w:rPr>
        <w:t xml:space="preserve"> поставщиков товаров народного потребления. В результате по итогам периода инфляция составила 5,4%, против 6,3% годом ранее </w:t>
      </w:r>
      <w:r w:rsidRPr="00523083">
        <w:rPr>
          <w:rFonts w:ascii="Times New Roman" w:hAnsi="Times New Roman"/>
          <w:sz w:val="24"/>
        </w:rPr>
        <w:t xml:space="preserve">(рис. </w:t>
      </w:r>
      <w:r w:rsidR="000F4153">
        <w:rPr>
          <w:rFonts w:ascii="Times New Roman" w:hAnsi="Times New Roman"/>
          <w:sz w:val="24"/>
        </w:rPr>
        <w:t>9</w:t>
      </w:r>
      <w:r w:rsidRPr="00523083">
        <w:rPr>
          <w:rFonts w:ascii="Times New Roman" w:hAnsi="Times New Roman"/>
          <w:sz w:val="24"/>
        </w:rPr>
        <w:t>).</w:t>
      </w:r>
      <w:r>
        <w:rPr>
          <w:rFonts w:ascii="Times New Roman" w:hAnsi="Times New Roman"/>
          <w:sz w:val="24"/>
        </w:rPr>
        <w:t xml:space="preserve"> Во внутригодовой динамике отмечалось замедление инфляционных процессов во втором квартале до 1,3% против 4,0% по итогам января-марта.</w:t>
      </w:r>
    </w:p>
    <w:p w:rsidR="00A87FDC" w:rsidRPr="00C14C89" w:rsidRDefault="00A87FDC" w:rsidP="00A87FDC">
      <w:pPr>
        <w:spacing w:after="0" w:line="240" w:lineRule="auto"/>
        <w:ind w:left="4" w:firstLine="422"/>
        <w:jc w:val="right"/>
        <w:rPr>
          <w:rFonts w:ascii="Times New Roman" w:hAnsi="Times New Roman"/>
          <w:b/>
          <w:i/>
          <w:sz w:val="24"/>
        </w:rPr>
      </w:pPr>
      <w:r w:rsidRPr="00AB1C23">
        <w:rPr>
          <w:rFonts w:ascii="Times New Roman" w:hAnsi="Times New Roman"/>
          <w:b/>
          <w:i/>
          <w:sz w:val="24"/>
        </w:rPr>
        <w:t xml:space="preserve">Рисунок </w:t>
      </w:r>
      <w:r>
        <w:rPr>
          <w:rFonts w:ascii="Times New Roman" w:hAnsi="Times New Roman"/>
          <w:b/>
          <w:i/>
          <w:sz w:val="24"/>
        </w:rPr>
        <w:t>9</w:t>
      </w:r>
    </w:p>
    <w:p w:rsidR="00A87FDC" w:rsidRDefault="00A87FDC" w:rsidP="00A87FDC">
      <w:pPr>
        <w:spacing w:after="0" w:line="240" w:lineRule="auto"/>
        <w:ind w:left="-142"/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6572250" cy="1847850"/>
            <wp:effectExtent l="0" t="0" r="0" b="0"/>
            <wp:docPr id="16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87FDC" w:rsidRDefault="00A87FDC" w:rsidP="00A87FDC">
      <w:pPr>
        <w:spacing w:after="0" w:line="240" w:lineRule="auto"/>
        <w:ind w:left="4" w:firstLine="42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отчетном периоде текущего года основное </w:t>
      </w:r>
      <w:proofErr w:type="spellStart"/>
      <w:r>
        <w:rPr>
          <w:rFonts w:ascii="Times New Roman" w:hAnsi="Times New Roman"/>
          <w:sz w:val="24"/>
        </w:rPr>
        <w:t>проинфляционное</w:t>
      </w:r>
      <w:proofErr w:type="spellEnd"/>
      <w:r>
        <w:rPr>
          <w:rFonts w:ascii="Times New Roman" w:hAnsi="Times New Roman"/>
          <w:sz w:val="24"/>
        </w:rPr>
        <w:t xml:space="preserve"> влияние оказывалось со стороны продовольственного сегмента. В целом продовольственная инфляция составила 10,3% (против 11,0% в базисном периоде 2017 года), обеспечив тем самым 79,4% совокупного показателя. Катализатором удорожания продовольствия стал рост цен на плодоовощную продукцию на 54,2% (или 74,6% общей инфляции). В её структуре картофель подорожал на 24,0%, фрукты – на 20,0%, овощи – в 2,0 раза.</w:t>
      </w:r>
    </w:p>
    <w:p w:rsidR="00A87FDC" w:rsidRDefault="00A87FDC" w:rsidP="00A87FDC">
      <w:pPr>
        <w:spacing w:after="0" w:line="240" w:lineRule="auto"/>
        <w:ind w:left="4" w:firstLine="42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целом необходимо отметить достаточно существенную зависимость итогового показателя от динамики цен на плодоовощную продукцию. В частности, если рассмотреть продовольственную инфляцию без учета данной группы, то она имеет более умеренный тренд – 4,3%. В целом же сводный индекс потребительских цен после осуществления подобной корректировки складывается по итогам полугодия в пределах 102,9% </w:t>
      </w:r>
      <w:r w:rsidRPr="00523083">
        <w:rPr>
          <w:rFonts w:ascii="Times New Roman" w:hAnsi="Times New Roman"/>
          <w:sz w:val="24"/>
        </w:rPr>
        <w:t xml:space="preserve">(рис. </w:t>
      </w:r>
      <w:r>
        <w:rPr>
          <w:rFonts w:ascii="Times New Roman" w:hAnsi="Times New Roman"/>
          <w:sz w:val="24"/>
        </w:rPr>
        <w:t>10</w:t>
      </w:r>
      <w:r w:rsidRPr="00523083">
        <w:rPr>
          <w:rFonts w:ascii="Times New Roman" w:hAnsi="Times New Roman"/>
          <w:sz w:val="24"/>
        </w:rPr>
        <w:t>).</w:t>
      </w:r>
    </w:p>
    <w:p w:rsidR="00A87FDC" w:rsidRPr="00C14C89" w:rsidRDefault="00A87FDC" w:rsidP="00A87FDC">
      <w:pPr>
        <w:spacing w:after="0" w:line="240" w:lineRule="auto"/>
        <w:ind w:left="4" w:firstLine="422"/>
        <w:jc w:val="right"/>
        <w:rPr>
          <w:rFonts w:ascii="Times New Roman" w:hAnsi="Times New Roman"/>
          <w:b/>
          <w:i/>
          <w:sz w:val="24"/>
        </w:rPr>
      </w:pPr>
      <w:r w:rsidRPr="00C14C89">
        <w:rPr>
          <w:rFonts w:ascii="Times New Roman" w:hAnsi="Times New Roman"/>
          <w:b/>
          <w:i/>
          <w:sz w:val="24"/>
        </w:rPr>
        <w:t xml:space="preserve">Рисунок </w:t>
      </w:r>
      <w:r>
        <w:rPr>
          <w:rFonts w:ascii="Times New Roman" w:hAnsi="Times New Roman"/>
          <w:b/>
          <w:i/>
          <w:sz w:val="24"/>
        </w:rPr>
        <w:t>10</w:t>
      </w:r>
    </w:p>
    <w:p w:rsidR="00A87FDC" w:rsidRPr="005F05A2" w:rsidRDefault="00A87FDC" w:rsidP="00A87FDC">
      <w:pPr>
        <w:spacing w:after="0" w:line="240" w:lineRule="auto"/>
        <w:ind w:left="4" w:hanging="4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6619875" cy="1962150"/>
            <wp:effectExtent l="0" t="0" r="0" b="0"/>
            <wp:docPr id="1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87FDC" w:rsidRDefault="00A87FDC" w:rsidP="00A87FDC">
      <w:pPr>
        <w:spacing w:after="0" w:line="240" w:lineRule="auto"/>
        <w:ind w:left="4" w:firstLine="42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Кроме того, выросли цены на рыбопродукты +5,8% (2,0% общей инфляции), а также продукцию животного происхождения: «молоко и молочная продукция» – +3,7% (4,5% общей инфляции), «майонезная продукция» – +5,3% (0,4% общей инфляции), «маргарин и маргариновая продукция» – 4,9% (0,1% общей инфляции), «масло и жиры» – +4,0% (1,2% общей инфляции). Стоимость алкогольных напитков повысилась на 5,3%, обеспечив тем самым 3,3% общей инфляции. В тоже время нивелирующий эффект оказала дефляция по таким товарным позициям, как «яйца» (-19,3%), «сыр» (-1,2%) и «сахар» (-1,0%).</w:t>
      </w:r>
    </w:p>
    <w:p w:rsidR="00A87FDC" w:rsidRDefault="00A87FDC" w:rsidP="00A87FDC">
      <w:pPr>
        <w:spacing w:after="0" w:line="240" w:lineRule="auto"/>
        <w:ind w:left="4" w:firstLine="42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сегменте непродовольственных товаров изменение среднего ценового уровня было менее существенным – +1,9%, или 12,7% общей инфляции (в базисном периоде 2017 года – +4,8%). Повышательный вектор наиболее ярко проявился в </w:t>
      </w:r>
      <w:r>
        <w:rPr>
          <w:rFonts w:ascii="Times New Roman" w:hAnsi="Times New Roman"/>
          <w:sz w:val="24"/>
          <w:szCs w:val="24"/>
        </w:rPr>
        <w:t xml:space="preserve">удорожании табачных изделий (+14,0%), топлива (+5,8%), обуви (+1,7%), моющих средств (+2,6%) и строительных материалов (+2,3%), </w:t>
      </w:r>
      <w:r>
        <w:rPr>
          <w:rFonts w:ascii="Times New Roman" w:hAnsi="Times New Roman"/>
          <w:sz w:val="24"/>
        </w:rPr>
        <w:t>что обеспечило 2,2%, 3,9%, 1,1%, 0,5% и 0,9% совокупн</w:t>
      </w:r>
      <w:r w:rsidR="000F4153">
        <w:rPr>
          <w:rFonts w:ascii="Times New Roman" w:hAnsi="Times New Roman"/>
          <w:sz w:val="24"/>
        </w:rPr>
        <w:t>ого показателя соответственно.</w:t>
      </w:r>
    </w:p>
    <w:p w:rsidR="00A87FDC" w:rsidRDefault="00A87FDC" w:rsidP="00A87FDC">
      <w:pPr>
        <w:spacing w:after="0" w:line="240" w:lineRule="auto"/>
        <w:ind w:left="4" w:firstLine="42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Масштаб тарифов в сфере услуг за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полугодие в среднем вырос на 2,1% (9,2% общей инфляции). Основное инфляционное давление было обеспечено подорожанием бытовых услуг на 5,2%, услуг пассажирского транспорта – на 3,0%, услуг связи – на 2,3%, </w:t>
      </w:r>
      <w:proofErr w:type="spellStart"/>
      <w:proofErr w:type="gramStart"/>
      <w:r>
        <w:rPr>
          <w:rFonts w:ascii="Times New Roman" w:hAnsi="Times New Roman"/>
          <w:sz w:val="24"/>
        </w:rPr>
        <w:t>санаторно</w:t>
      </w:r>
      <w:proofErr w:type="spellEnd"/>
      <w:r>
        <w:rPr>
          <w:rFonts w:ascii="Times New Roman" w:hAnsi="Times New Roman"/>
          <w:sz w:val="24"/>
        </w:rPr>
        <w:t xml:space="preserve"> – оздоровительных</w:t>
      </w:r>
      <w:proofErr w:type="gramEnd"/>
      <w:r>
        <w:rPr>
          <w:rFonts w:ascii="Times New Roman" w:hAnsi="Times New Roman"/>
          <w:sz w:val="24"/>
        </w:rPr>
        <w:t xml:space="preserve"> услуг – на 9,6% и услуг образования – на 4,7%, что предопределило в совокупности 6,7% общей инфляции. В то же время на фоне проводимой государством социально-ориентированной политики б</w:t>
      </w:r>
      <w:r>
        <w:rPr>
          <w:rFonts w:ascii="Times New Roman" w:hAnsi="Times New Roman"/>
          <w:sz w:val="24"/>
          <w:szCs w:val="24"/>
        </w:rPr>
        <w:t xml:space="preserve">лагодаря сдерживанию роста стоимости услуг естественных монополий в сегменте </w:t>
      </w:r>
      <w:proofErr w:type="spellStart"/>
      <w:r>
        <w:rPr>
          <w:rFonts w:ascii="Times New Roman" w:hAnsi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/>
          <w:sz w:val="24"/>
          <w:szCs w:val="24"/>
        </w:rPr>
        <w:t>–коммунальных услуг прирост не превысил 0,8%. Снижением стоимости при этом характеризовались услуги банков (-1,4%).</w:t>
      </w:r>
    </w:p>
    <w:p w:rsidR="00A87FDC" w:rsidRPr="00AB1C23" w:rsidRDefault="00A87FDC" w:rsidP="00A87FD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 потребительских рынках стран - основных торговых партнеров республики в отчетном периоде ситуация характеризовалась подорожанием стандартного набора товаров и услуг от 1,2% в Республике Молдова до 2,9% Республике Беларусь, в Российской Федерации масштаб цен вырос в среднем на 2,1%, при этом лидером по темпам удорожания товаров и услуг по-прежнему остается Украина, где показатель сформировался в пределах 4,4% </w:t>
      </w:r>
      <w:r w:rsidRPr="00523083">
        <w:rPr>
          <w:rFonts w:ascii="Times New Roman" w:hAnsi="Times New Roman"/>
          <w:sz w:val="24"/>
          <w:szCs w:val="24"/>
        </w:rPr>
        <w:t xml:space="preserve">(рис. </w:t>
      </w:r>
      <w:r>
        <w:rPr>
          <w:rFonts w:ascii="Times New Roman" w:hAnsi="Times New Roman"/>
          <w:sz w:val="24"/>
          <w:szCs w:val="24"/>
        </w:rPr>
        <w:t>11</w:t>
      </w:r>
      <w:r w:rsidRPr="00523083">
        <w:rPr>
          <w:rFonts w:ascii="Times New Roman" w:hAnsi="Times New Roman"/>
          <w:sz w:val="24"/>
          <w:szCs w:val="24"/>
        </w:rPr>
        <w:t>).</w:t>
      </w:r>
      <w:proofErr w:type="gramEnd"/>
    </w:p>
    <w:p w:rsidR="00A87FDC" w:rsidRDefault="00A87FDC" w:rsidP="00A87FDC">
      <w:pPr>
        <w:spacing w:after="0" w:line="240" w:lineRule="auto"/>
        <w:ind w:firstLine="426"/>
        <w:jc w:val="right"/>
        <w:rPr>
          <w:rFonts w:ascii="Times New Roman" w:hAnsi="Times New Roman"/>
          <w:b/>
          <w:i/>
          <w:sz w:val="24"/>
          <w:szCs w:val="24"/>
        </w:rPr>
      </w:pPr>
      <w:r w:rsidRPr="00AB1C23">
        <w:rPr>
          <w:rFonts w:ascii="Times New Roman" w:hAnsi="Times New Roman"/>
          <w:b/>
          <w:i/>
          <w:sz w:val="24"/>
          <w:szCs w:val="24"/>
        </w:rPr>
        <w:t xml:space="preserve">Рисунок </w:t>
      </w:r>
      <w:r>
        <w:rPr>
          <w:rFonts w:ascii="Times New Roman" w:hAnsi="Times New Roman"/>
          <w:b/>
          <w:i/>
          <w:sz w:val="24"/>
          <w:szCs w:val="24"/>
        </w:rPr>
        <w:t>11</w:t>
      </w:r>
    </w:p>
    <w:p w:rsidR="00A87FDC" w:rsidRDefault="00A87FDC" w:rsidP="00A87F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>
            <wp:extent cx="6419850" cy="2371725"/>
            <wp:effectExtent l="0" t="0" r="0" b="0"/>
            <wp:docPr id="18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87FDC" w:rsidRDefault="00A87FDC" w:rsidP="00A87FD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Основное </w:t>
      </w:r>
      <w:proofErr w:type="spellStart"/>
      <w:r>
        <w:rPr>
          <w:rFonts w:ascii="Times New Roman" w:hAnsi="Times New Roman"/>
          <w:sz w:val="24"/>
          <w:szCs w:val="24"/>
        </w:rPr>
        <w:t>проинфляционное</w:t>
      </w:r>
      <w:proofErr w:type="spellEnd"/>
      <w:r>
        <w:rPr>
          <w:rFonts w:ascii="Times New Roman" w:hAnsi="Times New Roman"/>
          <w:sz w:val="24"/>
          <w:szCs w:val="24"/>
        </w:rPr>
        <w:t xml:space="preserve"> влияние по итогам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полугодия текущего года оказывалось со стороны продовольственного сегмента, где ценовые колебания формировались в диапазоне от +1,8% в Республике Молдова до +2,4% и Республике Беларусь. Наибольший прирост цен на продукты питания был отмечен в Украине – +4,0%, в том числе овощи подорожали на 19,6%, фрукты – на 13,2%, мясо и мясопродукты – на 3,9%.</w:t>
      </w:r>
    </w:p>
    <w:p w:rsidR="00A87FDC" w:rsidRPr="00B1776B" w:rsidRDefault="00A87FDC" w:rsidP="00A87FDC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B1776B">
        <w:rPr>
          <w:rFonts w:ascii="Times New Roman" w:hAnsi="Times New Roman"/>
          <w:sz w:val="24"/>
          <w:szCs w:val="24"/>
        </w:rPr>
        <w:t>Таблица №</w:t>
      </w:r>
      <w:r>
        <w:rPr>
          <w:rFonts w:ascii="Times New Roman" w:hAnsi="Times New Roman"/>
          <w:sz w:val="24"/>
          <w:szCs w:val="24"/>
        </w:rPr>
        <w:t>1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6"/>
        <w:gridCol w:w="992"/>
        <w:gridCol w:w="1276"/>
        <w:gridCol w:w="1134"/>
        <w:gridCol w:w="1135"/>
        <w:gridCol w:w="1133"/>
      </w:tblGrid>
      <w:tr w:rsidR="00A87FDC" w:rsidRPr="00C14C89" w:rsidTr="00A87FDC">
        <w:trPr>
          <w:trHeight w:val="611"/>
        </w:trPr>
        <w:tc>
          <w:tcPr>
            <w:tcW w:w="10236" w:type="dxa"/>
            <w:gridSpan w:val="6"/>
            <w:tcBorders>
              <w:bottom w:val="single" w:sz="6" w:space="0" w:color="auto"/>
            </w:tcBorders>
          </w:tcPr>
          <w:p w:rsidR="00A87FDC" w:rsidRPr="00C14C89" w:rsidRDefault="00A87FDC" w:rsidP="00C8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7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Динамика индекса потребительских цен по странам в январе-июне 2018 года                                                                                  (% к декабрю 2017 года)</w:t>
            </w:r>
          </w:p>
        </w:tc>
      </w:tr>
      <w:tr w:rsidR="00A87FDC" w:rsidRPr="00C14C89" w:rsidTr="00A87FDC">
        <w:trPr>
          <w:trHeight w:val="13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FDC" w:rsidRPr="00A87FDC" w:rsidRDefault="00A87FDC" w:rsidP="00C8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FDC" w:rsidRPr="00A87FDC" w:rsidRDefault="00A87FDC" w:rsidP="00C8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A87FD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ПМР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FDC" w:rsidRPr="00A87FDC" w:rsidRDefault="00A87FDC" w:rsidP="00C8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A87FD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Украина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FDC" w:rsidRPr="00A87FDC" w:rsidRDefault="00A87FDC" w:rsidP="00C8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A87FD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Молдова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FDC" w:rsidRPr="00A87FDC" w:rsidRDefault="00A87FDC" w:rsidP="00C8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A87FD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FDC" w:rsidRPr="00A87FDC" w:rsidRDefault="00A87FDC" w:rsidP="00C8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A87FD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Беларусь</w:t>
            </w:r>
          </w:p>
        </w:tc>
      </w:tr>
      <w:tr w:rsidR="00A87FDC" w:rsidRPr="00C14C89" w:rsidTr="00A87FDC">
        <w:trPr>
          <w:trHeight w:val="28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FDC" w:rsidRPr="00A87FDC" w:rsidRDefault="00A87FDC" w:rsidP="00C81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A87FD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Индекс цен на продовольственные товары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A87FDC" w:rsidRPr="00A87FDC" w:rsidRDefault="00A87FDC" w:rsidP="00C8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A87FD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110,34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A87FDC" w:rsidRPr="00A87FDC" w:rsidRDefault="00A87FDC" w:rsidP="00C8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A87FD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104,04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A87FDC" w:rsidRPr="00A87FDC" w:rsidRDefault="00A87FDC" w:rsidP="00C8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A87FD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101,80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A87FDC" w:rsidRPr="00A87FDC" w:rsidRDefault="00A87FDC" w:rsidP="00C8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A87FD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102,15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A87FDC" w:rsidRPr="00A87FDC" w:rsidRDefault="00A87FDC" w:rsidP="00C8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A87FD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102,38</w:t>
            </w:r>
          </w:p>
        </w:tc>
      </w:tr>
      <w:tr w:rsidR="00A87FDC" w:rsidRPr="00C14C89" w:rsidTr="00A87FDC">
        <w:trPr>
          <w:trHeight w:val="26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FDC" w:rsidRPr="00A87FDC" w:rsidRDefault="00A87FDC" w:rsidP="00C81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7FDC">
              <w:rPr>
                <w:rFonts w:ascii="Times New Roman" w:hAnsi="Times New Roman"/>
                <w:color w:val="000000"/>
                <w:sz w:val="23"/>
                <w:szCs w:val="23"/>
              </w:rPr>
              <w:t>мясопродукты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7FDC" w:rsidRPr="00A87FDC" w:rsidRDefault="00A87FDC" w:rsidP="00C8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7FDC">
              <w:rPr>
                <w:rFonts w:ascii="Times New Roman" w:hAnsi="Times New Roman"/>
                <w:color w:val="000000"/>
                <w:sz w:val="23"/>
                <w:szCs w:val="23"/>
              </w:rPr>
              <w:t>100,84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7FDC" w:rsidRPr="00A87FDC" w:rsidRDefault="00A87FDC" w:rsidP="00C8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7FDC">
              <w:rPr>
                <w:rFonts w:ascii="Times New Roman" w:hAnsi="Times New Roman"/>
                <w:color w:val="000000"/>
                <w:sz w:val="23"/>
                <w:szCs w:val="23"/>
              </w:rPr>
              <w:t>103,93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7FDC" w:rsidRPr="00A87FDC" w:rsidRDefault="00A87FDC" w:rsidP="00C8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7FDC">
              <w:rPr>
                <w:rFonts w:ascii="Times New Roman" w:hAnsi="Times New Roman"/>
                <w:color w:val="000000"/>
                <w:sz w:val="23"/>
                <w:szCs w:val="23"/>
              </w:rPr>
              <w:t>96,98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7FDC" w:rsidRPr="00A87FDC" w:rsidRDefault="00A87FDC" w:rsidP="00C8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7FDC">
              <w:rPr>
                <w:rFonts w:ascii="Times New Roman" w:hAnsi="Times New Roman"/>
                <w:color w:val="000000"/>
                <w:sz w:val="23"/>
                <w:szCs w:val="23"/>
              </w:rPr>
              <w:t>100,74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7FDC" w:rsidRPr="00A87FDC" w:rsidRDefault="00A87FDC" w:rsidP="00C8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7FDC">
              <w:rPr>
                <w:rFonts w:ascii="Times New Roman" w:hAnsi="Times New Roman"/>
                <w:color w:val="000000"/>
                <w:sz w:val="23"/>
                <w:szCs w:val="23"/>
              </w:rPr>
              <w:t>101,79</w:t>
            </w:r>
          </w:p>
        </w:tc>
      </w:tr>
      <w:tr w:rsidR="00A87FDC" w:rsidRPr="00C14C89" w:rsidTr="00A87FDC">
        <w:trPr>
          <w:trHeight w:val="26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FDC" w:rsidRPr="00A87FDC" w:rsidRDefault="00A87FDC" w:rsidP="00C81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7FDC">
              <w:rPr>
                <w:rFonts w:ascii="Times New Roman" w:hAnsi="Times New Roman"/>
                <w:color w:val="000000"/>
                <w:sz w:val="23"/>
                <w:szCs w:val="23"/>
              </w:rPr>
              <w:t>молоко и молочная продукция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7FDC" w:rsidRPr="00A87FDC" w:rsidRDefault="00A87FDC" w:rsidP="00C8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7FDC">
              <w:rPr>
                <w:rFonts w:ascii="Times New Roman" w:hAnsi="Times New Roman"/>
                <w:color w:val="000000"/>
                <w:sz w:val="23"/>
                <w:szCs w:val="23"/>
              </w:rPr>
              <w:t>103,73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7FDC" w:rsidRPr="00A87FDC" w:rsidRDefault="00A87FDC" w:rsidP="00C8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7FDC">
              <w:rPr>
                <w:rFonts w:ascii="Times New Roman" w:hAnsi="Times New Roman"/>
                <w:color w:val="000000"/>
                <w:sz w:val="23"/>
                <w:szCs w:val="23"/>
              </w:rPr>
              <w:t>96,11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7FDC" w:rsidRPr="00A87FDC" w:rsidRDefault="00A87FDC" w:rsidP="00C8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7FDC">
              <w:rPr>
                <w:rFonts w:ascii="Times New Roman" w:hAnsi="Times New Roman"/>
                <w:color w:val="000000"/>
                <w:sz w:val="23"/>
                <w:szCs w:val="23"/>
              </w:rPr>
              <w:t>98,49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7FDC" w:rsidRPr="00A87FDC" w:rsidRDefault="00A87FDC" w:rsidP="00C8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7FDC">
              <w:rPr>
                <w:rFonts w:ascii="Times New Roman" w:hAnsi="Times New Roman"/>
                <w:color w:val="000000"/>
                <w:sz w:val="23"/>
                <w:szCs w:val="23"/>
              </w:rPr>
              <w:t>100,42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7FDC" w:rsidRPr="00A87FDC" w:rsidRDefault="00A87FDC" w:rsidP="00C8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7FDC">
              <w:rPr>
                <w:rFonts w:ascii="Times New Roman" w:hAnsi="Times New Roman"/>
                <w:color w:val="000000"/>
                <w:sz w:val="23"/>
                <w:szCs w:val="23"/>
              </w:rPr>
              <w:t>102,98</w:t>
            </w:r>
          </w:p>
        </w:tc>
      </w:tr>
      <w:tr w:rsidR="00A87FDC" w:rsidRPr="00C14C89" w:rsidTr="00A87FDC">
        <w:trPr>
          <w:trHeight w:val="26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FDC" w:rsidRPr="00A87FDC" w:rsidRDefault="00A87FDC" w:rsidP="00C81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7FDC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овощи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7FDC" w:rsidRPr="00A87FDC" w:rsidRDefault="00A87FDC" w:rsidP="00C8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7FDC">
              <w:rPr>
                <w:rFonts w:ascii="Times New Roman" w:hAnsi="Times New Roman"/>
                <w:color w:val="000000"/>
                <w:sz w:val="23"/>
                <w:szCs w:val="23"/>
              </w:rPr>
              <w:t>204,87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7FDC" w:rsidRPr="00A87FDC" w:rsidRDefault="00A87FDC" w:rsidP="00C8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7FDC">
              <w:rPr>
                <w:rFonts w:ascii="Times New Roman" w:hAnsi="Times New Roman"/>
                <w:color w:val="000000"/>
                <w:sz w:val="23"/>
                <w:szCs w:val="23"/>
              </w:rPr>
              <w:t>119,64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7FDC" w:rsidRPr="00A87FDC" w:rsidRDefault="00A87FDC" w:rsidP="00C8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7FDC">
              <w:rPr>
                <w:rFonts w:ascii="Times New Roman" w:hAnsi="Times New Roman"/>
                <w:color w:val="000000"/>
                <w:sz w:val="23"/>
                <w:szCs w:val="23"/>
              </w:rPr>
              <w:t>111,77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7FDC" w:rsidRPr="00A87FDC" w:rsidRDefault="00A87FDC" w:rsidP="00C8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7FDC">
              <w:rPr>
                <w:rFonts w:ascii="Times New Roman" w:hAnsi="Times New Roman"/>
                <w:color w:val="000000"/>
                <w:sz w:val="23"/>
                <w:szCs w:val="23"/>
              </w:rPr>
              <w:t>108,13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7FDC" w:rsidRPr="00A87FDC" w:rsidRDefault="00A87FDC" w:rsidP="00C8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7FDC">
              <w:rPr>
                <w:rFonts w:ascii="Times New Roman" w:hAnsi="Times New Roman"/>
                <w:color w:val="000000"/>
                <w:sz w:val="23"/>
                <w:szCs w:val="23"/>
              </w:rPr>
              <w:t>98,70</w:t>
            </w:r>
          </w:p>
        </w:tc>
      </w:tr>
      <w:tr w:rsidR="00A87FDC" w:rsidRPr="00C14C89" w:rsidTr="00A87FDC">
        <w:trPr>
          <w:trHeight w:val="26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FDC" w:rsidRPr="00A87FDC" w:rsidRDefault="00A87FDC" w:rsidP="00C81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7FDC">
              <w:rPr>
                <w:rFonts w:ascii="Times New Roman" w:hAnsi="Times New Roman"/>
                <w:color w:val="000000"/>
                <w:sz w:val="23"/>
                <w:szCs w:val="23"/>
              </w:rPr>
              <w:t>фрукты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7FDC" w:rsidRPr="00A87FDC" w:rsidRDefault="00A87FDC" w:rsidP="00C8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7FDC">
              <w:rPr>
                <w:rFonts w:ascii="Times New Roman" w:hAnsi="Times New Roman"/>
                <w:color w:val="000000"/>
                <w:sz w:val="23"/>
                <w:szCs w:val="23"/>
              </w:rPr>
              <w:t>119,98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7FDC" w:rsidRPr="00A87FDC" w:rsidRDefault="00A87FDC" w:rsidP="00C8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7FDC">
              <w:rPr>
                <w:rFonts w:ascii="Times New Roman" w:hAnsi="Times New Roman"/>
                <w:color w:val="000000"/>
                <w:sz w:val="23"/>
                <w:szCs w:val="23"/>
              </w:rPr>
              <w:t>113,23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7FDC" w:rsidRPr="00A87FDC" w:rsidRDefault="00A87FDC" w:rsidP="00C8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7FDC">
              <w:rPr>
                <w:rFonts w:ascii="Times New Roman" w:hAnsi="Times New Roman"/>
                <w:color w:val="000000"/>
                <w:sz w:val="23"/>
                <w:szCs w:val="23"/>
              </w:rPr>
              <w:t>118,37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7FDC" w:rsidRPr="00A87FDC" w:rsidRDefault="00A87FDC" w:rsidP="00C8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7FDC">
              <w:rPr>
                <w:rFonts w:ascii="Times New Roman" w:hAnsi="Times New Roman"/>
                <w:color w:val="000000"/>
                <w:sz w:val="23"/>
                <w:szCs w:val="23"/>
              </w:rPr>
              <w:t>110,41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7FDC" w:rsidRPr="00A87FDC" w:rsidRDefault="00A87FDC" w:rsidP="00C81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7FDC">
              <w:rPr>
                <w:rFonts w:ascii="Times New Roman" w:hAnsi="Times New Roman"/>
                <w:color w:val="000000"/>
                <w:sz w:val="23"/>
                <w:szCs w:val="23"/>
              </w:rPr>
              <w:t>100,18</w:t>
            </w:r>
          </w:p>
        </w:tc>
      </w:tr>
    </w:tbl>
    <w:p w:rsidR="00A87FDC" w:rsidRPr="00556AAA" w:rsidRDefault="00A87FDC" w:rsidP="00A87FDC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 w:rsidRPr="00556AAA">
        <w:rPr>
          <w:rFonts w:ascii="Times New Roman" w:hAnsi="Times New Roman"/>
          <w:b/>
          <w:sz w:val="24"/>
          <w:szCs w:val="24"/>
          <w:u w:val="single"/>
        </w:rPr>
        <w:lastRenderedPageBreak/>
        <w:t>Потребительский рынок</w:t>
      </w:r>
    </w:p>
    <w:p w:rsidR="00A87FDC" w:rsidRPr="000974CB" w:rsidRDefault="00A87FDC" w:rsidP="00A87FDC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sz w:val="24"/>
          <w:szCs w:val="24"/>
        </w:rPr>
        <w:t>Р</w:t>
      </w:r>
      <w:r w:rsidRPr="003C0C1D">
        <w:rPr>
          <w:rFonts w:ascii="Times New Roman" w:hAnsi="Times New Roman"/>
          <w:sz w:val="24"/>
          <w:szCs w:val="24"/>
        </w:rPr>
        <w:t>ост потребительской активности в первой половине текущего года</w:t>
      </w:r>
      <w:r>
        <w:rPr>
          <w:rFonts w:ascii="Times New Roman" w:hAnsi="Times New Roman"/>
          <w:sz w:val="24"/>
          <w:szCs w:val="24"/>
        </w:rPr>
        <w:t xml:space="preserve">, на фоне складывающейся ценовой конъюнктуры, </w:t>
      </w:r>
      <w:r w:rsidRPr="003C0C1D">
        <w:rPr>
          <w:rFonts w:ascii="Times New Roman" w:hAnsi="Times New Roman"/>
          <w:sz w:val="24"/>
          <w:szCs w:val="24"/>
        </w:rPr>
        <w:t>предопределил повышательный тренд показателей, характеризующих потребительский рынок.</w:t>
      </w:r>
      <w:r>
        <w:rPr>
          <w:rFonts w:ascii="Times New Roman" w:hAnsi="Times New Roman"/>
          <w:sz w:val="24"/>
          <w:szCs w:val="24"/>
        </w:rPr>
        <w:t xml:space="preserve"> Так, совокупный</w:t>
      </w:r>
      <w:r w:rsidRPr="003C0C1D">
        <w:rPr>
          <w:rFonts w:ascii="Times New Roman" w:hAnsi="Times New Roman"/>
          <w:sz w:val="24"/>
          <w:szCs w:val="24"/>
        </w:rPr>
        <w:t xml:space="preserve"> объём приобретенных населением товаров и услуг по итогам января-июня </w:t>
      </w:r>
      <w:r>
        <w:rPr>
          <w:rFonts w:ascii="Times New Roman" w:hAnsi="Times New Roman"/>
          <w:sz w:val="24"/>
          <w:szCs w:val="24"/>
        </w:rPr>
        <w:t xml:space="preserve">в номинальном выражении </w:t>
      </w:r>
      <w:r w:rsidRPr="003C0C1D">
        <w:rPr>
          <w:rFonts w:ascii="Times New Roman" w:hAnsi="Times New Roman"/>
          <w:sz w:val="24"/>
          <w:szCs w:val="24"/>
        </w:rPr>
        <w:t xml:space="preserve">вырос на </w:t>
      </w:r>
      <w:r w:rsidRPr="003C0C1D">
        <w:rPr>
          <w:rFonts w:ascii="Times New Roman" w:hAnsi="Times New Roman"/>
          <w:b/>
          <w:sz w:val="24"/>
          <w:szCs w:val="24"/>
          <w:u w:val="single"/>
        </w:rPr>
        <w:t>29,3%</w:t>
      </w:r>
      <w:r w:rsidRPr="003C0C1D">
        <w:rPr>
          <w:rFonts w:ascii="Times New Roman" w:hAnsi="Times New Roman"/>
          <w:b/>
          <w:sz w:val="24"/>
          <w:szCs w:val="24"/>
        </w:rPr>
        <w:t xml:space="preserve"> до </w:t>
      </w:r>
      <w:r w:rsidRPr="003C0C1D">
        <w:rPr>
          <w:rFonts w:ascii="Times New Roman" w:hAnsi="Times New Roman"/>
          <w:b/>
          <w:sz w:val="24"/>
          <w:szCs w:val="24"/>
          <w:u w:val="single"/>
        </w:rPr>
        <w:t xml:space="preserve">4 519,9 </w:t>
      </w:r>
      <w:proofErr w:type="spellStart"/>
      <w:proofErr w:type="gramStart"/>
      <w:r w:rsidRPr="003C0C1D">
        <w:rPr>
          <w:rFonts w:ascii="Times New Roman" w:hAnsi="Times New Roman"/>
          <w:b/>
          <w:sz w:val="24"/>
          <w:szCs w:val="24"/>
          <w:u w:val="single"/>
        </w:rPr>
        <w:t>млн</w:t>
      </w:r>
      <w:proofErr w:type="spellEnd"/>
      <w:proofErr w:type="gramEnd"/>
      <w:r w:rsidRPr="003C0C1D">
        <w:rPr>
          <w:rFonts w:ascii="Times New Roman" w:hAnsi="Times New Roman"/>
          <w:b/>
          <w:sz w:val="24"/>
          <w:szCs w:val="24"/>
          <w:u w:val="single"/>
        </w:rPr>
        <w:t xml:space="preserve"> руб.</w:t>
      </w:r>
      <w:r w:rsidRPr="003C0C1D">
        <w:rPr>
          <w:rFonts w:ascii="Times New Roman" w:hAnsi="Times New Roman"/>
          <w:sz w:val="24"/>
          <w:szCs w:val="24"/>
        </w:rPr>
        <w:t xml:space="preserve">, в реальном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3C0C1D">
        <w:rPr>
          <w:rFonts w:ascii="Times New Roman" w:hAnsi="Times New Roman"/>
          <w:b/>
          <w:sz w:val="24"/>
          <w:szCs w:val="24"/>
          <w:u w:val="single"/>
        </w:rPr>
        <w:t>на 14,</w:t>
      </w:r>
      <w:r>
        <w:rPr>
          <w:rFonts w:ascii="Times New Roman" w:hAnsi="Times New Roman"/>
          <w:b/>
          <w:sz w:val="24"/>
          <w:szCs w:val="24"/>
          <w:u w:val="single"/>
        </w:rPr>
        <w:t>7%</w:t>
      </w:r>
      <w:r w:rsidRPr="003C0C1D">
        <w:rPr>
          <w:rFonts w:ascii="Times New Roman" w:hAnsi="Times New Roman"/>
          <w:sz w:val="24"/>
          <w:szCs w:val="24"/>
        </w:rPr>
        <w:t>.</w:t>
      </w:r>
      <w:r w:rsidR="000F4153">
        <w:rPr>
          <w:rFonts w:ascii="Times New Roman" w:hAnsi="Times New Roman"/>
          <w:sz w:val="24"/>
          <w:szCs w:val="24"/>
        </w:rPr>
        <w:t xml:space="preserve"> </w:t>
      </w:r>
      <w:r w:rsidRPr="003C0C1D">
        <w:rPr>
          <w:rFonts w:ascii="Times New Roman" w:hAnsi="Times New Roman"/>
          <w:sz w:val="24"/>
          <w:szCs w:val="24"/>
        </w:rPr>
        <w:t>Фиксируемый рост показателя обеспечен</w:t>
      </w:r>
      <w:r>
        <w:rPr>
          <w:rFonts w:ascii="Times New Roman" w:hAnsi="Times New Roman"/>
          <w:sz w:val="24"/>
          <w:szCs w:val="24"/>
        </w:rPr>
        <w:t xml:space="preserve"> прежде всего</w:t>
      </w:r>
      <w:r w:rsidRPr="003C0C1D">
        <w:rPr>
          <w:rFonts w:ascii="Times New Roman" w:hAnsi="Times New Roman"/>
          <w:sz w:val="24"/>
          <w:szCs w:val="24"/>
        </w:rPr>
        <w:t xml:space="preserve"> расширением продаж в сфере розничной торговли (+23,0%), сформировавшей в рассматриваемом периоде свыше 73% емкости рынка</w:t>
      </w:r>
      <w:r>
        <w:rPr>
          <w:rFonts w:ascii="Times New Roman" w:hAnsi="Times New Roman"/>
          <w:sz w:val="24"/>
          <w:szCs w:val="24"/>
        </w:rPr>
        <w:t>,</w:t>
      </w:r>
      <w:r w:rsidRPr="003C0C1D">
        <w:rPr>
          <w:rFonts w:ascii="Times New Roman" w:hAnsi="Times New Roman"/>
          <w:sz w:val="24"/>
          <w:szCs w:val="24"/>
        </w:rPr>
        <w:t xml:space="preserve"> и в сегменте общественного питания (+8,6%)</w:t>
      </w:r>
      <w:r>
        <w:rPr>
          <w:rFonts w:ascii="Times New Roman" w:hAnsi="Times New Roman"/>
          <w:sz w:val="24"/>
          <w:szCs w:val="24"/>
        </w:rPr>
        <w:t xml:space="preserve"> – 2,5% емкости рынка соответственно</w:t>
      </w:r>
      <w:r w:rsidRPr="003C0C1D">
        <w:rPr>
          <w:rFonts w:ascii="Times New Roman" w:hAnsi="Times New Roman"/>
          <w:sz w:val="24"/>
          <w:szCs w:val="24"/>
        </w:rPr>
        <w:t>. С</w:t>
      </w:r>
      <w:r w:rsidRPr="00667E44">
        <w:rPr>
          <w:rFonts w:ascii="Times New Roman" w:hAnsi="Times New Roman"/>
          <w:sz w:val="24"/>
          <w:szCs w:val="24"/>
        </w:rPr>
        <w:t xml:space="preserve">егмент </w:t>
      </w:r>
      <w:r>
        <w:rPr>
          <w:rFonts w:ascii="Times New Roman" w:hAnsi="Times New Roman"/>
          <w:sz w:val="24"/>
          <w:szCs w:val="24"/>
        </w:rPr>
        <w:t xml:space="preserve">платных </w:t>
      </w:r>
      <w:r w:rsidRPr="00667E44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 xml:space="preserve"> населению характеризовался понижающим трендом показателя (-2,5%).</w:t>
      </w:r>
    </w:p>
    <w:p w:rsidR="00A87FDC" w:rsidRDefault="00A87FDC" w:rsidP="00A87FD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A87FDC" w:rsidRDefault="00A87FDC" w:rsidP="00A87FD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Розничная торговля</w:t>
      </w:r>
    </w:p>
    <w:p w:rsidR="00A87FDC" w:rsidRPr="00360EEA" w:rsidRDefault="00A87FDC" w:rsidP="00A87FD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45558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первые шесть месяцев </w:t>
      </w:r>
      <w:r w:rsidRPr="00CC6B82">
        <w:rPr>
          <w:rFonts w:ascii="Times New Roman" w:hAnsi="Times New Roman"/>
          <w:sz w:val="24"/>
          <w:szCs w:val="24"/>
        </w:rPr>
        <w:t xml:space="preserve">текущего года на </w:t>
      </w:r>
      <w:r w:rsidRPr="00645558">
        <w:rPr>
          <w:rFonts w:ascii="Times New Roman" w:hAnsi="Times New Roman"/>
          <w:sz w:val="24"/>
          <w:szCs w:val="24"/>
        </w:rPr>
        <w:t>внутреннем</w:t>
      </w:r>
      <w:r w:rsidR="000F4153">
        <w:rPr>
          <w:rFonts w:ascii="Times New Roman" w:hAnsi="Times New Roman"/>
          <w:sz w:val="24"/>
          <w:szCs w:val="24"/>
        </w:rPr>
        <w:t xml:space="preserve"> </w:t>
      </w:r>
      <w:r w:rsidRPr="00645558">
        <w:rPr>
          <w:rFonts w:ascii="Times New Roman" w:hAnsi="Times New Roman"/>
          <w:sz w:val="24"/>
          <w:szCs w:val="24"/>
        </w:rPr>
        <w:t>рынке</w:t>
      </w:r>
      <w:r>
        <w:rPr>
          <w:rFonts w:ascii="Times New Roman" w:hAnsi="Times New Roman"/>
          <w:sz w:val="24"/>
          <w:szCs w:val="24"/>
        </w:rPr>
        <w:t xml:space="preserve"> республики </w:t>
      </w:r>
      <w:r w:rsidRPr="00645558">
        <w:rPr>
          <w:rFonts w:ascii="Times New Roman" w:hAnsi="Times New Roman"/>
          <w:sz w:val="24"/>
          <w:szCs w:val="24"/>
        </w:rPr>
        <w:t>было</w:t>
      </w:r>
      <w:r w:rsidR="000F4153">
        <w:rPr>
          <w:rFonts w:ascii="Times New Roman" w:hAnsi="Times New Roman"/>
          <w:sz w:val="24"/>
          <w:szCs w:val="24"/>
        </w:rPr>
        <w:t xml:space="preserve"> </w:t>
      </w:r>
      <w:r w:rsidRPr="00645558">
        <w:rPr>
          <w:rFonts w:ascii="Times New Roman" w:hAnsi="Times New Roman"/>
          <w:sz w:val="24"/>
          <w:szCs w:val="24"/>
        </w:rPr>
        <w:t>реализовано</w:t>
      </w:r>
      <w:r>
        <w:rPr>
          <w:rFonts w:ascii="Times New Roman" w:hAnsi="Times New Roman"/>
          <w:sz w:val="24"/>
          <w:szCs w:val="24"/>
        </w:rPr>
        <w:t xml:space="preserve"> потребительских </w:t>
      </w:r>
      <w:r w:rsidRPr="00645558">
        <w:rPr>
          <w:rFonts w:ascii="Times New Roman" w:hAnsi="Times New Roman"/>
          <w:sz w:val="24"/>
          <w:szCs w:val="24"/>
        </w:rPr>
        <w:t>товаров</w:t>
      </w:r>
      <w:r w:rsidR="000F4153">
        <w:rPr>
          <w:rFonts w:ascii="Times New Roman" w:hAnsi="Times New Roman"/>
          <w:sz w:val="24"/>
          <w:szCs w:val="24"/>
        </w:rPr>
        <w:t xml:space="preserve"> </w:t>
      </w:r>
      <w:r w:rsidRPr="00645558">
        <w:rPr>
          <w:rFonts w:ascii="Times New Roman" w:hAnsi="Times New Roman"/>
          <w:sz w:val="24"/>
          <w:szCs w:val="24"/>
        </w:rPr>
        <w:t>на</w:t>
      </w:r>
      <w:r w:rsidR="000F4153">
        <w:rPr>
          <w:rFonts w:ascii="Times New Roman" w:hAnsi="Times New Roman"/>
          <w:sz w:val="24"/>
          <w:szCs w:val="24"/>
        </w:rPr>
        <w:t xml:space="preserve"> </w:t>
      </w:r>
      <w:r w:rsidRPr="00645558">
        <w:rPr>
          <w:rFonts w:ascii="Times New Roman" w:hAnsi="Times New Roman"/>
          <w:sz w:val="24"/>
          <w:szCs w:val="24"/>
        </w:rPr>
        <w:t>общую</w:t>
      </w:r>
      <w:r w:rsidR="000F4153">
        <w:rPr>
          <w:rFonts w:ascii="Times New Roman" w:hAnsi="Times New Roman"/>
          <w:sz w:val="24"/>
          <w:szCs w:val="24"/>
        </w:rPr>
        <w:t xml:space="preserve"> </w:t>
      </w:r>
      <w:r w:rsidRPr="00645558">
        <w:rPr>
          <w:rFonts w:ascii="Times New Roman" w:hAnsi="Times New Roman"/>
          <w:sz w:val="24"/>
          <w:szCs w:val="24"/>
        </w:rPr>
        <w:t>сумму</w:t>
      </w:r>
      <w:r w:rsidR="000F4153">
        <w:rPr>
          <w:rFonts w:ascii="Times New Roman" w:hAnsi="Times New Roman"/>
          <w:sz w:val="24"/>
          <w:szCs w:val="24"/>
        </w:rPr>
        <w:t xml:space="preserve"> </w:t>
      </w:r>
      <w:r w:rsidRPr="00B4473F">
        <w:rPr>
          <w:rFonts w:ascii="Times New Roman" w:hAnsi="Times New Roman"/>
          <w:b/>
          <w:sz w:val="24"/>
          <w:szCs w:val="24"/>
          <w:u w:val="single"/>
        </w:rPr>
        <w:t>3303,4</w:t>
      </w:r>
      <w:r w:rsidR="000F415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B4473F">
        <w:rPr>
          <w:rFonts w:ascii="Times New Roman" w:hAnsi="Times New Roman"/>
          <w:b/>
          <w:sz w:val="24"/>
          <w:szCs w:val="24"/>
          <w:u w:val="single"/>
        </w:rPr>
        <w:t>млн</w:t>
      </w:r>
      <w:proofErr w:type="spellEnd"/>
      <w:proofErr w:type="gramEnd"/>
      <w:r w:rsidR="000F415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45558">
        <w:rPr>
          <w:rFonts w:ascii="Times New Roman" w:hAnsi="Times New Roman"/>
          <w:b/>
          <w:sz w:val="24"/>
          <w:szCs w:val="24"/>
          <w:u w:val="single"/>
        </w:rPr>
        <w:t xml:space="preserve">руб., </w:t>
      </w:r>
      <w:r w:rsidRPr="00645558">
        <w:rPr>
          <w:rFonts w:ascii="Times New Roman" w:hAnsi="Times New Roman"/>
          <w:sz w:val="24"/>
          <w:szCs w:val="24"/>
        </w:rPr>
        <w:t>что</w:t>
      </w:r>
      <w:r w:rsidR="000F4153">
        <w:rPr>
          <w:rFonts w:ascii="Times New Roman" w:hAnsi="Times New Roman"/>
          <w:sz w:val="24"/>
          <w:szCs w:val="24"/>
        </w:rPr>
        <w:t xml:space="preserve"> </w:t>
      </w:r>
      <w:r w:rsidRPr="00645558">
        <w:rPr>
          <w:rFonts w:ascii="Times New Roman" w:hAnsi="Times New Roman"/>
          <w:sz w:val="24"/>
          <w:szCs w:val="24"/>
        </w:rPr>
        <w:t>в</w:t>
      </w:r>
      <w:r w:rsidR="000F4153">
        <w:rPr>
          <w:rFonts w:ascii="Times New Roman" w:hAnsi="Times New Roman"/>
          <w:sz w:val="24"/>
          <w:szCs w:val="24"/>
        </w:rPr>
        <w:t xml:space="preserve"> </w:t>
      </w:r>
      <w:r w:rsidRPr="00645558">
        <w:rPr>
          <w:rFonts w:ascii="Times New Roman" w:hAnsi="Times New Roman"/>
          <w:sz w:val="24"/>
          <w:szCs w:val="24"/>
        </w:rPr>
        <w:t>текущих</w:t>
      </w:r>
      <w:r w:rsidR="000F4153">
        <w:rPr>
          <w:rFonts w:ascii="Times New Roman" w:hAnsi="Times New Roman"/>
          <w:sz w:val="24"/>
          <w:szCs w:val="24"/>
        </w:rPr>
        <w:t xml:space="preserve"> </w:t>
      </w:r>
      <w:r w:rsidRPr="00645558">
        <w:rPr>
          <w:rFonts w:ascii="Times New Roman" w:hAnsi="Times New Roman"/>
          <w:sz w:val="24"/>
          <w:szCs w:val="24"/>
        </w:rPr>
        <w:t>ценах</w:t>
      </w:r>
      <w:r w:rsidR="000F4153">
        <w:rPr>
          <w:rFonts w:ascii="Times New Roman" w:hAnsi="Times New Roman"/>
          <w:sz w:val="24"/>
          <w:szCs w:val="24"/>
        </w:rPr>
        <w:t xml:space="preserve"> </w:t>
      </w:r>
      <w:r w:rsidRPr="00645558">
        <w:rPr>
          <w:rFonts w:ascii="Times New Roman" w:hAnsi="Times New Roman"/>
          <w:sz w:val="24"/>
          <w:szCs w:val="24"/>
        </w:rPr>
        <w:t>выше</w:t>
      </w:r>
      <w:r w:rsidR="000F4153">
        <w:rPr>
          <w:rFonts w:ascii="Times New Roman" w:hAnsi="Times New Roman"/>
          <w:sz w:val="24"/>
          <w:szCs w:val="24"/>
        </w:rPr>
        <w:t xml:space="preserve"> </w:t>
      </w:r>
      <w:r w:rsidRPr="00645558">
        <w:rPr>
          <w:rFonts w:ascii="Times New Roman" w:hAnsi="Times New Roman"/>
          <w:sz w:val="24"/>
          <w:szCs w:val="24"/>
        </w:rPr>
        <w:t>базисной</w:t>
      </w:r>
      <w:r w:rsidR="000F4153">
        <w:rPr>
          <w:rFonts w:ascii="Times New Roman" w:hAnsi="Times New Roman"/>
          <w:sz w:val="24"/>
          <w:szCs w:val="24"/>
        </w:rPr>
        <w:t xml:space="preserve"> </w:t>
      </w:r>
      <w:r w:rsidRPr="00645558">
        <w:rPr>
          <w:rFonts w:ascii="Times New Roman" w:hAnsi="Times New Roman"/>
          <w:sz w:val="24"/>
          <w:szCs w:val="24"/>
        </w:rPr>
        <w:t>отметки</w:t>
      </w:r>
      <w:r w:rsidR="000F4153">
        <w:rPr>
          <w:rFonts w:ascii="Times New Roman" w:hAnsi="Times New Roman"/>
          <w:sz w:val="24"/>
          <w:szCs w:val="24"/>
        </w:rPr>
        <w:t xml:space="preserve"> </w:t>
      </w:r>
      <w:r w:rsidRPr="00645558">
        <w:rPr>
          <w:rFonts w:ascii="Times New Roman" w:hAnsi="Times New Roman"/>
          <w:b/>
          <w:sz w:val="24"/>
          <w:szCs w:val="24"/>
          <w:u w:val="single"/>
        </w:rPr>
        <w:t>на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42,3</w:t>
      </w:r>
      <w:r w:rsidRPr="00645558">
        <w:rPr>
          <w:rFonts w:ascii="Times New Roman" w:hAnsi="Times New Roman"/>
          <w:b/>
          <w:sz w:val="24"/>
          <w:szCs w:val="24"/>
          <w:u w:val="single"/>
        </w:rPr>
        <w:t>%</w:t>
      </w:r>
      <w:r w:rsidRPr="003E39A6">
        <w:rPr>
          <w:rFonts w:ascii="Times New Roman" w:hAnsi="Times New Roman"/>
          <w:b/>
          <w:sz w:val="24"/>
          <w:szCs w:val="24"/>
          <w:u w:val="single"/>
        </w:rPr>
        <w:t>,</w:t>
      </w:r>
      <w:r w:rsidR="000F4153" w:rsidRPr="000F41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а с учетом корректировки на ценовой фактор (</w:t>
      </w:r>
      <w:r w:rsidRPr="00645558">
        <w:rPr>
          <w:rFonts w:ascii="Times New Roman" w:hAnsi="Times New Roman"/>
          <w:sz w:val="24"/>
          <w:szCs w:val="24"/>
        </w:rPr>
        <w:t>в</w:t>
      </w:r>
      <w:r w:rsidR="000F4153">
        <w:rPr>
          <w:rFonts w:ascii="Times New Roman" w:hAnsi="Times New Roman"/>
          <w:sz w:val="24"/>
          <w:szCs w:val="24"/>
        </w:rPr>
        <w:t xml:space="preserve"> </w:t>
      </w:r>
      <w:r w:rsidRPr="00645558">
        <w:rPr>
          <w:rFonts w:ascii="Times New Roman" w:hAnsi="Times New Roman"/>
          <w:sz w:val="24"/>
          <w:szCs w:val="24"/>
        </w:rPr>
        <w:t>сопоставимых</w:t>
      </w:r>
      <w:r w:rsidR="000F4153">
        <w:rPr>
          <w:rFonts w:ascii="Times New Roman" w:hAnsi="Times New Roman"/>
          <w:sz w:val="24"/>
          <w:szCs w:val="24"/>
        </w:rPr>
        <w:t xml:space="preserve"> </w:t>
      </w:r>
      <w:r w:rsidRPr="00645558">
        <w:rPr>
          <w:rFonts w:ascii="Times New Roman" w:hAnsi="Times New Roman"/>
          <w:sz w:val="24"/>
          <w:szCs w:val="24"/>
        </w:rPr>
        <w:t>ценах</w:t>
      </w:r>
      <w:r>
        <w:rPr>
          <w:rFonts w:ascii="Times New Roman" w:hAnsi="Times New Roman"/>
          <w:sz w:val="24"/>
          <w:szCs w:val="24"/>
        </w:rPr>
        <w:t xml:space="preserve">) </w:t>
      </w:r>
      <w:r w:rsidRPr="00645558">
        <w:rPr>
          <w:rFonts w:ascii="Times New Roman" w:hAnsi="Times New Roman"/>
          <w:sz w:val="24"/>
          <w:szCs w:val="24"/>
        </w:rPr>
        <w:t xml:space="preserve">– </w:t>
      </w:r>
      <w:r w:rsidRPr="00645558">
        <w:rPr>
          <w:rFonts w:ascii="Times New Roman" w:hAnsi="Times New Roman"/>
          <w:b/>
          <w:sz w:val="24"/>
          <w:szCs w:val="24"/>
          <w:u w:val="single"/>
        </w:rPr>
        <w:t>на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23,0</w:t>
      </w:r>
      <w:r w:rsidRPr="00645558">
        <w:rPr>
          <w:rFonts w:ascii="Times New Roman" w:hAnsi="Times New Roman"/>
          <w:b/>
          <w:sz w:val="24"/>
          <w:szCs w:val="24"/>
          <w:u w:val="single"/>
        </w:rPr>
        <w:t>%</w:t>
      </w:r>
      <w:r w:rsidRPr="00E05DA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eastAsia="en-US"/>
        </w:rPr>
        <w:t>Фиксируемая динамика обусловлена как потребительским поведением населения, так и конъюнктурными тенденциями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77574">
        <w:rPr>
          <w:rFonts w:ascii="Times New Roman" w:hAnsi="Times New Roman"/>
          <w:sz w:val="24"/>
          <w:szCs w:val="24"/>
        </w:rPr>
        <w:t>рис</w:t>
      </w:r>
      <w:r>
        <w:rPr>
          <w:rFonts w:ascii="Times New Roman" w:hAnsi="Times New Roman"/>
          <w:sz w:val="24"/>
          <w:szCs w:val="24"/>
        </w:rPr>
        <w:t>.12</w:t>
      </w:r>
      <w:r w:rsidRPr="00E77574">
        <w:rPr>
          <w:rFonts w:ascii="Times New Roman" w:hAnsi="Times New Roman"/>
          <w:sz w:val="24"/>
          <w:szCs w:val="24"/>
        </w:rPr>
        <w:t>).</w:t>
      </w:r>
    </w:p>
    <w:p w:rsidR="00A87FDC" w:rsidRPr="00E77574" w:rsidRDefault="00A87FDC" w:rsidP="00A87FDC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E77574">
        <w:rPr>
          <w:rFonts w:ascii="Times New Roman" w:hAnsi="Times New Roman"/>
          <w:b/>
          <w:i/>
          <w:sz w:val="24"/>
          <w:szCs w:val="24"/>
        </w:rPr>
        <w:t>Рисунок</w:t>
      </w:r>
      <w:r>
        <w:rPr>
          <w:rFonts w:ascii="Times New Roman" w:hAnsi="Times New Roman"/>
          <w:b/>
          <w:i/>
          <w:sz w:val="24"/>
          <w:szCs w:val="24"/>
        </w:rPr>
        <w:t xml:space="preserve"> 12</w:t>
      </w:r>
    </w:p>
    <w:p w:rsidR="00A87FDC" w:rsidRDefault="00A87FDC" w:rsidP="00A87F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189E">
        <w:rPr>
          <w:rFonts w:ascii="Times New Roman" w:hAnsi="Times New Roman"/>
          <w:b/>
          <w:sz w:val="24"/>
          <w:szCs w:val="24"/>
        </w:rPr>
        <w:t>Динамика розничного товарооборота, %</w:t>
      </w:r>
    </w:p>
    <w:p w:rsidR="00A87FDC" w:rsidRDefault="00A87FDC" w:rsidP="00A87F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>
        <w:rPr>
          <w:noProof/>
        </w:rPr>
        <w:drawing>
          <wp:inline distT="0" distB="0" distL="0" distR="0">
            <wp:extent cx="6057900" cy="1828800"/>
            <wp:effectExtent l="19050" t="0" r="0" b="0"/>
            <wp:docPr id="11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87FDC" w:rsidRPr="00761937" w:rsidRDefault="00A87FDC" w:rsidP="00A87FDC">
      <w:pPr>
        <w:spacing w:after="0" w:line="240" w:lineRule="auto"/>
        <w:ind w:firstLine="426"/>
        <w:jc w:val="both"/>
        <w:rPr>
          <w:rFonts w:ascii="Times New Roman" w:hAnsi="Times New Roman"/>
          <w:sz w:val="10"/>
          <w:szCs w:val="10"/>
        </w:rPr>
      </w:pPr>
    </w:p>
    <w:p w:rsidR="00A87FDC" w:rsidRPr="00360EEA" w:rsidRDefault="00A87FDC" w:rsidP="00A87FDC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DD626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товарной </w:t>
      </w:r>
      <w:r w:rsidRPr="00DD6268">
        <w:rPr>
          <w:rFonts w:ascii="Times New Roman" w:hAnsi="Times New Roman"/>
          <w:sz w:val="24"/>
          <w:szCs w:val="24"/>
        </w:rPr>
        <w:t>структуре</w:t>
      </w:r>
      <w:r>
        <w:rPr>
          <w:rFonts w:ascii="Times New Roman" w:hAnsi="Times New Roman"/>
          <w:sz w:val="24"/>
          <w:szCs w:val="24"/>
        </w:rPr>
        <w:t xml:space="preserve"> розничного оборота</w:t>
      </w:r>
      <w:r w:rsidR="000F41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суммарная стоимость </w:t>
      </w:r>
      <w:r w:rsidRPr="00DD6268">
        <w:rPr>
          <w:rFonts w:ascii="Times New Roman" w:hAnsi="Times New Roman"/>
          <w:sz w:val="24"/>
          <w:szCs w:val="24"/>
        </w:rPr>
        <w:t>приобрет</w:t>
      </w:r>
      <w:r>
        <w:rPr>
          <w:rFonts w:ascii="Times New Roman" w:hAnsi="Times New Roman"/>
          <w:sz w:val="24"/>
          <w:szCs w:val="24"/>
        </w:rPr>
        <w:t>енных</w:t>
      </w:r>
      <w:r w:rsidRPr="00824EE9">
        <w:rPr>
          <w:rFonts w:ascii="Times New Roman" w:hAnsi="Times New Roman"/>
          <w:sz w:val="24"/>
          <w:szCs w:val="24"/>
        </w:rPr>
        <w:t xml:space="preserve"> населением </w:t>
      </w:r>
      <w:r w:rsidRPr="00DD6268">
        <w:rPr>
          <w:rFonts w:ascii="Times New Roman" w:hAnsi="Times New Roman"/>
          <w:sz w:val="24"/>
          <w:szCs w:val="24"/>
        </w:rPr>
        <w:t>товаров</w:t>
      </w:r>
      <w:r w:rsidRPr="00423321">
        <w:rPr>
          <w:rFonts w:ascii="Times New Roman" w:hAnsi="Times New Roman"/>
          <w:sz w:val="24"/>
          <w:szCs w:val="24"/>
        </w:rPr>
        <w:t xml:space="preserve"> непродовольственного</w:t>
      </w:r>
      <w:r w:rsidR="000F4153">
        <w:rPr>
          <w:rFonts w:ascii="Times New Roman" w:hAnsi="Times New Roman"/>
          <w:sz w:val="24"/>
          <w:szCs w:val="24"/>
        </w:rPr>
        <w:t xml:space="preserve"> </w:t>
      </w:r>
      <w:r w:rsidRPr="00423321">
        <w:rPr>
          <w:rFonts w:ascii="Times New Roman" w:hAnsi="Times New Roman"/>
          <w:sz w:val="24"/>
          <w:szCs w:val="24"/>
        </w:rPr>
        <w:t>назначения</w:t>
      </w:r>
      <w:r w:rsidRPr="00824EE9">
        <w:rPr>
          <w:rFonts w:ascii="Times New Roman" w:hAnsi="Times New Roman"/>
          <w:sz w:val="24"/>
          <w:szCs w:val="24"/>
        </w:rPr>
        <w:t xml:space="preserve"> возросла в рассматриваемом периоде </w:t>
      </w:r>
      <w:r w:rsidRPr="00423321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45,8</w:t>
      </w:r>
      <w:r w:rsidRPr="00423321">
        <w:rPr>
          <w:rFonts w:ascii="Times New Roman" w:hAnsi="Times New Roman"/>
          <w:sz w:val="24"/>
          <w:szCs w:val="24"/>
        </w:rPr>
        <w:t>% до</w:t>
      </w:r>
      <w:r>
        <w:rPr>
          <w:rFonts w:ascii="Times New Roman" w:hAnsi="Times New Roman"/>
          <w:sz w:val="24"/>
          <w:szCs w:val="24"/>
        </w:rPr>
        <w:t xml:space="preserve"> 1 855,4</w:t>
      </w:r>
      <w:r w:rsidRPr="0042332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23321">
        <w:rPr>
          <w:rFonts w:ascii="Times New Roman" w:hAnsi="Times New Roman"/>
          <w:sz w:val="24"/>
          <w:szCs w:val="24"/>
        </w:rPr>
        <w:t>млн</w:t>
      </w:r>
      <w:proofErr w:type="spellEnd"/>
      <w:proofErr w:type="gramEnd"/>
      <w:r w:rsidR="000F4153">
        <w:rPr>
          <w:rFonts w:ascii="Times New Roman" w:hAnsi="Times New Roman"/>
          <w:sz w:val="24"/>
          <w:szCs w:val="24"/>
        </w:rPr>
        <w:t xml:space="preserve"> </w:t>
      </w:r>
      <w:r w:rsidRPr="00423321">
        <w:rPr>
          <w:rFonts w:ascii="Times New Roman" w:hAnsi="Times New Roman"/>
          <w:sz w:val="24"/>
          <w:szCs w:val="24"/>
        </w:rPr>
        <w:t xml:space="preserve">руб., </w:t>
      </w:r>
      <w:r>
        <w:rPr>
          <w:rFonts w:ascii="Times New Roman" w:hAnsi="Times New Roman"/>
          <w:sz w:val="24"/>
          <w:szCs w:val="24"/>
        </w:rPr>
        <w:t xml:space="preserve">что соответствует долевому представлению на уровне </w:t>
      </w:r>
      <w:r w:rsidRPr="0042332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6</w:t>
      </w:r>
      <w:r w:rsidRPr="00423321">
        <w:rPr>
          <w:rFonts w:ascii="Times New Roman" w:hAnsi="Times New Roman"/>
          <w:sz w:val="24"/>
          <w:szCs w:val="24"/>
        </w:rPr>
        <w:t>,</w:t>
      </w:r>
      <w:r w:rsidRPr="00824EE9">
        <w:rPr>
          <w:rFonts w:ascii="Times New Roman" w:hAnsi="Times New Roman"/>
          <w:sz w:val="24"/>
          <w:szCs w:val="24"/>
        </w:rPr>
        <w:t>2</w:t>
      </w:r>
      <w:r w:rsidRPr="00423321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(+6,4</w:t>
      </w:r>
      <w:r w:rsidRPr="00824EE9">
        <w:rPr>
          <w:rFonts w:ascii="Times New Roman" w:hAnsi="Times New Roman"/>
          <w:sz w:val="24"/>
          <w:szCs w:val="24"/>
        </w:rPr>
        <w:t xml:space="preserve"> п.п.</w:t>
      </w:r>
      <w:r>
        <w:rPr>
          <w:rFonts w:ascii="Times New Roman" w:hAnsi="Times New Roman"/>
          <w:sz w:val="24"/>
          <w:szCs w:val="24"/>
        </w:rPr>
        <w:t>)</w:t>
      </w:r>
      <w:r w:rsidRPr="00824EE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824EE9">
        <w:rPr>
          <w:rFonts w:ascii="Times New Roman" w:hAnsi="Times New Roman"/>
          <w:sz w:val="24"/>
          <w:szCs w:val="24"/>
        </w:rPr>
        <w:t xml:space="preserve">родуктовый сегмент (включая алкогольные напитки и пиво) </w:t>
      </w:r>
      <w:r>
        <w:rPr>
          <w:rFonts w:ascii="Times New Roman" w:hAnsi="Times New Roman"/>
          <w:sz w:val="24"/>
          <w:szCs w:val="24"/>
        </w:rPr>
        <w:t>обеспечил</w:t>
      </w:r>
      <w:r w:rsidRPr="00824EE9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3</w:t>
      </w:r>
      <w:r w:rsidRPr="00824EE9">
        <w:rPr>
          <w:rFonts w:ascii="Times New Roman" w:hAnsi="Times New Roman"/>
          <w:sz w:val="24"/>
          <w:szCs w:val="24"/>
        </w:rPr>
        <w:t>,8%</w:t>
      </w:r>
      <w:r>
        <w:rPr>
          <w:rFonts w:ascii="Times New Roman" w:hAnsi="Times New Roman"/>
          <w:sz w:val="24"/>
          <w:szCs w:val="24"/>
        </w:rPr>
        <w:t xml:space="preserve"> общего товарооборота, или 1 448,0</w:t>
      </w:r>
      <w:r w:rsidRPr="00824EE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24EE9">
        <w:rPr>
          <w:rFonts w:ascii="Times New Roman" w:hAnsi="Times New Roman"/>
          <w:sz w:val="24"/>
          <w:szCs w:val="24"/>
        </w:rPr>
        <w:t>млн</w:t>
      </w:r>
      <w:proofErr w:type="spellEnd"/>
      <w:proofErr w:type="gramEnd"/>
      <w:r w:rsidRPr="00824EE9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(+0,3%) в стоимостном выражении (рис. 13)</w:t>
      </w:r>
      <w:r w:rsidRPr="005B672E">
        <w:rPr>
          <w:rFonts w:ascii="Times New Roman" w:hAnsi="Times New Roman"/>
          <w:sz w:val="24"/>
          <w:szCs w:val="24"/>
        </w:rPr>
        <w:t>.</w:t>
      </w:r>
    </w:p>
    <w:p w:rsidR="00A87FDC" w:rsidRPr="00E77574" w:rsidRDefault="00A87FDC" w:rsidP="00A87FDC">
      <w:pPr>
        <w:spacing w:after="0" w:line="240" w:lineRule="auto"/>
        <w:ind w:firstLine="425"/>
        <w:jc w:val="right"/>
        <w:rPr>
          <w:rFonts w:ascii="Times New Roman" w:hAnsi="Times New Roman"/>
          <w:b/>
          <w:i/>
          <w:sz w:val="24"/>
          <w:szCs w:val="24"/>
        </w:rPr>
      </w:pPr>
      <w:r w:rsidRPr="00E77574">
        <w:rPr>
          <w:rFonts w:ascii="Times New Roman" w:hAnsi="Times New Roman"/>
          <w:b/>
          <w:i/>
          <w:sz w:val="24"/>
          <w:szCs w:val="24"/>
        </w:rPr>
        <w:t xml:space="preserve">Рисунок </w:t>
      </w:r>
      <w:r>
        <w:rPr>
          <w:rFonts w:ascii="Times New Roman" w:hAnsi="Times New Roman"/>
          <w:b/>
          <w:i/>
          <w:sz w:val="24"/>
          <w:szCs w:val="24"/>
        </w:rPr>
        <w:t>13</w:t>
      </w:r>
    </w:p>
    <w:p w:rsidR="00A87FDC" w:rsidRDefault="00A87FDC" w:rsidP="00A87FD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>
            <wp:extent cx="6181725" cy="1619250"/>
            <wp:effectExtent l="0" t="0" r="0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87FDC" w:rsidRPr="00761937" w:rsidRDefault="00A87FDC" w:rsidP="00A87FDC">
      <w:pPr>
        <w:spacing w:after="0" w:line="240" w:lineRule="auto"/>
        <w:ind w:firstLine="426"/>
        <w:jc w:val="both"/>
        <w:rPr>
          <w:rFonts w:ascii="Times New Roman" w:eastAsia="Calibri" w:hAnsi="Times New Roman"/>
          <w:sz w:val="10"/>
          <w:szCs w:val="10"/>
          <w:lang w:eastAsia="en-US"/>
        </w:rPr>
      </w:pPr>
    </w:p>
    <w:p w:rsidR="00A87FDC" w:rsidRPr="00DF5199" w:rsidRDefault="00A87FDC" w:rsidP="00A87FDC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554A8">
        <w:rPr>
          <w:rFonts w:ascii="Times New Roman" w:eastAsia="Calibri" w:hAnsi="Times New Roman"/>
          <w:sz w:val="24"/>
          <w:szCs w:val="24"/>
          <w:lang w:eastAsia="en-US"/>
        </w:rPr>
        <w:t xml:space="preserve">Итоги деятельности </w:t>
      </w:r>
      <w:r w:rsidRPr="00B3112C">
        <w:rPr>
          <w:rFonts w:ascii="Times New Roman" w:eastAsia="Calibri" w:hAnsi="Times New Roman"/>
          <w:b/>
          <w:sz w:val="24"/>
          <w:szCs w:val="24"/>
          <w:lang w:eastAsia="en-US"/>
        </w:rPr>
        <w:t>организаций общественного питания</w:t>
      </w:r>
      <w:r w:rsidRPr="004554A8">
        <w:rPr>
          <w:rFonts w:ascii="Times New Roman" w:eastAsia="Calibri" w:hAnsi="Times New Roman"/>
          <w:sz w:val="24"/>
          <w:szCs w:val="24"/>
          <w:lang w:eastAsia="en-US"/>
        </w:rPr>
        <w:t xml:space="preserve"> в январе-</w:t>
      </w:r>
      <w:r>
        <w:rPr>
          <w:rFonts w:ascii="Times New Roman" w:eastAsia="Calibri" w:hAnsi="Times New Roman"/>
          <w:sz w:val="24"/>
          <w:szCs w:val="24"/>
          <w:lang w:eastAsia="en-US"/>
        </w:rPr>
        <w:t>июне</w:t>
      </w:r>
      <w:r w:rsidRPr="004554A8">
        <w:rPr>
          <w:rFonts w:ascii="Times New Roman" w:eastAsia="Calibri" w:hAnsi="Times New Roman"/>
          <w:sz w:val="24"/>
          <w:szCs w:val="24"/>
          <w:lang w:eastAsia="en-US"/>
        </w:rPr>
        <w:t xml:space="preserve"> 201</w:t>
      </w:r>
      <w:r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Pr="004554A8">
        <w:rPr>
          <w:rFonts w:ascii="Times New Roman" w:eastAsia="Calibri" w:hAnsi="Times New Roman"/>
          <w:sz w:val="24"/>
          <w:szCs w:val="24"/>
          <w:lang w:eastAsia="en-US"/>
        </w:rPr>
        <w:t xml:space="preserve"> года отразили </w:t>
      </w:r>
      <w:r w:rsidRPr="004554A8">
        <w:rPr>
          <w:rFonts w:ascii="Times New Roman" w:hAnsi="Times New Roman"/>
          <w:sz w:val="24"/>
          <w:szCs w:val="24"/>
        </w:rPr>
        <w:t>рост потребительского спроса на услуги</w:t>
      </w:r>
      <w:r w:rsidRPr="004554A8">
        <w:rPr>
          <w:rFonts w:ascii="Times New Roman" w:eastAsia="Calibri" w:hAnsi="Times New Roman"/>
          <w:sz w:val="24"/>
          <w:szCs w:val="24"/>
          <w:lang w:eastAsia="en-US"/>
        </w:rPr>
        <w:t xml:space="preserve"> данного сегмента рынка. В результате, абсолютная величина выручки </w:t>
      </w:r>
      <w:r w:rsidRPr="004554A8">
        <w:rPr>
          <w:rFonts w:ascii="Times New Roman" w:eastAsia="Calibri" w:hAnsi="Times New Roman"/>
          <w:b/>
          <w:sz w:val="24"/>
          <w:szCs w:val="24"/>
          <w:lang w:eastAsia="en-US"/>
        </w:rPr>
        <w:t>организаций общественного питания,</w:t>
      </w:r>
      <w:r w:rsidRPr="004554A8">
        <w:rPr>
          <w:rFonts w:ascii="Times New Roman" w:eastAsia="Calibri" w:hAnsi="Times New Roman"/>
          <w:sz w:val="24"/>
          <w:szCs w:val="24"/>
          <w:lang w:eastAsia="en-US"/>
        </w:rPr>
        <w:t xml:space="preserve"> по оценке, составила </w:t>
      </w: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112,3</w:t>
      </w:r>
      <w:r w:rsidRPr="004554A8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</w:t>
      </w:r>
      <w:proofErr w:type="spellStart"/>
      <w:proofErr w:type="gramStart"/>
      <w:r w:rsidRPr="004554A8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млн</w:t>
      </w:r>
      <w:proofErr w:type="spellEnd"/>
      <w:proofErr w:type="gramEnd"/>
      <w:r w:rsidRPr="004554A8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руб. (+</w:t>
      </w: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8,6</w:t>
      </w:r>
      <w:r w:rsidRPr="004554A8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% в </w:t>
      </w: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реальном выражении</w:t>
      </w:r>
      <w:r w:rsidRPr="004554A8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)</w:t>
      </w:r>
      <w:r w:rsidRPr="00E05DA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eastAsia="en-US"/>
        </w:rPr>
        <w:t>При этом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,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доминирующая доля (79,3%, +4,7 п.п.) при увеличении оборота на 42,8% была сформирована организациями негосударственной формы собственности. Организациями государственной и муниципальной формы собственности было обеспечено 20,7% емкости оборота общественного питания с расширением объема к базовой отметке 2017 года на 9,9%.</w:t>
      </w:r>
    </w:p>
    <w:p w:rsidR="00A87FDC" w:rsidRDefault="00A87FDC" w:rsidP="00A87FDC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A87FDC" w:rsidRDefault="00A87FDC" w:rsidP="00A87FDC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A87FDC" w:rsidRPr="00EB1524" w:rsidRDefault="00A87FDC" w:rsidP="00A87FDC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EB1524">
        <w:rPr>
          <w:rFonts w:ascii="Times New Roman" w:hAnsi="Times New Roman"/>
          <w:b/>
          <w:sz w:val="24"/>
          <w:szCs w:val="24"/>
        </w:rPr>
        <w:lastRenderedPageBreak/>
        <w:t>Рынок платных услуг населению</w:t>
      </w:r>
    </w:p>
    <w:p w:rsidR="00A87FDC" w:rsidRPr="00505AA8" w:rsidRDefault="00A87FDC" w:rsidP="00505AA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</w:rPr>
        <w:t>В отчетном периоде</w:t>
      </w:r>
      <w:r w:rsidR="000F415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стоимость услуг, оказанных населению через все каналы реализации, </w:t>
      </w:r>
      <w:r>
        <w:rPr>
          <w:rFonts w:ascii="Times New Roman" w:hAnsi="Times New Roman"/>
          <w:sz w:val="24"/>
        </w:rPr>
        <w:t>сформировалась на отметке</w:t>
      </w:r>
      <w:r w:rsidR="000F4153">
        <w:rPr>
          <w:rFonts w:ascii="Times New Roman" w:hAnsi="Times New Roman"/>
          <w:sz w:val="24"/>
        </w:rPr>
        <w:t xml:space="preserve"> </w:t>
      </w:r>
      <w:r w:rsidRPr="00C4779D">
        <w:rPr>
          <w:rFonts w:ascii="Times New Roman" w:hAnsi="Times New Roman"/>
          <w:b/>
          <w:sz w:val="24"/>
          <w:szCs w:val="24"/>
          <w:u w:val="single"/>
        </w:rPr>
        <w:t>1 104,3</w:t>
      </w:r>
      <w:r w:rsidR="000F415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C4779D">
        <w:rPr>
          <w:rFonts w:ascii="Times New Roman" w:hAnsi="Times New Roman"/>
          <w:b/>
          <w:sz w:val="24"/>
          <w:szCs w:val="24"/>
          <w:u w:val="single"/>
        </w:rPr>
        <w:t>млн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руб.,</w:t>
      </w:r>
      <w:r>
        <w:rPr>
          <w:rFonts w:ascii="Times New Roman" w:hAnsi="Times New Roman"/>
          <w:sz w:val="24"/>
          <w:szCs w:val="24"/>
        </w:rPr>
        <w:t xml:space="preserve"> что в текущих ценах на </w:t>
      </w:r>
      <w:r>
        <w:rPr>
          <w:rFonts w:ascii="Times New Roman" w:hAnsi="Times New Roman"/>
          <w:b/>
          <w:sz w:val="24"/>
          <w:szCs w:val="24"/>
          <w:u w:val="single"/>
        </w:rPr>
        <w:t>1,2%</w:t>
      </w:r>
      <w:r w:rsidRPr="009E7AB3">
        <w:rPr>
          <w:rFonts w:ascii="Times New Roman" w:hAnsi="Times New Roman"/>
          <w:sz w:val="24"/>
          <w:szCs w:val="24"/>
        </w:rPr>
        <w:t xml:space="preserve"> превысило прошлогодний показатель</w:t>
      </w:r>
      <w:r w:rsidRPr="009E7AB3">
        <w:rPr>
          <w:rFonts w:ascii="Times New Roman" w:hAnsi="Times New Roman"/>
          <w:sz w:val="24"/>
        </w:rPr>
        <w:t>.</w:t>
      </w:r>
      <w:r w:rsidR="000F415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В сопоставимой оценке</w:t>
      </w:r>
      <w:r>
        <w:rPr>
          <w:rFonts w:ascii="Times New Roman" w:hAnsi="Times New Roman"/>
          <w:sz w:val="24"/>
          <w:szCs w:val="24"/>
        </w:rPr>
        <w:t xml:space="preserve"> (с учетом корректировки на инфляционный фактор)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овокупный объем средств, направленных населением на их оплату, </w:t>
      </w:r>
      <w:r>
        <w:rPr>
          <w:rFonts w:ascii="Times New Roman" w:hAnsi="Times New Roman"/>
          <w:sz w:val="24"/>
        </w:rPr>
        <w:t xml:space="preserve">на фоне проведения государством социально ориентированной политики </w:t>
      </w:r>
      <w:proofErr w:type="spellStart"/>
      <w:r>
        <w:rPr>
          <w:rFonts w:ascii="Times New Roman" w:hAnsi="Times New Roman"/>
          <w:sz w:val="24"/>
        </w:rPr>
        <w:t>тарифицирования</w:t>
      </w:r>
      <w:proofErr w:type="spellEnd"/>
      <w:r>
        <w:rPr>
          <w:rFonts w:ascii="Times New Roman" w:hAnsi="Times New Roman"/>
          <w:sz w:val="24"/>
        </w:rPr>
        <w:t xml:space="preserve"> услуг естественных монополий </w:t>
      </w:r>
      <w:r>
        <w:rPr>
          <w:rFonts w:ascii="Times New Roman" w:hAnsi="Times New Roman"/>
          <w:sz w:val="24"/>
          <w:szCs w:val="24"/>
        </w:rPr>
        <w:t xml:space="preserve">сократился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на 2,5% </w:t>
      </w:r>
      <w:r w:rsidRPr="00E7757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рис 14</w:t>
      </w:r>
      <w:r w:rsidRPr="00E77574">
        <w:rPr>
          <w:rFonts w:ascii="Times New Roman" w:hAnsi="Times New Roman"/>
          <w:sz w:val="24"/>
          <w:szCs w:val="24"/>
        </w:rPr>
        <w:t>).</w:t>
      </w:r>
    </w:p>
    <w:p w:rsidR="00A87FDC" w:rsidRPr="00E77574" w:rsidRDefault="00A87FDC" w:rsidP="00A87FDC">
      <w:pPr>
        <w:spacing w:after="0" w:line="240" w:lineRule="auto"/>
        <w:ind w:firstLine="425"/>
        <w:jc w:val="right"/>
        <w:rPr>
          <w:rFonts w:ascii="Times New Roman" w:hAnsi="Times New Roman"/>
          <w:b/>
          <w:i/>
          <w:sz w:val="24"/>
          <w:szCs w:val="24"/>
        </w:rPr>
      </w:pPr>
      <w:r w:rsidRPr="00E77574">
        <w:rPr>
          <w:rFonts w:ascii="Times New Roman" w:hAnsi="Times New Roman"/>
          <w:b/>
          <w:i/>
          <w:sz w:val="24"/>
          <w:szCs w:val="24"/>
        </w:rPr>
        <w:t xml:space="preserve">Рисунок </w:t>
      </w:r>
      <w:r>
        <w:rPr>
          <w:rFonts w:ascii="Times New Roman" w:hAnsi="Times New Roman"/>
          <w:b/>
          <w:i/>
          <w:sz w:val="24"/>
          <w:szCs w:val="24"/>
        </w:rPr>
        <w:t>14</w:t>
      </w:r>
    </w:p>
    <w:p w:rsidR="00A87FDC" w:rsidRDefault="00A87FDC" w:rsidP="00A87F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платных услуг населению (в процентах к предыдущему году)</w:t>
      </w:r>
    </w:p>
    <w:p w:rsidR="00A87FDC" w:rsidRDefault="00A87FDC" w:rsidP="00A87FD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noProof/>
        </w:rPr>
        <w:drawing>
          <wp:inline distT="0" distB="0" distL="0" distR="0">
            <wp:extent cx="5638800" cy="1428750"/>
            <wp:effectExtent l="19050" t="0" r="0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87FDC" w:rsidRDefault="00A87FDC" w:rsidP="00A87FDC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A87FDC" w:rsidRPr="00440EEC" w:rsidRDefault="00A87FDC" w:rsidP="00A87FDC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2CB6">
        <w:rPr>
          <w:rFonts w:ascii="Times New Roman" w:hAnsi="Times New Roman"/>
          <w:sz w:val="24"/>
          <w:szCs w:val="24"/>
        </w:rPr>
        <w:t>В сегменте услуг</w:t>
      </w:r>
      <w:r>
        <w:rPr>
          <w:rFonts w:ascii="Times New Roman" w:hAnsi="Times New Roman"/>
          <w:sz w:val="24"/>
          <w:szCs w:val="24"/>
        </w:rPr>
        <w:t>,</w:t>
      </w:r>
      <w:r w:rsidRPr="00192CB6">
        <w:rPr>
          <w:rFonts w:ascii="Times New Roman" w:hAnsi="Times New Roman"/>
          <w:sz w:val="24"/>
          <w:szCs w:val="24"/>
        </w:rPr>
        <w:t xml:space="preserve"> несмотря на сокращение абсолютных параметров на </w:t>
      </w:r>
      <w:r>
        <w:rPr>
          <w:rFonts w:ascii="Times New Roman" w:hAnsi="Times New Roman"/>
          <w:sz w:val="24"/>
          <w:szCs w:val="24"/>
        </w:rPr>
        <w:t>0,6</w:t>
      </w:r>
      <w:r w:rsidRPr="00192CB6">
        <w:rPr>
          <w:rFonts w:ascii="Times New Roman" w:hAnsi="Times New Roman"/>
          <w:sz w:val="24"/>
          <w:szCs w:val="24"/>
        </w:rPr>
        <w:t xml:space="preserve">% до </w:t>
      </w:r>
      <w:r>
        <w:rPr>
          <w:rFonts w:ascii="Times New Roman" w:hAnsi="Times New Roman"/>
          <w:sz w:val="24"/>
          <w:szCs w:val="24"/>
        </w:rPr>
        <w:br/>
        <w:t>586,9</w:t>
      </w:r>
      <w:r w:rsidRPr="00192CB6">
        <w:rPr>
          <w:rFonts w:ascii="Times New Roman" w:hAnsi="Times New Roman"/>
          <w:sz w:val="24"/>
          <w:szCs w:val="24"/>
        </w:rPr>
        <w:t xml:space="preserve"> млн. руб. преобладающая доля (5</w:t>
      </w:r>
      <w:r>
        <w:rPr>
          <w:rFonts w:ascii="Times New Roman" w:hAnsi="Times New Roman"/>
          <w:sz w:val="24"/>
          <w:szCs w:val="24"/>
        </w:rPr>
        <w:t>3</w:t>
      </w:r>
      <w:r w:rsidRPr="00192C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</w:t>
      </w:r>
      <w:r w:rsidRPr="00192CB6">
        <w:rPr>
          <w:rFonts w:ascii="Times New Roman" w:hAnsi="Times New Roman"/>
          <w:sz w:val="24"/>
          <w:szCs w:val="24"/>
        </w:rPr>
        <w:t xml:space="preserve">%) была сформирована государственными и муниципальными организациями. </w:t>
      </w:r>
      <w:r w:rsidRPr="004554A8">
        <w:rPr>
          <w:rFonts w:ascii="Times New Roman" w:eastAsia="Calibri" w:hAnsi="Times New Roman"/>
          <w:sz w:val="24"/>
          <w:szCs w:val="24"/>
          <w:lang w:eastAsia="en-US"/>
        </w:rPr>
        <w:t xml:space="preserve">При этом,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на </w:t>
      </w:r>
      <w:r w:rsidRPr="004554A8">
        <w:rPr>
          <w:rFonts w:ascii="Times New Roman" w:eastAsia="Calibri" w:hAnsi="Times New Roman"/>
          <w:sz w:val="24"/>
          <w:szCs w:val="24"/>
          <w:lang w:eastAsia="en-US"/>
        </w:rPr>
        <w:t>организаци</w:t>
      </w:r>
      <w:r>
        <w:rPr>
          <w:rFonts w:ascii="Times New Roman" w:eastAsia="Calibri" w:hAnsi="Times New Roman"/>
          <w:sz w:val="24"/>
          <w:szCs w:val="24"/>
          <w:lang w:eastAsia="en-US"/>
        </w:rPr>
        <w:t>и не</w:t>
      </w:r>
      <w:r w:rsidRPr="004554A8">
        <w:rPr>
          <w:rFonts w:ascii="Times New Roman" w:eastAsia="Calibri" w:hAnsi="Times New Roman"/>
          <w:sz w:val="24"/>
          <w:szCs w:val="24"/>
          <w:lang w:eastAsia="en-US"/>
        </w:rPr>
        <w:t>государственн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ой </w:t>
      </w:r>
      <w:r w:rsidRPr="004554A8">
        <w:rPr>
          <w:rFonts w:ascii="Times New Roman" w:eastAsia="Calibri" w:hAnsi="Times New Roman"/>
          <w:sz w:val="24"/>
          <w:szCs w:val="24"/>
          <w:lang w:eastAsia="en-US"/>
        </w:rPr>
        <w:t>формы собственности</w:t>
      </w:r>
      <w:r>
        <w:rPr>
          <w:rFonts w:ascii="Times New Roman" w:eastAsia="Calibri" w:hAnsi="Times New Roman"/>
          <w:sz w:val="24"/>
          <w:szCs w:val="24"/>
          <w:lang w:eastAsia="en-US"/>
        </w:rPr>
        <w:t>, включая физических лиц, пришлось 46,9</w:t>
      </w:r>
      <w:r w:rsidRPr="004554A8">
        <w:rPr>
          <w:rFonts w:ascii="Times New Roman" w:eastAsia="Calibri" w:hAnsi="Times New Roman"/>
          <w:sz w:val="24"/>
          <w:szCs w:val="24"/>
          <w:lang w:eastAsia="en-US"/>
        </w:rPr>
        <w:t xml:space="preserve">%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предоставленных услуг </w:t>
      </w:r>
      <w:r w:rsidRPr="004554A8">
        <w:rPr>
          <w:rFonts w:ascii="Times New Roman" w:eastAsia="Calibri" w:hAnsi="Times New Roman"/>
          <w:sz w:val="24"/>
          <w:szCs w:val="24"/>
          <w:lang w:eastAsia="en-US"/>
        </w:rPr>
        <w:t xml:space="preserve">с расширением </w:t>
      </w:r>
      <w:r>
        <w:rPr>
          <w:rFonts w:ascii="Times New Roman" w:eastAsia="Calibri" w:hAnsi="Times New Roman"/>
          <w:sz w:val="24"/>
          <w:szCs w:val="24"/>
          <w:lang w:eastAsia="en-US"/>
        </w:rPr>
        <w:t>абсолютного параметра</w:t>
      </w:r>
      <w:r w:rsidRPr="004554A8">
        <w:rPr>
          <w:rFonts w:ascii="Times New Roman" w:eastAsia="Calibri" w:hAnsi="Times New Roman"/>
          <w:sz w:val="24"/>
          <w:szCs w:val="24"/>
          <w:lang w:eastAsia="en-US"/>
        </w:rPr>
        <w:t xml:space="preserve"> по отношению к базово</w:t>
      </w:r>
      <w:r>
        <w:rPr>
          <w:rFonts w:ascii="Times New Roman" w:eastAsia="Calibri" w:hAnsi="Times New Roman"/>
          <w:sz w:val="24"/>
          <w:szCs w:val="24"/>
          <w:lang w:eastAsia="en-US"/>
        </w:rPr>
        <w:t>й отметке</w:t>
      </w:r>
      <w:r w:rsidRPr="004554A8">
        <w:rPr>
          <w:rFonts w:ascii="Times New Roman" w:eastAsia="Calibri" w:hAnsi="Times New Roman"/>
          <w:sz w:val="24"/>
          <w:szCs w:val="24"/>
          <w:lang w:eastAsia="en-US"/>
        </w:rPr>
        <w:t xml:space="preserve"> 2017 года на </w:t>
      </w:r>
      <w:r>
        <w:rPr>
          <w:rFonts w:ascii="Times New Roman" w:eastAsia="Calibri" w:hAnsi="Times New Roman"/>
          <w:sz w:val="24"/>
          <w:szCs w:val="24"/>
          <w:lang w:eastAsia="en-US"/>
        </w:rPr>
        <w:t>3,3</w:t>
      </w:r>
      <w:r w:rsidRPr="004554A8">
        <w:rPr>
          <w:rFonts w:ascii="Times New Roman" w:eastAsia="Calibri" w:hAnsi="Times New Roman"/>
          <w:sz w:val="24"/>
          <w:szCs w:val="24"/>
          <w:lang w:eastAsia="en-US"/>
        </w:rPr>
        <w:t>%</w:t>
      </w:r>
      <w:r>
        <w:rPr>
          <w:rFonts w:ascii="Times New Roman" w:hAnsi="Times New Roman"/>
          <w:sz w:val="24"/>
          <w:szCs w:val="24"/>
        </w:rPr>
        <w:t xml:space="preserve"> (рис. 15)</w:t>
      </w:r>
      <w:r w:rsidRPr="005100F2">
        <w:rPr>
          <w:rFonts w:ascii="Times New Roman" w:hAnsi="Times New Roman"/>
          <w:sz w:val="24"/>
          <w:szCs w:val="24"/>
        </w:rPr>
        <w:t>.</w:t>
      </w:r>
    </w:p>
    <w:p w:rsidR="00A87FDC" w:rsidRPr="00E77574" w:rsidRDefault="00A87FDC" w:rsidP="00A87FDC">
      <w:pPr>
        <w:spacing w:after="0" w:line="240" w:lineRule="auto"/>
        <w:ind w:firstLine="425"/>
        <w:jc w:val="right"/>
        <w:rPr>
          <w:rFonts w:ascii="Times New Roman" w:hAnsi="Times New Roman"/>
          <w:b/>
          <w:i/>
          <w:sz w:val="24"/>
          <w:szCs w:val="24"/>
        </w:rPr>
      </w:pPr>
      <w:r w:rsidRPr="00E77574">
        <w:rPr>
          <w:rFonts w:ascii="Times New Roman" w:hAnsi="Times New Roman"/>
          <w:b/>
          <w:i/>
          <w:sz w:val="24"/>
          <w:szCs w:val="24"/>
        </w:rPr>
        <w:t xml:space="preserve">Рисунок </w:t>
      </w:r>
      <w:r>
        <w:rPr>
          <w:rFonts w:ascii="Times New Roman" w:hAnsi="Times New Roman"/>
          <w:b/>
          <w:i/>
          <w:sz w:val="24"/>
          <w:szCs w:val="24"/>
        </w:rPr>
        <w:t>15</w:t>
      </w:r>
    </w:p>
    <w:p w:rsidR="00A87FDC" w:rsidRDefault="00A87FDC" w:rsidP="00A87FDC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Структура потребительских услуг по формам собственности, %</w:t>
      </w:r>
    </w:p>
    <w:p w:rsidR="00A87FDC" w:rsidRDefault="00A87FDC" w:rsidP="00A87FD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3457575" cy="1371600"/>
            <wp:effectExtent l="19050" t="0" r="0" b="0"/>
            <wp:docPr id="14" name="Объект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2333625" cy="1314450"/>
            <wp:effectExtent l="19050" t="0" r="0" b="0"/>
            <wp:docPr id="1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87FDC" w:rsidRDefault="00A87FDC" w:rsidP="00A87FD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366E9">
        <w:rPr>
          <w:rFonts w:ascii="Times New Roman" w:hAnsi="Times New Roman"/>
          <w:sz w:val="24"/>
          <w:szCs w:val="24"/>
        </w:rPr>
        <w:t xml:space="preserve">На услуги бытового характера гражданами было потрачено в совокупности </w:t>
      </w:r>
      <w:r>
        <w:rPr>
          <w:rFonts w:ascii="Times New Roman" w:hAnsi="Times New Roman"/>
          <w:sz w:val="24"/>
          <w:szCs w:val="24"/>
        </w:rPr>
        <w:br/>
        <w:t>34,4</w:t>
      </w:r>
      <w:r w:rsidRPr="009366E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366E9">
        <w:rPr>
          <w:rFonts w:ascii="Times New Roman" w:hAnsi="Times New Roman"/>
          <w:sz w:val="24"/>
          <w:szCs w:val="24"/>
        </w:rPr>
        <w:t>млн</w:t>
      </w:r>
      <w:proofErr w:type="spellEnd"/>
      <w:proofErr w:type="gramEnd"/>
      <w:r w:rsidRPr="009366E9">
        <w:rPr>
          <w:rFonts w:ascii="Times New Roman" w:hAnsi="Times New Roman"/>
          <w:sz w:val="24"/>
          <w:szCs w:val="24"/>
        </w:rPr>
        <w:t xml:space="preserve"> руб., </w:t>
      </w:r>
      <w:r>
        <w:rPr>
          <w:rFonts w:ascii="Times New Roman" w:hAnsi="Times New Roman"/>
          <w:sz w:val="24"/>
          <w:szCs w:val="24"/>
        </w:rPr>
        <w:t xml:space="preserve">в текущих ценах данный показатель вырос на 3,2%, тогда как в сопоставимых сократился на 6,1%. Основной объем (79,6%) был сформирован организациями негосударственного сектора (включая физических лиц), по которым фиксировалось расширение абсолютного параметра к базисному на 3,2%. </w:t>
      </w:r>
    </w:p>
    <w:p w:rsidR="001F79AC" w:rsidRDefault="00A87FDC" w:rsidP="00505AA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85D56">
        <w:rPr>
          <w:rFonts w:ascii="Times New Roman" w:hAnsi="Times New Roman"/>
          <w:sz w:val="24"/>
          <w:szCs w:val="24"/>
          <w:lang w:eastAsia="en-US"/>
        </w:rPr>
        <w:t xml:space="preserve">Таким образом,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на потребительское поведение населения оказывали влияние различные по своему вектору факторы, которые в совокупности определили восходящий тренд основных показателей потребительского рынка </w:t>
      </w:r>
      <w:r w:rsidRPr="00585D56">
        <w:rPr>
          <w:rFonts w:ascii="Times New Roman" w:hAnsi="Times New Roman"/>
          <w:sz w:val="24"/>
          <w:szCs w:val="24"/>
        </w:rPr>
        <w:t>в сфере розничных продаж</w:t>
      </w:r>
      <w:r>
        <w:rPr>
          <w:rFonts w:ascii="Times New Roman" w:hAnsi="Times New Roman"/>
          <w:sz w:val="24"/>
          <w:szCs w:val="24"/>
        </w:rPr>
        <w:t xml:space="preserve"> и с</w:t>
      </w:r>
      <w:r w:rsidRPr="00585D56">
        <w:rPr>
          <w:rFonts w:ascii="Times New Roman" w:hAnsi="Times New Roman"/>
          <w:sz w:val="24"/>
          <w:szCs w:val="24"/>
        </w:rPr>
        <w:t>ужение параметров в сфере услуг</w:t>
      </w:r>
      <w:r>
        <w:rPr>
          <w:rFonts w:ascii="Times New Roman" w:hAnsi="Times New Roman"/>
          <w:sz w:val="24"/>
          <w:szCs w:val="24"/>
        </w:rPr>
        <w:t xml:space="preserve"> населению</w:t>
      </w:r>
      <w:r w:rsidRPr="00585D56">
        <w:rPr>
          <w:rFonts w:ascii="Times New Roman" w:hAnsi="Times New Roman"/>
          <w:sz w:val="24"/>
          <w:szCs w:val="24"/>
        </w:rPr>
        <w:t>.</w:t>
      </w:r>
    </w:p>
    <w:sectPr w:rsidR="001F79AC" w:rsidSect="0013059A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153" w:rsidRDefault="000F4153" w:rsidP="003C0D7D">
      <w:pPr>
        <w:spacing w:after="0" w:line="240" w:lineRule="auto"/>
      </w:pPr>
      <w:r>
        <w:separator/>
      </w:r>
    </w:p>
  </w:endnote>
  <w:endnote w:type="continuationSeparator" w:id="1">
    <w:p w:rsidR="000F4153" w:rsidRDefault="000F4153" w:rsidP="003C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153" w:rsidRDefault="000F4153" w:rsidP="003C0D7D">
      <w:pPr>
        <w:spacing w:after="0" w:line="240" w:lineRule="auto"/>
      </w:pPr>
      <w:r>
        <w:separator/>
      </w:r>
    </w:p>
  </w:footnote>
  <w:footnote w:type="continuationSeparator" w:id="1">
    <w:p w:rsidR="000F4153" w:rsidRDefault="000F4153" w:rsidP="003C0D7D">
      <w:pPr>
        <w:spacing w:after="0" w:line="240" w:lineRule="auto"/>
      </w:pPr>
      <w:r>
        <w:continuationSeparator/>
      </w:r>
    </w:p>
  </w:footnote>
  <w:footnote w:id="2">
    <w:p w:rsidR="000F4153" w:rsidRDefault="000F4153" w:rsidP="002D17FC">
      <w:pPr>
        <w:pStyle w:val="ac"/>
        <w:spacing w:after="0" w:line="240" w:lineRule="auto"/>
        <w:jc w:val="both"/>
      </w:pPr>
      <w:r>
        <w:rPr>
          <w:rStyle w:val="ae"/>
        </w:rPr>
        <w:footnoteRef/>
      </w:r>
      <w:r>
        <w:rPr>
          <w:rFonts w:ascii="Times New Roman" w:hAnsi="Times New Roman"/>
        </w:rPr>
        <w:t>Информация</w:t>
      </w:r>
      <w:r w:rsidRPr="000B152F">
        <w:rPr>
          <w:rFonts w:ascii="Times New Roman" w:hAnsi="Times New Roman"/>
        </w:rPr>
        <w:t xml:space="preserve"> представлен</w:t>
      </w:r>
      <w:r>
        <w:rPr>
          <w:rFonts w:ascii="Times New Roman" w:hAnsi="Times New Roman"/>
        </w:rPr>
        <w:t>а в</w:t>
      </w:r>
      <w:r w:rsidRPr="008D53DC">
        <w:rPr>
          <w:rFonts w:ascii="Times New Roman" w:hAnsi="Times New Roman"/>
        </w:rPr>
        <w:t xml:space="preserve"> соответствии с данными Государственного таможенного комитета ПМР</w:t>
      </w:r>
      <w:r>
        <w:rPr>
          <w:rFonts w:ascii="Times New Roman" w:hAnsi="Times New Roman"/>
        </w:rPr>
        <w:t>,</w:t>
      </w:r>
      <w:r w:rsidRPr="008D53DC">
        <w:rPr>
          <w:rFonts w:ascii="Times New Roman" w:hAnsi="Times New Roman"/>
        </w:rPr>
        <w:t xml:space="preserve"> с учетом </w:t>
      </w:r>
      <w:r w:rsidRPr="000B152F">
        <w:rPr>
          <w:rFonts w:ascii="Times New Roman" w:hAnsi="Times New Roman"/>
        </w:rPr>
        <w:t>вступлени</w:t>
      </w:r>
      <w:r>
        <w:rPr>
          <w:rFonts w:ascii="Times New Roman" w:hAnsi="Times New Roman"/>
        </w:rPr>
        <w:t>я</w:t>
      </w:r>
      <w:r w:rsidRPr="000B152F">
        <w:rPr>
          <w:rFonts w:ascii="Times New Roman" w:hAnsi="Times New Roman"/>
        </w:rPr>
        <w:t xml:space="preserve"> в силу новой редакции Таможенного кодекса ПМР с 01.01.2018 года</w:t>
      </w:r>
      <w:r>
        <w:rPr>
          <w:rFonts w:ascii="Times New Roman" w:hAnsi="Times New Roman"/>
        </w:rPr>
        <w:t>, в части</w:t>
      </w:r>
      <w:r w:rsidRPr="000B152F">
        <w:rPr>
          <w:rFonts w:ascii="Times New Roman" w:hAnsi="Times New Roman"/>
        </w:rPr>
        <w:t xml:space="preserve"> изменен</w:t>
      </w:r>
      <w:r>
        <w:rPr>
          <w:rFonts w:ascii="Times New Roman" w:hAnsi="Times New Roman"/>
        </w:rPr>
        <w:t>ий</w:t>
      </w:r>
      <w:r w:rsidRPr="000B152F">
        <w:rPr>
          <w:rFonts w:ascii="Times New Roman" w:hAnsi="Times New Roman"/>
        </w:rPr>
        <w:t xml:space="preserve"> методологи</w:t>
      </w:r>
      <w:r>
        <w:rPr>
          <w:rFonts w:ascii="Times New Roman" w:hAnsi="Times New Roman"/>
        </w:rPr>
        <w:t>и</w:t>
      </w:r>
      <w:r w:rsidRPr="000B152F">
        <w:rPr>
          <w:rFonts w:ascii="Times New Roman" w:hAnsi="Times New Roman"/>
        </w:rPr>
        <w:t xml:space="preserve"> таможенной статистики внешней торговли ПМР</w:t>
      </w:r>
      <w:r w:rsidRPr="000B152F"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EC"/>
    <w:rsid w:val="00001C29"/>
    <w:rsid w:val="000029C8"/>
    <w:rsid w:val="00003746"/>
    <w:rsid w:val="00003EF5"/>
    <w:rsid w:val="0000416A"/>
    <w:rsid w:val="00006CDE"/>
    <w:rsid w:val="0001184C"/>
    <w:rsid w:val="00011A5F"/>
    <w:rsid w:val="00013025"/>
    <w:rsid w:val="00016018"/>
    <w:rsid w:val="00016E03"/>
    <w:rsid w:val="00017592"/>
    <w:rsid w:val="0001759D"/>
    <w:rsid w:val="00020133"/>
    <w:rsid w:val="000219A4"/>
    <w:rsid w:val="0002279E"/>
    <w:rsid w:val="00022AC7"/>
    <w:rsid w:val="00022B02"/>
    <w:rsid w:val="00023EAE"/>
    <w:rsid w:val="00026BF4"/>
    <w:rsid w:val="000305E9"/>
    <w:rsid w:val="0003062F"/>
    <w:rsid w:val="000316CF"/>
    <w:rsid w:val="00032375"/>
    <w:rsid w:val="000329C1"/>
    <w:rsid w:val="00035973"/>
    <w:rsid w:val="00037421"/>
    <w:rsid w:val="00037B3D"/>
    <w:rsid w:val="000402B8"/>
    <w:rsid w:val="000405C5"/>
    <w:rsid w:val="0004128E"/>
    <w:rsid w:val="00042239"/>
    <w:rsid w:val="000443ED"/>
    <w:rsid w:val="00044C6D"/>
    <w:rsid w:val="00045532"/>
    <w:rsid w:val="00046024"/>
    <w:rsid w:val="00047577"/>
    <w:rsid w:val="00051916"/>
    <w:rsid w:val="000523B0"/>
    <w:rsid w:val="000525B2"/>
    <w:rsid w:val="00054057"/>
    <w:rsid w:val="00056431"/>
    <w:rsid w:val="00056918"/>
    <w:rsid w:val="00056BB8"/>
    <w:rsid w:val="00061793"/>
    <w:rsid w:val="00063B8E"/>
    <w:rsid w:val="00064B19"/>
    <w:rsid w:val="00064B31"/>
    <w:rsid w:val="00064FA3"/>
    <w:rsid w:val="000663E1"/>
    <w:rsid w:val="000671B7"/>
    <w:rsid w:val="00067C98"/>
    <w:rsid w:val="00072012"/>
    <w:rsid w:val="00072015"/>
    <w:rsid w:val="00072B4D"/>
    <w:rsid w:val="000769D0"/>
    <w:rsid w:val="00076BB3"/>
    <w:rsid w:val="00080816"/>
    <w:rsid w:val="00080884"/>
    <w:rsid w:val="0008117F"/>
    <w:rsid w:val="00081C5E"/>
    <w:rsid w:val="00081D04"/>
    <w:rsid w:val="00082624"/>
    <w:rsid w:val="000846D9"/>
    <w:rsid w:val="0009042B"/>
    <w:rsid w:val="000909D1"/>
    <w:rsid w:val="00090B6F"/>
    <w:rsid w:val="00090D93"/>
    <w:rsid w:val="00094655"/>
    <w:rsid w:val="000961CF"/>
    <w:rsid w:val="000A05F1"/>
    <w:rsid w:val="000A29BA"/>
    <w:rsid w:val="000A2E3A"/>
    <w:rsid w:val="000A34E7"/>
    <w:rsid w:val="000A384B"/>
    <w:rsid w:val="000A3B06"/>
    <w:rsid w:val="000A42C1"/>
    <w:rsid w:val="000A4499"/>
    <w:rsid w:val="000A4735"/>
    <w:rsid w:val="000A55FF"/>
    <w:rsid w:val="000B1B5A"/>
    <w:rsid w:val="000B265A"/>
    <w:rsid w:val="000B3CF8"/>
    <w:rsid w:val="000B437C"/>
    <w:rsid w:val="000B5425"/>
    <w:rsid w:val="000B5F23"/>
    <w:rsid w:val="000B6B6F"/>
    <w:rsid w:val="000B7101"/>
    <w:rsid w:val="000C07D6"/>
    <w:rsid w:val="000C1CE2"/>
    <w:rsid w:val="000C2354"/>
    <w:rsid w:val="000C2E84"/>
    <w:rsid w:val="000C37AD"/>
    <w:rsid w:val="000C3CCD"/>
    <w:rsid w:val="000D1767"/>
    <w:rsid w:val="000D23C3"/>
    <w:rsid w:val="000D3BAE"/>
    <w:rsid w:val="000D3CC2"/>
    <w:rsid w:val="000D6602"/>
    <w:rsid w:val="000D6E8D"/>
    <w:rsid w:val="000E0057"/>
    <w:rsid w:val="000E09F9"/>
    <w:rsid w:val="000E17CD"/>
    <w:rsid w:val="000E280E"/>
    <w:rsid w:val="000E2B96"/>
    <w:rsid w:val="000E722D"/>
    <w:rsid w:val="000E755F"/>
    <w:rsid w:val="000E7665"/>
    <w:rsid w:val="000F044B"/>
    <w:rsid w:val="000F2186"/>
    <w:rsid w:val="000F261E"/>
    <w:rsid w:val="000F26D1"/>
    <w:rsid w:val="000F26E5"/>
    <w:rsid w:val="000F2BA8"/>
    <w:rsid w:val="000F3407"/>
    <w:rsid w:val="000F4153"/>
    <w:rsid w:val="000F6A2F"/>
    <w:rsid w:val="000F7B84"/>
    <w:rsid w:val="000F7EC5"/>
    <w:rsid w:val="001020FF"/>
    <w:rsid w:val="001041A7"/>
    <w:rsid w:val="00105A28"/>
    <w:rsid w:val="00105CFB"/>
    <w:rsid w:val="0011037F"/>
    <w:rsid w:val="00113666"/>
    <w:rsid w:val="00113CF6"/>
    <w:rsid w:val="00113DEF"/>
    <w:rsid w:val="00113E30"/>
    <w:rsid w:val="00114233"/>
    <w:rsid w:val="001148C7"/>
    <w:rsid w:val="0011547A"/>
    <w:rsid w:val="001157C4"/>
    <w:rsid w:val="00116A2B"/>
    <w:rsid w:val="0011718F"/>
    <w:rsid w:val="00120AAC"/>
    <w:rsid w:val="00120C48"/>
    <w:rsid w:val="00121FAE"/>
    <w:rsid w:val="00123ADE"/>
    <w:rsid w:val="00123C7C"/>
    <w:rsid w:val="00126325"/>
    <w:rsid w:val="00126798"/>
    <w:rsid w:val="0013059A"/>
    <w:rsid w:val="0013137E"/>
    <w:rsid w:val="00131A60"/>
    <w:rsid w:val="00131B47"/>
    <w:rsid w:val="00132AED"/>
    <w:rsid w:val="00132AFC"/>
    <w:rsid w:val="00133306"/>
    <w:rsid w:val="0013337E"/>
    <w:rsid w:val="001336E8"/>
    <w:rsid w:val="001368DD"/>
    <w:rsid w:val="00136DE8"/>
    <w:rsid w:val="001401EE"/>
    <w:rsid w:val="00141379"/>
    <w:rsid w:val="001417B6"/>
    <w:rsid w:val="001433D0"/>
    <w:rsid w:val="001440EC"/>
    <w:rsid w:val="001444A6"/>
    <w:rsid w:val="0014496B"/>
    <w:rsid w:val="00144D8B"/>
    <w:rsid w:val="00144FA7"/>
    <w:rsid w:val="00150F1A"/>
    <w:rsid w:val="00151AEC"/>
    <w:rsid w:val="001550AF"/>
    <w:rsid w:val="00155790"/>
    <w:rsid w:val="00156EB5"/>
    <w:rsid w:val="0015773E"/>
    <w:rsid w:val="00160485"/>
    <w:rsid w:val="00160924"/>
    <w:rsid w:val="00160BB7"/>
    <w:rsid w:val="001631F6"/>
    <w:rsid w:val="00167BAE"/>
    <w:rsid w:val="00167E69"/>
    <w:rsid w:val="00170CA7"/>
    <w:rsid w:val="00173E76"/>
    <w:rsid w:val="00174AAB"/>
    <w:rsid w:val="0017518D"/>
    <w:rsid w:val="00176834"/>
    <w:rsid w:val="00176A7A"/>
    <w:rsid w:val="001771B8"/>
    <w:rsid w:val="00180E5D"/>
    <w:rsid w:val="00180E78"/>
    <w:rsid w:val="00182119"/>
    <w:rsid w:val="00182280"/>
    <w:rsid w:val="00184255"/>
    <w:rsid w:val="001856E9"/>
    <w:rsid w:val="00185AE9"/>
    <w:rsid w:val="00186E3B"/>
    <w:rsid w:val="0019048F"/>
    <w:rsid w:val="001905E1"/>
    <w:rsid w:val="001913C1"/>
    <w:rsid w:val="0019264D"/>
    <w:rsid w:val="001927F2"/>
    <w:rsid w:val="00192A75"/>
    <w:rsid w:val="00193CB6"/>
    <w:rsid w:val="00193F74"/>
    <w:rsid w:val="0019581B"/>
    <w:rsid w:val="0019634C"/>
    <w:rsid w:val="00196DA0"/>
    <w:rsid w:val="00196FC1"/>
    <w:rsid w:val="001970E0"/>
    <w:rsid w:val="00197105"/>
    <w:rsid w:val="001A0094"/>
    <w:rsid w:val="001A228E"/>
    <w:rsid w:val="001A280A"/>
    <w:rsid w:val="001A3480"/>
    <w:rsid w:val="001A3671"/>
    <w:rsid w:val="001A3F74"/>
    <w:rsid w:val="001A5825"/>
    <w:rsid w:val="001A6159"/>
    <w:rsid w:val="001A7051"/>
    <w:rsid w:val="001B0022"/>
    <w:rsid w:val="001B3B72"/>
    <w:rsid w:val="001B5D5C"/>
    <w:rsid w:val="001B6369"/>
    <w:rsid w:val="001B680E"/>
    <w:rsid w:val="001C257E"/>
    <w:rsid w:val="001C35E5"/>
    <w:rsid w:val="001C41C9"/>
    <w:rsid w:val="001C4F2D"/>
    <w:rsid w:val="001C6EC6"/>
    <w:rsid w:val="001C7C2C"/>
    <w:rsid w:val="001D04DC"/>
    <w:rsid w:val="001D1084"/>
    <w:rsid w:val="001D1E2C"/>
    <w:rsid w:val="001D1EFC"/>
    <w:rsid w:val="001D2996"/>
    <w:rsid w:val="001D4CEE"/>
    <w:rsid w:val="001D4E0A"/>
    <w:rsid w:val="001D4F01"/>
    <w:rsid w:val="001D5887"/>
    <w:rsid w:val="001D5969"/>
    <w:rsid w:val="001D69B5"/>
    <w:rsid w:val="001E0163"/>
    <w:rsid w:val="001E0736"/>
    <w:rsid w:val="001E0A18"/>
    <w:rsid w:val="001E0F85"/>
    <w:rsid w:val="001E2784"/>
    <w:rsid w:val="001E3CF4"/>
    <w:rsid w:val="001E45E8"/>
    <w:rsid w:val="001E499A"/>
    <w:rsid w:val="001F1600"/>
    <w:rsid w:val="001F247C"/>
    <w:rsid w:val="001F4E23"/>
    <w:rsid w:val="001F6A87"/>
    <w:rsid w:val="001F6EC1"/>
    <w:rsid w:val="001F6FD6"/>
    <w:rsid w:val="001F79AC"/>
    <w:rsid w:val="0020081B"/>
    <w:rsid w:val="002025F7"/>
    <w:rsid w:val="002028CE"/>
    <w:rsid w:val="00202E11"/>
    <w:rsid w:val="00203BEA"/>
    <w:rsid w:val="00204358"/>
    <w:rsid w:val="00211A7D"/>
    <w:rsid w:val="0021247B"/>
    <w:rsid w:val="00213402"/>
    <w:rsid w:val="00214413"/>
    <w:rsid w:val="0021585C"/>
    <w:rsid w:val="002164E9"/>
    <w:rsid w:val="00217234"/>
    <w:rsid w:val="00217E6C"/>
    <w:rsid w:val="00220412"/>
    <w:rsid w:val="00222343"/>
    <w:rsid w:val="00222865"/>
    <w:rsid w:val="002256CC"/>
    <w:rsid w:val="00225801"/>
    <w:rsid w:val="00226161"/>
    <w:rsid w:val="00226762"/>
    <w:rsid w:val="00226A88"/>
    <w:rsid w:val="0022714B"/>
    <w:rsid w:val="00227E8D"/>
    <w:rsid w:val="00230195"/>
    <w:rsid w:val="00230453"/>
    <w:rsid w:val="002307F5"/>
    <w:rsid w:val="00230981"/>
    <w:rsid w:val="002310E0"/>
    <w:rsid w:val="00231550"/>
    <w:rsid w:val="00232E17"/>
    <w:rsid w:val="00235580"/>
    <w:rsid w:val="002377E0"/>
    <w:rsid w:val="00237FD3"/>
    <w:rsid w:val="00245770"/>
    <w:rsid w:val="0024725B"/>
    <w:rsid w:val="002507BE"/>
    <w:rsid w:val="00250E76"/>
    <w:rsid w:val="002511E6"/>
    <w:rsid w:val="00251996"/>
    <w:rsid w:val="00251BF2"/>
    <w:rsid w:val="00252564"/>
    <w:rsid w:val="00253D67"/>
    <w:rsid w:val="00254733"/>
    <w:rsid w:val="00257B20"/>
    <w:rsid w:val="00257C8B"/>
    <w:rsid w:val="00260A34"/>
    <w:rsid w:val="00260B7A"/>
    <w:rsid w:val="0026348A"/>
    <w:rsid w:val="00263D1A"/>
    <w:rsid w:val="002653E5"/>
    <w:rsid w:val="00265D9B"/>
    <w:rsid w:val="00272309"/>
    <w:rsid w:val="00272ED6"/>
    <w:rsid w:val="002735E1"/>
    <w:rsid w:val="00273AC9"/>
    <w:rsid w:val="00273B16"/>
    <w:rsid w:val="00277AC6"/>
    <w:rsid w:val="00280EBA"/>
    <w:rsid w:val="002819E3"/>
    <w:rsid w:val="00282ABE"/>
    <w:rsid w:val="00283FB9"/>
    <w:rsid w:val="002848E0"/>
    <w:rsid w:val="00286C54"/>
    <w:rsid w:val="002912A1"/>
    <w:rsid w:val="002936BB"/>
    <w:rsid w:val="00294D54"/>
    <w:rsid w:val="002A03DD"/>
    <w:rsid w:val="002A2924"/>
    <w:rsid w:val="002A2B79"/>
    <w:rsid w:val="002A3C3B"/>
    <w:rsid w:val="002A6110"/>
    <w:rsid w:val="002A68D1"/>
    <w:rsid w:val="002B0262"/>
    <w:rsid w:val="002B0908"/>
    <w:rsid w:val="002B0CDF"/>
    <w:rsid w:val="002B3E7C"/>
    <w:rsid w:val="002B417F"/>
    <w:rsid w:val="002B5697"/>
    <w:rsid w:val="002B6113"/>
    <w:rsid w:val="002B64F4"/>
    <w:rsid w:val="002B77CC"/>
    <w:rsid w:val="002C09E0"/>
    <w:rsid w:val="002C1AE2"/>
    <w:rsid w:val="002C1F6D"/>
    <w:rsid w:val="002C210E"/>
    <w:rsid w:val="002C260E"/>
    <w:rsid w:val="002C460A"/>
    <w:rsid w:val="002C5ED5"/>
    <w:rsid w:val="002C7FC1"/>
    <w:rsid w:val="002D0640"/>
    <w:rsid w:val="002D17FC"/>
    <w:rsid w:val="002D296E"/>
    <w:rsid w:val="002D3DA3"/>
    <w:rsid w:val="002D49B6"/>
    <w:rsid w:val="002D6C59"/>
    <w:rsid w:val="002D7855"/>
    <w:rsid w:val="002E14F5"/>
    <w:rsid w:val="002E3C1E"/>
    <w:rsid w:val="002E3DF2"/>
    <w:rsid w:val="002E44F6"/>
    <w:rsid w:val="002E599E"/>
    <w:rsid w:val="002E6176"/>
    <w:rsid w:val="002E6B43"/>
    <w:rsid w:val="002E7556"/>
    <w:rsid w:val="002F1C11"/>
    <w:rsid w:val="002F3325"/>
    <w:rsid w:val="002F5310"/>
    <w:rsid w:val="002F5909"/>
    <w:rsid w:val="002F701F"/>
    <w:rsid w:val="003004D9"/>
    <w:rsid w:val="00300835"/>
    <w:rsid w:val="00301D42"/>
    <w:rsid w:val="003022F5"/>
    <w:rsid w:val="00302D46"/>
    <w:rsid w:val="00302FAD"/>
    <w:rsid w:val="00304981"/>
    <w:rsid w:val="003059E2"/>
    <w:rsid w:val="003060F8"/>
    <w:rsid w:val="00311447"/>
    <w:rsid w:val="00311B1E"/>
    <w:rsid w:val="0031204F"/>
    <w:rsid w:val="0031225C"/>
    <w:rsid w:val="00313C47"/>
    <w:rsid w:val="003153D7"/>
    <w:rsid w:val="00315B61"/>
    <w:rsid w:val="00317525"/>
    <w:rsid w:val="00320FB6"/>
    <w:rsid w:val="00321BA5"/>
    <w:rsid w:val="00322DB6"/>
    <w:rsid w:val="0032340B"/>
    <w:rsid w:val="003238DB"/>
    <w:rsid w:val="003245DB"/>
    <w:rsid w:val="00325B87"/>
    <w:rsid w:val="003263B9"/>
    <w:rsid w:val="00330458"/>
    <w:rsid w:val="00330940"/>
    <w:rsid w:val="00332C26"/>
    <w:rsid w:val="0033315E"/>
    <w:rsid w:val="003341A3"/>
    <w:rsid w:val="00340151"/>
    <w:rsid w:val="00340406"/>
    <w:rsid w:val="00341FC0"/>
    <w:rsid w:val="00343FF7"/>
    <w:rsid w:val="00344D8A"/>
    <w:rsid w:val="00345305"/>
    <w:rsid w:val="00345F6B"/>
    <w:rsid w:val="003501DF"/>
    <w:rsid w:val="00350737"/>
    <w:rsid w:val="00350902"/>
    <w:rsid w:val="00351366"/>
    <w:rsid w:val="00352E74"/>
    <w:rsid w:val="0035315D"/>
    <w:rsid w:val="00353715"/>
    <w:rsid w:val="003544DA"/>
    <w:rsid w:val="00356EB9"/>
    <w:rsid w:val="003577E6"/>
    <w:rsid w:val="0036033E"/>
    <w:rsid w:val="003621AA"/>
    <w:rsid w:val="0036301F"/>
    <w:rsid w:val="003634CB"/>
    <w:rsid w:val="0036563E"/>
    <w:rsid w:val="00365C54"/>
    <w:rsid w:val="00366AD6"/>
    <w:rsid w:val="00370426"/>
    <w:rsid w:val="003720D4"/>
    <w:rsid w:val="003725B8"/>
    <w:rsid w:val="0037290E"/>
    <w:rsid w:val="0037377C"/>
    <w:rsid w:val="00373C61"/>
    <w:rsid w:val="003775CD"/>
    <w:rsid w:val="003801E5"/>
    <w:rsid w:val="00380EBA"/>
    <w:rsid w:val="00382A15"/>
    <w:rsid w:val="00383730"/>
    <w:rsid w:val="00385373"/>
    <w:rsid w:val="00386392"/>
    <w:rsid w:val="0038795A"/>
    <w:rsid w:val="003879A3"/>
    <w:rsid w:val="00387F84"/>
    <w:rsid w:val="00391389"/>
    <w:rsid w:val="0039174F"/>
    <w:rsid w:val="00392F91"/>
    <w:rsid w:val="00394E6B"/>
    <w:rsid w:val="00395172"/>
    <w:rsid w:val="0039687B"/>
    <w:rsid w:val="003A3A1C"/>
    <w:rsid w:val="003A45F9"/>
    <w:rsid w:val="003A5B66"/>
    <w:rsid w:val="003A6525"/>
    <w:rsid w:val="003A735C"/>
    <w:rsid w:val="003A76D7"/>
    <w:rsid w:val="003A7AEB"/>
    <w:rsid w:val="003B0573"/>
    <w:rsid w:val="003B1336"/>
    <w:rsid w:val="003B26CC"/>
    <w:rsid w:val="003B440E"/>
    <w:rsid w:val="003B638E"/>
    <w:rsid w:val="003B657A"/>
    <w:rsid w:val="003B67ED"/>
    <w:rsid w:val="003B7054"/>
    <w:rsid w:val="003B73D3"/>
    <w:rsid w:val="003C0D7D"/>
    <w:rsid w:val="003C0E53"/>
    <w:rsid w:val="003C1AB0"/>
    <w:rsid w:val="003C1EB9"/>
    <w:rsid w:val="003C4D23"/>
    <w:rsid w:val="003C529E"/>
    <w:rsid w:val="003C5A58"/>
    <w:rsid w:val="003D1646"/>
    <w:rsid w:val="003D1839"/>
    <w:rsid w:val="003D1884"/>
    <w:rsid w:val="003D1D0C"/>
    <w:rsid w:val="003D2CE5"/>
    <w:rsid w:val="003D4680"/>
    <w:rsid w:val="003D5935"/>
    <w:rsid w:val="003D59BA"/>
    <w:rsid w:val="003D6BD8"/>
    <w:rsid w:val="003D7D52"/>
    <w:rsid w:val="003E01E7"/>
    <w:rsid w:val="003E0812"/>
    <w:rsid w:val="003E137A"/>
    <w:rsid w:val="003E14D7"/>
    <w:rsid w:val="003E1A5C"/>
    <w:rsid w:val="003E30FE"/>
    <w:rsid w:val="003E4141"/>
    <w:rsid w:val="003E45D1"/>
    <w:rsid w:val="003E51B2"/>
    <w:rsid w:val="003E5C7A"/>
    <w:rsid w:val="003E5D60"/>
    <w:rsid w:val="003E70F1"/>
    <w:rsid w:val="003F00A1"/>
    <w:rsid w:val="003F1DBB"/>
    <w:rsid w:val="003F3A5E"/>
    <w:rsid w:val="003F5B94"/>
    <w:rsid w:val="003F71A2"/>
    <w:rsid w:val="003F7922"/>
    <w:rsid w:val="004007C8"/>
    <w:rsid w:val="004021C2"/>
    <w:rsid w:val="004023E9"/>
    <w:rsid w:val="00402E72"/>
    <w:rsid w:val="00404C57"/>
    <w:rsid w:val="00405744"/>
    <w:rsid w:val="00405A24"/>
    <w:rsid w:val="0040745A"/>
    <w:rsid w:val="00410D16"/>
    <w:rsid w:val="00411A1A"/>
    <w:rsid w:val="00411A91"/>
    <w:rsid w:val="00414B3A"/>
    <w:rsid w:val="004152B4"/>
    <w:rsid w:val="004161DC"/>
    <w:rsid w:val="00416A2B"/>
    <w:rsid w:val="00420994"/>
    <w:rsid w:val="00421097"/>
    <w:rsid w:val="00421943"/>
    <w:rsid w:val="00422BEF"/>
    <w:rsid w:val="0042310F"/>
    <w:rsid w:val="00425BD1"/>
    <w:rsid w:val="004261B5"/>
    <w:rsid w:val="00426BBA"/>
    <w:rsid w:val="00426D9F"/>
    <w:rsid w:val="00431193"/>
    <w:rsid w:val="00431AE4"/>
    <w:rsid w:val="00433103"/>
    <w:rsid w:val="004342DD"/>
    <w:rsid w:val="00434A7C"/>
    <w:rsid w:val="004405CC"/>
    <w:rsid w:val="004414F4"/>
    <w:rsid w:val="0044483B"/>
    <w:rsid w:val="00447624"/>
    <w:rsid w:val="004509EB"/>
    <w:rsid w:val="00450D36"/>
    <w:rsid w:val="00451537"/>
    <w:rsid w:val="004616D9"/>
    <w:rsid w:val="00463945"/>
    <w:rsid w:val="00463AD5"/>
    <w:rsid w:val="004647C4"/>
    <w:rsid w:val="00464996"/>
    <w:rsid w:val="0046596E"/>
    <w:rsid w:val="0046692B"/>
    <w:rsid w:val="004674C5"/>
    <w:rsid w:val="0046760E"/>
    <w:rsid w:val="00470742"/>
    <w:rsid w:val="00470DF6"/>
    <w:rsid w:val="004713D0"/>
    <w:rsid w:val="00473408"/>
    <w:rsid w:val="00473910"/>
    <w:rsid w:val="004767EF"/>
    <w:rsid w:val="004769DC"/>
    <w:rsid w:val="00476D0B"/>
    <w:rsid w:val="004818B1"/>
    <w:rsid w:val="004827FE"/>
    <w:rsid w:val="00483DF6"/>
    <w:rsid w:val="00484E7F"/>
    <w:rsid w:val="004872FD"/>
    <w:rsid w:val="00490EAB"/>
    <w:rsid w:val="00490F9C"/>
    <w:rsid w:val="00491608"/>
    <w:rsid w:val="00491C34"/>
    <w:rsid w:val="004924D1"/>
    <w:rsid w:val="00492AA2"/>
    <w:rsid w:val="00493F52"/>
    <w:rsid w:val="00495EB6"/>
    <w:rsid w:val="00496024"/>
    <w:rsid w:val="004960F4"/>
    <w:rsid w:val="004A0E79"/>
    <w:rsid w:val="004A1AED"/>
    <w:rsid w:val="004A1B66"/>
    <w:rsid w:val="004A3929"/>
    <w:rsid w:val="004A3977"/>
    <w:rsid w:val="004A3C58"/>
    <w:rsid w:val="004A49DC"/>
    <w:rsid w:val="004A53F5"/>
    <w:rsid w:val="004A5455"/>
    <w:rsid w:val="004A5D65"/>
    <w:rsid w:val="004A631A"/>
    <w:rsid w:val="004A7009"/>
    <w:rsid w:val="004B1F57"/>
    <w:rsid w:val="004B22DD"/>
    <w:rsid w:val="004B2C21"/>
    <w:rsid w:val="004B30BE"/>
    <w:rsid w:val="004B4A53"/>
    <w:rsid w:val="004B54C2"/>
    <w:rsid w:val="004B5708"/>
    <w:rsid w:val="004B5CD4"/>
    <w:rsid w:val="004B5E8B"/>
    <w:rsid w:val="004C2ECA"/>
    <w:rsid w:val="004C4742"/>
    <w:rsid w:val="004C5A9C"/>
    <w:rsid w:val="004D03CF"/>
    <w:rsid w:val="004D1119"/>
    <w:rsid w:val="004D1D75"/>
    <w:rsid w:val="004D5523"/>
    <w:rsid w:val="004D6FAD"/>
    <w:rsid w:val="004E05CC"/>
    <w:rsid w:val="004E5554"/>
    <w:rsid w:val="004E5829"/>
    <w:rsid w:val="004E7DAB"/>
    <w:rsid w:val="004F0C35"/>
    <w:rsid w:val="004F0FA2"/>
    <w:rsid w:val="004F1E80"/>
    <w:rsid w:val="004F3F9B"/>
    <w:rsid w:val="004F781F"/>
    <w:rsid w:val="004F7E99"/>
    <w:rsid w:val="00501183"/>
    <w:rsid w:val="0050154D"/>
    <w:rsid w:val="0050267E"/>
    <w:rsid w:val="0050386D"/>
    <w:rsid w:val="00505708"/>
    <w:rsid w:val="00505A15"/>
    <w:rsid w:val="00505AA8"/>
    <w:rsid w:val="00507776"/>
    <w:rsid w:val="00507D07"/>
    <w:rsid w:val="005114AC"/>
    <w:rsid w:val="00513C0D"/>
    <w:rsid w:val="00513E00"/>
    <w:rsid w:val="00514249"/>
    <w:rsid w:val="00514956"/>
    <w:rsid w:val="00514994"/>
    <w:rsid w:val="0051619B"/>
    <w:rsid w:val="005163F9"/>
    <w:rsid w:val="005166E3"/>
    <w:rsid w:val="0051689D"/>
    <w:rsid w:val="0051770E"/>
    <w:rsid w:val="00520632"/>
    <w:rsid w:val="00520BA6"/>
    <w:rsid w:val="005238F1"/>
    <w:rsid w:val="00524FDB"/>
    <w:rsid w:val="00527C9D"/>
    <w:rsid w:val="00530015"/>
    <w:rsid w:val="0053006C"/>
    <w:rsid w:val="00530344"/>
    <w:rsid w:val="00530559"/>
    <w:rsid w:val="00530F38"/>
    <w:rsid w:val="00531827"/>
    <w:rsid w:val="00532B61"/>
    <w:rsid w:val="0053398E"/>
    <w:rsid w:val="0053494D"/>
    <w:rsid w:val="00535898"/>
    <w:rsid w:val="00536DF2"/>
    <w:rsid w:val="005400AA"/>
    <w:rsid w:val="0054024A"/>
    <w:rsid w:val="00540C2F"/>
    <w:rsid w:val="00542C6E"/>
    <w:rsid w:val="005434B4"/>
    <w:rsid w:val="00543DD7"/>
    <w:rsid w:val="005452E1"/>
    <w:rsid w:val="005454DF"/>
    <w:rsid w:val="00545C6D"/>
    <w:rsid w:val="0054698C"/>
    <w:rsid w:val="00546B25"/>
    <w:rsid w:val="00547D8D"/>
    <w:rsid w:val="00550FC5"/>
    <w:rsid w:val="00552B19"/>
    <w:rsid w:val="005530BA"/>
    <w:rsid w:val="00553539"/>
    <w:rsid w:val="00553980"/>
    <w:rsid w:val="00553AD6"/>
    <w:rsid w:val="0055615F"/>
    <w:rsid w:val="00556168"/>
    <w:rsid w:val="005575F1"/>
    <w:rsid w:val="00557E24"/>
    <w:rsid w:val="005618DE"/>
    <w:rsid w:val="005625CF"/>
    <w:rsid w:val="0056267F"/>
    <w:rsid w:val="00562C98"/>
    <w:rsid w:val="00563846"/>
    <w:rsid w:val="005652BA"/>
    <w:rsid w:val="00566734"/>
    <w:rsid w:val="005679D9"/>
    <w:rsid w:val="005679DD"/>
    <w:rsid w:val="00570D1A"/>
    <w:rsid w:val="005710E6"/>
    <w:rsid w:val="005712FA"/>
    <w:rsid w:val="00571B39"/>
    <w:rsid w:val="00572A7A"/>
    <w:rsid w:val="00573B0B"/>
    <w:rsid w:val="00574A6F"/>
    <w:rsid w:val="00574CC6"/>
    <w:rsid w:val="00575863"/>
    <w:rsid w:val="0057637B"/>
    <w:rsid w:val="005816E1"/>
    <w:rsid w:val="0058228B"/>
    <w:rsid w:val="00583B09"/>
    <w:rsid w:val="00583EE2"/>
    <w:rsid w:val="005846BF"/>
    <w:rsid w:val="005868DE"/>
    <w:rsid w:val="005912D2"/>
    <w:rsid w:val="005935BB"/>
    <w:rsid w:val="00593EE9"/>
    <w:rsid w:val="00594CFC"/>
    <w:rsid w:val="00595C20"/>
    <w:rsid w:val="0059650D"/>
    <w:rsid w:val="00597AB6"/>
    <w:rsid w:val="005A0F36"/>
    <w:rsid w:val="005A1ADE"/>
    <w:rsid w:val="005A3BEA"/>
    <w:rsid w:val="005A5E23"/>
    <w:rsid w:val="005A6C1D"/>
    <w:rsid w:val="005A6CE5"/>
    <w:rsid w:val="005A70DA"/>
    <w:rsid w:val="005B010F"/>
    <w:rsid w:val="005B148E"/>
    <w:rsid w:val="005B15FA"/>
    <w:rsid w:val="005B3C55"/>
    <w:rsid w:val="005B4648"/>
    <w:rsid w:val="005B5292"/>
    <w:rsid w:val="005B6116"/>
    <w:rsid w:val="005C0273"/>
    <w:rsid w:val="005C03EF"/>
    <w:rsid w:val="005C0E78"/>
    <w:rsid w:val="005C2454"/>
    <w:rsid w:val="005C4110"/>
    <w:rsid w:val="005C4664"/>
    <w:rsid w:val="005C6058"/>
    <w:rsid w:val="005D1CBC"/>
    <w:rsid w:val="005D2FC0"/>
    <w:rsid w:val="005D3764"/>
    <w:rsid w:val="005D3C73"/>
    <w:rsid w:val="005D4126"/>
    <w:rsid w:val="005E15FA"/>
    <w:rsid w:val="005E4946"/>
    <w:rsid w:val="005F0571"/>
    <w:rsid w:val="005F0B87"/>
    <w:rsid w:val="005F204F"/>
    <w:rsid w:val="005F33B7"/>
    <w:rsid w:val="005F4659"/>
    <w:rsid w:val="005F592A"/>
    <w:rsid w:val="005F66BF"/>
    <w:rsid w:val="005F6CAE"/>
    <w:rsid w:val="005F7D1A"/>
    <w:rsid w:val="006010D5"/>
    <w:rsid w:val="00601CA8"/>
    <w:rsid w:val="00603613"/>
    <w:rsid w:val="00604DAC"/>
    <w:rsid w:val="006110BB"/>
    <w:rsid w:val="00611366"/>
    <w:rsid w:val="006119B5"/>
    <w:rsid w:val="00612182"/>
    <w:rsid w:val="00612D8A"/>
    <w:rsid w:val="00614522"/>
    <w:rsid w:val="00615EFC"/>
    <w:rsid w:val="00617476"/>
    <w:rsid w:val="00617794"/>
    <w:rsid w:val="00620136"/>
    <w:rsid w:val="00621AEE"/>
    <w:rsid w:val="00623EF7"/>
    <w:rsid w:val="006249B6"/>
    <w:rsid w:val="00625992"/>
    <w:rsid w:val="006305C0"/>
    <w:rsid w:val="00630AA7"/>
    <w:rsid w:val="00630C71"/>
    <w:rsid w:val="0063112F"/>
    <w:rsid w:val="00631938"/>
    <w:rsid w:val="00633CD1"/>
    <w:rsid w:val="006355C8"/>
    <w:rsid w:val="006422D2"/>
    <w:rsid w:val="00643EAB"/>
    <w:rsid w:val="00644C50"/>
    <w:rsid w:val="00646C87"/>
    <w:rsid w:val="00650098"/>
    <w:rsid w:val="00650967"/>
    <w:rsid w:val="0065102A"/>
    <w:rsid w:val="006512C3"/>
    <w:rsid w:val="00652900"/>
    <w:rsid w:val="00652C27"/>
    <w:rsid w:val="00654DF0"/>
    <w:rsid w:val="006567C2"/>
    <w:rsid w:val="00657612"/>
    <w:rsid w:val="006578C4"/>
    <w:rsid w:val="00661404"/>
    <w:rsid w:val="00662679"/>
    <w:rsid w:val="006631DB"/>
    <w:rsid w:val="0066346E"/>
    <w:rsid w:val="00663655"/>
    <w:rsid w:val="00663875"/>
    <w:rsid w:val="00663DB2"/>
    <w:rsid w:val="00665124"/>
    <w:rsid w:val="0066560F"/>
    <w:rsid w:val="00666CF1"/>
    <w:rsid w:val="00666F58"/>
    <w:rsid w:val="00667E51"/>
    <w:rsid w:val="00672CD8"/>
    <w:rsid w:val="00672D5B"/>
    <w:rsid w:val="00673603"/>
    <w:rsid w:val="00674487"/>
    <w:rsid w:val="006769F4"/>
    <w:rsid w:val="00676F42"/>
    <w:rsid w:val="0067709A"/>
    <w:rsid w:val="00680AD6"/>
    <w:rsid w:val="00681A9D"/>
    <w:rsid w:val="0068214C"/>
    <w:rsid w:val="0068276D"/>
    <w:rsid w:val="00683733"/>
    <w:rsid w:val="006857AD"/>
    <w:rsid w:val="0069027B"/>
    <w:rsid w:val="00690EE9"/>
    <w:rsid w:val="00692631"/>
    <w:rsid w:val="00692EB4"/>
    <w:rsid w:val="00696E4F"/>
    <w:rsid w:val="006A0030"/>
    <w:rsid w:val="006A08D7"/>
    <w:rsid w:val="006A0E8F"/>
    <w:rsid w:val="006A1595"/>
    <w:rsid w:val="006A32D2"/>
    <w:rsid w:val="006A36BA"/>
    <w:rsid w:val="006A59E6"/>
    <w:rsid w:val="006A6362"/>
    <w:rsid w:val="006A6F0E"/>
    <w:rsid w:val="006A705C"/>
    <w:rsid w:val="006A742B"/>
    <w:rsid w:val="006A7B6F"/>
    <w:rsid w:val="006B0D44"/>
    <w:rsid w:val="006B11A4"/>
    <w:rsid w:val="006B135D"/>
    <w:rsid w:val="006B2DA7"/>
    <w:rsid w:val="006B2EFF"/>
    <w:rsid w:val="006B3113"/>
    <w:rsid w:val="006B31F8"/>
    <w:rsid w:val="006B5551"/>
    <w:rsid w:val="006B57CA"/>
    <w:rsid w:val="006B60B9"/>
    <w:rsid w:val="006B6242"/>
    <w:rsid w:val="006B69A4"/>
    <w:rsid w:val="006B6DC8"/>
    <w:rsid w:val="006B7CEB"/>
    <w:rsid w:val="006C0896"/>
    <w:rsid w:val="006C1286"/>
    <w:rsid w:val="006C2B39"/>
    <w:rsid w:val="006C2B82"/>
    <w:rsid w:val="006C2F87"/>
    <w:rsid w:val="006C32E6"/>
    <w:rsid w:val="006C360B"/>
    <w:rsid w:val="006C4F43"/>
    <w:rsid w:val="006C558E"/>
    <w:rsid w:val="006C5CE7"/>
    <w:rsid w:val="006C6B8C"/>
    <w:rsid w:val="006C71C9"/>
    <w:rsid w:val="006C7436"/>
    <w:rsid w:val="006C75AC"/>
    <w:rsid w:val="006D0135"/>
    <w:rsid w:val="006D15B4"/>
    <w:rsid w:val="006D15C4"/>
    <w:rsid w:val="006D2434"/>
    <w:rsid w:val="006D266B"/>
    <w:rsid w:val="006D2717"/>
    <w:rsid w:val="006D3F95"/>
    <w:rsid w:val="006D45FF"/>
    <w:rsid w:val="006D4D54"/>
    <w:rsid w:val="006D5E41"/>
    <w:rsid w:val="006D6085"/>
    <w:rsid w:val="006D6433"/>
    <w:rsid w:val="006E04F2"/>
    <w:rsid w:val="006E147E"/>
    <w:rsid w:val="006E3687"/>
    <w:rsid w:val="006E4DE6"/>
    <w:rsid w:val="006E4F3B"/>
    <w:rsid w:val="006E51AF"/>
    <w:rsid w:val="006E5FDF"/>
    <w:rsid w:val="006E6475"/>
    <w:rsid w:val="006F0E69"/>
    <w:rsid w:val="006F10C2"/>
    <w:rsid w:val="006F40CA"/>
    <w:rsid w:val="006F432C"/>
    <w:rsid w:val="006F4A01"/>
    <w:rsid w:val="006F4E82"/>
    <w:rsid w:val="006F5A14"/>
    <w:rsid w:val="006F624C"/>
    <w:rsid w:val="006F6C37"/>
    <w:rsid w:val="006F73EB"/>
    <w:rsid w:val="00701BFA"/>
    <w:rsid w:val="007044FC"/>
    <w:rsid w:val="00704E58"/>
    <w:rsid w:val="00706AEA"/>
    <w:rsid w:val="007075A0"/>
    <w:rsid w:val="00711034"/>
    <w:rsid w:val="00712DF1"/>
    <w:rsid w:val="0071366F"/>
    <w:rsid w:val="007139F2"/>
    <w:rsid w:val="007147EA"/>
    <w:rsid w:val="00720DE3"/>
    <w:rsid w:val="00721A9C"/>
    <w:rsid w:val="00722D15"/>
    <w:rsid w:val="00724B62"/>
    <w:rsid w:val="00725785"/>
    <w:rsid w:val="007278EA"/>
    <w:rsid w:val="007305E6"/>
    <w:rsid w:val="0073158C"/>
    <w:rsid w:val="0073222B"/>
    <w:rsid w:val="00733346"/>
    <w:rsid w:val="00733A1A"/>
    <w:rsid w:val="007340EE"/>
    <w:rsid w:val="00737783"/>
    <w:rsid w:val="00737790"/>
    <w:rsid w:val="00737A56"/>
    <w:rsid w:val="0074055C"/>
    <w:rsid w:val="0074073F"/>
    <w:rsid w:val="0074094E"/>
    <w:rsid w:val="007413D3"/>
    <w:rsid w:val="00743C03"/>
    <w:rsid w:val="00743D22"/>
    <w:rsid w:val="007442B9"/>
    <w:rsid w:val="0074450C"/>
    <w:rsid w:val="00744D46"/>
    <w:rsid w:val="007454B1"/>
    <w:rsid w:val="0074620A"/>
    <w:rsid w:val="0075034F"/>
    <w:rsid w:val="0075038C"/>
    <w:rsid w:val="00750492"/>
    <w:rsid w:val="00750798"/>
    <w:rsid w:val="00750B15"/>
    <w:rsid w:val="007510CD"/>
    <w:rsid w:val="007516AD"/>
    <w:rsid w:val="007530F8"/>
    <w:rsid w:val="007540ED"/>
    <w:rsid w:val="0075450C"/>
    <w:rsid w:val="0075541C"/>
    <w:rsid w:val="007610CA"/>
    <w:rsid w:val="00761937"/>
    <w:rsid w:val="00762289"/>
    <w:rsid w:val="007630B8"/>
    <w:rsid w:val="00766A6B"/>
    <w:rsid w:val="007678B9"/>
    <w:rsid w:val="00767E71"/>
    <w:rsid w:val="007708BE"/>
    <w:rsid w:val="00770AE3"/>
    <w:rsid w:val="00770CF4"/>
    <w:rsid w:val="00770E01"/>
    <w:rsid w:val="007713B0"/>
    <w:rsid w:val="007718D3"/>
    <w:rsid w:val="00772F3A"/>
    <w:rsid w:val="007754E9"/>
    <w:rsid w:val="00777D72"/>
    <w:rsid w:val="00782382"/>
    <w:rsid w:val="00785429"/>
    <w:rsid w:val="00785BE2"/>
    <w:rsid w:val="00785FF3"/>
    <w:rsid w:val="00786F22"/>
    <w:rsid w:val="00787771"/>
    <w:rsid w:val="00791022"/>
    <w:rsid w:val="0079132E"/>
    <w:rsid w:val="00792938"/>
    <w:rsid w:val="00795C8F"/>
    <w:rsid w:val="007978E8"/>
    <w:rsid w:val="00797A2F"/>
    <w:rsid w:val="007A0A48"/>
    <w:rsid w:val="007A1AFB"/>
    <w:rsid w:val="007A3CFD"/>
    <w:rsid w:val="007A4D53"/>
    <w:rsid w:val="007A5017"/>
    <w:rsid w:val="007A59FD"/>
    <w:rsid w:val="007A64FB"/>
    <w:rsid w:val="007A6DDF"/>
    <w:rsid w:val="007A6FAC"/>
    <w:rsid w:val="007A70F7"/>
    <w:rsid w:val="007A7B7C"/>
    <w:rsid w:val="007A7B7F"/>
    <w:rsid w:val="007A7BDF"/>
    <w:rsid w:val="007A7CAB"/>
    <w:rsid w:val="007B1BE2"/>
    <w:rsid w:val="007B1C68"/>
    <w:rsid w:val="007B27D1"/>
    <w:rsid w:val="007B4DB3"/>
    <w:rsid w:val="007B72D1"/>
    <w:rsid w:val="007C1594"/>
    <w:rsid w:val="007C1CE9"/>
    <w:rsid w:val="007C2396"/>
    <w:rsid w:val="007C3698"/>
    <w:rsid w:val="007C3DFB"/>
    <w:rsid w:val="007C5352"/>
    <w:rsid w:val="007C58F9"/>
    <w:rsid w:val="007C5D40"/>
    <w:rsid w:val="007C5D94"/>
    <w:rsid w:val="007C6133"/>
    <w:rsid w:val="007D32DF"/>
    <w:rsid w:val="007D3C60"/>
    <w:rsid w:val="007D4E39"/>
    <w:rsid w:val="007D5A40"/>
    <w:rsid w:val="007D6ED3"/>
    <w:rsid w:val="007E0574"/>
    <w:rsid w:val="007E3331"/>
    <w:rsid w:val="007E4805"/>
    <w:rsid w:val="007E48CA"/>
    <w:rsid w:val="007E589E"/>
    <w:rsid w:val="007E6617"/>
    <w:rsid w:val="007E6E2C"/>
    <w:rsid w:val="007F1341"/>
    <w:rsid w:val="007F13BA"/>
    <w:rsid w:val="007F2CE8"/>
    <w:rsid w:val="007F2F84"/>
    <w:rsid w:val="007F3179"/>
    <w:rsid w:val="007F51B8"/>
    <w:rsid w:val="007F5869"/>
    <w:rsid w:val="007F6DDE"/>
    <w:rsid w:val="007F6E9D"/>
    <w:rsid w:val="008006DF"/>
    <w:rsid w:val="0080075D"/>
    <w:rsid w:val="00802710"/>
    <w:rsid w:val="00802E07"/>
    <w:rsid w:val="008042F0"/>
    <w:rsid w:val="00805EA8"/>
    <w:rsid w:val="008065C1"/>
    <w:rsid w:val="00806BBB"/>
    <w:rsid w:val="00806DE8"/>
    <w:rsid w:val="00812DA5"/>
    <w:rsid w:val="00813052"/>
    <w:rsid w:val="00813DE2"/>
    <w:rsid w:val="0081400F"/>
    <w:rsid w:val="00814F4E"/>
    <w:rsid w:val="008170B7"/>
    <w:rsid w:val="00821220"/>
    <w:rsid w:val="00822B83"/>
    <w:rsid w:val="0082492A"/>
    <w:rsid w:val="00824AC7"/>
    <w:rsid w:val="008252E2"/>
    <w:rsid w:val="0082689B"/>
    <w:rsid w:val="0082756F"/>
    <w:rsid w:val="00827CDE"/>
    <w:rsid w:val="00830013"/>
    <w:rsid w:val="008309DB"/>
    <w:rsid w:val="00832985"/>
    <w:rsid w:val="00832AFC"/>
    <w:rsid w:val="008338FD"/>
    <w:rsid w:val="00834BAD"/>
    <w:rsid w:val="00841A9E"/>
    <w:rsid w:val="008503C2"/>
    <w:rsid w:val="00850B75"/>
    <w:rsid w:val="00851476"/>
    <w:rsid w:val="00852D53"/>
    <w:rsid w:val="00855038"/>
    <w:rsid w:val="00855716"/>
    <w:rsid w:val="0085618E"/>
    <w:rsid w:val="008576D0"/>
    <w:rsid w:val="00866046"/>
    <w:rsid w:val="00866637"/>
    <w:rsid w:val="008670EB"/>
    <w:rsid w:val="00870868"/>
    <w:rsid w:val="008708F2"/>
    <w:rsid w:val="00870901"/>
    <w:rsid w:val="008711D7"/>
    <w:rsid w:val="0087135B"/>
    <w:rsid w:val="00874FDF"/>
    <w:rsid w:val="00875091"/>
    <w:rsid w:val="00875B30"/>
    <w:rsid w:val="008767CF"/>
    <w:rsid w:val="008770F3"/>
    <w:rsid w:val="00880E02"/>
    <w:rsid w:val="00881EDE"/>
    <w:rsid w:val="00882179"/>
    <w:rsid w:val="00882B02"/>
    <w:rsid w:val="00882DD0"/>
    <w:rsid w:val="00883D88"/>
    <w:rsid w:val="00884158"/>
    <w:rsid w:val="00885B77"/>
    <w:rsid w:val="0088773B"/>
    <w:rsid w:val="00887C17"/>
    <w:rsid w:val="0089178D"/>
    <w:rsid w:val="00891FE2"/>
    <w:rsid w:val="008921DB"/>
    <w:rsid w:val="00892AF7"/>
    <w:rsid w:val="00892C46"/>
    <w:rsid w:val="00892DAD"/>
    <w:rsid w:val="00895782"/>
    <w:rsid w:val="0089794E"/>
    <w:rsid w:val="008A16AD"/>
    <w:rsid w:val="008A2664"/>
    <w:rsid w:val="008A2F77"/>
    <w:rsid w:val="008A390E"/>
    <w:rsid w:val="008A501A"/>
    <w:rsid w:val="008A6632"/>
    <w:rsid w:val="008A784D"/>
    <w:rsid w:val="008A7E1D"/>
    <w:rsid w:val="008A7E9B"/>
    <w:rsid w:val="008B04C2"/>
    <w:rsid w:val="008B1B82"/>
    <w:rsid w:val="008B352D"/>
    <w:rsid w:val="008B4760"/>
    <w:rsid w:val="008B5D2D"/>
    <w:rsid w:val="008B6B0C"/>
    <w:rsid w:val="008B71A5"/>
    <w:rsid w:val="008B7DDB"/>
    <w:rsid w:val="008C0939"/>
    <w:rsid w:val="008C25BA"/>
    <w:rsid w:val="008C2B33"/>
    <w:rsid w:val="008C3123"/>
    <w:rsid w:val="008C3D47"/>
    <w:rsid w:val="008C5072"/>
    <w:rsid w:val="008C6345"/>
    <w:rsid w:val="008C6AD0"/>
    <w:rsid w:val="008D0D75"/>
    <w:rsid w:val="008D20D1"/>
    <w:rsid w:val="008D3075"/>
    <w:rsid w:val="008D3685"/>
    <w:rsid w:val="008D4598"/>
    <w:rsid w:val="008D572D"/>
    <w:rsid w:val="008D5F6D"/>
    <w:rsid w:val="008D6287"/>
    <w:rsid w:val="008D6AB3"/>
    <w:rsid w:val="008D7C6A"/>
    <w:rsid w:val="008D7DC0"/>
    <w:rsid w:val="008E08CE"/>
    <w:rsid w:val="008E2496"/>
    <w:rsid w:val="008E2FBC"/>
    <w:rsid w:val="008E3229"/>
    <w:rsid w:val="008E327A"/>
    <w:rsid w:val="008E37B0"/>
    <w:rsid w:val="008E419D"/>
    <w:rsid w:val="008E426C"/>
    <w:rsid w:val="008E46A2"/>
    <w:rsid w:val="008E7938"/>
    <w:rsid w:val="008F0A61"/>
    <w:rsid w:val="008F14C7"/>
    <w:rsid w:val="008F207A"/>
    <w:rsid w:val="008F420C"/>
    <w:rsid w:val="008F6EE3"/>
    <w:rsid w:val="008F75CA"/>
    <w:rsid w:val="00902024"/>
    <w:rsid w:val="009026FB"/>
    <w:rsid w:val="0090409C"/>
    <w:rsid w:val="00904644"/>
    <w:rsid w:val="0090680A"/>
    <w:rsid w:val="009117DF"/>
    <w:rsid w:val="009129F9"/>
    <w:rsid w:val="00913D85"/>
    <w:rsid w:val="00914E37"/>
    <w:rsid w:val="009157DF"/>
    <w:rsid w:val="00917ADB"/>
    <w:rsid w:val="00917B78"/>
    <w:rsid w:val="009214B6"/>
    <w:rsid w:val="00921765"/>
    <w:rsid w:val="00921CA8"/>
    <w:rsid w:val="00922219"/>
    <w:rsid w:val="0092287B"/>
    <w:rsid w:val="009248E8"/>
    <w:rsid w:val="00927D5B"/>
    <w:rsid w:val="00930AFC"/>
    <w:rsid w:val="00931B7A"/>
    <w:rsid w:val="0093221F"/>
    <w:rsid w:val="00932256"/>
    <w:rsid w:val="00932EA8"/>
    <w:rsid w:val="00932F18"/>
    <w:rsid w:val="00933FC9"/>
    <w:rsid w:val="009350CF"/>
    <w:rsid w:val="009352B3"/>
    <w:rsid w:val="009370E2"/>
    <w:rsid w:val="00940CD7"/>
    <w:rsid w:val="009411B1"/>
    <w:rsid w:val="00942137"/>
    <w:rsid w:val="00942CA5"/>
    <w:rsid w:val="009443B1"/>
    <w:rsid w:val="009454B3"/>
    <w:rsid w:val="00945696"/>
    <w:rsid w:val="00945FAF"/>
    <w:rsid w:val="00946760"/>
    <w:rsid w:val="00946D12"/>
    <w:rsid w:val="00946DB0"/>
    <w:rsid w:val="00950176"/>
    <w:rsid w:val="0095035B"/>
    <w:rsid w:val="00950728"/>
    <w:rsid w:val="00951371"/>
    <w:rsid w:val="0095457B"/>
    <w:rsid w:val="00963302"/>
    <w:rsid w:val="00963805"/>
    <w:rsid w:val="00963A42"/>
    <w:rsid w:val="009642C5"/>
    <w:rsid w:val="00965827"/>
    <w:rsid w:val="009659C0"/>
    <w:rsid w:val="00965F28"/>
    <w:rsid w:val="009666B9"/>
    <w:rsid w:val="00966CAD"/>
    <w:rsid w:val="009700EC"/>
    <w:rsid w:val="00971138"/>
    <w:rsid w:val="00972181"/>
    <w:rsid w:val="009722ED"/>
    <w:rsid w:val="0097239D"/>
    <w:rsid w:val="00973B8B"/>
    <w:rsid w:val="00973F1C"/>
    <w:rsid w:val="009745C5"/>
    <w:rsid w:val="009756E9"/>
    <w:rsid w:val="00975C18"/>
    <w:rsid w:val="00976210"/>
    <w:rsid w:val="009762FD"/>
    <w:rsid w:val="00977E37"/>
    <w:rsid w:val="009812DA"/>
    <w:rsid w:val="00982E7D"/>
    <w:rsid w:val="0098365C"/>
    <w:rsid w:val="0098383C"/>
    <w:rsid w:val="00983EF3"/>
    <w:rsid w:val="009842F7"/>
    <w:rsid w:val="00984747"/>
    <w:rsid w:val="00984A18"/>
    <w:rsid w:val="00984D43"/>
    <w:rsid w:val="0098743A"/>
    <w:rsid w:val="00990D2F"/>
    <w:rsid w:val="009916CB"/>
    <w:rsid w:val="00991840"/>
    <w:rsid w:val="00991D87"/>
    <w:rsid w:val="009925AA"/>
    <w:rsid w:val="009935F9"/>
    <w:rsid w:val="00993BE7"/>
    <w:rsid w:val="00994A69"/>
    <w:rsid w:val="00995C97"/>
    <w:rsid w:val="0099676E"/>
    <w:rsid w:val="00997A37"/>
    <w:rsid w:val="00997A96"/>
    <w:rsid w:val="009A12C3"/>
    <w:rsid w:val="009A37C6"/>
    <w:rsid w:val="009A4289"/>
    <w:rsid w:val="009A61BE"/>
    <w:rsid w:val="009A6344"/>
    <w:rsid w:val="009A6B9C"/>
    <w:rsid w:val="009A7DCE"/>
    <w:rsid w:val="009B00EF"/>
    <w:rsid w:val="009B3539"/>
    <w:rsid w:val="009B46B2"/>
    <w:rsid w:val="009B498C"/>
    <w:rsid w:val="009C108E"/>
    <w:rsid w:val="009C1B37"/>
    <w:rsid w:val="009C2BF4"/>
    <w:rsid w:val="009C306B"/>
    <w:rsid w:val="009C407A"/>
    <w:rsid w:val="009C446D"/>
    <w:rsid w:val="009C5460"/>
    <w:rsid w:val="009D04D1"/>
    <w:rsid w:val="009D3445"/>
    <w:rsid w:val="009D4424"/>
    <w:rsid w:val="009D69B2"/>
    <w:rsid w:val="009D79B6"/>
    <w:rsid w:val="009E2B8E"/>
    <w:rsid w:val="009E410B"/>
    <w:rsid w:val="009E4342"/>
    <w:rsid w:val="009E4E5E"/>
    <w:rsid w:val="009E64E1"/>
    <w:rsid w:val="009E7AB3"/>
    <w:rsid w:val="009E7EC2"/>
    <w:rsid w:val="009F0330"/>
    <w:rsid w:val="009F24AC"/>
    <w:rsid w:val="009F2901"/>
    <w:rsid w:val="009F3899"/>
    <w:rsid w:val="009F47F9"/>
    <w:rsid w:val="009F4DA0"/>
    <w:rsid w:val="009F519D"/>
    <w:rsid w:val="009F5988"/>
    <w:rsid w:val="009F6165"/>
    <w:rsid w:val="009F64DA"/>
    <w:rsid w:val="009F6764"/>
    <w:rsid w:val="009F691A"/>
    <w:rsid w:val="009F6D74"/>
    <w:rsid w:val="009F7867"/>
    <w:rsid w:val="009F7C3B"/>
    <w:rsid w:val="00A01291"/>
    <w:rsid w:val="00A01DC9"/>
    <w:rsid w:val="00A02038"/>
    <w:rsid w:val="00A02CFE"/>
    <w:rsid w:val="00A04699"/>
    <w:rsid w:val="00A04C1B"/>
    <w:rsid w:val="00A06EF2"/>
    <w:rsid w:val="00A07A2B"/>
    <w:rsid w:val="00A1027A"/>
    <w:rsid w:val="00A104F5"/>
    <w:rsid w:val="00A115BA"/>
    <w:rsid w:val="00A11669"/>
    <w:rsid w:val="00A11D13"/>
    <w:rsid w:val="00A12048"/>
    <w:rsid w:val="00A13349"/>
    <w:rsid w:val="00A16B19"/>
    <w:rsid w:val="00A175E8"/>
    <w:rsid w:val="00A208AA"/>
    <w:rsid w:val="00A22191"/>
    <w:rsid w:val="00A222A4"/>
    <w:rsid w:val="00A222B6"/>
    <w:rsid w:val="00A23B0F"/>
    <w:rsid w:val="00A23F03"/>
    <w:rsid w:val="00A24491"/>
    <w:rsid w:val="00A2490D"/>
    <w:rsid w:val="00A250F1"/>
    <w:rsid w:val="00A26F51"/>
    <w:rsid w:val="00A30632"/>
    <w:rsid w:val="00A30D3D"/>
    <w:rsid w:val="00A32D66"/>
    <w:rsid w:val="00A3354E"/>
    <w:rsid w:val="00A338DC"/>
    <w:rsid w:val="00A34119"/>
    <w:rsid w:val="00A34351"/>
    <w:rsid w:val="00A35337"/>
    <w:rsid w:val="00A35E00"/>
    <w:rsid w:val="00A36670"/>
    <w:rsid w:val="00A4199F"/>
    <w:rsid w:val="00A42CC4"/>
    <w:rsid w:val="00A43AAE"/>
    <w:rsid w:val="00A46D37"/>
    <w:rsid w:val="00A50DF5"/>
    <w:rsid w:val="00A52E23"/>
    <w:rsid w:val="00A55D4E"/>
    <w:rsid w:val="00A57612"/>
    <w:rsid w:val="00A57E81"/>
    <w:rsid w:val="00A60A8D"/>
    <w:rsid w:val="00A623EC"/>
    <w:rsid w:val="00A626A3"/>
    <w:rsid w:val="00A63C19"/>
    <w:rsid w:val="00A63F2D"/>
    <w:rsid w:val="00A641A3"/>
    <w:rsid w:val="00A64987"/>
    <w:rsid w:val="00A6558C"/>
    <w:rsid w:val="00A66695"/>
    <w:rsid w:val="00A6761A"/>
    <w:rsid w:val="00A700B7"/>
    <w:rsid w:val="00A70DF8"/>
    <w:rsid w:val="00A7173D"/>
    <w:rsid w:val="00A7366B"/>
    <w:rsid w:val="00A76634"/>
    <w:rsid w:val="00A76988"/>
    <w:rsid w:val="00A76A04"/>
    <w:rsid w:val="00A76FCB"/>
    <w:rsid w:val="00A81BFA"/>
    <w:rsid w:val="00A831AD"/>
    <w:rsid w:val="00A83585"/>
    <w:rsid w:val="00A835C5"/>
    <w:rsid w:val="00A84CA7"/>
    <w:rsid w:val="00A85D98"/>
    <w:rsid w:val="00A8631D"/>
    <w:rsid w:val="00A86B25"/>
    <w:rsid w:val="00A87EB2"/>
    <w:rsid w:val="00A87FDC"/>
    <w:rsid w:val="00A90777"/>
    <w:rsid w:val="00A927E5"/>
    <w:rsid w:val="00A95095"/>
    <w:rsid w:val="00A9579A"/>
    <w:rsid w:val="00A95E15"/>
    <w:rsid w:val="00A96019"/>
    <w:rsid w:val="00A962C1"/>
    <w:rsid w:val="00A971A6"/>
    <w:rsid w:val="00A973A6"/>
    <w:rsid w:val="00AA0DBB"/>
    <w:rsid w:val="00AA5B70"/>
    <w:rsid w:val="00AA68C5"/>
    <w:rsid w:val="00AA69AE"/>
    <w:rsid w:val="00AA76DA"/>
    <w:rsid w:val="00AB03B5"/>
    <w:rsid w:val="00AB066E"/>
    <w:rsid w:val="00AB0CCE"/>
    <w:rsid w:val="00AB264D"/>
    <w:rsid w:val="00AB26E2"/>
    <w:rsid w:val="00AB326C"/>
    <w:rsid w:val="00AB4FDA"/>
    <w:rsid w:val="00AC12C1"/>
    <w:rsid w:val="00AC1BD7"/>
    <w:rsid w:val="00AC3762"/>
    <w:rsid w:val="00AC3BBA"/>
    <w:rsid w:val="00AC49D2"/>
    <w:rsid w:val="00AC4B5F"/>
    <w:rsid w:val="00AC54E1"/>
    <w:rsid w:val="00AC5F52"/>
    <w:rsid w:val="00AC616F"/>
    <w:rsid w:val="00AC71C1"/>
    <w:rsid w:val="00AD0632"/>
    <w:rsid w:val="00AD0B46"/>
    <w:rsid w:val="00AD173A"/>
    <w:rsid w:val="00AD3474"/>
    <w:rsid w:val="00AD446B"/>
    <w:rsid w:val="00AD75E4"/>
    <w:rsid w:val="00AD79B7"/>
    <w:rsid w:val="00AE6915"/>
    <w:rsid w:val="00AE6C27"/>
    <w:rsid w:val="00AE6D32"/>
    <w:rsid w:val="00AE772B"/>
    <w:rsid w:val="00AE7DC7"/>
    <w:rsid w:val="00AF0701"/>
    <w:rsid w:val="00AF09A4"/>
    <w:rsid w:val="00AF0EFB"/>
    <w:rsid w:val="00AF295D"/>
    <w:rsid w:val="00AF2ACC"/>
    <w:rsid w:val="00AF3467"/>
    <w:rsid w:val="00AF360A"/>
    <w:rsid w:val="00AF3945"/>
    <w:rsid w:val="00AF40D2"/>
    <w:rsid w:val="00AF47D1"/>
    <w:rsid w:val="00B00448"/>
    <w:rsid w:val="00B019DD"/>
    <w:rsid w:val="00B0304D"/>
    <w:rsid w:val="00B04CAC"/>
    <w:rsid w:val="00B054FA"/>
    <w:rsid w:val="00B07339"/>
    <w:rsid w:val="00B07705"/>
    <w:rsid w:val="00B1116E"/>
    <w:rsid w:val="00B12ED6"/>
    <w:rsid w:val="00B14354"/>
    <w:rsid w:val="00B14BD8"/>
    <w:rsid w:val="00B15A18"/>
    <w:rsid w:val="00B16874"/>
    <w:rsid w:val="00B169C3"/>
    <w:rsid w:val="00B23C94"/>
    <w:rsid w:val="00B24882"/>
    <w:rsid w:val="00B24E0E"/>
    <w:rsid w:val="00B269A7"/>
    <w:rsid w:val="00B30953"/>
    <w:rsid w:val="00B30D2F"/>
    <w:rsid w:val="00B31DE1"/>
    <w:rsid w:val="00B32A9A"/>
    <w:rsid w:val="00B33CF9"/>
    <w:rsid w:val="00B3408A"/>
    <w:rsid w:val="00B35639"/>
    <w:rsid w:val="00B36ADD"/>
    <w:rsid w:val="00B3785B"/>
    <w:rsid w:val="00B427B6"/>
    <w:rsid w:val="00B43B5E"/>
    <w:rsid w:val="00B44DF9"/>
    <w:rsid w:val="00B453C6"/>
    <w:rsid w:val="00B47515"/>
    <w:rsid w:val="00B51331"/>
    <w:rsid w:val="00B5133C"/>
    <w:rsid w:val="00B56A25"/>
    <w:rsid w:val="00B5741A"/>
    <w:rsid w:val="00B5753D"/>
    <w:rsid w:val="00B575B9"/>
    <w:rsid w:val="00B57810"/>
    <w:rsid w:val="00B62B54"/>
    <w:rsid w:val="00B6607C"/>
    <w:rsid w:val="00B665CF"/>
    <w:rsid w:val="00B678A5"/>
    <w:rsid w:val="00B721E4"/>
    <w:rsid w:val="00B73330"/>
    <w:rsid w:val="00B735C4"/>
    <w:rsid w:val="00B74089"/>
    <w:rsid w:val="00B74B2F"/>
    <w:rsid w:val="00B7578B"/>
    <w:rsid w:val="00B76071"/>
    <w:rsid w:val="00B7654A"/>
    <w:rsid w:val="00B77036"/>
    <w:rsid w:val="00B77AAC"/>
    <w:rsid w:val="00B77AE1"/>
    <w:rsid w:val="00B77D40"/>
    <w:rsid w:val="00B813F3"/>
    <w:rsid w:val="00B8214A"/>
    <w:rsid w:val="00B83348"/>
    <w:rsid w:val="00B84FFA"/>
    <w:rsid w:val="00B869F2"/>
    <w:rsid w:val="00B875A1"/>
    <w:rsid w:val="00B87DDF"/>
    <w:rsid w:val="00B922E5"/>
    <w:rsid w:val="00B92595"/>
    <w:rsid w:val="00B92921"/>
    <w:rsid w:val="00B92985"/>
    <w:rsid w:val="00B94F82"/>
    <w:rsid w:val="00B964D3"/>
    <w:rsid w:val="00B97184"/>
    <w:rsid w:val="00B97B67"/>
    <w:rsid w:val="00BA5253"/>
    <w:rsid w:val="00BA7046"/>
    <w:rsid w:val="00BA74E4"/>
    <w:rsid w:val="00BB015C"/>
    <w:rsid w:val="00BB0CBD"/>
    <w:rsid w:val="00BB165B"/>
    <w:rsid w:val="00BB3120"/>
    <w:rsid w:val="00BB349C"/>
    <w:rsid w:val="00BB5596"/>
    <w:rsid w:val="00BB77E4"/>
    <w:rsid w:val="00BC0A2E"/>
    <w:rsid w:val="00BC1272"/>
    <w:rsid w:val="00BC2256"/>
    <w:rsid w:val="00BC4184"/>
    <w:rsid w:val="00BC545B"/>
    <w:rsid w:val="00BC5B83"/>
    <w:rsid w:val="00BC7CB9"/>
    <w:rsid w:val="00BD079B"/>
    <w:rsid w:val="00BD163C"/>
    <w:rsid w:val="00BD1957"/>
    <w:rsid w:val="00BD232A"/>
    <w:rsid w:val="00BD28DE"/>
    <w:rsid w:val="00BD3974"/>
    <w:rsid w:val="00BD42DA"/>
    <w:rsid w:val="00BD6BCB"/>
    <w:rsid w:val="00BE00D1"/>
    <w:rsid w:val="00BE16BE"/>
    <w:rsid w:val="00BE295F"/>
    <w:rsid w:val="00BE4660"/>
    <w:rsid w:val="00BE520A"/>
    <w:rsid w:val="00BE542B"/>
    <w:rsid w:val="00BE6CB2"/>
    <w:rsid w:val="00BE7146"/>
    <w:rsid w:val="00BE7610"/>
    <w:rsid w:val="00BE7A01"/>
    <w:rsid w:val="00BF0F55"/>
    <w:rsid w:val="00BF28FE"/>
    <w:rsid w:val="00BF2E05"/>
    <w:rsid w:val="00BF35E2"/>
    <w:rsid w:val="00BF389A"/>
    <w:rsid w:val="00BF539E"/>
    <w:rsid w:val="00BF5E49"/>
    <w:rsid w:val="00BF62F2"/>
    <w:rsid w:val="00C014AE"/>
    <w:rsid w:val="00C0172E"/>
    <w:rsid w:val="00C024BB"/>
    <w:rsid w:val="00C02823"/>
    <w:rsid w:val="00C03512"/>
    <w:rsid w:val="00C03DCE"/>
    <w:rsid w:val="00C04D9F"/>
    <w:rsid w:val="00C05B5D"/>
    <w:rsid w:val="00C077EF"/>
    <w:rsid w:val="00C101F5"/>
    <w:rsid w:val="00C10F13"/>
    <w:rsid w:val="00C1204A"/>
    <w:rsid w:val="00C1375F"/>
    <w:rsid w:val="00C1644B"/>
    <w:rsid w:val="00C169A8"/>
    <w:rsid w:val="00C17787"/>
    <w:rsid w:val="00C204EC"/>
    <w:rsid w:val="00C217CA"/>
    <w:rsid w:val="00C228AA"/>
    <w:rsid w:val="00C2300D"/>
    <w:rsid w:val="00C2331F"/>
    <w:rsid w:val="00C2370D"/>
    <w:rsid w:val="00C24CEA"/>
    <w:rsid w:val="00C27D34"/>
    <w:rsid w:val="00C27F4A"/>
    <w:rsid w:val="00C30205"/>
    <w:rsid w:val="00C32924"/>
    <w:rsid w:val="00C350FB"/>
    <w:rsid w:val="00C36066"/>
    <w:rsid w:val="00C37765"/>
    <w:rsid w:val="00C377F3"/>
    <w:rsid w:val="00C37BC3"/>
    <w:rsid w:val="00C37FA1"/>
    <w:rsid w:val="00C417E4"/>
    <w:rsid w:val="00C42BE2"/>
    <w:rsid w:val="00C43A5E"/>
    <w:rsid w:val="00C44BAE"/>
    <w:rsid w:val="00C4590F"/>
    <w:rsid w:val="00C510EB"/>
    <w:rsid w:val="00C51FA8"/>
    <w:rsid w:val="00C53A3C"/>
    <w:rsid w:val="00C543BF"/>
    <w:rsid w:val="00C54703"/>
    <w:rsid w:val="00C555AA"/>
    <w:rsid w:val="00C55C67"/>
    <w:rsid w:val="00C57CDD"/>
    <w:rsid w:val="00C60233"/>
    <w:rsid w:val="00C6088D"/>
    <w:rsid w:val="00C627E7"/>
    <w:rsid w:val="00C627FB"/>
    <w:rsid w:val="00C63CA7"/>
    <w:rsid w:val="00C63DB4"/>
    <w:rsid w:val="00C642DB"/>
    <w:rsid w:val="00C65DB2"/>
    <w:rsid w:val="00C66594"/>
    <w:rsid w:val="00C67421"/>
    <w:rsid w:val="00C705C7"/>
    <w:rsid w:val="00C72A25"/>
    <w:rsid w:val="00C72A81"/>
    <w:rsid w:val="00C742EA"/>
    <w:rsid w:val="00C76A7B"/>
    <w:rsid w:val="00C76ADE"/>
    <w:rsid w:val="00C76D47"/>
    <w:rsid w:val="00C76D92"/>
    <w:rsid w:val="00C770C2"/>
    <w:rsid w:val="00C80C5F"/>
    <w:rsid w:val="00C81719"/>
    <w:rsid w:val="00C81798"/>
    <w:rsid w:val="00C82B0D"/>
    <w:rsid w:val="00C8413F"/>
    <w:rsid w:val="00C84B26"/>
    <w:rsid w:val="00C8656D"/>
    <w:rsid w:val="00C8746B"/>
    <w:rsid w:val="00C87F50"/>
    <w:rsid w:val="00C90DF6"/>
    <w:rsid w:val="00C91C6D"/>
    <w:rsid w:val="00C925A7"/>
    <w:rsid w:val="00C9269F"/>
    <w:rsid w:val="00C94170"/>
    <w:rsid w:val="00C95F45"/>
    <w:rsid w:val="00C96E92"/>
    <w:rsid w:val="00C97402"/>
    <w:rsid w:val="00C97ABE"/>
    <w:rsid w:val="00C97D4B"/>
    <w:rsid w:val="00CA0410"/>
    <w:rsid w:val="00CA07DD"/>
    <w:rsid w:val="00CA093E"/>
    <w:rsid w:val="00CA0C45"/>
    <w:rsid w:val="00CA24D5"/>
    <w:rsid w:val="00CA264F"/>
    <w:rsid w:val="00CA379B"/>
    <w:rsid w:val="00CA4D8A"/>
    <w:rsid w:val="00CA7EE4"/>
    <w:rsid w:val="00CB0501"/>
    <w:rsid w:val="00CB05E3"/>
    <w:rsid w:val="00CB07ED"/>
    <w:rsid w:val="00CB12C3"/>
    <w:rsid w:val="00CB492F"/>
    <w:rsid w:val="00CB578F"/>
    <w:rsid w:val="00CB5C39"/>
    <w:rsid w:val="00CC03C6"/>
    <w:rsid w:val="00CC0B81"/>
    <w:rsid w:val="00CC1F44"/>
    <w:rsid w:val="00CC37CC"/>
    <w:rsid w:val="00CC5147"/>
    <w:rsid w:val="00CC67E3"/>
    <w:rsid w:val="00CC6F5C"/>
    <w:rsid w:val="00CC7271"/>
    <w:rsid w:val="00CC7B4C"/>
    <w:rsid w:val="00CC7B6F"/>
    <w:rsid w:val="00CD0E6B"/>
    <w:rsid w:val="00CD2AF5"/>
    <w:rsid w:val="00CD2B89"/>
    <w:rsid w:val="00CD2E76"/>
    <w:rsid w:val="00CD369B"/>
    <w:rsid w:val="00CD4D21"/>
    <w:rsid w:val="00CD59AD"/>
    <w:rsid w:val="00CD74DB"/>
    <w:rsid w:val="00CE23DF"/>
    <w:rsid w:val="00CE2D4A"/>
    <w:rsid w:val="00CE4B6F"/>
    <w:rsid w:val="00CE4C94"/>
    <w:rsid w:val="00CE4E67"/>
    <w:rsid w:val="00CE4E8A"/>
    <w:rsid w:val="00CE527A"/>
    <w:rsid w:val="00CE6225"/>
    <w:rsid w:val="00CF0EFB"/>
    <w:rsid w:val="00CF1060"/>
    <w:rsid w:val="00CF1D2F"/>
    <w:rsid w:val="00CF24C1"/>
    <w:rsid w:val="00CF27EC"/>
    <w:rsid w:val="00CF4BD2"/>
    <w:rsid w:val="00CF5245"/>
    <w:rsid w:val="00D00885"/>
    <w:rsid w:val="00D00A75"/>
    <w:rsid w:val="00D015A9"/>
    <w:rsid w:val="00D01B79"/>
    <w:rsid w:val="00D01EAB"/>
    <w:rsid w:val="00D02E46"/>
    <w:rsid w:val="00D03052"/>
    <w:rsid w:val="00D03FEF"/>
    <w:rsid w:val="00D048CF"/>
    <w:rsid w:val="00D04C41"/>
    <w:rsid w:val="00D0509F"/>
    <w:rsid w:val="00D07F6F"/>
    <w:rsid w:val="00D118F7"/>
    <w:rsid w:val="00D13E0D"/>
    <w:rsid w:val="00D14A36"/>
    <w:rsid w:val="00D15964"/>
    <w:rsid w:val="00D16922"/>
    <w:rsid w:val="00D209A6"/>
    <w:rsid w:val="00D24540"/>
    <w:rsid w:val="00D31FBF"/>
    <w:rsid w:val="00D32219"/>
    <w:rsid w:val="00D32C7C"/>
    <w:rsid w:val="00D343D5"/>
    <w:rsid w:val="00D34C34"/>
    <w:rsid w:val="00D358C9"/>
    <w:rsid w:val="00D36077"/>
    <w:rsid w:val="00D36FA1"/>
    <w:rsid w:val="00D372EB"/>
    <w:rsid w:val="00D44447"/>
    <w:rsid w:val="00D444AF"/>
    <w:rsid w:val="00D45D49"/>
    <w:rsid w:val="00D5002A"/>
    <w:rsid w:val="00D515C1"/>
    <w:rsid w:val="00D57719"/>
    <w:rsid w:val="00D622C4"/>
    <w:rsid w:val="00D627C9"/>
    <w:rsid w:val="00D72099"/>
    <w:rsid w:val="00D728C6"/>
    <w:rsid w:val="00D7422C"/>
    <w:rsid w:val="00D74AD7"/>
    <w:rsid w:val="00D77A75"/>
    <w:rsid w:val="00D81912"/>
    <w:rsid w:val="00D81EC7"/>
    <w:rsid w:val="00D842CF"/>
    <w:rsid w:val="00D84ADA"/>
    <w:rsid w:val="00D84EEC"/>
    <w:rsid w:val="00D90B32"/>
    <w:rsid w:val="00D91397"/>
    <w:rsid w:val="00D923EF"/>
    <w:rsid w:val="00D96711"/>
    <w:rsid w:val="00D97DA3"/>
    <w:rsid w:val="00DA5A3F"/>
    <w:rsid w:val="00DA720E"/>
    <w:rsid w:val="00DA7C46"/>
    <w:rsid w:val="00DB16AA"/>
    <w:rsid w:val="00DB2064"/>
    <w:rsid w:val="00DB25E5"/>
    <w:rsid w:val="00DB3A99"/>
    <w:rsid w:val="00DB4004"/>
    <w:rsid w:val="00DB486B"/>
    <w:rsid w:val="00DB5C4F"/>
    <w:rsid w:val="00DC1D7C"/>
    <w:rsid w:val="00DC2C70"/>
    <w:rsid w:val="00DC31B9"/>
    <w:rsid w:val="00DC415F"/>
    <w:rsid w:val="00DC48F5"/>
    <w:rsid w:val="00DC6308"/>
    <w:rsid w:val="00DC75A7"/>
    <w:rsid w:val="00DC77E3"/>
    <w:rsid w:val="00DD0CB1"/>
    <w:rsid w:val="00DD0CD0"/>
    <w:rsid w:val="00DD31DF"/>
    <w:rsid w:val="00DD3A71"/>
    <w:rsid w:val="00DD6068"/>
    <w:rsid w:val="00DD6758"/>
    <w:rsid w:val="00DD68B6"/>
    <w:rsid w:val="00DE009C"/>
    <w:rsid w:val="00DE06A9"/>
    <w:rsid w:val="00DE0A62"/>
    <w:rsid w:val="00DE18FC"/>
    <w:rsid w:val="00DE3810"/>
    <w:rsid w:val="00DE6440"/>
    <w:rsid w:val="00DF02B5"/>
    <w:rsid w:val="00DF0510"/>
    <w:rsid w:val="00DF0793"/>
    <w:rsid w:val="00DF0CBE"/>
    <w:rsid w:val="00DF2162"/>
    <w:rsid w:val="00DF25DA"/>
    <w:rsid w:val="00DF33D9"/>
    <w:rsid w:val="00DF35E9"/>
    <w:rsid w:val="00DF36CE"/>
    <w:rsid w:val="00DF4EEF"/>
    <w:rsid w:val="00DF5337"/>
    <w:rsid w:val="00DF6506"/>
    <w:rsid w:val="00DF6CED"/>
    <w:rsid w:val="00DF78BE"/>
    <w:rsid w:val="00E0311F"/>
    <w:rsid w:val="00E05386"/>
    <w:rsid w:val="00E05799"/>
    <w:rsid w:val="00E05DAF"/>
    <w:rsid w:val="00E06CA7"/>
    <w:rsid w:val="00E07314"/>
    <w:rsid w:val="00E115D2"/>
    <w:rsid w:val="00E136AE"/>
    <w:rsid w:val="00E21615"/>
    <w:rsid w:val="00E25215"/>
    <w:rsid w:val="00E25320"/>
    <w:rsid w:val="00E27F62"/>
    <w:rsid w:val="00E307D3"/>
    <w:rsid w:val="00E30DF5"/>
    <w:rsid w:val="00E3119E"/>
    <w:rsid w:val="00E31228"/>
    <w:rsid w:val="00E317AB"/>
    <w:rsid w:val="00E31DD6"/>
    <w:rsid w:val="00E32232"/>
    <w:rsid w:val="00E330A6"/>
    <w:rsid w:val="00E33928"/>
    <w:rsid w:val="00E33E73"/>
    <w:rsid w:val="00E345D6"/>
    <w:rsid w:val="00E374CB"/>
    <w:rsid w:val="00E3775C"/>
    <w:rsid w:val="00E40771"/>
    <w:rsid w:val="00E458E9"/>
    <w:rsid w:val="00E45BA4"/>
    <w:rsid w:val="00E4653D"/>
    <w:rsid w:val="00E46FE2"/>
    <w:rsid w:val="00E51184"/>
    <w:rsid w:val="00E56137"/>
    <w:rsid w:val="00E566DA"/>
    <w:rsid w:val="00E5737A"/>
    <w:rsid w:val="00E6295D"/>
    <w:rsid w:val="00E63A74"/>
    <w:rsid w:val="00E63C69"/>
    <w:rsid w:val="00E64025"/>
    <w:rsid w:val="00E642C8"/>
    <w:rsid w:val="00E64CD7"/>
    <w:rsid w:val="00E657AE"/>
    <w:rsid w:val="00E65FA5"/>
    <w:rsid w:val="00E671F1"/>
    <w:rsid w:val="00E67BF7"/>
    <w:rsid w:val="00E7061A"/>
    <w:rsid w:val="00E72195"/>
    <w:rsid w:val="00E724AE"/>
    <w:rsid w:val="00E74E23"/>
    <w:rsid w:val="00E75D77"/>
    <w:rsid w:val="00E77909"/>
    <w:rsid w:val="00E82D10"/>
    <w:rsid w:val="00E832AF"/>
    <w:rsid w:val="00E84A74"/>
    <w:rsid w:val="00E850F0"/>
    <w:rsid w:val="00E8569A"/>
    <w:rsid w:val="00E858A0"/>
    <w:rsid w:val="00E86BD6"/>
    <w:rsid w:val="00E872E9"/>
    <w:rsid w:val="00E87382"/>
    <w:rsid w:val="00E904DC"/>
    <w:rsid w:val="00E90DBA"/>
    <w:rsid w:val="00E911A1"/>
    <w:rsid w:val="00E92377"/>
    <w:rsid w:val="00E93FF0"/>
    <w:rsid w:val="00E95312"/>
    <w:rsid w:val="00E954A1"/>
    <w:rsid w:val="00E978EB"/>
    <w:rsid w:val="00EA0ED2"/>
    <w:rsid w:val="00EA13AD"/>
    <w:rsid w:val="00EA2166"/>
    <w:rsid w:val="00EA2A58"/>
    <w:rsid w:val="00EA428F"/>
    <w:rsid w:val="00EA4570"/>
    <w:rsid w:val="00EA5D3F"/>
    <w:rsid w:val="00EA613D"/>
    <w:rsid w:val="00EA627D"/>
    <w:rsid w:val="00EA65D7"/>
    <w:rsid w:val="00EA72E5"/>
    <w:rsid w:val="00EB145F"/>
    <w:rsid w:val="00EB2F56"/>
    <w:rsid w:val="00EB3345"/>
    <w:rsid w:val="00EB3CC9"/>
    <w:rsid w:val="00EB5E8F"/>
    <w:rsid w:val="00EB6231"/>
    <w:rsid w:val="00EB7622"/>
    <w:rsid w:val="00EC1326"/>
    <w:rsid w:val="00EC1CAC"/>
    <w:rsid w:val="00EC2D57"/>
    <w:rsid w:val="00EC5113"/>
    <w:rsid w:val="00ED087B"/>
    <w:rsid w:val="00ED3EAA"/>
    <w:rsid w:val="00ED5783"/>
    <w:rsid w:val="00ED6BFB"/>
    <w:rsid w:val="00ED73E1"/>
    <w:rsid w:val="00ED7558"/>
    <w:rsid w:val="00ED7D7F"/>
    <w:rsid w:val="00EE2728"/>
    <w:rsid w:val="00EE2806"/>
    <w:rsid w:val="00EE3103"/>
    <w:rsid w:val="00EE390B"/>
    <w:rsid w:val="00EE418E"/>
    <w:rsid w:val="00EE47D6"/>
    <w:rsid w:val="00EF0C9A"/>
    <w:rsid w:val="00EF2425"/>
    <w:rsid w:val="00EF2E72"/>
    <w:rsid w:val="00EF3887"/>
    <w:rsid w:val="00EF3E09"/>
    <w:rsid w:val="00EF5B3E"/>
    <w:rsid w:val="00EF68B0"/>
    <w:rsid w:val="00F003D0"/>
    <w:rsid w:val="00F006E5"/>
    <w:rsid w:val="00F0235E"/>
    <w:rsid w:val="00F02B08"/>
    <w:rsid w:val="00F03508"/>
    <w:rsid w:val="00F03874"/>
    <w:rsid w:val="00F10DD5"/>
    <w:rsid w:val="00F13B75"/>
    <w:rsid w:val="00F141E0"/>
    <w:rsid w:val="00F157DB"/>
    <w:rsid w:val="00F15E7A"/>
    <w:rsid w:val="00F169C9"/>
    <w:rsid w:val="00F16D55"/>
    <w:rsid w:val="00F23764"/>
    <w:rsid w:val="00F26F90"/>
    <w:rsid w:val="00F27186"/>
    <w:rsid w:val="00F271CB"/>
    <w:rsid w:val="00F277BC"/>
    <w:rsid w:val="00F27EB6"/>
    <w:rsid w:val="00F30328"/>
    <w:rsid w:val="00F307A9"/>
    <w:rsid w:val="00F31398"/>
    <w:rsid w:val="00F32A70"/>
    <w:rsid w:val="00F34817"/>
    <w:rsid w:val="00F3507D"/>
    <w:rsid w:val="00F36AC5"/>
    <w:rsid w:val="00F36DEC"/>
    <w:rsid w:val="00F41560"/>
    <w:rsid w:val="00F41D1B"/>
    <w:rsid w:val="00F43B2A"/>
    <w:rsid w:val="00F43CC6"/>
    <w:rsid w:val="00F45A15"/>
    <w:rsid w:val="00F47EFD"/>
    <w:rsid w:val="00F5035A"/>
    <w:rsid w:val="00F53E2B"/>
    <w:rsid w:val="00F540B8"/>
    <w:rsid w:val="00F569AB"/>
    <w:rsid w:val="00F57711"/>
    <w:rsid w:val="00F61E27"/>
    <w:rsid w:val="00F6217A"/>
    <w:rsid w:val="00F625A6"/>
    <w:rsid w:val="00F647E9"/>
    <w:rsid w:val="00F64D3D"/>
    <w:rsid w:val="00F65AE5"/>
    <w:rsid w:val="00F65B1D"/>
    <w:rsid w:val="00F66729"/>
    <w:rsid w:val="00F677B6"/>
    <w:rsid w:val="00F679CF"/>
    <w:rsid w:val="00F67E09"/>
    <w:rsid w:val="00F70637"/>
    <w:rsid w:val="00F711F6"/>
    <w:rsid w:val="00F7179A"/>
    <w:rsid w:val="00F72597"/>
    <w:rsid w:val="00F72B3F"/>
    <w:rsid w:val="00F72BE8"/>
    <w:rsid w:val="00F731EB"/>
    <w:rsid w:val="00F734FB"/>
    <w:rsid w:val="00F744BF"/>
    <w:rsid w:val="00F7536D"/>
    <w:rsid w:val="00F759C5"/>
    <w:rsid w:val="00F75C7B"/>
    <w:rsid w:val="00F76F90"/>
    <w:rsid w:val="00F77DBE"/>
    <w:rsid w:val="00F813AD"/>
    <w:rsid w:val="00F81C0C"/>
    <w:rsid w:val="00F83DEF"/>
    <w:rsid w:val="00F85787"/>
    <w:rsid w:val="00F86214"/>
    <w:rsid w:val="00F87869"/>
    <w:rsid w:val="00F879E2"/>
    <w:rsid w:val="00F87A29"/>
    <w:rsid w:val="00F90C42"/>
    <w:rsid w:val="00F92572"/>
    <w:rsid w:val="00F9390A"/>
    <w:rsid w:val="00F93B4C"/>
    <w:rsid w:val="00F93B94"/>
    <w:rsid w:val="00F94D6E"/>
    <w:rsid w:val="00F95279"/>
    <w:rsid w:val="00F96510"/>
    <w:rsid w:val="00F96811"/>
    <w:rsid w:val="00F96BFF"/>
    <w:rsid w:val="00F972B6"/>
    <w:rsid w:val="00F97BBC"/>
    <w:rsid w:val="00F97CE0"/>
    <w:rsid w:val="00F97E64"/>
    <w:rsid w:val="00FA0626"/>
    <w:rsid w:val="00FA0FEA"/>
    <w:rsid w:val="00FA2A2C"/>
    <w:rsid w:val="00FA4596"/>
    <w:rsid w:val="00FA4692"/>
    <w:rsid w:val="00FA49F5"/>
    <w:rsid w:val="00FA5218"/>
    <w:rsid w:val="00FA6344"/>
    <w:rsid w:val="00FA66BF"/>
    <w:rsid w:val="00FA707C"/>
    <w:rsid w:val="00FB22C5"/>
    <w:rsid w:val="00FB351C"/>
    <w:rsid w:val="00FB51D6"/>
    <w:rsid w:val="00FB6127"/>
    <w:rsid w:val="00FC0CCB"/>
    <w:rsid w:val="00FC1BB2"/>
    <w:rsid w:val="00FC20F8"/>
    <w:rsid w:val="00FC27C1"/>
    <w:rsid w:val="00FC3809"/>
    <w:rsid w:val="00FC4564"/>
    <w:rsid w:val="00FC53AF"/>
    <w:rsid w:val="00FC615B"/>
    <w:rsid w:val="00FD0E99"/>
    <w:rsid w:val="00FD1342"/>
    <w:rsid w:val="00FD20BF"/>
    <w:rsid w:val="00FD39B1"/>
    <w:rsid w:val="00FD4492"/>
    <w:rsid w:val="00FD5BBF"/>
    <w:rsid w:val="00FD6F62"/>
    <w:rsid w:val="00FD7106"/>
    <w:rsid w:val="00FE0946"/>
    <w:rsid w:val="00FE1F8F"/>
    <w:rsid w:val="00FE1FEB"/>
    <w:rsid w:val="00FE375E"/>
    <w:rsid w:val="00FF4E86"/>
    <w:rsid w:val="00FF4F1F"/>
    <w:rsid w:val="00FF6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6295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892DAD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892DAD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295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92DAD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892DAD"/>
    <w:rPr>
      <w:rFonts w:ascii="Times New Roman" w:hAnsi="Times New Roman" w:cs="Times New Roman"/>
      <w:sz w:val="24"/>
      <w:szCs w:val="24"/>
    </w:rPr>
  </w:style>
  <w:style w:type="paragraph" w:styleId="a3">
    <w:name w:val="Normal (Web)"/>
    <w:aliases w:val="Обычный (веб)1,Обычный (веб) Знак,Обычный (веб) Знак1,Обычный (веб) Знак Знак,Знак Знак3,Знак4,Знак4 Знак Знак,Знак4 Знак,Обычный (Web)1,Обычный (веб) Знак Знак1,Знак Знак1 Знак,Обычный (веб) Знак Знак Знак,Знак Знак1 Знак Знак"/>
    <w:basedOn w:val="a"/>
    <w:link w:val="21"/>
    <w:uiPriority w:val="99"/>
    <w:rsid w:val="00F36D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5"/>
    <w:uiPriority w:val="99"/>
    <w:locked/>
    <w:rsid w:val="00F36DEC"/>
    <w:rPr>
      <w:rFonts w:ascii="Times New Roman" w:hAnsi="Times New Roman"/>
      <w:sz w:val="24"/>
      <w:szCs w:val="22"/>
      <w:lang w:val="ru-RU" w:eastAsia="ru-RU" w:bidi="ar-SA"/>
    </w:rPr>
  </w:style>
  <w:style w:type="paragraph" w:styleId="a5">
    <w:name w:val="No Spacing"/>
    <w:link w:val="a4"/>
    <w:uiPriority w:val="99"/>
    <w:qFormat/>
    <w:rsid w:val="00F36DEC"/>
    <w:pPr>
      <w:ind w:firstLine="709"/>
      <w:jc w:val="both"/>
    </w:pPr>
    <w:rPr>
      <w:rFonts w:ascii="Times New Roman" w:hAnsi="Times New Roman"/>
      <w:sz w:val="24"/>
      <w:szCs w:val="22"/>
    </w:rPr>
  </w:style>
  <w:style w:type="paragraph" w:styleId="a6">
    <w:name w:val="Balloon Text"/>
    <w:basedOn w:val="a"/>
    <w:link w:val="a7"/>
    <w:uiPriority w:val="99"/>
    <w:semiHidden/>
    <w:rsid w:val="00F36D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36DEC"/>
    <w:rPr>
      <w:rFonts w:ascii="Tahoma" w:hAnsi="Tahoma" w:cs="Tahoma"/>
      <w:sz w:val="16"/>
      <w:szCs w:val="16"/>
    </w:rPr>
  </w:style>
  <w:style w:type="character" w:customStyle="1" w:styleId="a8">
    <w:name w:val="Подпись к таблице_"/>
    <w:link w:val="a9"/>
    <w:uiPriority w:val="99"/>
    <w:locked/>
    <w:rsid w:val="006F0E69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6F0E69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character" w:customStyle="1" w:styleId="aa">
    <w:name w:val="Основной текст_"/>
    <w:uiPriority w:val="99"/>
    <w:rsid w:val="006F0E69"/>
    <w:rPr>
      <w:rFonts w:ascii="Times New Roman" w:hAnsi="Times New Roman" w:cs="Times New Roman"/>
      <w:sz w:val="27"/>
      <w:szCs w:val="27"/>
      <w:u w:val="none"/>
      <w:effect w:val="none"/>
    </w:rPr>
  </w:style>
  <w:style w:type="character" w:customStyle="1" w:styleId="FontStyle183">
    <w:name w:val="Font Style183"/>
    <w:uiPriority w:val="99"/>
    <w:rsid w:val="006F0E69"/>
    <w:rPr>
      <w:rFonts w:ascii="Sylfaen" w:hAnsi="Sylfaen" w:cs="Sylfaen"/>
      <w:sz w:val="20"/>
      <w:szCs w:val="20"/>
    </w:rPr>
  </w:style>
  <w:style w:type="paragraph" w:styleId="ab">
    <w:name w:val="List Paragraph"/>
    <w:basedOn w:val="a"/>
    <w:uiPriority w:val="99"/>
    <w:qFormat/>
    <w:rsid w:val="00984D43"/>
    <w:pPr>
      <w:ind w:left="720"/>
      <w:contextualSpacing/>
    </w:pPr>
  </w:style>
  <w:style w:type="paragraph" w:customStyle="1" w:styleId="22">
    <w:name w:val="сновной текст с отступом 2"/>
    <w:basedOn w:val="a"/>
    <w:uiPriority w:val="99"/>
    <w:rsid w:val="00984D43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21">
    <w:name w:val="Обычный (веб) Знак2"/>
    <w:aliases w:val="Обычный (веб)1 Знак,Обычный (веб) Знак Знак2,Обычный (веб) Знак1 Знак,Обычный (веб) Знак Знак Знак1,Знак Знак3 Знак,Знак4 Знак1,Знак4 Знак Знак Знак,Знак4 Знак Знак1,Обычный (Web)1 Знак,Обычный (веб) Знак Знак1 Знак"/>
    <w:link w:val="a3"/>
    <w:uiPriority w:val="99"/>
    <w:locked/>
    <w:rsid w:val="00984D43"/>
    <w:rPr>
      <w:rFonts w:ascii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uiPriority w:val="99"/>
    <w:rsid w:val="003C0D7D"/>
    <w:rPr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3C0D7D"/>
    <w:rPr>
      <w:rFonts w:cs="Times New Roman"/>
    </w:rPr>
  </w:style>
  <w:style w:type="character" w:styleId="ae">
    <w:name w:val="footnote reference"/>
    <w:uiPriority w:val="99"/>
    <w:rsid w:val="003C0D7D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8A1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Office_Excel_97-20031.xls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11.xml"/><Relationship Id="rId7" Type="http://schemas.openxmlformats.org/officeDocument/2006/relationships/image" Target="media/image1.emf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5" Type="http://schemas.openxmlformats.org/officeDocument/2006/relationships/footnotes" Target="footnote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10" Type="http://schemas.openxmlformats.org/officeDocument/2006/relationships/oleObject" Target="embeddings/_____Microsoft_Office_Excel_97-20032.xls"/><Relationship Id="rId19" Type="http://schemas.openxmlformats.org/officeDocument/2006/relationships/chart" Target="charts/chart9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14.xlsx"/><Relationship Id="rId2" Type="http://schemas.openxmlformats.org/officeDocument/2006/relationships/image" Target="../media/image3.jpeg"/><Relationship Id="rId1" Type="http://schemas.openxmlformats.org/officeDocument/2006/relationships/themeOverride" Target="../theme/themeOverride11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15.xlsx"/><Relationship Id="rId2" Type="http://schemas.openxmlformats.org/officeDocument/2006/relationships/image" Target="../media/image3.jpeg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4"/>
              <a:t>Динамика промышленного производства </a:t>
            </a:r>
          </a:p>
          <a:p>
            <a:pPr>
              <a:defRPr/>
            </a:pPr>
            <a:r>
              <a:rPr lang="ru-RU" sz="1104"/>
              <a:t>(в сопоставимых ценах), млн</a:t>
            </a:r>
            <a:r>
              <a:rPr lang="ru-RU" sz="1104" baseline="0"/>
              <a:t> руб.</a:t>
            </a:r>
            <a:endParaRPr lang="ru-RU" sz="1200"/>
          </a:p>
        </c:rich>
      </c:tx>
      <c:layout>
        <c:manualLayout>
          <c:xMode val="edge"/>
          <c:yMode val="edge"/>
          <c:x val="0.29623451574990967"/>
          <c:y val="0"/>
        </c:manualLayout>
      </c:layout>
    </c:title>
    <c:plotArea>
      <c:layout>
        <c:manualLayout>
          <c:layoutTarget val="inner"/>
          <c:xMode val="edge"/>
          <c:yMode val="edge"/>
          <c:x val="6.4349201549215695E-2"/>
          <c:y val="0.18373753280839958"/>
          <c:w val="0.93565079845078625"/>
          <c:h val="0.54398616082080498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spPr>
            <a:ln w="35055">
              <a:solidFill>
                <a:schemeClr val="tx1"/>
              </a:solidFill>
            </a:ln>
          </c:spPr>
          <c:marker>
            <c:symbol val="diamond"/>
            <c:size val="8"/>
            <c:spPr>
              <a:solidFill>
                <a:schemeClr val="tx1">
                  <a:lumMod val="50000"/>
                  <a:lumOff val="50000"/>
                </a:schemeClr>
              </a:solidFill>
            </c:spPr>
          </c:marker>
          <c:dLbls>
            <c:dLbl>
              <c:idx val="0"/>
              <c:layout>
                <c:manualLayout>
                  <c:x val="-3.3138401559454196E-2"/>
                  <c:y val="7.282913165266143E-2"/>
                </c:manualLayout>
              </c:layout>
              <c:tx>
                <c:rich>
                  <a:bodyPr/>
                  <a:lstStyle/>
                  <a:p>
                    <a:r>
                      <a:rPr lang="en-US" sz="874" i="0"/>
                      <a:t>103,4*</a:t>
                    </a:r>
                    <a:endParaRPr lang="en-US" sz="950" i="0"/>
                  </a:p>
                </c:rich>
              </c:tx>
              <c:dLblPos val="r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5087719298245612E-2"/>
                  <c:y val="6.1624649859944133E-2"/>
                </c:manualLayout>
              </c:layout>
              <c:tx>
                <c:rich>
                  <a:bodyPr/>
                  <a:lstStyle/>
                  <a:p>
                    <a:r>
                      <a:rPr lang="en-US" sz="874" i="0"/>
                      <a:t>78,0*</a:t>
                    </a:r>
                    <a:endParaRPr lang="en-US" sz="950" i="0"/>
                  </a:p>
                </c:rich>
              </c:tx>
              <c:dLblPos val="r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7037037037037313E-2"/>
                  <c:y val="8.403361344537813E-2"/>
                </c:manualLayout>
              </c:layout>
              <c:tx>
                <c:rich>
                  <a:bodyPr/>
                  <a:lstStyle/>
                  <a:p>
                    <a:r>
                      <a:rPr lang="en-US" sz="874" i="0"/>
                      <a:t>82,8*</a:t>
                    </a:r>
                    <a:endParaRPr lang="en-US" sz="950" i="0"/>
                  </a:p>
                </c:rich>
              </c:tx>
              <c:dLblPos val="r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1309460181721132E-2"/>
                  <c:y val="5.5297800182874612E-2"/>
                </c:manualLayout>
              </c:layout>
              <c:tx>
                <c:rich>
                  <a:bodyPr/>
                  <a:lstStyle/>
                  <a:p>
                    <a:r>
                      <a:rPr lang="en-US" sz="874" i="0"/>
                      <a:t>78,9*</a:t>
                    </a:r>
                    <a:endParaRPr lang="en-US" sz="950" i="0"/>
                  </a:p>
                </c:rich>
              </c:tx>
              <c:dLblPos val="r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9005803742774507E-2"/>
                  <c:y val="6.8836540660633258E-2"/>
                </c:manualLayout>
              </c:layout>
              <c:tx>
                <c:rich>
                  <a:bodyPr/>
                  <a:lstStyle/>
                  <a:p>
                    <a:r>
                      <a:rPr lang="en-US" sz="874" i="0"/>
                      <a:t>85,6*</a:t>
                    </a:r>
                    <a:endParaRPr lang="en-US" sz="950" i="0"/>
                  </a:p>
                </c:rich>
              </c:tx>
              <c:dLblPos val="r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3192488262910833E-2"/>
                  <c:y val="6.3768115942029094E-2"/>
                </c:manualLayout>
              </c:layout>
              <c:tx>
                <c:rich>
                  <a:bodyPr/>
                  <a:lstStyle/>
                  <a:p>
                    <a:r>
                      <a:rPr lang="en-US" sz="874" i="0"/>
                      <a:t>117,8*</a:t>
                    </a:r>
                    <a:endParaRPr lang="en-US" sz="950" i="0"/>
                  </a:p>
                </c:rich>
              </c:tx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ru-RU" sz="874" i="0"/>
                      <a:t>138,6*</a:t>
                    </a:r>
                    <a:endParaRPr lang="en-US" sz="950" i="0"/>
                  </a:p>
                </c:rich>
              </c:tx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ru-RU" sz="874" i="0"/>
                      <a:t>129,4*</a:t>
                    </a:r>
                    <a:endParaRPr lang="en-US" sz="950" i="0"/>
                  </a:p>
                </c:rich>
              </c:tx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ru-RU" sz="874" i="0"/>
                      <a:t>142,6*</a:t>
                    </a:r>
                    <a:endParaRPr lang="en-US" sz="950" i="0"/>
                  </a:p>
                </c:rich>
              </c:tx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ru-RU" sz="874" i="0"/>
                      <a:t>154,2*</a:t>
                    </a:r>
                    <a:endParaRPr lang="en-US" sz="950" i="0"/>
                  </a:p>
                </c:rich>
              </c:tx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ru-RU" sz="874" i="0"/>
                      <a:t>137,6*</a:t>
                    </a:r>
                    <a:endParaRPr lang="en-US" sz="950" i="0"/>
                  </a:p>
                </c:rich>
              </c:tx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 sz="874"/>
                      <a:t>1</a:t>
                    </a:r>
                    <a:r>
                      <a:rPr lang="ru-RU" sz="874"/>
                      <a:t>44,9*</a:t>
                    </a:r>
                  </a:p>
                </c:rich>
              </c:tx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74" i="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637.1</c:v>
                </c:pt>
                <c:pt idx="1">
                  <c:v>575.70000000000005</c:v>
                </c:pt>
                <c:pt idx="2" formatCode="0.0">
                  <c:v>741</c:v>
                </c:pt>
                <c:pt idx="3">
                  <c:v>545.29999999999995</c:v>
                </c:pt>
                <c:pt idx="4" formatCode="0.0">
                  <c:v>620.9</c:v>
                </c:pt>
                <c:pt idx="5">
                  <c:v>831.1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2018 год</c:v>
                </c:pt>
              </c:strCache>
            </c:strRef>
          </c:tx>
          <c:spPr>
            <a:ln w="35055">
              <a:solidFill>
                <a:schemeClr val="tx1">
                  <a:lumMod val="65000"/>
                  <a:lumOff val="35000"/>
                </a:schemeClr>
              </a:solidFill>
              <a:prstDash val="dash"/>
            </a:ln>
          </c:spPr>
          <c:marker>
            <c:spPr>
              <a:solidFill>
                <a:schemeClr val="bg1">
                  <a:lumMod val="65000"/>
                </a:schemeClr>
              </a:solidFill>
              <a:ln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-3.9281668738776497E-2"/>
                  <c:y val="-5.2489909349566939E-2"/>
                </c:manualLayout>
              </c:layout>
              <c:tx>
                <c:rich>
                  <a:bodyPr/>
                  <a:lstStyle/>
                  <a:p>
                    <a:r>
                      <a:rPr lang="en-US" sz="874"/>
                      <a:t>128,7*</a:t>
                    </a:r>
                    <a:endParaRPr lang="en-US" sz="950"/>
                  </a:p>
                </c:rich>
              </c:tx>
              <c:dLblPos val="r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9957943853509897E-2"/>
                  <c:y val="-7.7286662696574693E-2"/>
                </c:manualLayout>
              </c:layout>
              <c:tx>
                <c:rich>
                  <a:bodyPr/>
                  <a:lstStyle/>
                  <a:p>
                    <a:r>
                      <a:rPr lang="en-US" sz="874"/>
                      <a:t>156,4*</a:t>
                    </a:r>
                    <a:endParaRPr lang="en-US" sz="950"/>
                  </a:p>
                </c:rich>
              </c:tx>
              <c:dLblPos val="r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2061058157204033E-2"/>
                  <c:y val="-6.5259048501290259E-2"/>
                </c:manualLayout>
              </c:layout>
              <c:tx>
                <c:rich>
                  <a:bodyPr/>
                  <a:lstStyle/>
                  <a:p>
                    <a:r>
                      <a:rPr lang="en-US" sz="874"/>
                      <a:t>134,2*</a:t>
                    </a:r>
                    <a:endParaRPr lang="en-US" sz="950"/>
                  </a:p>
                </c:rich>
              </c:tx>
              <c:dLblPos val="r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8063943236384602E-2"/>
                  <c:y val="-9.3529721962855361E-2"/>
                </c:manualLayout>
              </c:layout>
              <c:tx>
                <c:rich>
                  <a:bodyPr/>
                  <a:lstStyle/>
                  <a:p>
                    <a:r>
                      <a:rPr lang="en-US" sz="874"/>
                      <a:t>157,8*</a:t>
                    </a:r>
                    <a:endParaRPr lang="en-US" sz="950"/>
                  </a:p>
                </c:rich>
              </c:tx>
              <c:dLblPos val="r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3815757692865082E-2"/>
                  <c:y val="-7.8595852809235534E-2"/>
                </c:manualLayout>
              </c:layout>
              <c:tx>
                <c:rich>
                  <a:bodyPr/>
                  <a:lstStyle/>
                  <a:p>
                    <a:r>
                      <a:rPr lang="en-US" sz="874"/>
                      <a:t>145,0*</a:t>
                    </a:r>
                    <a:endParaRPr lang="en-US" sz="950"/>
                  </a:p>
                </c:rich>
              </c:tx>
              <c:dLblPos val="r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1545746922479877E-2"/>
                  <c:y val="-7.1913728175282438E-2"/>
                </c:manualLayout>
              </c:layout>
              <c:tx>
                <c:rich>
                  <a:bodyPr/>
                  <a:lstStyle/>
                  <a:p>
                    <a:r>
                      <a:rPr lang="en-US" sz="874"/>
                      <a:t>111,2*</a:t>
                    </a:r>
                    <a:endParaRPr lang="en-US" sz="950"/>
                  </a:p>
                </c:rich>
              </c:tx>
              <c:dLblPos val="r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9442691903259807E-2"/>
                  <c:y val="4.7789725209080113E-2"/>
                </c:manualLayout>
              </c:layout>
              <c:tx>
                <c:rich>
                  <a:bodyPr/>
                  <a:lstStyle/>
                  <a:p>
                    <a:r>
                      <a:rPr lang="ru-RU" sz="874"/>
                      <a:t>70,6*</a:t>
                    </a:r>
                    <a:endParaRPr lang="en-US" sz="950"/>
                  </a:p>
                </c:rich>
              </c:tx>
              <c:dLblPos val="r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9957939011566856E-2"/>
                  <c:y val="6.2126642771804054E-2"/>
                </c:manualLayout>
              </c:layout>
              <c:tx>
                <c:rich>
                  <a:bodyPr/>
                  <a:lstStyle/>
                  <a:p>
                    <a:r>
                      <a:rPr lang="ru-RU" sz="874"/>
                      <a:t>103,6*</a:t>
                    </a:r>
                    <a:endParaRPr lang="en-US" sz="950"/>
                  </a:p>
                </c:rich>
              </c:tx>
              <c:dLblPos val="r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1545741324921453E-2"/>
                  <c:y val="4.7789725209080113E-2"/>
                </c:manualLayout>
              </c:layout>
              <c:tx>
                <c:rich>
                  <a:bodyPr/>
                  <a:lstStyle/>
                  <a:p>
                    <a:r>
                      <a:rPr lang="ru-RU" sz="874"/>
                      <a:t>87,5*</a:t>
                    </a:r>
                    <a:endParaRPr lang="en-US" sz="950"/>
                  </a:p>
                </c:rich>
              </c:tx>
              <c:dLblPos val="r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3133543638275612E-2"/>
                  <c:y val="6.2126642771804054E-2"/>
                </c:manualLayout>
              </c:layout>
              <c:tx>
                <c:rich>
                  <a:bodyPr/>
                  <a:lstStyle/>
                  <a:p>
                    <a:r>
                      <a:rPr lang="ru-RU" sz="874"/>
                      <a:t>82,7*</a:t>
                    </a:r>
                    <a:endParaRPr lang="en-US" sz="950"/>
                  </a:p>
                </c:rich>
              </c:tx>
              <c:dLblPos val="r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3648790746582544E-2"/>
                  <c:y val="7.5530924488097534E-2"/>
                </c:manualLayout>
              </c:layout>
              <c:tx>
                <c:rich>
                  <a:bodyPr/>
                  <a:lstStyle/>
                  <a:p>
                    <a:r>
                      <a:rPr lang="ru-RU" sz="874"/>
                      <a:t>95,1*</a:t>
                    </a:r>
                    <a:endParaRPr lang="en-US" sz="950"/>
                  </a:p>
                </c:rich>
              </c:tx>
              <c:dLblPos val="r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1.2618296529968416E-2"/>
                  <c:y val="6.9686411149827945E-2"/>
                </c:manualLayout>
              </c:layout>
              <c:tx>
                <c:rich>
                  <a:bodyPr/>
                  <a:lstStyle/>
                  <a:p>
                    <a:r>
                      <a:rPr lang="ru-RU" sz="874"/>
                      <a:t>85</a:t>
                    </a:r>
                    <a:r>
                      <a:rPr lang="en-US" sz="874"/>
                      <a:t>,</a:t>
                    </a:r>
                    <a:r>
                      <a:rPr lang="ru-RU" sz="874"/>
                      <a:t>3*</a:t>
                    </a:r>
                    <a:endParaRPr lang="en-US" sz="950"/>
                  </a:p>
                </c:rich>
              </c:tx>
              <c:dLblPos val="r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74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Лист1!$C$2:$C$7</c:f>
              <c:numCache>
                <c:formatCode>0.0</c:formatCode>
                <c:ptCount val="6"/>
                <c:pt idx="0" formatCode="General">
                  <c:v>819.8</c:v>
                </c:pt>
                <c:pt idx="1">
                  <c:v>900.4</c:v>
                </c:pt>
                <c:pt idx="2" formatCode="General">
                  <c:v>994.3</c:v>
                </c:pt>
                <c:pt idx="3" formatCode="General">
                  <c:v>860.4</c:v>
                </c:pt>
                <c:pt idx="4" formatCode="General">
                  <c:v>900.7</c:v>
                </c:pt>
                <c:pt idx="5" formatCode="General">
                  <c:v>924.4</c:v>
                </c:pt>
              </c:numCache>
            </c:numRef>
          </c:val>
        </c:ser>
        <c:dLbls>
          <c:showVal val="1"/>
        </c:dLbls>
        <c:marker val="1"/>
        <c:axId val="63181568"/>
        <c:axId val="63183104"/>
      </c:lineChart>
      <c:catAx>
        <c:axId val="63181568"/>
        <c:scaling>
          <c:orientation val="minMax"/>
        </c:scaling>
        <c:axPos val="b"/>
        <c:numFmt formatCode="General" sourceLinked="1"/>
        <c:majorTickMark val="cross"/>
        <c:tickLblPos val="nextTo"/>
        <c:crossAx val="63183104"/>
        <c:crosses val="autoZero"/>
        <c:auto val="1"/>
        <c:lblAlgn val="ctr"/>
        <c:lblOffset val="100"/>
      </c:catAx>
      <c:valAx>
        <c:axId val="63183104"/>
        <c:scaling>
          <c:orientation val="minMax"/>
        </c:scaling>
        <c:axPos val="l"/>
        <c:majorGridlines/>
        <c:numFmt formatCode="General" sourceLinked="1"/>
        <c:majorTickMark val="cross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828"/>
            </a:pPr>
            <a:endParaRPr lang="ru-RU"/>
          </a:p>
        </c:txPr>
        <c:crossAx val="631815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0581032521149505E-2"/>
          <c:y val="0.90443617275113175"/>
          <c:w val="0.51626493040301302"/>
          <c:h val="7.8756859937962637E-2"/>
        </c:manualLayout>
      </c:layout>
      <c:spPr>
        <a:effectLst>
          <a:outerShdw blurRad="50800" dist="50800" dir="5400000" algn="ctr" rotWithShape="0">
            <a:srgbClr val="000000"/>
          </a:outerShdw>
        </a:effectLst>
      </c:spPr>
      <c:txPr>
        <a:bodyPr/>
        <a:lstStyle/>
        <a:p>
          <a:pPr>
            <a:defRPr sz="1012">
              <a:solidFill>
                <a:schemeClr val="tx1"/>
              </a:solidFill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1" i="0" strike="noStrike">
                <a:solidFill>
                  <a:srgbClr val="000000"/>
                </a:solidFill>
                <a:latin typeface="Times New Roman"/>
                <a:cs typeface="Times New Roman"/>
              </a:rPr>
              <a:t>Динамика основных составляющих инфляции в январе - июне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1" i="0" strike="noStrike">
                <a:solidFill>
                  <a:srgbClr val="000000"/>
                </a:solidFill>
                <a:latin typeface="Times New Roman"/>
                <a:cs typeface="Times New Roman"/>
              </a:rPr>
              <a:t> 2018 года в разрезе стран, %</a:t>
            </a:r>
          </a:p>
        </c:rich>
      </c:tx>
      <c:layout>
        <c:manualLayout>
          <c:xMode val="edge"/>
          <c:yMode val="edge"/>
          <c:x val="0.17206934659483519"/>
          <c:y val="2.5394938840192152E-4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0.11915961131817771"/>
          <c:y val="0.25943440706275511"/>
          <c:w val="0.83488389131214713"/>
          <c:h val="0.4675714626580768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ПМР</c:v>
                </c:pt>
              </c:strCache>
            </c:strRef>
          </c:tx>
          <c:spPr>
            <a:solidFill>
              <a:srgbClr val="1F497D">
                <a:lumMod val="75000"/>
              </a:srgbClr>
            </a:solidFill>
            <a:ln>
              <a:gradFill>
                <a:gsLst>
                  <a:gs pos="0">
                    <a:srgbClr val="000000"/>
                  </a:gs>
                  <a:gs pos="20000">
                    <a:srgbClr val="000040"/>
                  </a:gs>
                  <a:gs pos="50000">
                    <a:srgbClr val="400040"/>
                  </a:gs>
                  <a:gs pos="75000">
                    <a:srgbClr val="8F0040"/>
                  </a:gs>
                  <a:gs pos="89999">
                    <a:srgbClr val="F27300"/>
                  </a:gs>
                  <a:gs pos="100000">
                    <a:srgbClr val="FFBF00"/>
                  </a:gs>
                </a:gsLst>
                <a:lin ang="5400000" scaled="0"/>
              </a:gradFill>
              <a:prstDash val="solid"/>
            </a:ln>
            <a:effectLst>
              <a:outerShdw dir="14640000" rotWithShape="0">
                <a:srgbClr val="000000">
                  <a:alpha val="37000"/>
                </a:srgbClr>
              </a:outerShdw>
            </a:effectLst>
          </c:spPr>
          <c:dLbls>
            <c:dLbl>
              <c:idx val="1"/>
              <c:layout>
                <c:manualLayout>
                  <c:x val="0"/>
                  <c:y val="1.4142334242377735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3465">
                <a:noFill/>
              </a:ln>
            </c:spPr>
            <c:txPr>
              <a:bodyPr rot="-5400000" vert="horz"/>
              <a:lstStyle/>
              <a:p>
                <a:pPr algn="ctr">
                  <a:defRPr sz="83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продовольственные товары</c:v>
                </c:pt>
                <c:pt idx="2">
                  <c:v>Индекс цен на непродовольственные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105.36</c:v>
                </c:pt>
                <c:pt idx="1">
                  <c:v>110.34</c:v>
                </c:pt>
                <c:pt idx="2">
                  <c:v>101.94000000000032</c:v>
                </c:pt>
                <c:pt idx="3">
                  <c:v>102.06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  <a:ln>
              <a:gradFill>
                <a:gsLst>
                  <a:gs pos="0">
                    <a:srgbClr val="000000"/>
                  </a:gs>
                  <a:gs pos="39999">
                    <a:srgbClr val="0A128C"/>
                  </a:gs>
                  <a:gs pos="70000">
                    <a:srgbClr val="181CC7"/>
                  </a:gs>
                  <a:gs pos="88000">
                    <a:srgbClr val="7005D4"/>
                  </a:gs>
                  <a:gs pos="100000">
                    <a:srgbClr val="8C3D91"/>
                  </a:gs>
                </a:gsLst>
                <a:lin ang="5400000" scaled="0"/>
              </a:gradFill>
            </a:ln>
          </c:spPr>
          <c:dLbls>
            <c:spPr>
              <a:noFill/>
              <a:ln w="23465">
                <a:noFill/>
              </a:ln>
            </c:spPr>
            <c:txPr>
              <a:bodyPr rot="-5400000" vert="horz"/>
              <a:lstStyle/>
              <a:p>
                <a:pPr algn="ctr">
                  <a:defRPr sz="831" b="1" i="1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продовольственные товары</c:v>
                </c:pt>
                <c:pt idx="2">
                  <c:v>Индекс цен на непродовольственные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102.08</c:v>
                </c:pt>
                <c:pt idx="1">
                  <c:v>102.14999999999999</c:v>
                </c:pt>
                <c:pt idx="2">
                  <c:v>102.27</c:v>
                </c:pt>
                <c:pt idx="3">
                  <c:v>101.74000000000002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РМ</c:v>
                </c:pt>
              </c:strCache>
            </c:strRef>
          </c:tx>
          <c:spPr>
            <a:solidFill>
              <a:srgbClr val="1F497D">
                <a:lumMod val="20000"/>
                <a:lumOff val="80000"/>
              </a:srgbClr>
            </a:solidFill>
            <a:ln>
              <a:gradFill>
                <a:gsLst>
                  <a:gs pos="0">
                    <a:srgbClr val="000000"/>
                  </a:gs>
                  <a:gs pos="20000">
                    <a:srgbClr val="000040"/>
                  </a:gs>
                  <a:gs pos="50000">
                    <a:srgbClr val="400040"/>
                  </a:gs>
                  <a:gs pos="75000">
                    <a:srgbClr val="8F0040"/>
                  </a:gs>
                  <a:gs pos="89999">
                    <a:srgbClr val="F27300"/>
                  </a:gs>
                  <a:gs pos="100000">
                    <a:srgbClr val="FFBF00"/>
                  </a:gs>
                </a:gsLst>
                <a:lin ang="5400000" scaled="0"/>
              </a:gradFill>
            </a:ln>
          </c:spPr>
          <c:dLbls>
            <c:spPr>
              <a:noFill/>
              <a:ln w="23465">
                <a:noFill/>
              </a:ln>
            </c:spPr>
            <c:txPr>
              <a:bodyPr rot="-5400000" vert="horz"/>
              <a:lstStyle/>
              <a:p>
                <a:pPr algn="ctr">
                  <a:defRPr sz="831" b="1" i="1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продовольственные товары</c:v>
                </c:pt>
                <c:pt idx="2">
                  <c:v>Индекс цен на непродовольственные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Лист1!$D$2:$D$5</c:f>
              <c:numCache>
                <c:formatCode>0.0</c:formatCode>
                <c:ptCount val="4"/>
                <c:pt idx="0">
                  <c:v>101.2</c:v>
                </c:pt>
                <c:pt idx="1">
                  <c:v>101.8</c:v>
                </c:pt>
                <c:pt idx="2">
                  <c:v>100.7</c:v>
                </c:pt>
                <c:pt idx="3">
                  <c:v>100.8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РБ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  <a:ln>
              <a:gradFill>
                <a:gsLst>
                  <a:gs pos="0">
                    <a:srgbClr val="000000"/>
                  </a:gs>
                  <a:gs pos="20000">
                    <a:srgbClr val="000040"/>
                  </a:gs>
                  <a:gs pos="50000">
                    <a:srgbClr val="400040"/>
                  </a:gs>
                  <a:gs pos="75000">
                    <a:srgbClr val="8F0040"/>
                  </a:gs>
                  <a:gs pos="89999">
                    <a:srgbClr val="F27300"/>
                  </a:gs>
                  <a:gs pos="100000">
                    <a:srgbClr val="FFBF00"/>
                  </a:gs>
                </a:gsLst>
                <a:lin ang="5400000" scaled="0"/>
              </a:gradFill>
            </a:ln>
          </c:spPr>
          <c:dLbls>
            <c:spPr>
              <a:noFill/>
              <a:ln w="23465">
                <a:noFill/>
              </a:ln>
            </c:spPr>
            <c:txPr>
              <a:bodyPr rot="-5400000" vert="horz"/>
              <a:lstStyle/>
              <a:p>
                <a:pPr algn="ctr">
                  <a:defRPr sz="831" b="1" i="1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продовольственные товары</c:v>
                </c:pt>
                <c:pt idx="2">
                  <c:v>Индекс цен на непродовольственные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Лист1!$E$2:$E$5</c:f>
              <c:numCache>
                <c:formatCode>0.0</c:formatCode>
                <c:ptCount val="4"/>
                <c:pt idx="0">
                  <c:v>102.91000000000012</c:v>
                </c:pt>
                <c:pt idx="1">
                  <c:v>102.38</c:v>
                </c:pt>
                <c:pt idx="2">
                  <c:v>101.97</c:v>
                </c:pt>
                <c:pt idx="3">
                  <c:v>105.27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Украина</c:v>
                </c:pt>
              </c:strCache>
            </c:strRef>
          </c:tx>
          <c:spPr>
            <a:solidFill>
              <a:sysClr val="window" lastClr="FFFFFF">
                <a:lumMod val="95000"/>
              </a:sysClr>
            </a:solidFill>
            <a:ln>
              <a:gradFill>
                <a:gsLst>
                  <a:gs pos="0">
                    <a:srgbClr val="000000"/>
                  </a:gs>
                  <a:gs pos="20000">
                    <a:srgbClr val="000040"/>
                  </a:gs>
                  <a:gs pos="50000">
                    <a:srgbClr val="400040"/>
                  </a:gs>
                  <a:gs pos="75000">
                    <a:srgbClr val="8F0040"/>
                  </a:gs>
                  <a:gs pos="89999">
                    <a:srgbClr val="F27300"/>
                  </a:gs>
                  <a:gs pos="100000">
                    <a:srgbClr val="FFBF00"/>
                  </a:gs>
                </a:gsLst>
                <a:lin ang="5400000" scaled="0"/>
              </a:gradFill>
            </a:ln>
          </c:spPr>
          <c:dLbls>
            <c:spPr>
              <a:noFill/>
              <a:ln w="23465">
                <a:noFill/>
              </a:ln>
            </c:spPr>
            <c:txPr>
              <a:bodyPr rot="-5400000" vert="horz"/>
              <a:lstStyle/>
              <a:p>
                <a:pPr algn="ctr">
                  <a:defRPr sz="831" b="1" i="1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продовольственные товары</c:v>
                </c:pt>
                <c:pt idx="2">
                  <c:v>Индекс цен на непродовольственные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Лист1!$F$2:$F$5</c:f>
              <c:numCache>
                <c:formatCode>0.0</c:formatCode>
                <c:ptCount val="4"/>
                <c:pt idx="0">
                  <c:v>104.36999999999999</c:v>
                </c:pt>
                <c:pt idx="1">
                  <c:v>104.04</c:v>
                </c:pt>
              </c:numCache>
            </c:numRef>
          </c:val>
        </c:ser>
        <c:axId val="65837696"/>
        <c:axId val="65737088"/>
      </c:barChart>
      <c:catAx>
        <c:axId val="65837696"/>
        <c:scaling>
          <c:orientation val="minMax"/>
        </c:scaling>
        <c:axPos val="b"/>
        <c:numFmt formatCode="General" sourceLinked="0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5737088"/>
        <c:crosses val="autoZero"/>
        <c:auto val="1"/>
        <c:lblAlgn val="ctr"/>
        <c:lblOffset val="100"/>
      </c:catAx>
      <c:valAx>
        <c:axId val="65737088"/>
        <c:scaling>
          <c:orientation val="minMax"/>
          <c:max val="111"/>
          <c:min val="100"/>
        </c:scaling>
        <c:axPos val="l"/>
        <c:numFmt formatCode="0.00" sourceLinked="1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5837696"/>
        <c:crosses val="autoZero"/>
        <c:crossBetween val="between"/>
        <c:majorUnit val="2"/>
        <c:minorUnit val="1"/>
      </c:valAx>
      <c:spPr>
        <a:noFill/>
        <a:ln w="23465">
          <a:noFill/>
        </a:ln>
      </c:spPr>
    </c:plotArea>
    <c:legend>
      <c:legendPos val="r"/>
      <c:layout>
        <c:manualLayout>
          <c:xMode val="edge"/>
          <c:yMode val="edge"/>
          <c:x val="0.20127749382204549"/>
          <c:y val="0.9428605952557817"/>
          <c:w val="0.70333624963546226"/>
          <c:h val="5.6673104541177466E-2"/>
        </c:manualLayout>
      </c:layout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4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0"/>
      <c:rotY val="0"/>
      <c:perspective val="30"/>
    </c:view3D>
    <c:plotArea>
      <c:layout>
        <c:manualLayout>
          <c:layoutTarget val="inner"/>
          <c:xMode val="edge"/>
          <c:yMode val="edge"/>
          <c:x val="0.26778239984152935"/>
          <c:y val="9.3634340011297015E-2"/>
          <c:w val="0.70182586231841593"/>
          <c:h val="0.5854313591235910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 текущих ценах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 w="12700"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7.3742166593997105E-3"/>
                  <c:y val="1.8957345971563982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+13,5*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8.6041367470575704E-3"/>
                  <c:y val="4.2723678527525934E-2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>
                        <a:solidFill>
                          <a:sysClr val="windowText" lastClr="000000"/>
                        </a:solidFill>
                      </a:rPr>
                      <a:t>+42,3*</a:t>
                    </a:r>
                  </a:p>
                </c:rich>
              </c:tx>
              <c:spPr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январь-июнь 2017 года</c:v>
                </c:pt>
                <c:pt idx="1">
                  <c:v>январь-июнь 2018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.0">
                  <c:v>113.2</c:v>
                </c:pt>
                <c:pt idx="1">
                  <c:v>142.30000000000001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сопоставимых ценах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3.3176878948764374E-3"/>
                  <c:y val="1.969076140363980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+6,0*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3665296554911758E-2"/>
                  <c:y val="3.07511877471012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+23,0*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январь-июнь 2017 года</c:v>
                </c:pt>
                <c:pt idx="1">
                  <c:v>январь-июнь 2018 года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106</c:v>
                </c:pt>
                <c:pt idx="1">
                  <c:v>123</c:v>
                </c:pt>
              </c:numCache>
            </c:numRef>
          </c:val>
        </c:ser>
        <c:dLbls>
          <c:showVal val="1"/>
        </c:dLbls>
        <c:shape val="cylinder"/>
        <c:axId val="65644800"/>
        <c:axId val="65810432"/>
        <c:axId val="0"/>
      </c:bar3DChart>
      <c:catAx>
        <c:axId val="6564480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65810432"/>
        <c:crosses val="autoZero"/>
        <c:auto val="1"/>
        <c:lblAlgn val="ctr"/>
        <c:lblOffset val="100"/>
      </c:catAx>
      <c:valAx>
        <c:axId val="65810432"/>
        <c:scaling>
          <c:orientation val="minMax"/>
          <c:min val="0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*-темп прироста (спада),%</a:t>
                </a:r>
              </a:p>
            </c:rich>
          </c:tx>
          <c:layout>
            <c:manualLayout>
              <c:xMode val="edge"/>
              <c:yMode val="edge"/>
              <c:x val="1.1607349081364901E-3"/>
              <c:y val="0.37602235204471096"/>
            </c:manualLayout>
          </c:layout>
        </c:title>
        <c:numFmt formatCode="0.0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56448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0475461793690883"/>
          <c:y val="0.88648236905167765"/>
          <c:w val="0.79524532560465777"/>
          <c:h val="0.10719856700376909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2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Товарная структура розничного товарооборота, %</a:t>
            </a:r>
          </a:p>
        </c:rich>
      </c:tx>
      <c:layout>
        <c:manualLayout>
          <c:xMode val="edge"/>
          <c:yMode val="edge"/>
          <c:x val="0.1919772670231456"/>
          <c:y val="0"/>
        </c:manualLayout>
      </c:layout>
    </c:title>
    <c:plotArea>
      <c:layout>
        <c:manualLayout>
          <c:layoutTarget val="inner"/>
          <c:xMode val="edge"/>
          <c:yMode val="edge"/>
          <c:x val="6.1571648690291775E-2"/>
          <c:y val="0.26060606060606056"/>
          <c:w val="0.91582948125321062"/>
          <c:h val="0.3814729976934844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Продовольственные товары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4.27578834847675E-3"/>
                  <c:y val="2.615775529385594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50,2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1633281972265823E-3"/>
                  <c:y val="2.542097131475587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43,8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январь-июнь 2017 года</c:v>
                </c:pt>
                <c:pt idx="1">
                  <c:v>январь-июнь 2018 года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 formatCode="General">
                  <c:v>50.2</c:v>
                </c:pt>
                <c:pt idx="1">
                  <c:v>43.8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Непродовольственные товары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solidFill>
                <a:schemeClr val="bg2">
                  <a:lumMod val="25000"/>
                </a:schemeClr>
              </a:solidFill>
            </a:ln>
          </c:spPr>
          <c:dLbls>
            <c:dLbl>
              <c:idx val="0"/>
              <c:layout>
                <c:manualLayout>
                  <c:x val="0"/>
                  <c:y val="3.487700705847708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49,8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1378941742383802E-3"/>
                  <c:y val="3.487700705847708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56,2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январь-июнь 2017 года</c:v>
                </c:pt>
                <c:pt idx="1">
                  <c:v>январь-июнь 2018 года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 formatCode="General">
                  <c:v>49.8</c:v>
                </c:pt>
                <c:pt idx="1">
                  <c:v>56.2</c:v>
                </c:pt>
              </c:numCache>
            </c:numRef>
          </c:val>
        </c:ser>
        <c:axId val="65963136"/>
        <c:axId val="65964672"/>
      </c:barChart>
      <c:catAx>
        <c:axId val="6596313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5964672"/>
        <c:crosses val="autoZero"/>
        <c:auto val="1"/>
        <c:lblAlgn val="ctr"/>
        <c:lblOffset val="100"/>
      </c:catAx>
      <c:valAx>
        <c:axId val="65964672"/>
        <c:scaling>
          <c:orientation val="minMax"/>
          <c:max val="60"/>
          <c:min val="0"/>
        </c:scaling>
        <c:axPos val="l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5963136"/>
        <c:crosses val="autoZero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0.1268201028030202"/>
          <c:y val="0.88223574325936527"/>
          <c:w val="0.74635970341632762"/>
          <c:h val="0.11598237720284961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0"/>
  <c:chart>
    <c:view3D>
      <c:rotX val="0"/>
      <c:rotY val="0"/>
      <c:perspective val="30"/>
    </c:view3D>
    <c:floor>
      <c:spPr>
        <a:effectLst/>
      </c:spPr>
    </c:floor>
    <c:plotArea>
      <c:layout>
        <c:manualLayout>
          <c:layoutTarget val="inner"/>
          <c:xMode val="edge"/>
          <c:yMode val="edge"/>
          <c:x val="0.29344505923246539"/>
          <c:y val="4.4061302681992306E-2"/>
          <c:w val="0.65161879944863565"/>
          <c:h val="0.6458237547892821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 текущих ценах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 w="12700"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6.2598425196850414E-3"/>
                  <c:y val="2.735258092738407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+1,7*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8860750514293852E-3"/>
                  <c:y val="5.359720034995653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+1,2*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январь-июнь 2017 года</c:v>
                </c:pt>
                <c:pt idx="1">
                  <c:v>январь-июнь 2018 года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101.9</c:v>
                </c:pt>
                <c:pt idx="1">
                  <c:v>101.2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сопоставимых ценах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4.0678867844222179E-3"/>
                  <c:y val="4.260087489063891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+1,0*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8.2545931758530207E-3"/>
                  <c:y val="4.050323709536310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-2,5*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январь-июнь 2017 года</c:v>
                </c:pt>
                <c:pt idx="1">
                  <c:v>январь-июнь 2018 года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101.3</c:v>
                </c:pt>
                <c:pt idx="1">
                  <c:v>97.5</c:v>
                </c:pt>
              </c:numCache>
            </c:numRef>
          </c:val>
        </c:ser>
        <c:dLbls>
          <c:showVal val="1"/>
        </c:dLbls>
        <c:shape val="cylinder"/>
        <c:axId val="66109824"/>
        <c:axId val="66111360"/>
        <c:axId val="0"/>
      </c:bar3DChart>
      <c:catAx>
        <c:axId val="66109824"/>
        <c:scaling>
          <c:orientation val="minMax"/>
        </c:scaling>
        <c:axPos val="b"/>
        <c:numFmt formatCode="General" sourceLinked="0"/>
        <c:tickLblPos val="nextTo"/>
        <c:spPr>
          <a:noFill/>
        </c:spPr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111360"/>
        <c:crosses val="autoZero"/>
        <c:auto val="1"/>
        <c:lblAlgn val="ctr"/>
        <c:lblOffset val="100"/>
      </c:catAx>
      <c:valAx>
        <c:axId val="66111360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800">
                    <a:latin typeface="Times New Roman" pitchFamily="18" charset="0"/>
                    <a:cs typeface="Times New Roman" pitchFamily="18" charset="0"/>
                  </a:rPr>
                  <a:t>*-темп прироста (спада),%</a:t>
                </a:r>
              </a:p>
            </c:rich>
          </c:tx>
          <c:layout>
            <c:manualLayout>
              <c:xMode val="edge"/>
              <c:yMode val="edge"/>
              <c:x val="4.1974706213366485E-2"/>
              <c:y val="0.32975301164277548"/>
            </c:manualLayout>
          </c:layout>
        </c:title>
        <c:numFmt formatCode="0.0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1098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4374547776122577"/>
          <c:y val="0.89876675415573049"/>
          <c:w val="0.53322958785557262"/>
          <c:h val="9.8474890638671764E-2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ru-RU"/>
              <a:t>январь-июнь 2017 года</a:t>
            </a:r>
          </a:p>
        </c:rich>
      </c:tx>
      <c:layout>
        <c:manualLayout>
          <c:xMode val="edge"/>
          <c:yMode val="edge"/>
          <c:x val="0.20407543235177794"/>
          <c:y val="2.77777777777789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319240303295422"/>
          <c:w val="0.78514101767815792"/>
          <c:h val="0.67021799358414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январь-май 2017 года</c:v>
                </c:pt>
              </c:strCache>
            </c:strRef>
          </c:tx>
          <c:spPr>
            <a:solidFill>
              <a:srgbClr val="7030A0"/>
            </a:solidFill>
            <a:ln>
              <a:solidFill>
                <a:srgbClr val="EEECE1">
                  <a:lumMod val="50000"/>
                </a:srgbClr>
              </a:solidFill>
            </a:ln>
          </c:spPr>
          <c:dPt>
            <c:idx val="0"/>
            <c:explosion val="11"/>
            <c:spPr>
              <a:solidFill>
                <a:sysClr val="window" lastClr="FFFFFF">
                  <a:lumMod val="85000"/>
                </a:sysClr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5.7500994193907834E-2"/>
                  <c:y val="0.195552639253426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53,7</a:t>
                    </a:r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5794380664249031E-2"/>
                  <c:y val="-8.5223097112861024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46,3</a:t>
                    </a:r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Государственные организации</c:v>
                </c:pt>
                <c:pt idx="1">
                  <c:v>Негосударственные организации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53.7</c:v>
                </c:pt>
                <c:pt idx="1">
                  <c:v>46.3</c:v>
                </c:pt>
              </c:numCache>
            </c:numRef>
          </c:val>
        </c:ser>
      </c:pie3DChart>
      <c:spPr>
        <a:noFill/>
        <a:ln w="25395">
          <a:noFill/>
        </a:ln>
      </c:spPr>
    </c:plotArea>
    <c:legend>
      <c:legendPos val="r"/>
      <c:layout>
        <c:manualLayout>
          <c:xMode val="edge"/>
          <c:yMode val="edge"/>
          <c:x val="0.64057439101104097"/>
          <c:y val="0.12864975211431903"/>
          <c:w val="0.35942560898896447"/>
          <c:h val="0.55422863808690581"/>
        </c:manualLayout>
      </c:layout>
    </c:legend>
    <c:plotVisOnly val="1"/>
    <c:dispBlanksAs val="zero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3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ru-RU"/>
              <a:t>январь-май 2018 года</a:t>
            </a:r>
          </a:p>
        </c:rich>
      </c:tx>
      <c:layout>
        <c:manualLayout>
          <c:xMode val="edge"/>
          <c:yMode val="edge"/>
          <c:x val="0.17448863763824393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7527559055118119E-2"/>
          <c:y val="0.27177907109437432"/>
          <c:w val="0.8127445497884197"/>
          <c:h val="0.690346532770360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январь-июнь 2018 года</c:v>
                </c:pt>
              </c:strCache>
            </c:strRef>
          </c:tx>
          <c:spPr>
            <a:solidFill>
              <a:srgbClr val="7030A0"/>
            </a:solidFill>
          </c:spPr>
          <c:dPt>
            <c:idx val="0"/>
            <c:explosion val="7"/>
            <c:spPr>
              <a:solidFill>
                <a:sysClr val="window" lastClr="FFFFFF">
                  <a:lumMod val="85000"/>
                </a:sysClr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explosion val="2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7.656457228560716E-2"/>
                  <c:y val="0.2237331203164822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54,5</a:t>
                    </a:r>
                  </a:p>
                  <a:p>
                    <a:endParaRPr lang="en-US"/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2559391614509732E-2"/>
                  <c:y val="-0.2550785499638711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45,5</a:t>
                    </a:r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Государственные организации</c:v>
                </c:pt>
                <c:pt idx="1">
                  <c:v>Негосударственные организации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53.1</c:v>
                </c:pt>
                <c:pt idx="1">
                  <c:v>46.1</c:v>
                </c:pt>
              </c:numCache>
            </c:numRef>
          </c:val>
        </c:ser>
      </c:pie3DChart>
      <c:spPr>
        <a:noFill/>
        <a:ln w="25395">
          <a:noFill/>
        </a:ln>
      </c:spPr>
    </c:plotArea>
    <c:plotVisOnly val="1"/>
    <c:dispBlanksAs val="zero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lrMapOvr bg1="lt1" tx1="dk1" bg2="lt2" tx2="dk2" accent1="accent1" accent2="accent2" accent3="accent3" accent4="accent4" accent5="accent5" accent6="accent6" hlink="hlink" folHlink="folHlink"/>
  <c:chart>
    <c:view3D>
      <c:rotX val="0"/>
      <c:rotY val="0"/>
      <c:depthPercent val="100"/>
      <c:perspective val="30"/>
    </c:view3D>
    <c:plotArea>
      <c:layout>
        <c:manualLayout>
          <c:layoutTarget val="inner"/>
          <c:xMode val="edge"/>
          <c:yMode val="edge"/>
          <c:x val="7.0903663885250032E-2"/>
          <c:y val="0.13696412948381453"/>
          <c:w val="0.92159529204148716"/>
          <c:h val="0.3024580781569021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июнь 2017 года</c:v>
                </c:pt>
              </c:strCache>
            </c:strRef>
          </c:tx>
          <c:spPr>
            <a:solidFill>
              <a:srgbClr val="9BBB59">
                <a:lumMod val="40000"/>
                <a:lumOff val="60000"/>
              </a:srgbClr>
            </a:solidFill>
          </c:spPr>
          <c:dLbls>
            <c:dLbl>
              <c:idx val="0"/>
              <c:layout>
                <c:manualLayout>
                  <c:x val="1.9524147369319306E-3"/>
                  <c:y val="5.3830639591104113E-3"/>
                </c:manualLayout>
              </c:layout>
              <c:tx>
                <c:rich>
                  <a:bodyPr/>
                  <a:lstStyle/>
                  <a:p>
                    <a:r>
                      <a:rPr lang="en-US" sz="847" b="1"/>
                      <a:t>76,3*</a:t>
                    </a:r>
                    <a:endParaRPr lang="en-US" sz="849" b="1"/>
                  </a:p>
                </c:rich>
              </c:tx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4164040056292788E-3"/>
                  <c:y val="-3.2195975503062843E-3"/>
                </c:manualLayout>
              </c:layout>
              <c:tx>
                <c:rich>
                  <a:bodyPr/>
                  <a:lstStyle/>
                  <a:p>
                    <a:r>
                      <a:rPr lang="ru-RU" sz="847" b="1"/>
                      <a:t>в 2,5 р.*</a:t>
                    </a:r>
                  </a:p>
                </c:rich>
              </c:tx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6536053072106196E-3"/>
                  <c:y val="3.944554853966068E-4"/>
                </c:manualLayout>
              </c:layout>
              <c:tx>
                <c:rich>
                  <a:bodyPr/>
                  <a:lstStyle/>
                  <a:p>
                    <a:r>
                      <a:rPr lang="en-US" sz="847" b="1"/>
                      <a:t>104,8*</a:t>
                    </a:r>
                  </a:p>
                </c:rich>
              </c:tx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9.2735823088586314E-5"/>
                  <c:y val="7.6257309941520513E-3"/>
                </c:manualLayout>
              </c:layout>
              <c:tx>
                <c:rich>
                  <a:bodyPr/>
                  <a:lstStyle/>
                  <a:p>
                    <a:r>
                      <a:rPr lang="en-US" sz="847" b="1"/>
                      <a:t>119,3*</a:t>
                    </a:r>
                  </a:p>
                </c:rich>
              </c:tx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0257314461458965E-3"/>
                  <c:y val="-7.3738699329252023E-3"/>
                </c:manualLayout>
              </c:layout>
              <c:tx>
                <c:rich>
                  <a:bodyPr/>
                  <a:lstStyle/>
                  <a:p>
                    <a:r>
                      <a:rPr lang="en-US" sz="847" b="1"/>
                      <a:t>106,9*</a:t>
                    </a:r>
                    <a:endParaRPr lang="en-US" sz="849" b="1"/>
                  </a:p>
                </c:rich>
              </c:tx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3.0690948907461057E-4"/>
                  <c:y val="-1.0476086322543016E-2"/>
                </c:manualLayout>
              </c:layout>
              <c:tx>
                <c:rich>
                  <a:bodyPr/>
                  <a:lstStyle/>
                  <a:p>
                    <a:r>
                      <a:rPr lang="en-US" sz="847" b="1"/>
                      <a:t>141,0*</a:t>
                    </a:r>
                    <a:endParaRPr lang="en-US" sz="849" b="1"/>
                  </a:p>
                </c:rich>
              </c:tx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1.8173035119076525E-3"/>
                  <c:y val="-4.1345873432487605E-3"/>
                </c:manualLayout>
              </c:layout>
              <c:tx>
                <c:rich>
                  <a:bodyPr/>
                  <a:lstStyle/>
                  <a:p>
                    <a:r>
                      <a:rPr lang="en-US" sz="847" b="1"/>
                      <a:t>79,0*</a:t>
                    </a:r>
                    <a:endParaRPr lang="en-US" sz="850" b="1"/>
                  </a:p>
                </c:rich>
              </c:tx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6.1668383077025171E-3"/>
                  <c:y val="8.4777741440467246E-3"/>
                </c:manualLayout>
              </c:layout>
              <c:tx>
                <c:rich>
                  <a:bodyPr/>
                  <a:lstStyle/>
                  <a:p>
                    <a:r>
                      <a:rPr lang="en-US" sz="847" b="1"/>
                      <a:t>98,2*</a:t>
                    </a:r>
                  </a:p>
                </c:rich>
              </c:tx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7.5325742406993504E-3"/>
                  <c:y val="6.1804157350024824E-3"/>
                </c:manualLayout>
              </c:layout>
              <c:tx>
                <c:rich>
                  <a:bodyPr/>
                  <a:lstStyle/>
                  <a:p>
                    <a:r>
                      <a:rPr lang="en-US" sz="847" b="1"/>
                      <a:t>128,1*</a:t>
                    </a:r>
                  </a:p>
                </c:rich>
              </c:tx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7.7047634614751401E-3"/>
                  <c:y val="8.5116516984898097E-3"/>
                </c:manualLayout>
              </c:layout>
              <c:tx>
                <c:rich>
                  <a:bodyPr/>
                  <a:lstStyle/>
                  <a:p>
                    <a:r>
                      <a:rPr lang="en-US" sz="847" b="1"/>
                      <a:t>111,4*</a:t>
                    </a:r>
                  </a:p>
                </c:rich>
              </c:tx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1.4766248308419891E-3"/>
                  <c:y val="-3.280561432078668E-3"/>
                </c:manualLayout>
              </c:layout>
              <c:tx>
                <c:rich>
                  <a:bodyPr/>
                  <a:lstStyle/>
                  <a:p>
                    <a:r>
                      <a:rPr lang="en-US" sz="847" b="1">
                        <a:solidFill>
                          <a:sysClr val="windowText" lastClr="000000"/>
                        </a:solidFill>
                      </a:rPr>
                      <a:t>98,7*</a:t>
                    </a:r>
                  </a:p>
                </c:rich>
              </c:tx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068">
                <a:noFill/>
              </a:ln>
            </c:spPr>
            <c:txPr>
              <a:bodyPr rot="-5400000" vert="horz"/>
              <a:lstStyle/>
              <a:p>
                <a:pPr>
                  <a:defRPr sz="847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202.8</c:v>
                </c:pt>
                <c:pt idx="1">
                  <c:v>276.2</c:v>
                </c:pt>
                <c:pt idx="2">
                  <c:v>15.9</c:v>
                </c:pt>
                <c:pt idx="3">
                  <c:v>22</c:v>
                </c:pt>
                <c:pt idx="4">
                  <c:v>19.100000000000001</c:v>
                </c:pt>
                <c:pt idx="5">
                  <c:v>0.4</c:v>
                </c:pt>
                <c:pt idx="6">
                  <c:v>44.3</c:v>
                </c:pt>
                <c:pt idx="7">
                  <c:v>108.4</c:v>
                </c:pt>
                <c:pt idx="8">
                  <c:v>129.1</c:v>
                </c:pt>
                <c:pt idx="9">
                  <c:v>11.6</c:v>
                </c:pt>
                <c:pt idx="10">
                  <c:v>1.3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июнь 2018 года</c:v>
                </c:pt>
              </c:strCache>
            </c:strRef>
          </c:tx>
          <c:spPr>
            <a:solidFill>
              <a:srgbClr val="4BACC6">
                <a:lumMod val="50000"/>
              </a:srgbClr>
            </a:solidFill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6.1568372329527414E-3"/>
                  <c:y val="4.8231388295006169E-3"/>
                </c:manualLayout>
              </c:layout>
              <c:tx>
                <c:rich>
                  <a:bodyPr/>
                  <a:lstStyle/>
                  <a:p>
                    <a:r>
                      <a:rPr lang="en-US" sz="847" b="1"/>
                      <a:t>119,6*</a:t>
                    </a:r>
                    <a:endParaRPr lang="en-US" sz="850" b="1"/>
                  </a:p>
                </c:rich>
              </c:tx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9790879168169523E-3"/>
                  <c:y val="1.3975421946429062E-2"/>
                </c:manualLayout>
              </c:layout>
              <c:tx>
                <c:rich>
                  <a:bodyPr/>
                  <a:lstStyle/>
                  <a:p>
                    <a:r>
                      <a:rPr lang="en-US" sz="847" b="1"/>
                      <a:t>106,6* </a:t>
                    </a:r>
                  </a:p>
                </c:rich>
              </c:tx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5807092653148254E-3"/>
                  <c:y val="-4.1548640285778956E-3"/>
                </c:manualLayout>
              </c:layout>
              <c:tx>
                <c:rich>
                  <a:bodyPr/>
                  <a:lstStyle/>
                  <a:p>
                    <a:r>
                      <a:rPr lang="en-US" sz="847" b="1"/>
                      <a:t>175,0*</a:t>
                    </a:r>
                  </a:p>
                </c:rich>
              </c:tx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8907943255559988E-3"/>
                  <c:y val="-2.0855205599300758E-3"/>
                </c:manualLayout>
              </c:layout>
              <c:tx>
                <c:rich>
                  <a:bodyPr/>
                  <a:lstStyle/>
                  <a:p>
                    <a:r>
                      <a:rPr lang="en-US" sz="847" b="1"/>
                      <a:t>103,3*</a:t>
                    </a:r>
                  </a:p>
                </c:rich>
              </c:tx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9983912175617122E-3"/>
                  <c:y val="6.9086731570696036E-3"/>
                </c:manualLayout>
              </c:layout>
              <c:tx>
                <c:rich>
                  <a:bodyPr/>
                  <a:lstStyle/>
                  <a:p>
                    <a:r>
                      <a:rPr lang="en-US" sz="847" b="1"/>
                      <a:t>106,1*</a:t>
                    </a:r>
                  </a:p>
                </c:rich>
              </c:tx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1755867667579854E-4"/>
                  <c:y val="-3.9126898275095804E-3"/>
                </c:manualLayout>
              </c:layout>
              <c:tx>
                <c:rich>
                  <a:bodyPr/>
                  <a:lstStyle/>
                  <a:p>
                    <a:r>
                      <a:rPr lang="en-US" sz="847" b="1"/>
                      <a:t>170,2*</a:t>
                    </a:r>
                  </a:p>
                </c:rich>
              </c:tx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1.5042432842128338E-4"/>
                  <c:y val="-1.2178477690288902E-3"/>
                </c:manualLayout>
              </c:layout>
              <c:tx>
                <c:rich>
                  <a:bodyPr/>
                  <a:lstStyle/>
                  <a:p>
                    <a:r>
                      <a:rPr lang="en-US" sz="847" b="1"/>
                      <a:t>174,0*</a:t>
                    </a:r>
                  </a:p>
                </c:rich>
              </c:tx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1.7740087428226845E-3"/>
                  <c:y val="1.4772626265167647E-2"/>
                </c:manualLayout>
              </c:layout>
              <c:tx>
                <c:rich>
                  <a:bodyPr/>
                  <a:lstStyle/>
                  <a:p>
                    <a:r>
                      <a:rPr lang="en-US" sz="847" b="1"/>
                      <a:t>108,8*</a:t>
                    </a:r>
                    <a:endParaRPr lang="en-US" sz="850" b="1"/>
                  </a:p>
                </c:rich>
              </c:tx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1.7210404090921461E-3"/>
                  <c:y val="3.2126753386595912E-3"/>
                </c:manualLayout>
              </c:layout>
              <c:tx>
                <c:rich>
                  <a:bodyPr/>
                  <a:lstStyle/>
                  <a:p>
                    <a:r>
                      <a:rPr lang="en-US" sz="847" b="1"/>
                      <a:t>85,1*</a:t>
                    </a:r>
                  </a:p>
                </c:rich>
              </c:tx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8.2221470782410707E-3"/>
                  <c:y val="-8.2104841061534026E-3"/>
                </c:manualLayout>
              </c:layout>
              <c:tx>
                <c:rich>
                  <a:bodyPr/>
                  <a:lstStyle/>
                  <a:p>
                    <a:r>
                      <a:rPr lang="en-US" sz="847" b="1"/>
                      <a:t>86,1*</a:t>
                    </a:r>
                  </a:p>
                </c:rich>
              </c:tx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3.3937168896832682E-3"/>
                  <c:y val="-6.7064012831731116E-3"/>
                </c:manualLayout>
              </c:layout>
              <c:tx>
                <c:rich>
                  <a:bodyPr/>
                  <a:lstStyle/>
                  <a:p>
                    <a:r>
                      <a:rPr lang="en-US" sz="847" b="1" baseline="0"/>
                      <a:t>89,7*</a:t>
                    </a:r>
                    <a:endParaRPr lang="en-US" sz="850" b="1"/>
                  </a:p>
                </c:rich>
              </c:tx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068">
                <a:noFill/>
              </a:ln>
            </c:spPr>
            <c:txPr>
              <a:bodyPr rot="-5400000" vert="horz"/>
              <a:lstStyle/>
              <a:p>
                <a:pPr>
                  <a:defRPr sz="847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Лист1!$C$2:$C$12</c:f>
              <c:numCache>
                <c:formatCode>#,##0.0</c:formatCode>
                <c:ptCount val="11"/>
                <c:pt idx="0">
                  <c:v>242.6</c:v>
                </c:pt>
                <c:pt idx="1">
                  <c:v>294.3</c:v>
                </c:pt>
                <c:pt idx="2">
                  <c:v>27.8</c:v>
                </c:pt>
                <c:pt idx="3">
                  <c:v>22.7</c:v>
                </c:pt>
                <c:pt idx="4">
                  <c:v>20.3</c:v>
                </c:pt>
                <c:pt idx="5">
                  <c:v>0.8</c:v>
                </c:pt>
                <c:pt idx="6">
                  <c:v>77</c:v>
                </c:pt>
                <c:pt idx="7">
                  <c:v>117.9</c:v>
                </c:pt>
                <c:pt idx="8">
                  <c:v>109.8</c:v>
                </c:pt>
                <c:pt idx="9">
                  <c:v>10</c:v>
                </c:pt>
                <c:pt idx="10">
                  <c:v>1.2</c:v>
                </c:pt>
              </c:numCache>
            </c:numRef>
          </c:val>
        </c:ser>
        <c:shape val="cylinder"/>
        <c:axId val="62841600"/>
        <c:axId val="62843136"/>
        <c:axId val="0"/>
      </c:bar3DChart>
      <c:catAx>
        <c:axId val="62841600"/>
        <c:scaling>
          <c:orientation val="minMax"/>
        </c:scaling>
        <c:axPos val="b"/>
        <c:numFmt formatCode="General" sourceLinked="1"/>
        <c:majorTickMark val="cross"/>
        <c:tickLblPos val="nextTo"/>
        <c:spPr>
          <a:ln>
            <a:solidFill>
              <a:sysClr val="windowText" lastClr="000000">
                <a:lumMod val="50000"/>
                <a:lumOff val="50000"/>
              </a:sysClr>
            </a:solidFill>
          </a:ln>
        </c:spPr>
        <c:txPr>
          <a:bodyPr rot="-5400000" vert="horz"/>
          <a:lstStyle/>
          <a:p>
            <a:pPr>
              <a:defRPr sz="897" b="0"/>
            </a:pPr>
            <a:endParaRPr lang="ru-RU"/>
          </a:p>
        </c:txPr>
        <c:crossAx val="62843136"/>
        <c:crosses val="autoZero"/>
        <c:auto val="1"/>
        <c:lblAlgn val="ctr"/>
        <c:lblOffset val="100"/>
      </c:catAx>
      <c:valAx>
        <c:axId val="62843136"/>
        <c:scaling>
          <c:orientation val="minMax"/>
        </c:scaling>
        <c:axPos val="l"/>
        <c:numFmt formatCode="#,##0.0" sourceLinked="1"/>
        <c:tickLblPos val="nextTo"/>
        <c:txPr>
          <a:bodyPr/>
          <a:lstStyle/>
          <a:p>
            <a:pPr>
              <a:defRPr sz="887" b="1"/>
            </a:pPr>
            <a:endParaRPr lang="ru-RU"/>
          </a:p>
        </c:txPr>
        <c:crossAx val="62841600"/>
        <c:crosses val="autoZero"/>
        <c:crossBetween val="between"/>
        <c:majorUnit val="100"/>
      </c:valAx>
      <c:spPr>
        <a:noFill/>
        <a:ln w="25354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048" b="1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48" b="1"/>
            </a:pPr>
            <a:endParaRPr lang="ru-RU"/>
          </a:p>
        </c:txPr>
      </c:legendEntry>
      <c:layout>
        <c:manualLayout>
          <c:xMode val="edge"/>
          <c:yMode val="edge"/>
          <c:x val="8.0139274498202212E-2"/>
          <c:y val="0.91778952288498183"/>
          <c:w val="0.83797824404897525"/>
          <c:h val="6.8965591629813583E-2"/>
        </c:manualLayout>
      </c:layout>
      <c:txPr>
        <a:bodyPr/>
        <a:lstStyle/>
        <a:p>
          <a:pPr>
            <a:defRPr sz="1048" b="1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6"/>
            </a:pPr>
            <a:r>
              <a:rPr lang="ru-RU" sz="1152"/>
              <a:t>Динамика внешнеторгового оборота </a:t>
            </a:r>
          </a:p>
          <a:p>
            <a:pPr>
              <a:defRPr sz="1106"/>
            </a:pPr>
            <a:r>
              <a:rPr lang="ru-RU" sz="1152"/>
              <a:t>в январе-июнь 2017 - 2018 г.г., млн долл. США</a:t>
            </a:r>
          </a:p>
        </c:rich>
      </c:tx>
      <c:layout>
        <c:manualLayout>
          <c:xMode val="edge"/>
          <c:yMode val="edge"/>
          <c:x val="0.34461701888445795"/>
          <c:y val="2.2699865219550455E-3"/>
        </c:manualLayout>
      </c:layout>
      <c:spPr>
        <a:noFill/>
        <a:ln w="24387">
          <a:noFill/>
        </a:ln>
      </c:spPr>
    </c:title>
    <c:plotArea>
      <c:layout>
        <c:manualLayout>
          <c:layoutTarget val="inner"/>
          <c:xMode val="edge"/>
          <c:yMode val="edge"/>
          <c:x val="0.23831808737749577"/>
          <c:y val="0.26516866970576364"/>
          <c:w val="0.74851471278700132"/>
          <c:h val="0.40652244785191338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январь-июнь 2017 г.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</c:spPr>
          <c:cat>
            <c:strRef>
              <c:f>Sheet1!$A$2:$A$5</c:f>
              <c:strCache>
                <c:ptCount val="4"/>
                <c:pt idx="0">
                  <c:v>ВТО</c:v>
                </c:pt>
                <c:pt idx="1">
                  <c:v>Экспорт</c:v>
                </c:pt>
                <c:pt idx="2">
                  <c:v>Импорт</c:v>
                </c:pt>
                <c:pt idx="3">
                  <c:v>Сальдо</c:v>
                </c:pt>
              </c:strCache>
            </c:strRef>
          </c:cat>
          <c:val>
            <c:numRef>
              <c:f>Sheet1!$B$2:$B$5</c:f>
              <c:numCache>
                <c:formatCode>#,##0.0</c:formatCode>
                <c:ptCount val="4"/>
                <c:pt idx="0">
                  <c:v>633.404</c:v>
                </c:pt>
                <c:pt idx="1">
                  <c:v>206.25899999999999</c:v>
                </c:pt>
                <c:pt idx="2">
                  <c:v>427.14499999999998</c:v>
                </c:pt>
                <c:pt idx="3">
                  <c:v>-220.88600000000022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январь-июнь 2018 г.</c:v>
                </c:pt>
              </c:strCache>
            </c:strRef>
          </c:tx>
          <c:spPr>
            <a:solidFill>
              <a:sysClr val="windowText" lastClr="000000">
                <a:lumMod val="65000"/>
                <a:lumOff val="35000"/>
              </a:sysClr>
            </a:solidFill>
            <a:effectLst>
              <a:outerShdw blurRad="40000" dist="12700" dir="5400000" rotWithShape="0">
                <a:srgbClr val="000000">
                  <a:alpha val="35000"/>
                </a:srgbClr>
              </a:outerShdw>
            </a:effectLst>
          </c:spPr>
          <c:dLbls>
            <c:dLbl>
              <c:idx val="0"/>
              <c:layout>
                <c:manualLayout>
                  <c:x val="3.8400074436781163E-3"/>
                  <c:y val="1.0353916286779938E-2"/>
                </c:manualLayout>
              </c:layout>
              <c:tx>
                <c:rich>
                  <a:bodyPr/>
                  <a:lstStyle/>
                  <a:p>
                    <a:r>
                      <a:rPr lang="en-US" sz="864"/>
                      <a:t>+52,8*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4114436256665139E-3"/>
                  <c:y val="2.378163507508145E-2"/>
                </c:manualLayout>
              </c:layout>
              <c:tx>
                <c:rich>
                  <a:bodyPr/>
                  <a:lstStyle/>
                  <a:p>
                    <a:r>
                      <a:rPr lang="en-US" sz="864"/>
                      <a:t>+70,1*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9535891792254283E-3"/>
                  <c:y val="1.7604694585222763E-2"/>
                </c:manualLayout>
              </c:layout>
              <c:tx>
                <c:rich>
                  <a:bodyPr/>
                  <a:lstStyle/>
                  <a:p>
                    <a:r>
                      <a:rPr lang="en-US" sz="864"/>
                      <a:t>+44,4*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4387">
                <a:noFill/>
              </a:ln>
            </c:spPr>
            <c:txPr>
              <a:bodyPr/>
              <a:lstStyle/>
              <a:p>
                <a:pPr>
                  <a:defRPr sz="864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ВТО</c:v>
                </c:pt>
                <c:pt idx="1">
                  <c:v>Экспорт</c:v>
                </c:pt>
                <c:pt idx="2">
                  <c:v>Импорт</c:v>
                </c:pt>
                <c:pt idx="3">
                  <c:v>Сальдо</c:v>
                </c:pt>
              </c:strCache>
            </c:strRef>
          </c:cat>
          <c:val>
            <c:numRef>
              <c:f>Sheet1!$C$2:$C$5</c:f>
              <c:numCache>
                <c:formatCode>#,##0.0</c:formatCode>
                <c:ptCount val="4"/>
                <c:pt idx="0">
                  <c:v>967.59399999999994</c:v>
                </c:pt>
                <c:pt idx="1">
                  <c:v>350.91899999999919</c:v>
                </c:pt>
                <c:pt idx="2">
                  <c:v>616.67499999999995</c:v>
                </c:pt>
                <c:pt idx="3">
                  <c:v>-265.75599999999969</c:v>
                </c:pt>
              </c:numCache>
            </c:numRef>
          </c:val>
        </c:ser>
        <c:gapWidth val="76"/>
        <c:overlap val="-6"/>
        <c:axId val="64336256"/>
        <c:axId val="64337792"/>
      </c:barChart>
      <c:catAx>
        <c:axId val="64336256"/>
        <c:scaling>
          <c:orientation val="minMax"/>
        </c:scaling>
        <c:axPos val="b"/>
        <c:numFmt formatCode="General" sourceLinked="1"/>
        <c:majorTickMark val="cross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64337792"/>
        <c:crosses val="autoZero"/>
        <c:lblAlgn val="ctr"/>
        <c:lblOffset val="20"/>
        <c:tickMarkSkip val="1"/>
      </c:catAx>
      <c:valAx>
        <c:axId val="64337792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8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850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 - темп прироста (спада) в % к </a:t>
                </a:r>
              </a:p>
              <a:p>
                <a:pPr algn="ctr">
                  <a:defRPr sz="8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850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предыдущему году</a:t>
                </a:r>
              </a:p>
            </c:rich>
          </c:tx>
          <c:layout>
            <c:manualLayout>
              <c:xMode val="edge"/>
              <c:yMode val="edge"/>
              <c:x val="1.5441819772528671E-3"/>
              <c:y val="0.33583894796656416"/>
            </c:manualLayout>
          </c:layout>
          <c:spPr>
            <a:noFill/>
            <a:ln w="24387">
              <a:noFill/>
            </a:ln>
          </c:spPr>
        </c:title>
        <c:numFmt formatCode="#,##0.0" sourceLinked="1"/>
        <c:majorTickMark val="cross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 sz="864"/>
            </a:pPr>
            <a:endParaRPr lang="ru-RU"/>
          </a:p>
        </c:txPr>
        <c:crossAx val="6433625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64"/>
            </a:pPr>
            <a:endParaRPr lang="ru-RU"/>
          </a:p>
        </c:txPr>
      </c:dTable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52">
                <a:latin typeface="Times New Roman" pitchFamily="18" charset="0"/>
                <a:cs typeface="Times New Roman" pitchFamily="18" charset="0"/>
              </a:rPr>
              <a:t>Товарная структура экспорта, млн дол. США</a:t>
            </a:r>
          </a:p>
        </c:rich>
      </c:tx>
      <c:layout>
        <c:manualLayout>
          <c:xMode val="edge"/>
          <c:yMode val="edge"/>
          <c:x val="0.28168056312549061"/>
          <c:y val="8.960593212561914E-4"/>
        </c:manualLayout>
      </c:layout>
      <c:spPr>
        <a:noFill/>
        <a:ln w="24386">
          <a:noFill/>
        </a:ln>
      </c:spPr>
    </c:title>
    <c:plotArea>
      <c:layout>
        <c:manualLayout>
          <c:layoutTarget val="inner"/>
          <c:xMode val="edge"/>
          <c:yMode val="edge"/>
          <c:x val="7.163181174256103E-2"/>
          <c:y val="7.4904834346741819E-2"/>
          <c:w val="0.91480223402307381"/>
          <c:h val="0.37462103644811379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январь-июнь 2017 г.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</c:spPr>
          <c:dLbls>
            <c:dLbl>
              <c:idx val="0"/>
              <c:layout>
                <c:manualLayout>
                  <c:x val="-4.3723566812214013E-3"/>
                  <c:y val="2.9912765758649202E-3"/>
                </c:manualLayout>
              </c:layout>
              <c:tx>
                <c:rich>
                  <a:bodyPr/>
                  <a:lstStyle/>
                  <a:p>
                    <a:r>
                      <a:rPr lang="ru-RU" sz="864"/>
                      <a:t>32,8*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4204877616104439E-3"/>
                  <c:y val="1.3320082562495223E-2"/>
                </c:manualLayout>
              </c:layout>
              <c:tx>
                <c:rich>
                  <a:bodyPr/>
                  <a:lstStyle/>
                  <a:p>
                    <a:r>
                      <a:rPr lang="ru-RU" sz="864"/>
                      <a:t>22,1*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2848786071703624E-3"/>
                  <c:y val="1.1693129876550405E-2"/>
                </c:manualLayout>
              </c:layout>
              <c:tx>
                <c:rich>
                  <a:bodyPr/>
                  <a:lstStyle/>
                  <a:p>
                    <a:r>
                      <a:rPr lang="ru-RU" sz="864"/>
                      <a:t>17,0*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6.1443932411674364E-3"/>
                  <c:y val="1.2944983818770227E-2"/>
                </c:manualLayout>
              </c:layout>
              <c:tx>
                <c:rich>
                  <a:bodyPr/>
                  <a:lstStyle/>
                  <a:p>
                    <a:r>
                      <a:rPr lang="ru-RU" sz="864"/>
                      <a:t>14,9*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0219129585546117E-4"/>
                  <c:y val="5.0503443167165506E-3"/>
                </c:manualLayout>
              </c:layout>
              <c:tx>
                <c:rich>
                  <a:bodyPr/>
                  <a:lstStyle/>
                  <a:p>
                    <a:r>
                      <a:rPr lang="ru-RU" sz="864"/>
                      <a:t>7,9*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8685531759091429E-3"/>
                  <c:y val="1.3705796567995643E-2"/>
                </c:manualLayout>
              </c:layout>
              <c:tx>
                <c:rich>
                  <a:bodyPr/>
                  <a:lstStyle/>
                  <a:p>
                    <a:r>
                      <a:rPr lang="ru-RU" sz="864"/>
                      <a:t>2,0*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8.4868461209790767E-3"/>
                  <c:y val="8.8280428361089975E-3"/>
                </c:manualLayout>
              </c:layout>
              <c:tx>
                <c:rich>
                  <a:bodyPr/>
                  <a:lstStyle/>
                  <a:p>
                    <a:r>
                      <a:rPr lang="ru-RU" sz="864"/>
                      <a:t>3,3*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4386">
                <a:noFill/>
              </a:ln>
            </c:spPr>
            <c:txPr>
              <a:bodyPr rot="0" vert="horz"/>
              <a:lstStyle/>
              <a:p>
                <a:pPr>
                  <a:defRPr sz="864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Металлы и изделия из них</c:v>
                </c:pt>
                <c:pt idx="1">
                  <c:v>Топливно-энергетические товары</c:v>
                </c:pt>
                <c:pt idx="2">
                  <c:v>Продукция легкой промышленности</c:v>
                </c:pt>
                <c:pt idx="3">
                  <c:v>Продовольственные товары и сырье</c:v>
                </c:pt>
                <c:pt idx="4">
                  <c:v>Машиностроительная продукция</c:v>
                </c:pt>
                <c:pt idx="5">
                  <c:v>Минеральные продукты</c:v>
                </c:pt>
                <c:pt idx="6">
                  <c:v>Прочие товары</c:v>
                </c:pt>
              </c:strCache>
            </c:strRef>
          </c:cat>
          <c:val>
            <c:numRef>
              <c:f>Sheet1!$B$2:$H$2</c:f>
              <c:numCache>
                <c:formatCode>0.0</c:formatCode>
                <c:ptCount val="7"/>
                <c:pt idx="0">
                  <c:v>67.621999999999986</c:v>
                </c:pt>
                <c:pt idx="1">
                  <c:v>45.599000000000011</c:v>
                </c:pt>
                <c:pt idx="2">
                  <c:v>35.061</c:v>
                </c:pt>
                <c:pt idx="3">
                  <c:v>30.655000000000001</c:v>
                </c:pt>
                <c:pt idx="4">
                  <c:v>16.280999999999967</c:v>
                </c:pt>
                <c:pt idx="5">
                  <c:v>4.2130000000000001</c:v>
                </c:pt>
                <c:pt idx="6">
                  <c:v>6.8280000000000065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январь-июнь 2018 г.</c:v>
                </c:pt>
              </c:strCache>
            </c:strRef>
          </c:tx>
          <c:spPr>
            <a:solidFill>
              <a:sysClr val="windowText" lastClr="000000">
                <a:lumMod val="75000"/>
                <a:lumOff val="25000"/>
              </a:sysClr>
            </a:solidFill>
            <a:scene3d>
              <a:camera prst="orthographicFront"/>
              <a:lightRig rig="threePt" dir="t">
                <a:rot lat="0" lon="0" rev="18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4.2848786071703624E-3"/>
                  <c:y val="1.4155409361457923E-2"/>
                </c:manualLayout>
              </c:layout>
              <c:tx>
                <c:rich>
                  <a:bodyPr/>
                  <a:lstStyle/>
                  <a:p>
                    <a:r>
                      <a:rPr lang="ru-RU" sz="864"/>
                      <a:t>47,3*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4205457463884395E-3"/>
                  <c:y val="5.0505050505050475E-3"/>
                </c:manualLayout>
              </c:layout>
              <c:tx>
                <c:rich>
                  <a:bodyPr/>
                  <a:lstStyle/>
                  <a:p>
                    <a:r>
                      <a:rPr lang="ru-RU" sz="864"/>
                      <a:t>15,3*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5607276618512567E-3"/>
                  <c:y val="6.0606060606060629E-2"/>
                </c:manualLayout>
              </c:layout>
              <c:tx>
                <c:rich>
                  <a:bodyPr/>
                  <a:lstStyle/>
                  <a:p>
                    <a:r>
                      <a:rPr lang="ru-RU" sz="864"/>
                      <a:t>9,9*</a:t>
                    </a:r>
                  </a:p>
                  <a:p>
                    <a:endParaRPr lang="ru-RU" sz="900"/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5607276618512567E-3"/>
                  <c:y val="1.0101010101010105E-2"/>
                </c:manualLayout>
              </c:layout>
              <c:tx>
                <c:rich>
                  <a:bodyPr/>
                  <a:lstStyle/>
                  <a:p>
                    <a:r>
                      <a:rPr lang="ru-RU" sz="864"/>
                      <a:t>16,3*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1424393035851808E-3"/>
                  <c:y val="1.0909005164752253E-2"/>
                </c:manualLayout>
              </c:layout>
              <c:tx>
                <c:rich>
                  <a:bodyPr/>
                  <a:lstStyle/>
                  <a:p>
                    <a:r>
                      <a:rPr lang="ru-RU" sz="864"/>
                      <a:t>4,0*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0700917863620868E-2"/>
                  <c:y val="1.5984487076269503E-2"/>
                </c:manualLayout>
              </c:layout>
              <c:tx>
                <c:rich>
                  <a:bodyPr/>
                  <a:lstStyle/>
                  <a:p>
                    <a:r>
                      <a:rPr lang="ru-RU" sz="864"/>
                      <a:t>4,8*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4.2803638309256934E-3"/>
                  <c:y val="1.5936254980079678E-2"/>
                </c:manualLayout>
              </c:layout>
              <c:tx>
                <c:rich>
                  <a:bodyPr/>
                  <a:lstStyle/>
                  <a:p>
                    <a:r>
                      <a:rPr lang="ru-RU" sz="864"/>
                      <a:t>2,3*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4386">
                <a:noFill/>
              </a:ln>
            </c:spPr>
            <c:txPr>
              <a:bodyPr rot="0" vert="horz"/>
              <a:lstStyle/>
              <a:p>
                <a:pPr>
                  <a:defRPr sz="864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Металлы и изделия из них</c:v>
                </c:pt>
                <c:pt idx="1">
                  <c:v>Топливно-энергетические товары</c:v>
                </c:pt>
                <c:pt idx="2">
                  <c:v>Продукция легкой промышленности</c:v>
                </c:pt>
                <c:pt idx="3">
                  <c:v>Продовольственные товары и сырье</c:v>
                </c:pt>
                <c:pt idx="4">
                  <c:v>Машиностроительная продукция</c:v>
                </c:pt>
                <c:pt idx="5">
                  <c:v>Минеральные продукты</c:v>
                </c:pt>
                <c:pt idx="6">
                  <c:v>Прочие товары</c:v>
                </c:pt>
              </c:strCache>
            </c:strRef>
          </c:cat>
          <c:val>
            <c:numRef>
              <c:f>Sheet1!$B$3:$H$3</c:f>
              <c:numCache>
                <c:formatCode>0.0</c:formatCode>
                <c:ptCount val="7"/>
                <c:pt idx="0">
                  <c:v>166.11199999999999</c:v>
                </c:pt>
                <c:pt idx="1">
                  <c:v>53.813000000000002</c:v>
                </c:pt>
                <c:pt idx="2">
                  <c:v>34.794000000000011</c:v>
                </c:pt>
                <c:pt idx="3">
                  <c:v>57.359000000000002</c:v>
                </c:pt>
                <c:pt idx="4">
                  <c:v>13.991</c:v>
                </c:pt>
                <c:pt idx="5">
                  <c:v>16.844000000000001</c:v>
                </c:pt>
                <c:pt idx="6">
                  <c:v>8.0059999999999878</c:v>
                </c:pt>
              </c:numCache>
            </c:numRef>
          </c:val>
        </c:ser>
        <c:dLbls>
          <c:showVal val="1"/>
        </c:dLbls>
        <c:gapWidth val="160"/>
        <c:overlap val="-17"/>
        <c:axId val="64705280"/>
        <c:axId val="64706816"/>
      </c:barChart>
      <c:catAx>
        <c:axId val="64705280"/>
        <c:scaling>
          <c:orientation val="minMax"/>
        </c:scaling>
        <c:axPos val="b"/>
        <c:numFmt formatCode="General" sourceLinked="1"/>
        <c:majorTickMark val="cross"/>
        <c:tickLblPos val="low"/>
        <c:spPr>
          <a:ln>
            <a:solidFill>
              <a:sysClr val="windowText" lastClr="000000"/>
            </a:solidFill>
          </a:ln>
        </c:spPr>
        <c:txPr>
          <a:bodyPr rot="-5400000" vert="horz" anchor="ctr" anchorCtr="1"/>
          <a:lstStyle/>
          <a:p>
            <a:pPr>
              <a:defRPr sz="864" b="1" i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706816"/>
        <c:crosses val="autoZero"/>
        <c:lblAlgn val="ctr"/>
        <c:lblOffset val="160"/>
        <c:tickLblSkip val="1"/>
        <c:tickMarkSkip val="1"/>
      </c:catAx>
      <c:valAx>
        <c:axId val="64706816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86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*- удельный вес в общем объеме экспорта,%</a:t>
                </a:r>
              </a:p>
            </c:rich>
          </c:tx>
          <c:layout>
            <c:manualLayout>
              <c:xMode val="edge"/>
              <c:yMode val="edge"/>
              <c:x val="0.79959952335334961"/>
              <c:y val="9.8918440148544062E-2"/>
            </c:manualLayout>
          </c:layout>
          <c:spPr>
            <a:noFill/>
            <a:ln w="24386">
              <a:noFill/>
            </a:ln>
          </c:spPr>
        </c:title>
        <c:numFmt formatCode="0.0" sourceLinked="1"/>
        <c:majorTickMark val="cross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 sz="864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705280"/>
        <c:crosses val="autoZero"/>
        <c:crossBetween val="between"/>
      </c:valAx>
    </c:plotArea>
    <c:legend>
      <c:legendPos val="r"/>
      <c:legendEntry>
        <c:idx val="1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9.6439169139465875E-2"/>
          <c:y val="0.94213762572727056"/>
          <c:w val="0.79970326409495551"/>
          <c:h val="5.7862374272727134E-2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63">
                <a:latin typeface="Times New Roman" pitchFamily="18" charset="0"/>
                <a:cs typeface="Times New Roman" pitchFamily="18" charset="0"/>
              </a:rPr>
              <a:t>Экспорт товаров в разрезе основных стран, млн долл. США</a:t>
            </a:r>
          </a:p>
        </c:rich>
      </c:tx>
      <c:layout>
        <c:manualLayout>
          <c:xMode val="edge"/>
          <c:yMode val="edge"/>
          <c:x val="0.22827789060304116"/>
          <c:y val="3.6354959762261216E-4"/>
        </c:manualLayout>
      </c:layout>
      <c:spPr>
        <a:solidFill>
          <a:sysClr val="window" lastClr="FFFFFF"/>
        </a:solidFill>
        <a:ln w="24619">
          <a:noFill/>
        </a:ln>
      </c:spPr>
    </c:title>
    <c:plotArea>
      <c:layout>
        <c:manualLayout>
          <c:layoutTarget val="inner"/>
          <c:xMode val="edge"/>
          <c:yMode val="edge"/>
          <c:x val="0.18793094740708496"/>
          <c:y val="0.14913942208836839"/>
          <c:w val="0.78630609949266439"/>
          <c:h val="0.4808938882639688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январь-июнь 2017 г.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</c:spPr>
          <c:dLbls>
            <c:dLbl>
              <c:idx val="0"/>
              <c:layout>
                <c:manualLayout>
                  <c:x val="-2.113048071843615E-3"/>
                  <c:y val="1.8115942028985508E-2"/>
                </c:manualLayout>
              </c:layout>
              <c:tx>
                <c:rich>
                  <a:bodyPr/>
                  <a:lstStyle/>
                  <a:p>
                    <a:r>
                      <a:rPr lang="ru-RU" sz="890" b="1">
                        <a:latin typeface="Times New Roman" pitchFamily="18" charset="0"/>
                        <a:cs typeface="Times New Roman" pitchFamily="18" charset="0"/>
                      </a:rPr>
                      <a:t>35,7*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2906021033852441E-3"/>
                  <c:y val="1.3442448764612088E-2"/>
                </c:manualLayout>
              </c:layout>
              <c:tx>
                <c:rich>
                  <a:bodyPr/>
                  <a:lstStyle/>
                  <a:p>
                    <a:r>
                      <a:rPr lang="ru-RU" sz="890" b="1">
                        <a:latin typeface="Times New Roman" pitchFamily="18" charset="0"/>
                        <a:cs typeface="Times New Roman" pitchFamily="18" charset="0"/>
                      </a:rPr>
                      <a:t>14,7*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3951905797987475E-3"/>
                  <c:y val="2.3555398936734508E-2"/>
                </c:manualLayout>
              </c:layout>
              <c:tx>
                <c:rich>
                  <a:bodyPr/>
                  <a:lstStyle/>
                  <a:p>
                    <a:r>
                      <a:rPr lang="ru-RU" sz="890" b="1">
                        <a:latin typeface="Times New Roman" pitchFamily="18" charset="0"/>
                        <a:cs typeface="Times New Roman" pitchFamily="18" charset="0"/>
                      </a:rPr>
                      <a:t>13,0*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0903260288615843E-3"/>
                  <c:y val="1.0085616580521074E-2"/>
                </c:manualLayout>
              </c:layout>
              <c:tx>
                <c:rich>
                  <a:bodyPr/>
                  <a:lstStyle/>
                  <a:p>
                    <a:r>
                      <a:rPr lang="ru-RU" sz="890" b="1">
                        <a:latin typeface="Times New Roman" pitchFamily="18" charset="0"/>
                        <a:cs typeface="Times New Roman" pitchFamily="18" charset="0"/>
                      </a:rPr>
                      <a:t>5,5*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0091052406087941E-3"/>
                  <c:y val="9.9600593404086842E-3"/>
                </c:manualLayout>
              </c:layout>
              <c:tx>
                <c:rich>
                  <a:bodyPr/>
                  <a:lstStyle/>
                  <a:p>
                    <a:r>
                      <a:rPr lang="ru-RU" sz="890" b="1">
                        <a:latin typeface="Times New Roman" pitchFamily="18" charset="0"/>
                        <a:cs typeface="Times New Roman" pitchFamily="18" charset="0"/>
                      </a:rPr>
                      <a:t>1,0*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7.2502161719581243E-3"/>
                  <c:y val="-7.6925868137450558E-5"/>
                </c:manualLayout>
              </c:layout>
              <c:tx>
                <c:rich>
                  <a:bodyPr/>
                  <a:lstStyle/>
                  <a:p>
                    <a:r>
                      <a:rPr lang="ru-RU" sz="890" b="1">
                        <a:latin typeface="Times New Roman" pitchFamily="18" charset="0"/>
                        <a:cs typeface="Times New Roman" pitchFamily="18" charset="0"/>
                      </a:rPr>
                      <a:t>17,9*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3236415970983478E-3"/>
                  <c:y val="1.5872988702499143E-2"/>
                </c:manualLayout>
              </c:layout>
              <c:tx>
                <c:rich>
                  <a:bodyPr/>
                  <a:lstStyle/>
                  <a:p>
                    <a:r>
                      <a:rPr lang="ru-RU" sz="890" b="1">
                        <a:latin typeface="Times New Roman" pitchFamily="18" charset="0"/>
                        <a:cs typeface="Times New Roman" pitchFamily="18" charset="0"/>
                      </a:rPr>
                      <a:t>12,2*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1.6173653968929569E-4"/>
                  <c:y val="3.1051770702577417E-3"/>
                </c:manualLayout>
              </c:layout>
              <c:tx>
                <c:rich>
                  <a:bodyPr/>
                  <a:lstStyle/>
                  <a:p>
                    <a:r>
                      <a:rPr lang="ru-RU" sz="890" b="1">
                        <a:latin typeface="Times New Roman" pitchFamily="18" charset="0"/>
                        <a:cs typeface="Times New Roman" pitchFamily="18" charset="0"/>
                      </a:rPr>
                      <a:t>7,9*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124">
                <a:noFill/>
              </a:ln>
            </c:spPr>
            <c:txPr>
              <a:bodyPr/>
              <a:lstStyle/>
              <a:p>
                <a:pPr>
                  <a:defRPr sz="89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Молдова</c:v>
                </c:pt>
                <c:pt idx="1">
                  <c:v>Россия</c:v>
                </c:pt>
                <c:pt idx="2">
                  <c:v>Украина</c:v>
                </c:pt>
                <c:pt idx="3">
                  <c:v>Италия</c:v>
                </c:pt>
                <c:pt idx="4">
                  <c:v>Германия</c:v>
                </c:pt>
                <c:pt idx="5">
                  <c:v>Румыния</c:v>
                </c:pt>
                <c:pt idx="6">
                  <c:v>Прочие страны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73.60299999999998</c:v>
                </c:pt>
                <c:pt idx="1">
                  <c:v>30.300999999999988</c:v>
                </c:pt>
                <c:pt idx="2">
                  <c:v>26.896000000000001</c:v>
                </c:pt>
                <c:pt idx="3">
                  <c:v>11.357000000000006</c:v>
                </c:pt>
                <c:pt idx="4">
                  <c:v>2.1319999999999997</c:v>
                </c:pt>
                <c:pt idx="5">
                  <c:v>36.850999999999999</c:v>
                </c:pt>
                <c:pt idx="6">
                  <c:v>25.119000000000035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январь-июнь 2018 г.</c:v>
                </c:pt>
              </c:strCache>
            </c:strRef>
          </c:tx>
          <c:spPr>
            <a:solidFill>
              <a:sysClr val="windowText" lastClr="000000">
                <a:lumMod val="75000"/>
                <a:lumOff val="25000"/>
              </a:sysClr>
            </a:solidFill>
          </c:spPr>
          <c:dLbls>
            <c:dLbl>
              <c:idx val="0"/>
              <c:layout>
                <c:manualLayout>
                  <c:x val="1.2424531914804087E-2"/>
                  <c:y val="1.6604875006803608E-2"/>
                </c:manualLayout>
              </c:layout>
              <c:tx>
                <c:rich>
                  <a:bodyPr/>
                  <a:lstStyle/>
                  <a:p>
                    <a:r>
                      <a:rPr lang="ru-RU" sz="890" b="1">
                        <a:latin typeface="Times New Roman" pitchFamily="18" charset="0"/>
                        <a:cs typeface="Times New Roman" pitchFamily="18" charset="0"/>
                      </a:rPr>
                      <a:t>26,8*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3373285581418874E-3"/>
                  <c:y val="1.1904311640294141E-2"/>
                </c:manualLayout>
              </c:layout>
              <c:tx>
                <c:rich>
                  <a:bodyPr/>
                  <a:lstStyle/>
                  <a:p>
                    <a:r>
                      <a:rPr lang="ru-RU" sz="890" b="1">
                        <a:latin typeface="Times New Roman" pitchFamily="18" charset="0"/>
                        <a:cs typeface="Times New Roman" pitchFamily="18" charset="0"/>
                      </a:rPr>
                      <a:t>10,3*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7986522148579132E-3"/>
                  <c:y val="6.6061942257217857E-2"/>
                </c:manualLayout>
              </c:layout>
              <c:tx>
                <c:rich>
                  <a:bodyPr/>
                  <a:lstStyle/>
                  <a:p>
                    <a:r>
                      <a:rPr lang="ru-RU" sz="890" b="1">
                        <a:latin typeface="Times New Roman" pitchFamily="18" charset="0"/>
                        <a:cs typeface="Times New Roman" pitchFamily="18" charset="0"/>
                      </a:rPr>
                      <a:t>23,2*</a:t>
                    </a:r>
                  </a:p>
                  <a:p>
                    <a:endParaRPr lang="ru-RU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7.6435608563360374E-3"/>
                  <c:y val="1.0963299889331871E-2"/>
                </c:manualLayout>
              </c:layout>
              <c:tx>
                <c:rich>
                  <a:bodyPr/>
                  <a:lstStyle/>
                  <a:p>
                    <a:r>
                      <a:rPr lang="ru-RU" sz="890" b="1">
                        <a:latin typeface="Times New Roman" pitchFamily="18" charset="0"/>
                        <a:cs typeface="Times New Roman" pitchFamily="18" charset="0"/>
                      </a:rPr>
                      <a:t>3,6*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0614999655655301E-3"/>
                  <c:y val="1.2934673488394596E-2"/>
                </c:manualLayout>
              </c:layout>
              <c:tx>
                <c:rich>
                  <a:bodyPr/>
                  <a:lstStyle/>
                  <a:p>
                    <a:r>
                      <a:rPr lang="ru-RU" sz="890" b="1">
                        <a:latin typeface="Times New Roman" pitchFamily="18" charset="0"/>
                        <a:cs typeface="Times New Roman" pitchFamily="18" charset="0"/>
                      </a:rPr>
                      <a:t>1,1*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9.8464335464214722E-3"/>
                  <c:y val="2.1518073022705392E-2"/>
                </c:manualLayout>
              </c:layout>
              <c:tx>
                <c:rich>
                  <a:bodyPr/>
                  <a:lstStyle/>
                  <a:p>
                    <a:r>
                      <a:rPr lang="ru-RU" sz="890" b="1">
                        <a:latin typeface="Times New Roman" pitchFamily="18" charset="0"/>
                        <a:cs typeface="Times New Roman" pitchFamily="18" charset="0"/>
                      </a:rPr>
                      <a:t>16,7*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6.4095591654651125E-3"/>
                  <c:y val="1.4009509680855681E-2"/>
                </c:manualLayout>
              </c:layout>
              <c:tx>
                <c:rich>
                  <a:bodyPr/>
                  <a:lstStyle/>
                  <a:p>
                    <a:r>
                      <a:rPr lang="ru-RU" sz="890" b="1">
                        <a:latin typeface="Times New Roman" pitchFamily="18" charset="0"/>
                        <a:cs typeface="Times New Roman" pitchFamily="18" charset="0"/>
                      </a:rPr>
                      <a:t>18,3*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1.415226249871919E-2"/>
                  <c:y val="7.8058503556620923E-3"/>
                </c:manualLayout>
              </c:layout>
              <c:tx>
                <c:rich>
                  <a:bodyPr/>
                  <a:lstStyle/>
                  <a:p>
                    <a:r>
                      <a:rPr lang="ru-RU" sz="890" b="1">
                        <a:latin typeface="Times New Roman" pitchFamily="18" charset="0"/>
                        <a:cs typeface="Times New Roman" pitchFamily="18" charset="0"/>
                      </a:rPr>
                      <a:t>8,1*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124">
                <a:noFill/>
              </a:ln>
            </c:spPr>
            <c:txPr>
              <a:bodyPr/>
              <a:lstStyle/>
              <a:p>
                <a:pPr>
                  <a:defRPr sz="89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Молдова</c:v>
                </c:pt>
                <c:pt idx="1">
                  <c:v>Россия</c:v>
                </c:pt>
                <c:pt idx="2">
                  <c:v>Украина</c:v>
                </c:pt>
                <c:pt idx="3">
                  <c:v>Италия</c:v>
                </c:pt>
                <c:pt idx="4">
                  <c:v>Германия</c:v>
                </c:pt>
                <c:pt idx="5">
                  <c:v>Румыния</c:v>
                </c:pt>
                <c:pt idx="6">
                  <c:v>Прочие страны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94.178999999999988</c:v>
                </c:pt>
                <c:pt idx="1">
                  <c:v>36.034000000000006</c:v>
                </c:pt>
                <c:pt idx="2">
                  <c:v>81.442000000000007</c:v>
                </c:pt>
                <c:pt idx="3">
                  <c:v>12.603</c:v>
                </c:pt>
                <c:pt idx="4">
                  <c:v>3.8589999999999987</c:v>
                </c:pt>
                <c:pt idx="5">
                  <c:v>58.713000000000001</c:v>
                </c:pt>
                <c:pt idx="6">
                  <c:v>64.089000000000013</c:v>
                </c:pt>
              </c:numCache>
            </c:numRef>
          </c:val>
        </c:ser>
        <c:dLbls>
          <c:showVal val="1"/>
        </c:dLbls>
        <c:overlap val="-7"/>
        <c:axId val="64864256"/>
        <c:axId val="64865792"/>
      </c:barChart>
      <c:catAx>
        <c:axId val="64864256"/>
        <c:scaling>
          <c:orientation val="minMax"/>
        </c:scaling>
        <c:axPos val="b"/>
        <c:numFmt formatCode="General" sourceLinked="1"/>
        <c:tickLblPos val="nextTo"/>
        <c:crossAx val="64865792"/>
        <c:crosses val="autoZero"/>
        <c:auto val="1"/>
        <c:lblAlgn val="ctr"/>
        <c:lblOffset val="100"/>
      </c:catAx>
      <c:valAx>
        <c:axId val="64865792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0" b="1"/>
                  <a:t>*- удельный </a:t>
                </a:r>
              </a:p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0" b="1"/>
                  <a:t>вес в общем</a:t>
                </a:r>
              </a:p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0" b="1"/>
                  <a:t> объеме </a:t>
                </a:r>
              </a:p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0" b="1"/>
                  <a:t>экспорта, %</a:t>
                </a:r>
              </a:p>
            </c:rich>
          </c:tx>
          <c:layout>
            <c:manualLayout>
              <c:xMode val="edge"/>
              <c:yMode val="edge"/>
              <c:x val="8.1791816839221626E-3"/>
              <c:y val="0.41823046312759332"/>
            </c:manualLayout>
          </c:layout>
          <c:spPr>
            <a:noFill/>
            <a:ln w="25124">
              <a:noFill/>
            </a:ln>
          </c:spPr>
        </c:title>
        <c:numFmt formatCode="0.0" sourceLinked="1"/>
        <c:majorTickMark val="cross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864256"/>
        <c:crosses val="autoZero"/>
        <c:crossBetween val="midCat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8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spPr>
    <a:ln>
      <a:noFill/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52"/>
            </a:pPr>
            <a:r>
              <a:rPr lang="ru-RU" sz="1152"/>
              <a:t>Товарная структура импорта ПМР, млн долл. США</a:t>
            </a:r>
          </a:p>
        </c:rich>
      </c:tx>
      <c:layout>
        <c:manualLayout>
          <c:xMode val="edge"/>
          <c:yMode val="edge"/>
          <c:x val="0.21116138763197842"/>
          <c:y val="1.9531250000000003E-2"/>
        </c:manualLayout>
      </c:layout>
      <c:spPr>
        <a:solidFill>
          <a:sysClr val="window" lastClr="FFFFFF"/>
        </a:solidFill>
        <a:ln w="22422">
          <a:noFill/>
        </a:ln>
      </c:spPr>
    </c:title>
    <c:plotArea>
      <c:layout>
        <c:manualLayout>
          <c:layoutTarget val="inner"/>
          <c:xMode val="edge"/>
          <c:yMode val="edge"/>
          <c:x val="7.4622451039774024E-2"/>
          <c:y val="0.10524970093024311"/>
          <c:w val="0.93596153846153862"/>
          <c:h val="0.3564129483814650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январь-июнь 2017 г.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</c:spPr>
          <c:dLbls>
            <c:dLbl>
              <c:idx val="0"/>
              <c:layout>
                <c:manualLayout>
                  <c:x val="-3.0090439657095239E-3"/>
                  <c:y val="1.9253849971990047E-2"/>
                </c:manualLayout>
              </c:layout>
              <c:tx>
                <c:rich>
                  <a:bodyPr/>
                  <a:lstStyle/>
                  <a:p>
                    <a:r>
                      <a:rPr lang="ru-RU" sz="864"/>
                      <a:t>37,7*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5731287177619545E-3"/>
                  <c:y val="2.0290865281184192E-2"/>
                </c:manualLayout>
              </c:layout>
              <c:tx>
                <c:rich>
                  <a:bodyPr/>
                  <a:lstStyle/>
                  <a:p>
                    <a:r>
                      <a:rPr lang="ru-RU" sz="864">
                        <a:solidFill>
                          <a:sysClr val="windowText" lastClr="000000"/>
                        </a:solidFill>
                      </a:rPr>
                      <a:t>12,9</a:t>
                    </a:r>
                    <a:r>
                      <a:rPr lang="ru-RU" sz="864"/>
                      <a:t>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3042837844093721E-3"/>
                  <c:y val="2.0970756332563532E-2"/>
                </c:manualLayout>
              </c:layout>
              <c:tx>
                <c:rich>
                  <a:bodyPr/>
                  <a:lstStyle/>
                  <a:p>
                    <a:r>
                      <a:rPr lang="ru-RU" sz="864"/>
                      <a:t>14,2*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6.2825471241539478E-3"/>
                  <c:y val="9.9798016300668268E-3"/>
                </c:manualLayout>
              </c:layout>
              <c:tx>
                <c:rich>
                  <a:bodyPr/>
                  <a:lstStyle/>
                  <a:p>
                    <a:r>
                      <a:rPr lang="ru-RU" sz="864"/>
                      <a:t>10,6*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2039404165388417E-3"/>
                  <c:y val="3.9873514104252416E-3"/>
                </c:manualLayout>
              </c:layout>
              <c:tx>
                <c:rich>
                  <a:bodyPr/>
                  <a:lstStyle/>
                  <a:p>
                    <a:r>
                      <a:rPr lang="ru-RU" sz="864"/>
                      <a:t>8,3*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7129372056713496E-3"/>
                  <c:y val="6.6928624894863134E-3"/>
                </c:manualLayout>
              </c:layout>
              <c:tx>
                <c:rich>
                  <a:bodyPr/>
                  <a:lstStyle/>
                  <a:p>
                    <a:r>
                      <a:rPr lang="ru-RU" sz="864" b="1"/>
                      <a:t>6,0*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7.4927298972717364E-4"/>
                  <c:y val="2.3119383046876371E-2"/>
                </c:manualLayout>
              </c:layout>
              <c:tx>
                <c:rich>
                  <a:bodyPr/>
                  <a:lstStyle/>
                  <a:p>
                    <a:r>
                      <a:rPr lang="ru-RU" sz="864" b="1"/>
                      <a:t>10,3*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72802197802197965"/>
                  <c:y val="0.43750000000000488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4375">
                <a:noFill/>
              </a:ln>
            </c:spPr>
            <c:txPr>
              <a:bodyPr rot="0" vert="horz" anchor="ctr" anchorCtr="0"/>
              <a:lstStyle/>
              <a:p>
                <a:pPr>
                  <a:defRPr sz="864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Топливно-энергетические товары</c:v>
                </c:pt>
                <c:pt idx="1">
                  <c:v>Металлы и изделия из них</c:v>
                </c:pt>
                <c:pt idx="2">
                  <c:v>Продовольственные товары и сырье</c:v>
                </c:pt>
                <c:pt idx="3">
                  <c:v>Машиностроительная продукция</c:v>
                </c:pt>
                <c:pt idx="4">
                  <c:v>Продукция химической и связанных с ней отраслей промышленности</c:v>
                </c:pt>
                <c:pt idx="5">
                  <c:v>Продукция легкой промышленности</c:v>
                </c:pt>
                <c:pt idx="6">
                  <c:v>Прочие товары</c:v>
                </c:pt>
              </c:strCache>
            </c:strRef>
          </c:cat>
          <c:val>
            <c:numRef>
              <c:f>Sheet1!$B$2:$H$2</c:f>
              <c:numCache>
                <c:formatCode>0.0</c:formatCode>
                <c:ptCount val="7"/>
                <c:pt idx="0">
                  <c:v>161.13800000000001</c:v>
                </c:pt>
                <c:pt idx="1">
                  <c:v>54.996000000000002</c:v>
                </c:pt>
                <c:pt idx="2">
                  <c:v>60.642000000000003</c:v>
                </c:pt>
                <c:pt idx="3">
                  <c:v>45.273000000000003</c:v>
                </c:pt>
                <c:pt idx="4">
                  <c:v>35.241</c:v>
                </c:pt>
                <c:pt idx="5">
                  <c:v>25.666</c:v>
                </c:pt>
                <c:pt idx="6">
                  <c:v>44.189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январь-июнь 2018 г.</c:v>
                </c:pt>
              </c:strCache>
            </c:strRef>
          </c:tx>
          <c:spPr>
            <a:solidFill>
              <a:sysClr val="windowText" lastClr="000000">
                <a:lumMod val="75000"/>
                <a:lumOff val="25000"/>
              </a:sysClr>
            </a:solidFill>
          </c:spPr>
          <c:dLbls>
            <c:dLbl>
              <c:idx val="0"/>
              <c:layout>
                <c:manualLayout>
                  <c:x val="5.2558529061472684E-3"/>
                  <c:y val="6.0188774629529422E-3"/>
                </c:manualLayout>
              </c:layout>
              <c:tx>
                <c:rich>
                  <a:bodyPr/>
                  <a:lstStyle/>
                  <a:p>
                    <a:r>
                      <a:rPr lang="ru-RU" sz="864"/>
                      <a:t>35,7*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1876075299207832E-4"/>
                  <c:y val="1.6703670237941701E-2"/>
                </c:manualLayout>
              </c:layout>
              <c:tx>
                <c:rich>
                  <a:bodyPr/>
                  <a:lstStyle/>
                  <a:p>
                    <a:r>
                      <a:rPr lang="ru-RU" sz="864"/>
                      <a:t>22,0*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6095060538597892E-3"/>
                  <c:y val="8.9476237824448589E-3"/>
                </c:manualLayout>
              </c:layout>
              <c:tx>
                <c:rich>
                  <a:bodyPr/>
                  <a:lstStyle/>
                  <a:p>
                    <a:r>
                      <a:rPr lang="ru-RU" sz="864" b="1"/>
                      <a:t>10,7*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4041335426337879E-3"/>
                  <c:y val="8.1943841589768637E-3"/>
                </c:manualLayout>
              </c:layout>
              <c:tx>
                <c:rich>
                  <a:bodyPr/>
                  <a:lstStyle/>
                  <a:p>
                    <a:r>
                      <a:rPr lang="ru-RU" sz="864"/>
                      <a:t>10,4*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510956707642972E-3"/>
                  <c:y val="4.8542604654280824E-3"/>
                </c:manualLayout>
              </c:layout>
              <c:tx>
                <c:rich>
                  <a:bodyPr/>
                  <a:lstStyle/>
                  <a:p>
                    <a:r>
                      <a:rPr lang="ru-RU" sz="864"/>
                      <a:t>7,0*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9.9121744397335024E-3"/>
                  <c:y val="4.6497759208670364E-3"/>
                </c:manualLayout>
              </c:layout>
              <c:tx>
                <c:rich>
                  <a:bodyPr/>
                  <a:lstStyle/>
                  <a:p>
                    <a:r>
                      <a:rPr lang="ru-RU" sz="864"/>
                      <a:t>5,2*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6.1551151643190515E-3"/>
                  <c:y val="1.0088371001798702E-2"/>
                </c:manualLayout>
              </c:layout>
              <c:tx>
                <c:rich>
                  <a:bodyPr/>
                  <a:lstStyle/>
                  <a:p>
                    <a:r>
                      <a:rPr lang="ru-RU" sz="864" b="1"/>
                      <a:t>8,9*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75274725274725274"/>
                  <c:y val="0.48214285714289701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4375">
                <a:noFill/>
              </a:ln>
            </c:spPr>
            <c:txPr>
              <a:bodyPr rot="0" vert="horz"/>
              <a:lstStyle/>
              <a:p>
                <a:pPr>
                  <a:defRPr sz="864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Топливно-энергетические товары</c:v>
                </c:pt>
                <c:pt idx="1">
                  <c:v>Металлы и изделия из них</c:v>
                </c:pt>
                <c:pt idx="2">
                  <c:v>Продовольственные товары и сырье</c:v>
                </c:pt>
                <c:pt idx="3">
                  <c:v>Машиностроительная продукция</c:v>
                </c:pt>
                <c:pt idx="4">
                  <c:v>Продукция химической и связанных с ней отраслей промышленности</c:v>
                </c:pt>
                <c:pt idx="5">
                  <c:v>Продукция легкой промышленности</c:v>
                </c:pt>
                <c:pt idx="6">
                  <c:v>Прочие товары</c:v>
                </c:pt>
              </c:strCache>
            </c:strRef>
          </c:cat>
          <c:val>
            <c:numRef>
              <c:f>Sheet1!$B$3:$H$3</c:f>
              <c:numCache>
                <c:formatCode>0.0</c:formatCode>
                <c:ptCount val="7"/>
                <c:pt idx="0">
                  <c:v>220.26300000000001</c:v>
                </c:pt>
                <c:pt idx="1">
                  <c:v>135.87</c:v>
                </c:pt>
                <c:pt idx="2">
                  <c:v>65.846999999999994</c:v>
                </c:pt>
                <c:pt idx="3">
                  <c:v>64.203000000000003</c:v>
                </c:pt>
                <c:pt idx="4">
                  <c:v>43.454999999999998</c:v>
                </c:pt>
                <c:pt idx="5">
                  <c:v>32.003</c:v>
                </c:pt>
                <c:pt idx="6">
                  <c:v>55.033999999999963</c:v>
                </c:pt>
              </c:numCache>
            </c:numRef>
          </c:val>
        </c:ser>
        <c:gapWidth val="160"/>
        <c:overlap val="-7"/>
        <c:axId val="65061248"/>
        <c:axId val="65062784"/>
      </c:barChart>
      <c:catAx>
        <c:axId val="65061248"/>
        <c:scaling>
          <c:orientation val="minMax"/>
        </c:scaling>
        <c:axPos val="b"/>
        <c:numFmt formatCode="General" sourceLinked="1"/>
        <c:majorTickMark val="cross"/>
        <c:tickLblPos val="low"/>
        <c:spPr>
          <a:ln>
            <a:solidFill>
              <a:sysClr val="windowText" lastClr="000000"/>
            </a:solidFill>
          </a:ln>
        </c:spPr>
        <c:txPr>
          <a:bodyPr rot="-5400000" vert="horz"/>
          <a:lstStyle/>
          <a:p>
            <a:pPr>
              <a:defRPr sz="864" b="1"/>
            </a:pPr>
            <a:endParaRPr lang="ru-RU"/>
          </a:p>
        </c:txPr>
        <c:crossAx val="65062784"/>
        <c:crosses val="autoZero"/>
        <c:lblAlgn val="ctr"/>
        <c:lblOffset val="160"/>
        <c:tickLblSkip val="1"/>
        <c:tickMarkSkip val="1"/>
      </c:catAx>
      <c:valAx>
        <c:axId val="65062784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88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864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*-удельный</a:t>
                </a:r>
              </a:p>
              <a:p>
                <a:pPr algn="ctr">
                  <a:defRPr sz="88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864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 вес в общем </a:t>
                </a:r>
              </a:p>
              <a:p>
                <a:pPr algn="ctr">
                  <a:defRPr sz="88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864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объеме импорта,%</a:t>
                </a:r>
              </a:p>
            </c:rich>
          </c:tx>
          <c:layout>
            <c:manualLayout>
              <c:xMode val="edge"/>
              <c:yMode val="edge"/>
              <c:x val="0.80836142088573759"/>
              <c:y val="8.7301605681642733E-2"/>
            </c:manualLayout>
          </c:layout>
          <c:spPr>
            <a:noFill/>
            <a:ln w="24375">
              <a:noFill/>
            </a:ln>
          </c:spPr>
        </c:title>
        <c:numFmt formatCode="0.0" sourceLinked="1"/>
        <c:majorTickMark val="cross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 sz="864" b="1"/>
            </a:pPr>
            <a:endParaRPr lang="ru-RU"/>
          </a:p>
        </c:txPr>
        <c:crossAx val="65061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92578125000000888"/>
          <c:w val="0.93363499245853865"/>
          <c:h val="7.8125E-2"/>
        </c:manualLayout>
      </c:layout>
      <c:txPr>
        <a:bodyPr/>
        <a:lstStyle/>
        <a:p>
          <a:pPr>
            <a:defRPr sz="960" b="1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49">
                <a:latin typeface="Times New Roman" pitchFamily="18" charset="0"/>
                <a:cs typeface="Times New Roman" pitchFamily="18" charset="0"/>
              </a:defRPr>
            </a:pPr>
            <a:r>
              <a:rPr lang="ru-RU" sz="1149">
                <a:latin typeface="Times New Roman" pitchFamily="18" charset="0"/>
                <a:cs typeface="Times New Roman" pitchFamily="18" charset="0"/>
              </a:rPr>
              <a:t>Импорт товаров в разрезе стран, млн долл. США</a:t>
            </a:r>
          </a:p>
        </c:rich>
      </c:tx>
      <c:layout>
        <c:manualLayout>
          <c:xMode val="edge"/>
          <c:yMode val="edge"/>
          <c:x val="0.33285085687818455"/>
          <c:y val="4.1523281811995764E-3"/>
        </c:manualLayout>
      </c:layout>
      <c:spPr>
        <a:solidFill>
          <a:sysClr val="window" lastClr="FFFFFF"/>
        </a:solidFill>
        <a:ln w="24320">
          <a:noFill/>
        </a:ln>
      </c:spPr>
    </c:title>
    <c:plotArea>
      <c:layout>
        <c:manualLayout>
          <c:layoutTarget val="inner"/>
          <c:xMode val="edge"/>
          <c:yMode val="edge"/>
          <c:x val="0.21369291720630992"/>
          <c:y val="0.10554538550701467"/>
          <c:w val="0.78458223025152152"/>
          <c:h val="0.4918662322382121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январь-июнь 2017 г.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</c:spPr>
          <c:dLbls>
            <c:dLbl>
              <c:idx val="0"/>
              <c:layout>
                <c:manualLayout>
                  <c:x val="-6.9443883617112132E-3"/>
                  <c:y val="1.6468920613410785E-2"/>
                </c:manualLayout>
              </c:layout>
              <c:tx>
                <c:rich>
                  <a:bodyPr/>
                  <a:lstStyle/>
                  <a:p>
                    <a:r>
                      <a:rPr lang="ru-RU" sz="840" b="1">
                        <a:latin typeface="Times New Roman" pitchFamily="18" charset="0"/>
                        <a:cs typeface="Times New Roman" pitchFamily="18" charset="0"/>
                      </a:rPr>
                      <a:t>39,9*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9444444444449619E-3"/>
                  <c:y val="1.3773866501981374E-2"/>
                </c:manualLayout>
              </c:layout>
              <c:tx>
                <c:rich>
                  <a:bodyPr/>
                  <a:lstStyle/>
                  <a:p>
                    <a:r>
                      <a:rPr lang="ru-RU" sz="840" b="1">
                        <a:latin typeface="Times New Roman" pitchFamily="18" charset="0"/>
                        <a:cs typeface="Times New Roman" pitchFamily="18" charset="0"/>
                      </a:rPr>
                      <a:t>17,1*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1241315423810221E-3"/>
                  <c:y val="1.3422676470077003E-2"/>
                </c:manualLayout>
              </c:layout>
              <c:tx>
                <c:rich>
                  <a:bodyPr/>
                  <a:lstStyle/>
                  <a:p>
                    <a:r>
                      <a:rPr lang="ru-RU" sz="840" b="1">
                        <a:latin typeface="Times New Roman" pitchFamily="18" charset="0"/>
                        <a:cs typeface="Times New Roman" pitchFamily="18" charset="0"/>
                      </a:rPr>
                      <a:t>11,3*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2527404662653161E-3"/>
                  <c:y val="1.8752672472232369E-2"/>
                </c:manualLayout>
              </c:layout>
              <c:tx>
                <c:rich>
                  <a:bodyPr/>
                  <a:lstStyle/>
                  <a:p>
                    <a:r>
                      <a:rPr lang="ru-RU" sz="840" b="1">
                        <a:latin typeface="Times New Roman" pitchFamily="18" charset="0"/>
                        <a:cs typeface="Times New Roman" pitchFamily="18" charset="0"/>
                      </a:rPr>
                      <a:t>3,0*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5208973683889555E-3"/>
                  <c:y val="1.3422708778503201E-2"/>
                </c:manualLayout>
              </c:layout>
              <c:tx>
                <c:rich>
                  <a:bodyPr/>
                  <a:lstStyle/>
                  <a:p>
                    <a:r>
                      <a:rPr lang="ru-RU" sz="840" b="1">
                        <a:latin typeface="Times New Roman" pitchFamily="18" charset="0"/>
                        <a:cs typeface="Times New Roman" pitchFamily="18" charset="0"/>
                      </a:rPr>
                      <a:t>4,4*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6.944444444444967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40" b="1">
                        <a:latin typeface="Times New Roman" pitchFamily="18" charset="0"/>
                        <a:cs typeface="Times New Roman" pitchFamily="18" charset="0"/>
                      </a:rPr>
                      <a:t>24,3*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1.0165556228548403E-3"/>
                  <c:y val="1.0853808936533541E-2"/>
                </c:manualLayout>
              </c:layout>
              <c:tx>
                <c:rich>
                  <a:bodyPr/>
                  <a:lstStyle/>
                  <a:p>
                    <a:r>
                      <a:rPr lang="ru-RU" sz="840" b="1">
                        <a:latin typeface="Times New Roman" pitchFamily="18" charset="0"/>
                        <a:cs typeface="Times New Roman" pitchFamily="18" charset="0"/>
                      </a:rPr>
                      <a:t>17</a:t>
                    </a:r>
                    <a:r>
                      <a:rPr lang="en-US" sz="840" b="1">
                        <a:latin typeface="Times New Roman" pitchFamily="18" charset="0"/>
                        <a:cs typeface="Times New Roman" pitchFamily="18" charset="0"/>
                      </a:rPr>
                      <a:t>,</a:t>
                    </a:r>
                    <a:r>
                      <a:rPr lang="ru-RU" sz="840" b="1">
                        <a:latin typeface="Times New Roman" pitchFamily="18" charset="0"/>
                        <a:cs typeface="Times New Roman" pitchFamily="18" charset="0"/>
                      </a:rPr>
                      <a:t>9</a:t>
                    </a:r>
                    <a:r>
                      <a:rPr lang="en-US" sz="840" b="1">
                        <a:latin typeface="Times New Roman" pitchFamily="18" charset="0"/>
                        <a:cs typeface="Times New Roman" pitchFamily="18" charset="0"/>
                      </a:rPr>
                      <a:t>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2636096958468426E-2"/>
                  <c:y val="8.9485668596065767E-3"/>
                </c:manualLayout>
              </c:layout>
              <c:tx>
                <c:rich>
                  <a:bodyPr/>
                  <a:lstStyle/>
                  <a:p>
                    <a:r>
                      <a:rPr lang="ru-RU" sz="840" b="1">
                        <a:latin typeface="Times New Roman" pitchFamily="18" charset="0"/>
                        <a:cs typeface="Times New Roman" pitchFamily="18" charset="0"/>
                      </a:rPr>
                      <a:t>16,9*</a:t>
                    </a:r>
                    <a:endParaRPr lang="en-US" sz="84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4383">
                <a:noFill/>
              </a:ln>
            </c:spPr>
            <c:txPr>
              <a:bodyPr/>
              <a:lstStyle/>
              <a:p>
                <a:pPr>
                  <a:defRPr sz="84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Россия</c:v>
                </c:pt>
                <c:pt idx="1">
                  <c:v>Украина</c:v>
                </c:pt>
                <c:pt idx="2">
                  <c:v> Молдова</c:v>
                </c:pt>
                <c:pt idx="3">
                  <c:v>Германия</c:v>
                </c:pt>
                <c:pt idx="4">
                  <c:v>Румыния</c:v>
                </c:pt>
                <c:pt idx="5">
                  <c:v>Прочие страны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170.589</c:v>
                </c:pt>
                <c:pt idx="1">
                  <c:v>72.971000000000004</c:v>
                </c:pt>
                <c:pt idx="2">
                  <c:v>48.277000000000001</c:v>
                </c:pt>
                <c:pt idx="3">
                  <c:v>13.008000000000001</c:v>
                </c:pt>
                <c:pt idx="4">
                  <c:v>18.594999999999999</c:v>
                </c:pt>
                <c:pt idx="5">
                  <c:v>103.705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январь-июнь 2018 г.</c:v>
                </c:pt>
              </c:strCache>
            </c:strRef>
          </c:tx>
          <c:spPr>
            <a:solidFill>
              <a:sysClr val="windowText" lastClr="000000">
                <a:lumMod val="75000"/>
                <a:lumOff val="25000"/>
              </a:sysClr>
            </a:solidFill>
          </c:spPr>
          <c:dLbls>
            <c:dLbl>
              <c:idx val="0"/>
              <c:layout>
                <c:manualLayout>
                  <c:x val="1.058097884823306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40" b="1">
                        <a:latin typeface="Times New Roman" pitchFamily="18" charset="0"/>
                        <a:cs typeface="Times New Roman" pitchFamily="18" charset="0"/>
                      </a:rPr>
                      <a:t>38,4*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1864597807627249E-2"/>
                  <c:y val="6.5359545288627002E-3"/>
                </c:manualLayout>
              </c:layout>
              <c:tx>
                <c:rich>
                  <a:bodyPr/>
                  <a:lstStyle/>
                  <a:p>
                    <a:r>
                      <a:rPr lang="ru-RU" sz="840" b="1">
                        <a:latin typeface="Times New Roman" pitchFamily="18" charset="0"/>
                        <a:cs typeface="Times New Roman" pitchFamily="18" charset="0"/>
                      </a:rPr>
                      <a:t>27,1*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1029488960938723E-2"/>
                  <c:y val="1.3131007630668741E-2"/>
                </c:manualLayout>
              </c:layout>
              <c:tx>
                <c:rich>
                  <a:bodyPr/>
                  <a:lstStyle/>
                  <a:p>
                    <a:r>
                      <a:rPr lang="ru-RU" sz="840" b="1">
                        <a:latin typeface="Times New Roman" pitchFamily="18" charset="0"/>
                        <a:cs typeface="Times New Roman" pitchFamily="18" charset="0"/>
                      </a:rPr>
                      <a:t>9,1*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7.8794406018398745E-3"/>
                  <c:y val="-4.4744572491352465E-3"/>
                </c:manualLayout>
              </c:layout>
              <c:tx>
                <c:rich>
                  <a:bodyPr/>
                  <a:lstStyle/>
                  <a:p>
                    <a:r>
                      <a:rPr lang="ru-RU" sz="840" b="1">
                        <a:latin typeface="Times New Roman" pitchFamily="18" charset="0"/>
                        <a:cs typeface="Times New Roman" pitchFamily="18" charset="0"/>
                      </a:rPr>
                      <a:t>2,6*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0321290721012821E-2"/>
                  <c:y val="8.8296744363908202E-3"/>
                </c:manualLayout>
              </c:layout>
              <c:tx>
                <c:rich>
                  <a:bodyPr/>
                  <a:lstStyle/>
                  <a:p>
                    <a:r>
                      <a:rPr lang="ru-RU" sz="840" b="1">
                        <a:latin typeface="Times New Roman" pitchFamily="18" charset="0"/>
                        <a:cs typeface="Times New Roman" pitchFamily="18" charset="0"/>
                      </a:rPr>
                      <a:t>2,6*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9.9672687972827047E-3"/>
                  <c:y val="-1.7764335749423244E-4"/>
                </c:manualLayout>
              </c:layout>
              <c:tx>
                <c:rich>
                  <a:bodyPr/>
                  <a:lstStyle/>
                  <a:p>
                    <a:r>
                      <a:rPr lang="ru-RU" sz="840" b="1">
                        <a:latin typeface="Times New Roman" pitchFamily="18" charset="0"/>
                        <a:cs typeface="Times New Roman" pitchFamily="18" charset="0"/>
                      </a:rPr>
                      <a:t>20,3*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9.437378020055163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40" b="1">
                        <a:latin typeface="Times New Roman" pitchFamily="18" charset="0"/>
                        <a:cs typeface="Times New Roman" pitchFamily="18" charset="0"/>
                      </a:rPr>
                      <a:t>25,1</a:t>
                    </a:r>
                    <a:r>
                      <a:rPr lang="en-US" sz="840" b="1">
                        <a:latin typeface="Times New Roman" pitchFamily="18" charset="0"/>
                        <a:cs typeface="Times New Roman" pitchFamily="18" charset="0"/>
                      </a:rPr>
                      <a:t>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0951829550718556E-2"/>
                  <c:y val="-8.2143540004519303E-3"/>
                </c:manualLayout>
              </c:layout>
              <c:tx>
                <c:rich>
                  <a:bodyPr/>
                  <a:lstStyle/>
                  <a:p>
                    <a:r>
                      <a:rPr lang="ru-RU" sz="840" b="1">
                        <a:latin typeface="Times New Roman" pitchFamily="18" charset="0"/>
                        <a:cs typeface="Times New Roman" pitchFamily="18" charset="0"/>
                      </a:rPr>
                      <a:t>17,6*</a:t>
                    </a:r>
                    <a:endParaRPr lang="en-US" sz="84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4383">
                <a:noFill/>
              </a:ln>
            </c:spPr>
            <c:txPr>
              <a:bodyPr/>
              <a:lstStyle/>
              <a:p>
                <a:pPr>
                  <a:defRPr sz="84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Россия</c:v>
                </c:pt>
                <c:pt idx="1">
                  <c:v>Украина</c:v>
                </c:pt>
                <c:pt idx="2">
                  <c:v> Молдова</c:v>
                </c:pt>
                <c:pt idx="3">
                  <c:v>Германия</c:v>
                </c:pt>
                <c:pt idx="4">
                  <c:v>Румыния</c:v>
                </c:pt>
                <c:pt idx="5">
                  <c:v>Прочие страны</c:v>
                </c:pt>
              </c:strCache>
            </c:strRef>
          </c:cat>
          <c:val>
            <c:numRef>
              <c:f>Лист1!$C$2:$C$7</c:f>
              <c:numCache>
                <c:formatCode>0.0</c:formatCode>
                <c:ptCount val="6"/>
                <c:pt idx="0">
                  <c:v>236.61399999999998</c:v>
                </c:pt>
                <c:pt idx="1">
                  <c:v>167.06100000000001</c:v>
                </c:pt>
                <c:pt idx="2">
                  <c:v>56.143000000000001</c:v>
                </c:pt>
                <c:pt idx="3">
                  <c:v>15.785</c:v>
                </c:pt>
                <c:pt idx="4">
                  <c:v>16.036999999999999</c:v>
                </c:pt>
                <c:pt idx="5">
                  <c:v>125.035</c:v>
                </c:pt>
              </c:numCache>
            </c:numRef>
          </c:val>
        </c:ser>
        <c:dLbls>
          <c:showVal val="1"/>
        </c:dLbls>
        <c:overlap val="-7"/>
        <c:axId val="65293696"/>
        <c:axId val="65303680"/>
      </c:barChart>
      <c:catAx>
        <c:axId val="65293696"/>
        <c:scaling>
          <c:orientation val="minMax"/>
        </c:scaling>
        <c:axPos val="b"/>
        <c:numFmt formatCode="General" sourceLinked="1"/>
        <c:tickLblPos val="nextTo"/>
        <c:crossAx val="65303680"/>
        <c:crosses val="autoZero"/>
        <c:auto val="1"/>
        <c:lblAlgn val="ctr"/>
        <c:lblOffset val="100"/>
        <c:tickLblSkip val="1"/>
      </c:catAx>
      <c:valAx>
        <c:axId val="65303680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0" b="1"/>
                  <a:t>*- удельный</a:t>
                </a:r>
              </a:p>
              <a:p>
                <a:pPr algn="ctr"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0" b="1"/>
                  <a:t> вес </a:t>
                </a:r>
              </a:p>
              <a:p>
                <a:pPr algn="ctr"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0" b="1"/>
                  <a:t>страны в</a:t>
                </a:r>
              </a:p>
              <a:p>
                <a:pPr algn="ctr"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0" b="1"/>
                  <a:t> общем </a:t>
                </a:r>
              </a:p>
              <a:p>
                <a:pPr algn="ctr"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0" b="1"/>
                  <a:t>импорте,%</a:t>
                </a:r>
              </a:p>
            </c:rich>
          </c:tx>
          <c:layout>
            <c:manualLayout>
              <c:xMode val="edge"/>
              <c:yMode val="edge"/>
              <c:x val="2.1024424348703129E-2"/>
              <c:y val="0.23879339727083895"/>
            </c:manualLayout>
          </c:layout>
          <c:spPr>
            <a:noFill/>
            <a:ln w="24383">
              <a:noFill/>
            </a:ln>
          </c:spPr>
        </c:title>
        <c:numFmt formatCode="0.0" sourceLinked="1"/>
        <c:majorTickMark val="cross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529369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spPr>
    <a:ln>
      <a:noFill/>
    </a:ln>
  </c:sp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/>
              <a:t>Динамика основных составляющих инфляции, %</a:t>
            </a:r>
          </a:p>
        </c:rich>
      </c:tx>
      <c:layout>
        <c:manualLayout>
          <c:xMode val="edge"/>
          <c:yMode val="edge"/>
          <c:x val="0.25346903278881183"/>
          <c:y val="4.9491182023299824E-3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0.19135125864948688"/>
          <c:y val="0.1731862612001086"/>
          <c:w val="0.78843180573651317"/>
          <c:h val="0.425644988820842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- июнь 2017 г. 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Lbls>
            <c:dLbl>
              <c:idx val="0"/>
              <c:layout>
                <c:manualLayout>
                  <c:x val="-1.0234590693830781E-2"/>
                  <c:y val="1.29364322671389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+6,28*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6304437779572572E-4"/>
                  <c:y val="1.740485564304588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+10,99*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2494497265651997E-3"/>
                  <c:y val="7.588520696909983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+4,76*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7.9467856441428749E-4"/>
                  <c:y val="4.782290169566252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+0,59*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3264">
                <a:noFill/>
              </a:ln>
            </c:spPr>
            <c:txPr>
              <a:bodyPr/>
              <a:lstStyle/>
              <a:p>
                <a:pPr>
                  <a:defRPr sz="87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продовольственные товары</c:v>
                </c:pt>
                <c:pt idx="2">
                  <c:v>Индекс цен на непродовольственные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106.28</c:v>
                </c:pt>
                <c:pt idx="1">
                  <c:v>110.99000000000002</c:v>
                </c:pt>
                <c:pt idx="2">
                  <c:v>104.76</c:v>
                </c:pt>
                <c:pt idx="3">
                  <c:v>100.59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- июнь 2018 г.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3.5865669145927212E-3"/>
                  <c:y val="1.0638227183627362E-2"/>
                </c:manualLayout>
              </c:layout>
              <c:tx>
                <c:rich>
                  <a:bodyPr/>
                  <a:lstStyle/>
                  <a:p>
                    <a:pPr>
                      <a:defRPr sz="87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+5,36*</a:t>
                    </a:r>
                  </a:p>
                </c:rich>
              </c:tx>
              <c:spPr>
                <a:noFill/>
                <a:ln w="23264">
                  <a:noFill/>
                </a:ln>
              </c:spPr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3731032928365008E-3"/>
                  <c:y val="8.5672835199402525E-3"/>
                </c:manualLayout>
              </c:layout>
              <c:tx>
                <c:rich>
                  <a:bodyPr/>
                  <a:lstStyle/>
                  <a:p>
                    <a:pPr>
                      <a:defRPr sz="87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+10,34*</a:t>
                    </a:r>
                  </a:p>
                </c:rich>
              </c:tx>
              <c:spPr>
                <a:noFill/>
                <a:ln w="23264">
                  <a:noFill/>
                </a:ln>
              </c:spPr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7375182672803304E-3"/>
                  <c:y val="1.1222964218080961E-2"/>
                </c:manualLayout>
              </c:layout>
              <c:tx>
                <c:rich>
                  <a:bodyPr/>
                  <a:lstStyle/>
                  <a:p>
                    <a:pPr>
                      <a:defRPr sz="87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+1,94*</a:t>
                    </a:r>
                  </a:p>
                </c:rich>
              </c:tx>
              <c:spPr>
                <a:noFill/>
                <a:ln w="23264">
                  <a:noFill/>
                </a:ln>
              </c:spPr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1034412336140601E-3"/>
                  <c:y val="4.7822901695662523E-3"/>
                </c:manualLayout>
              </c:layout>
              <c:tx>
                <c:rich>
                  <a:bodyPr/>
                  <a:lstStyle/>
                  <a:p>
                    <a:pPr>
                      <a:defRPr sz="87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+2,06*</a:t>
                    </a:r>
                  </a:p>
                </c:rich>
              </c:tx>
              <c:spPr>
                <a:noFill/>
                <a:ln w="23264">
                  <a:noFill/>
                </a:ln>
              </c:spPr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3264">
                <a:noFill/>
              </a:ln>
            </c:spPr>
            <c:txPr>
              <a:bodyPr/>
              <a:lstStyle/>
              <a:p>
                <a:pPr>
                  <a:defRPr sz="87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продовольственные товары</c:v>
                </c:pt>
                <c:pt idx="2">
                  <c:v>Индекс цен на непродовольственные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Лист1!$C$2:$C$5</c:f>
              <c:numCache>
                <c:formatCode>0.00</c:formatCode>
                <c:ptCount val="4"/>
                <c:pt idx="0">
                  <c:v>105.36</c:v>
                </c:pt>
                <c:pt idx="1">
                  <c:v>110.34</c:v>
                </c:pt>
                <c:pt idx="2">
                  <c:v>101.94000000000032</c:v>
                </c:pt>
                <c:pt idx="3">
                  <c:v>102.06</c:v>
                </c:pt>
              </c:numCache>
            </c:numRef>
          </c:val>
        </c:ser>
        <c:axId val="65512960"/>
        <c:axId val="65514496"/>
      </c:barChart>
      <c:catAx>
        <c:axId val="65512960"/>
        <c:scaling>
          <c:orientation val="minMax"/>
        </c:scaling>
        <c:axPos val="b"/>
        <c:numFmt formatCode="General" sourceLinked="0"/>
        <c:tickLblPos val="nextTo"/>
        <c:txPr>
          <a:bodyPr rot="0" vert="horz"/>
          <a:lstStyle/>
          <a:p>
            <a:pPr>
              <a:defRPr sz="87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5514496"/>
        <c:crosses val="autoZero"/>
        <c:auto val="1"/>
        <c:lblAlgn val="ctr"/>
        <c:lblOffset val="100"/>
      </c:catAx>
      <c:valAx>
        <c:axId val="65514496"/>
        <c:scaling>
          <c:orientation val="minMax"/>
          <c:max val="112"/>
          <c:min val="100"/>
        </c:scaling>
        <c:axPos val="l"/>
        <c:title>
          <c:tx>
            <c:rich>
              <a:bodyPr rot="0" vert="horz"/>
              <a:lstStyle/>
              <a:p>
                <a:pPr algn="ctr">
                  <a:defRPr sz="87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733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 - </a:t>
                </a:r>
                <a:r>
                  <a:rPr lang="ru-RU" sz="733" b="0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прирост (снижение)  индекса цен,%</a:t>
                </a:r>
              </a:p>
            </c:rich>
          </c:tx>
          <c:layout>
            <c:manualLayout>
              <c:xMode val="edge"/>
              <c:yMode val="edge"/>
              <c:x val="2.1702824460375292E-2"/>
              <c:y val="0.61256573191508967"/>
            </c:manualLayout>
          </c:layout>
        </c:title>
        <c:numFmt formatCode="0.00" sourceLinked="1"/>
        <c:tickLblPos val="nextTo"/>
        <c:txPr>
          <a:bodyPr rot="0" vert="horz"/>
          <a:lstStyle/>
          <a:p>
            <a:pPr>
              <a:defRPr sz="87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5512960"/>
        <c:crosses val="autoZero"/>
        <c:crossBetween val="between"/>
        <c:majorUnit val="4"/>
        <c:minorUnit val="4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</c:plotArea>
    <c:plotVisOnly val="1"/>
    <c:dispBlanksAs val="gap"/>
  </c:chart>
  <c:spPr>
    <a:ln>
      <a:noFill/>
    </a:ln>
  </c:spPr>
  <c:txPr>
    <a:bodyPr/>
    <a:lstStyle/>
    <a:p>
      <a:pPr>
        <a:defRPr sz="87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100"/>
              <a:t>Динамика сводного индекса потребительских цен и индекса цен на продольственные товары, %</a:t>
            </a:r>
          </a:p>
        </c:rich>
      </c:tx>
      <c:layout>
        <c:manualLayout>
          <c:xMode val="edge"/>
          <c:yMode val="edge"/>
          <c:x val="0.16643267906118478"/>
          <c:y val="2.6723932235743296E-4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0.24529564660637293"/>
          <c:y val="0.16206244489709329"/>
          <c:w val="0.72029714308859694"/>
          <c:h val="0.4056085551289563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- июнь 2018 г. </c:v>
                </c:pt>
              </c:strCache>
            </c:strRef>
          </c:tx>
          <c:spPr>
            <a:solidFill>
              <a:srgbClr val="4F81BD">
                <a:lumMod val="75000"/>
              </a:srgbClr>
            </a:solidFill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6.9903073139481354E-4"/>
                  <c:y val="1.0049803845190729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+5,36*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2100265990241215E-3"/>
                  <c:y val="1.5667389402411681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+10,34*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7157263236833544E-3"/>
                  <c:y val="1.593599926646783E-3"/>
                </c:manualLayout>
              </c:layout>
              <c:tx>
                <c:rich>
                  <a:bodyPr/>
                  <a:lstStyle/>
                  <a:p>
                    <a:r>
                      <a:rPr sz="900"/>
                      <a:t>+4,40*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7365414069004281E-3"/>
                  <c:y val="2.1991239948509652E-2"/>
                </c:manualLayout>
              </c:layout>
              <c:tx>
                <c:rich>
                  <a:bodyPr/>
                  <a:lstStyle/>
                  <a:p>
                    <a:r>
                      <a:rPr sz="900"/>
                      <a:t>+0,88*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212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Сводный индекс потребительских цен (инфляция)</c:v>
                </c:pt>
                <c:pt idx="1">
                  <c:v>Индекс цен на продовольственные товары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105.36</c:v>
                </c:pt>
                <c:pt idx="1">
                  <c:v>110.34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- июнь 2018 г. (скорректированный)</c:v>
                </c:pt>
              </c:strCache>
            </c:strRef>
          </c:tx>
          <c:spPr>
            <a:gradFill flip="none" rotWithShape="1">
              <a:gsLst>
                <a:gs pos="0">
                  <a:srgbClr val="03D4A8"/>
                </a:gs>
                <a:gs pos="25000">
                  <a:srgbClr val="21D6E0"/>
                </a:gs>
                <a:gs pos="75000">
                  <a:srgbClr val="0087E6"/>
                </a:gs>
                <a:gs pos="100000">
                  <a:srgbClr val="005CBF"/>
                </a:gs>
              </a:gsLst>
              <a:lin ang="13500000" scaled="1"/>
              <a:tileRect/>
            </a:gra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5.7406959832768181E-3"/>
                  <c:y val="1.5870712790114719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+2,90*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793831622111244E-4"/>
                  <c:y val="1.2329589948797726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+4,32*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7334845856132892E-3"/>
                  <c:y val="1.0885623833103361E-2"/>
                </c:manualLayout>
              </c:layout>
              <c:tx>
                <c:rich>
                  <a:bodyPr/>
                  <a:lstStyle/>
                  <a:p>
                    <a:r>
                      <a:rPr sz="900"/>
                      <a:t>+7,76*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0955090697696534E-3"/>
                  <c:y val="2.1990685507745876E-2"/>
                </c:manualLayout>
              </c:layout>
              <c:tx>
                <c:rich>
                  <a:bodyPr/>
                  <a:lstStyle/>
                  <a:p>
                    <a:r>
                      <a:rPr sz="900"/>
                      <a:t>+1,26*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212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Сводный индекс потребительских цен (инфляция)</c:v>
                </c:pt>
                <c:pt idx="1">
                  <c:v>Индекс цен на продовольственные товары</c:v>
                </c:pt>
              </c:strCache>
            </c:strRef>
          </c:cat>
          <c:val>
            <c:numRef>
              <c:f>Лист1!$C$2:$C$3</c:f>
              <c:numCache>
                <c:formatCode>0.00</c:formatCode>
                <c:ptCount val="2"/>
                <c:pt idx="0">
                  <c:v>102.9</c:v>
                </c:pt>
                <c:pt idx="1">
                  <c:v>104.32</c:v>
                </c:pt>
              </c:numCache>
            </c:numRef>
          </c:val>
        </c:ser>
        <c:axId val="65439616"/>
        <c:axId val="65441152"/>
      </c:barChart>
      <c:catAx>
        <c:axId val="65439616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69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5441152"/>
        <c:crosses val="autoZero"/>
        <c:auto val="1"/>
        <c:lblAlgn val="ctr"/>
        <c:lblOffset val="100"/>
      </c:catAx>
      <c:valAx>
        <c:axId val="65441152"/>
        <c:scaling>
          <c:orientation val="minMax"/>
          <c:max val="112"/>
          <c:min val="102"/>
        </c:scaling>
        <c:axPos val="l"/>
        <c:title>
          <c:tx>
            <c:rich>
              <a:bodyPr rot="0" vert="horz"/>
              <a:lstStyle/>
              <a:p>
                <a:pPr algn="ctr">
                  <a:defRPr sz="69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800"/>
                  <a:t>* - прирост (снижение)  индекса цен,%</a:t>
                </a:r>
              </a:p>
            </c:rich>
          </c:tx>
          <c:layout>
            <c:manualLayout>
              <c:xMode val="edge"/>
              <c:yMode val="edge"/>
              <c:x val="1.2758375791261396E-2"/>
              <c:y val="0.45771198600174978"/>
            </c:manualLayout>
          </c:layout>
        </c:title>
        <c:numFmt formatCode="0.00" sourceLinked="1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5439616"/>
        <c:crosses val="autoZero"/>
        <c:crossBetween val="between"/>
        <c:majorUnit val="2"/>
        <c:minorUnit val="1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2212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697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0.56433</cdr:x>
      <cdr:y>0.89474</cdr:y>
    </cdr:from>
    <cdr:to>
      <cdr:x>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676650" y="2028331"/>
          <a:ext cx="2838450" cy="2386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* -темп</a:t>
          </a:r>
          <a:r>
            <a:rPr lang="ru-RU" sz="1000" b="1" baseline="0">
              <a:latin typeface="Times New Roman" pitchFamily="18" charset="0"/>
              <a:cs typeface="Times New Roman" pitchFamily="18" charset="0"/>
            </a:rPr>
            <a:t> роста к предыдущему году, %</a:t>
          </a:r>
          <a:endParaRPr lang="ru-RU" sz="10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0.92717</cdr:y>
    </cdr:from>
    <cdr:to>
      <cdr:x>0.1892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3152775"/>
          <a:ext cx="1123950" cy="2476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0.74558</cdr:x>
      <cdr:y>0</cdr:y>
    </cdr:from>
    <cdr:to>
      <cdr:x>1</cdr:x>
      <cdr:y>0.18403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630275" y="0"/>
          <a:ext cx="1580025" cy="5048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850" b="1">
              <a:latin typeface="Times New Roman" pitchFamily="18" charset="0"/>
              <a:cs typeface="Times New Roman" pitchFamily="18" charset="0"/>
            </a:rPr>
            <a:t>*</a:t>
          </a:r>
          <a:r>
            <a:rPr lang="en-US" sz="850" b="1" baseline="0">
              <a:latin typeface="Times New Roman" pitchFamily="18" charset="0"/>
              <a:cs typeface="Times New Roman" pitchFamily="18" charset="0"/>
            </a:rPr>
            <a:t> - </a:t>
          </a:r>
          <a:r>
            <a:rPr lang="ru-RU" sz="850" b="1" baseline="0">
              <a:latin typeface="Times New Roman" pitchFamily="18" charset="0"/>
              <a:cs typeface="Times New Roman" pitchFamily="18" charset="0"/>
            </a:rPr>
            <a:t>темп роста в</a:t>
          </a:r>
        </a:p>
        <a:p xmlns:a="http://schemas.openxmlformats.org/drawingml/2006/main">
          <a:r>
            <a:rPr lang="ru-RU" sz="850" b="1" baseline="0">
              <a:latin typeface="Times New Roman" pitchFamily="18" charset="0"/>
              <a:cs typeface="Times New Roman" pitchFamily="18" charset="0"/>
            </a:rPr>
            <a:t> сопоставимых ценах к </a:t>
          </a:r>
        </a:p>
        <a:p xmlns:a="http://schemas.openxmlformats.org/drawingml/2006/main">
          <a:r>
            <a:rPr lang="ru-RU" sz="850" b="1" baseline="0">
              <a:latin typeface="Times New Roman" pitchFamily="18" charset="0"/>
              <a:cs typeface="Times New Roman" pitchFamily="18" charset="0"/>
            </a:rPr>
            <a:t>соответствующему периоду</a:t>
          </a:r>
        </a:p>
        <a:p xmlns:a="http://schemas.openxmlformats.org/drawingml/2006/main">
          <a:r>
            <a:rPr lang="ru-RU" sz="850" b="1" baseline="0">
              <a:latin typeface="Times New Roman" pitchFamily="18" charset="0"/>
              <a:cs typeface="Times New Roman" pitchFamily="18" charset="0"/>
            </a:rPr>
            <a:t> прошлого года,%</a:t>
          </a:r>
          <a:endParaRPr lang="ru-RU" sz="85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30B52-B09E-40D1-A5B7-F96BCD24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3258</Words>
  <Characters>21552</Characters>
  <Application>Microsoft Office Word</Application>
  <DocSecurity>0</DocSecurity>
  <Lines>179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kovalenko-k</dc:creator>
  <cp:keywords/>
  <cp:lastModifiedBy>grecha-m</cp:lastModifiedBy>
  <cp:revision>13</cp:revision>
  <cp:lastPrinted>2018-07-20T13:09:00Z</cp:lastPrinted>
  <dcterms:created xsi:type="dcterms:W3CDTF">2018-07-20T13:25:00Z</dcterms:created>
  <dcterms:modified xsi:type="dcterms:W3CDTF">2018-07-24T07:16:00Z</dcterms:modified>
</cp:coreProperties>
</file>