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E" w:rsidRDefault="0011673E" w:rsidP="0011673E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7A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</w:t>
      </w:r>
      <w:r w:rsidR="00F452ED" w:rsidRPr="00B56C7A">
        <w:rPr>
          <w:rFonts w:ascii="Times New Roman" w:hAnsi="Times New Roman" w:cs="Times New Roman"/>
          <w:sz w:val="24"/>
          <w:szCs w:val="24"/>
        </w:rPr>
        <w:t xml:space="preserve"> Молдавской Республики в январе-</w:t>
      </w:r>
      <w:r w:rsidR="0023331B" w:rsidRPr="00B56C7A">
        <w:rPr>
          <w:rFonts w:ascii="Times New Roman" w:hAnsi="Times New Roman" w:cs="Times New Roman"/>
          <w:sz w:val="24"/>
          <w:szCs w:val="24"/>
        </w:rPr>
        <w:t>март</w:t>
      </w:r>
      <w:r w:rsidR="00F452ED" w:rsidRPr="00B56C7A">
        <w:rPr>
          <w:rFonts w:ascii="Times New Roman" w:hAnsi="Times New Roman" w:cs="Times New Roman"/>
          <w:sz w:val="24"/>
          <w:szCs w:val="24"/>
        </w:rPr>
        <w:t xml:space="preserve">е </w:t>
      </w:r>
      <w:r w:rsidRPr="00B56C7A">
        <w:rPr>
          <w:rFonts w:ascii="Times New Roman" w:hAnsi="Times New Roman" w:cs="Times New Roman"/>
          <w:sz w:val="24"/>
          <w:szCs w:val="24"/>
        </w:rPr>
        <w:t>201</w:t>
      </w:r>
      <w:r w:rsidR="000D352A" w:rsidRPr="00B56C7A">
        <w:rPr>
          <w:rFonts w:ascii="Times New Roman" w:hAnsi="Times New Roman" w:cs="Times New Roman"/>
          <w:sz w:val="24"/>
          <w:szCs w:val="24"/>
        </w:rPr>
        <w:t>6</w:t>
      </w:r>
      <w:r w:rsidRPr="00B56C7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73FDA" w:rsidRDefault="00D73FDA" w:rsidP="00B84046">
      <w:pPr>
        <w:pStyle w:val="ab"/>
        <w:spacing w:before="0" w:beforeAutospacing="0" w:after="0" w:afterAutospacing="0"/>
        <w:ind w:firstLine="709"/>
        <w:jc w:val="both"/>
      </w:pPr>
    </w:p>
    <w:p w:rsidR="008727F3" w:rsidRPr="00B56C7A" w:rsidRDefault="008727F3" w:rsidP="00B84046">
      <w:pPr>
        <w:pStyle w:val="ab"/>
        <w:spacing w:before="0" w:beforeAutospacing="0" w:after="0" w:afterAutospacing="0"/>
        <w:ind w:firstLine="709"/>
        <w:jc w:val="both"/>
      </w:pPr>
      <w:r w:rsidRPr="00B56C7A">
        <w:t>Давление внешних факторов в совокупности с внутренними проблемами</w:t>
      </w:r>
      <w:r w:rsidR="00431ECE" w:rsidRPr="00B56C7A">
        <w:t xml:space="preserve"> продолжали </w:t>
      </w:r>
      <w:r w:rsidRPr="00B56C7A">
        <w:t>оказыва</w:t>
      </w:r>
      <w:r w:rsidR="00431ECE" w:rsidRPr="00B56C7A">
        <w:t>ть</w:t>
      </w:r>
      <w:r w:rsidRPr="00B56C7A">
        <w:t xml:space="preserve"> дестабилизирующее воздействие на динамику основных макроэкономических показателей</w:t>
      </w:r>
      <w:r w:rsidR="00431ECE" w:rsidRPr="00B56C7A">
        <w:t xml:space="preserve"> в январе-</w:t>
      </w:r>
      <w:r w:rsidR="0023331B" w:rsidRPr="00B56C7A">
        <w:t>март</w:t>
      </w:r>
      <w:r w:rsidR="00431ECE" w:rsidRPr="00B56C7A">
        <w:t>е 2016 года</w:t>
      </w:r>
      <w:r w:rsidRPr="00B56C7A">
        <w:t xml:space="preserve"> и </w:t>
      </w:r>
      <w:r w:rsidR="00431ECE" w:rsidRPr="00B56C7A">
        <w:t xml:space="preserve">на </w:t>
      </w:r>
      <w:r w:rsidRPr="00B56C7A">
        <w:t>развитие экономики в целом.</w:t>
      </w:r>
    </w:p>
    <w:p w:rsidR="0011673E" w:rsidRPr="00B56C7A" w:rsidRDefault="0011673E" w:rsidP="001167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D34" w:rsidRPr="00B56C7A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BE4CC9" w:rsidRPr="00B56C7A" w:rsidRDefault="00AE0D34" w:rsidP="00BE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1A19EA" w:rsidRPr="00B56C7A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</w:t>
      </w:r>
      <w:r w:rsidR="001A19EA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соседними государствами</w:t>
      </w:r>
      <w:r w:rsidR="001A19EA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ограничительных барьеров </w:t>
      </w:r>
      <w:r w:rsidR="001A19EA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отношении Приднестровской Молдавской Республики</w:t>
      </w:r>
      <w:r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а также падени</w:t>
      </w:r>
      <w:r w:rsidR="00CE4D7F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я</w:t>
      </w:r>
      <w:r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спроса на приднестровскую продукцию </w:t>
      </w:r>
      <w:r w:rsidR="00986063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фоне </w:t>
      </w:r>
      <w:r w:rsidR="001D5663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ввоза </w:t>
      </w:r>
      <w:r w:rsidR="00986063" w:rsidRPr="00B56C7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более дешевых товаров аналогов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. Объем п</w:t>
      </w:r>
      <w:r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</w:t>
      </w:r>
      <w:r w:rsidR="00FF5855" w:rsidRPr="00B56C7A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мар</w:t>
      </w:r>
      <w:r w:rsidR="00D535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55"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>2016</w:t>
      </w:r>
      <w:r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</w:t>
      </w:r>
      <w:r w:rsidR="00FF5855"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составил в абсолютной величине 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млн. руб., что 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е аналогичного показателя прошлого года на 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663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97,1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% к уровню показателя 201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Доход от реализации в </w:t>
      </w:r>
      <w:r w:rsidR="008727F3" w:rsidRPr="00B56C7A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сложился ниже показателя 201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4D7F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состави</w:t>
      </w:r>
      <w:r w:rsidR="00CE4D7F" w:rsidRPr="00B56C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009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4C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C35210" w:rsidRPr="00B56C7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80</w:t>
      </w:r>
      <w:r w:rsidR="00986063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7F7" w:rsidRPr="00B56C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210"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  <w:r w:rsidR="007A0520" w:rsidRPr="00B56C7A">
        <w:rPr>
          <w:rFonts w:ascii="Times New Roman" w:eastAsia="Times New Roman" w:hAnsi="Times New Roman" w:cs="Times New Roman"/>
          <w:sz w:val="24"/>
          <w:szCs w:val="24"/>
        </w:rPr>
        <w:t xml:space="preserve"> Доля экспорта в общем объеме промышленного производства </w:t>
      </w:r>
      <w:r w:rsidR="00D535D9">
        <w:rPr>
          <w:rFonts w:ascii="Times New Roman" w:eastAsia="Times New Roman" w:hAnsi="Times New Roman" w:cs="Times New Roman"/>
          <w:sz w:val="24"/>
          <w:szCs w:val="24"/>
        </w:rPr>
        <w:t>расширилась до</w:t>
      </w:r>
      <w:r w:rsidR="007A0520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68" w:rsidRPr="00B56C7A">
        <w:rPr>
          <w:rFonts w:ascii="Times New Roman" w:eastAsia="Times New Roman" w:hAnsi="Times New Roman" w:cs="Times New Roman"/>
          <w:sz w:val="24"/>
          <w:szCs w:val="24"/>
        </w:rPr>
        <w:t>71,8</w:t>
      </w:r>
      <w:r w:rsidR="007A0520" w:rsidRPr="00B56C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B367D5" w:rsidRPr="00B56C7A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CC2281" w:rsidRPr="00B56C7A">
        <w:rPr>
          <w:rFonts w:ascii="Times New Roman" w:eastAsia="Times New Roman" w:hAnsi="Times New Roman" w:cs="Times New Roman"/>
          <w:sz w:val="24"/>
          <w:szCs w:val="24"/>
        </w:rPr>
        <w:t>70,</w:t>
      </w:r>
      <w:r w:rsidR="00995F68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67D5" w:rsidRPr="00B56C7A">
        <w:rPr>
          <w:rFonts w:ascii="Times New Roman" w:eastAsia="Times New Roman" w:hAnsi="Times New Roman" w:cs="Times New Roman"/>
          <w:sz w:val="24"/>
          <w:szCs w:val="24"/>
        </w:rPr>
        <w:t>% в базовом периоде 2015 года.</w:t>
      </w:r>
    </w:p>
    <w:p w:rsidR="00AE0D34" w:rsidRPr="00B56C7A" w:rsidRDefault="00613D98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381000</wp:posOffset>
            </wp:positionV>
            <wp:extent cx="2590800" cy="2047875"/>
            <wp:effectExtent l="19050" t="0" r="0" b="0"/>
            <wp:wrapTight wrapText="bothSides">
              <wp:wrapPolygon edited="0">
                <wp:start x="-159" y="0"/>
                <wp:lineTo x="-159" y="21299"/>
                <wp:lineTo x="21600" y="21299"/>
                <wp:lineTo x="21600" y="0"/>
                <wp:lineTo x="-159" y="0"/>
              </wp:wrapPolygon>
            </wp:wrapTight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381000</wp:posOffset>
            </wp:positionV>
            <wp:extent cx="3743325" cy="1933575"/>
            <wp:effectExtent l="19050" t="0" r="0" b="0"/>
            <wp:wrapTight wrapText="bothSides">
              <wp:wrapPolygon edited="0">
                <wp:start x="-110" y="0"/>
                <wp:lineTo x="-110" y="21281"/>
                <wp:lineTo x="21545" y="21281"/>
                <wp:lineTo x="21545" y="0"/>
                <wp:lineTo x="-110" y="0"/>
              </wp:wrapPolygon>
            </wp:wrapTight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81" w:rsidRPr="00B56C7A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D574E0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D119CE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72F78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выглядела следующим образом:</w:t>
      </w:r>
    </w:p>
    <w:p w:rsidR="00AE0D34" w:rsidRPr="00B56C7A" w:rsidRDefault="00D535D9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 на у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 xml:space="preserve">меньшение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в электроэнергетике </w:t>
      </w:r>
      <w:r>
        <w:rPr>
          <w:rFonts w:ascii="Times New Roman" w:eastAsia="Times New Roman" w:hAnsi="Times New Roman" w:cs="Times New Roman"/>
          <w:sz w:val="24"/>
          <w:szCs w:val="24"/>
        </w:rPr>
        <w:t>(«-»5,0%) предприятиям отрасли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сохранить </w:t>
      </w:r>
      <w:r w:rsidR="00766713" w:rsidRPr="00B56C7A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лидирующую 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позицию в структуре выпуска – </w:t>
      </w:r>
      <w:r w:rsidR="00766713" w:rsidRPr="00B56C7A">
        <w:rPr>
          <w:rFonts w:ascii="Times New Roman" w:eastAsia="Times New Roman" w:hAnsi="Times New Roman" w:cs="Times New Roman"/>
          <w:sz w:val="24"/>
          <w:szCs w:val="24"/>
        </w:rPr>
        <w:t>39,0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66713" w:rsidRPr="00B56C7A">
        <w:rPr>
          <w:rFonts w:ascii="Times New Roman" w:eastAsia="Times New Roman" w:hAnsi="Times New Roman" w:cs="Times New Roman"/>
          <w:sz w:val="24"/>
          <w:szCs w:val="24"/>
        </w:rPr>
        <w:t>47,6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523F1E" w:rsidRPr="00B56C7A">
        <w:rPr>
          <w:rFonts w:ascii="Times New Roman" w:eastAsia="Times New Roman" w:hAnsi="Times New Roman" w:cs="Times New Roman"/>
          <w:sz w:val="24"/>
          <w:szCs w:val="24"/>
        </w:rPr>
        <w:t xml:space="preserve">январе </w:t>
      </w:r>
      <w:r w:rsidR="0039391D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6713"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март</w:t>
      </w:r>
      <w:r w:rsidR="0039391D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3F1E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23F1E" w:rsidRPr="00B56C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). На металлургию в результате 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объемов товарного выпуска в 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соответствующему периоду 2015 года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, в рассматриваемом периоде приходилось 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16,6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>% в январе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года. Предприятия легкой и пищевой промышленности сформировали </w:t>
      </w:r>
      <w:r w:rsidR="00665821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товарного выпуска соответственно против 1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 и 1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 в аналогичном периоде 201</w:t>
      </w:r>
      <w:r w:rsidR="007A0520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13C0" w:rsidRDefault="007057D2" w:rsidP="00995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промышленного производства в </w:t>
      </w:r>
      <w:r w:rsidR="00B01360" w:rsidRPr="00B56C7A"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="007A0520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DC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фоне низких базовых показателей 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вырос по отношению к показателю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21,9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4046" w:rsidRPr="00B56C7A">
        <w:rPr>
          <w:rFonts w:ascii="Times New Roman" w:eastAsia="Times New Roman" w:hAnsi="Times New Roman" w:cs="Times New Roman"/>
          <w:sz w:val="24"/>
          <w:szCs w:val="24"/>
        </w:rPr>
        <w:t xml:space="preserve">а к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марту</w:t>
      </w:r>
      <w:r w:rsidR="00B84046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2015 года на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24,4</w:t>
      </w:r>
      <w:r w:rsidR="00B84046" w:rsidRPr="00B56C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046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значение показателя</w:t>
      </w:r>
      <w:r w:rsidR="001F1A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достигнутое в марте 2016 года</w:t>
      </w:r>
      <w:r w:rsidR="001F1A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D27" w:rsidRPr="00B56C7A">
        <w:rPr>
          <w:rFonts w:ascii="Times New Roman" w:eastAsia="Times New Roman" w:hAnsi="Times New Roman" w:cs="Times New Roman"/>
          <w:sz w:val="24"/>
          <w:szCs w:val="24"/>
        </w:rPr>
        <w:t xml:space="preserve">сложилось 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993D27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параметра 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649F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 w:rsidR="005A4136" w:rsidRPr="00B56C7A">
        <w:rPr>
          <w:rFonts w:ascii="Times New Roman" w:eastAsia="Times New Roman" w:hAnsi="Times New Roman" w:cs="Times New Roman"/>
          <w:sz w:val="24"/>
          <w:szCs w:val="24"/>
        </w:rPr>
        <w:t xml:space="preserve"> на 9,4%</w:t>
      </w:r>
      <w:r w:rsidR="00F813C0" w:rsidRPr="00B56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95C" w:rsidRDefault="009E695C" w:rsidP="00995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5C" w:rsidRDefault="009E695C" w:rsidP="00995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5C" w:rsidRDefault="009E695C" w:rsidP="00995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FDA" w:rsidRDefault="00D73FDA" w:rsidP="00995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7EB" w:rsidRPr="00B56C7A" w:rsidRDefault="007227EB" w:rsidP="00CB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Динамика промышленного производства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AE0D34" w:rsidRPr="00B56C7A" w:rsidRDefault="00AE0D34" w:rsidP="00F452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C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81700" cy="1295400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7BD3" w:rsidRDefault="00AA7BD3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34" w:rsidRPr="00B56C7A" w:rsidRDefault="00817C24" w:rsidP="00AA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инамика промышленного производства в </w:t>
      </w:r>
      <w:r w:rsidR="002C6187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D3092F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базов</w:t>
      </w:r>
      <w:r w:rsidR="00D61F2F" w:rsidRPr="00B56C7A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D61F2F" w:rsidRPr="00B56C7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61F2F" w:rsidRPr="00B56C7A">
        <w:rPr>
          <w:rFonts w:ascii="Times New Roman" w:eastAsia="Times New Roman" w:hAnsi="Times New Roman" w:cs="Times New Roman"/>
          <w:sz w:val="24"/>
          <w:szCs w:val="24"/>
        </w:rPr>
        <w:t>свидетельствует о</w:t>
      </w:r>
      <w:r w:rsidR="008624DC" w:rsidRPr="00B56C7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4DC" w:rsidRPr="00B56C7A">
        <w:rPr>
          <w:rFonts w:ascii="Times New Roman" w:eastAsia="Times New Roman" w:hAnsi="Times New Roman" w:cs="Times New Roman"/>
          <w:sz w:val="24"/>
          <w:szCs w:val="24"/>
        </w:rPr>
        <w:t>увеличении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по отдельным отраслям промышленности и промышленным предприятиям</w:t>
      </w:r>
      <w:r w:rsidR="00AA7B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выглядит следующим образом:</w:t>
      </w:r>
    </w:p>
    <w:p w:rsidR="00AE0D34" w:rsidRPr="00B56C7A" w:rsidRDefault="00AE0D34" w:rsidP="00AE0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="00235883" w:rsidRPr="00B56C7A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>отраслей</w:t>
      </w:r>
      <w:proofErr w:type="spellEnd"/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AE0D34" w:rsidRPr="00B56C7A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6C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30384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BD3" w:rsidRDefault="00AA7BD3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34" w:rsidRPr="00B56C7A" w:rsidRDefault="00D61F2F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87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0D34" w:rsidRPr="00EA6878">
        <w:rPr>
          <w:rFonts w:ascii="Times New Roman" w:eastAsia="Times New Roman" w:hAnsi="Times New Roman" w:cs="Times New Roman"/>
          <w:sz w:val="24"/>
          <w:szCs w:val="24"/>
        </w:rPr>
        <w:t xml:space="preserve">величение промышленного производства </w:t>
      </w:r>
      <w:r w:rsidR="00F456DC" w:rsidRPr="00EA6878">
        <w:rPr>
          <w:rFonts w:ascii="Times New Roman" w:hAnsi="Times New Roman"/>
          <w:sz w:val="24"/>
          <w:szCs w:val="24"/>
        </w:rPr>
        <w:t>по итогам января-</w:t>
      </w:r>
      <w:r w:rsidR="00B264EC" w:rsidRPr="00EA6878">
        <w:rPr>
          <w:rFonts w:ascii="Times New Roman" w:hAnsi="Times New Roman"/>
          <w:sz w:val="24"/>
          <w:szCs w:val="24"/>
        </w:rPr>
        <w:t>марта</w:t>
      </w:r>
      <w:r w:rsidR="00F456DC" w:rsidRPr="00EA6878">
        <w:rPr>
          <w:rFonts w:ascii="Times New Roman" w:hAnsi="Times New Roman"/>
          <w:sz w:val="24"/>
          <w:szCs w:val="24"/>
        </w:rPr>
        <w:t xml:space="preserve"> 2016 года </w:t>
      </w:r>
      <w:r w:rsidR="00AE0D34" w:rsidRPr="00EA6878">
        <w:rPr>
          <w:rFonts w:ascii="Times New Roman" w:eastAsia="Times New Roman" w:hAnsi="Times New Roman" w:cs="Times New Roman"/>
          <w:sz w:val="24"/>
          <w:szCs w:val="24"/>
        </w:rPr>
        <w:t>по отношению к аналогичному периоду 201</w:t>
      </w:r>
      <w:r w:rsidR="002469D7" w:rsidRPr="00EA68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A6878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в следующих </w:t>
      </w:r>
      <w:proofErr w:type="spellStart"/>
      <w:r w:rsidR="00AE0D34" w:rsidRPr="00EA6878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EA6878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9A6160" w:rsidRPr="00B56C7A" w:rsidRDefault="00DC1DCC" w:rsidP="009A6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F456DC" w:rsidRPr="00B56C7A">
        <w:rPr>
          <w:rFonts w:ascii="Times New Roman" w:hAnsi="Times New Roman"/>
          <w:sz w:val="24"/>
          <w:szCs w:val="24"/>
        </w:rPr>
        <w:t>в</w:t>
      </w:r>
      <w:r w:rsidR="009A6160" w:rsidRPr="00B56C7A">
        <w:rPr>
          <w:rFonts w:ascii="Times New Roman" w:hAnsi="Times New Roman"/>
          <w:sz w:val="24"/>
          <w:szCs w:val="24"/>
        </w:rPr>
        <w:t xml:space="preserve"> январ</w:t>
      </w:r>
      <w:r w:rsidR="00F456DC" w:rsidRPr="00B56C7A">
        <w:rPr>
          <w:rFonts w:ascii="Times New Roman" w:hAnsi="Times New Roman"/>
          <w:sz w:val="24"/>
          <w:szCs w:val="24"/>
        </w:rPr>
        <w:t>е</w:t>
      </w:r>
      <w:r w:rsidR="009A6160" w:rsidRPr="00B56C7A">
        <w:rPr>
          <w:rFonts w:ascii="Times New Roman" w:hAnsi="Times New Roman"/>
          <w:sz w:val="24"/>
          <w:szCs w:val="24"/>
        </w:rPr>
        <w:t>-</w:t>
      </w:r>
      <w:r w:rsidR="00B264EC" w:rsidRPr="00B56C7A">
        <w:rPr>
          <w:rFonts w:ascii="Times New Roman" w:hAnsi="Times New Roman"/>
          <w:sz w:val="24"/>
          <w:szCs w:val="24"/>
        </w:rPr>
        <w:t>март</w:t>
      </w:r>
      <w:r w:rsidR="00F456DC" w:rsidRPr="00B56C7A">
        <w:rPr>
          <w:rFonts w:ascii="Times New Roman" w:hAnsi="Times New Roman"/>
          <w:sz w:val="24"/>
          <w:szCs w:val="24"/>
        </w:rPr>
        <w:t>е</w:t>
      </w:r>
      <w:r w:rsidR="009A6160" w:rsidRPr="00B56C7A">
        <w:rPr>
          <w:rFonts w:ascii="Times New Roman" w:hAnsi="Times New Roman"/>
          <w:sz w:val="24"/>
          <w:szCs w:val="24"/>
        </w:rPr>
        <w:t xml:space="preserve"> </w:t>
      </w:r>
      <w:r w:rsidR="00F456DC" w:rsidRPr="00B56C7A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9A6160" w:rsidRPr="00B56C7A">
        <w:rPr>
          <w:rFonts w:ascii="Times New Roman" w:hAnsi="Times New Roman"/>
          <w:sz w:val="24"/>
          <w:szCs w:val="24"/>
        </w:rPr>
        <w:t xml:space="preserve">увеличение производства проката черных металлов </w:t>
      </w:r>
      <w:r w:rsidR="00313F8D" w:rsidRPr="00B56C7A">
        <w:rPr>
          <w:rFonts w:ascii="Times New Roman" w:hAnsi="Times New Roman"/>
          <w:sz w:val="24"/>
          <w:szCs w:val="24"/>
        </w:rPr>
        <w:t>в 2,2 раза</w:t>
      </w:r>
      <w:r w:rsidR="00544ABB">
        <w:rPr>
          <w:rFonts w:ascii="Times New Roman" w:hAnsi="Times New Roman"/>
          <w:sz w:val="24"/>
          <w:szCs w:val="24"/>
        </w:rPr>
        <w:t>, проволоки стальной - на 70,2%, труб стальных - на 36,4% в совокупности с падением производства стали до 0,5% предопределило увеличение товарного выпуска по отрасли по отношению к сопоставимому периоду минувшего года в 2,2 раза.</w:t>
      </w:r>
      <w:r w:rsidR="009A6160" w:rsidRPr="00B56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09FA" w:rsidRPr="00B56C7A">
        <w:rPr>
          <w:rFonts w:ascii="Times New Roman" w:hAnsi="Times New Roman"/>
          <w:sz w:val="24"/>
          <w:szCs w:val="24"/>
        </w:rPr>
        <w:t xml:space="preserve">При этом следует отметить, что в </w:t>
      </w:r>
      <w:r w:rsidR="00313F8D" w:rsidRPr="00B56C7A">
        <w:rPr>
          <w:rFonts w:ascii="Times New Roman" w:hAnsi="Times New Roman"/>
          <w:sz w:val="24"/>
          <w:szCs w:val="24"/>
        </w:rPr>
        <w:t>марте</w:t>
      </w:r>
      <w:r w:rsidR="004109FA" w:rsidRPr="00B56C7A">
        <w:rPr>
          <w:rFonts w:ascii="Times New Roman" w:hAnsi="Times New Roman"/>
          <w:sz w:val="24"/>
          <w:szCs w:val="24"/>
        </w:rPr>
        <w:t xml:space="preserve"> 2016 года отмечен </w:t>
      </w:r>
      <w:r w:rsidR="00EA6878">
        <w:rPr>
          <w:rFonts w:ascii="Times New Roman" w:hAnsi="Times New Roman"/>
          <w:sz w:val="24"/>
          <w:szCs w:val="24"/>
        </w:rPr>
        <w:t>при</w:t>
      </w:r>
      <w:r w:rsidR="004109FA" w:rsidRPr="00B56C7A">
        <w:rPr>
          <w:rFonts w:ascii="Times New Roman" w:hAnsi="Times New Roman"/>
          <w:sz w:val="24"/>
          <w:szCs w:val="24"/>
        </w:rPr>
        <w:t xml:space="preserve">рост объема промышленного производства отрасли на </w:t>
      </w:r>
      <w:r w:rsidR="00313F8D" w:rsidRPr="00B56C7A">
        <w:rPr>
          <w:rFonts w:ascii="Times New Roman" w:hAnsi="Times New Roman"/>
          <w:sz w:val="24"/>
          <w:szCs w:val="24"/>
        </w:rPr>
        <w:t>45,7</w:t>
      </w:r>
      <w:r w:rsidR="004109FA" w:rsidRPr="00B56C7A">
        <w:rPr>
          <w:rFonts w:ascii="Times New Roman" w:hAnsi="Times New Roman"/>
          <w:sz w:val="24"/>
          <w:szCs w:val="24"/>
        </w:rPr>
        <w:t xml:space="preserve">% по отношению к показателю предыдущего месяца текущего года, а по отношению к декабрю 2015 года </w:t>
      </w:r>
      <w:r w:rsidR="00EA6878">
        <w:rPr>
          <w:rFonts w:ascii="Times New Roman" w:hAnsi="Times New Roman"/>
          <w:sz w:val="24"/>
          <w:szCs w:val="24"/>
        </w:rPr>
        <w:t>превышение</w:t>
      </w:r>
      <w:r w:rsidR="004109FA" w:rsidRPr="00B56C7A">
        <w:rPr>
          <w:rFonts w:ascii="Times New Roman" w:hAnsi="Times New Roman"/>
          <w:sz w:val="24"/>
          <w:szCs w:val="24"/>
        </w:rPr>
        <w:t xml:space="preserve"> показателя составил</w:t>
      </w:r>
      <w:r w:rsidR="00EA6878">
        <w:rPr>
          <w:rFonts w:ascii="Times New Roman" w:hAnsi="Times New Roman"/>
          <w:sz w:val="24"/>
          <w:szCs w:val="24"/>
        </w:rPr>
        <w:t>о</w:t>
      </w:r>
      <w:r w:rsidR="004109FA" w:rsidRPr="00B56C7A">
        <w:rPr>
          <w:rFonts w:ascii="Times New Roman" w:hAnsi="Times New Roman"/>
          <w:sz w:val="24"/>
          <w:szCs w:val="24"/>
        </w:rPr>
        <w:t xml:space="preserve"> </w:t>
      </w:r>
      <w:r w:rsidR="00313F8D" w:rsidRPr="00B56C7A">
        <w:rPr>
          <w:rFonts w:ascii="Times New Roman" w:hAnsi="Times New Roman"/>
          <w:sz w:val="24"/>
          <w:szCs w:val="24"/>
        </w:rPr>
        <w:t>83,0</w:t>
      </w:r>
      <w:r w:rsidR="004109FA" w:rsidRPr="00B56C7A">
        <w:rPr>
          <w:rFonts w:ascii="Times New Roman" w:hAnsi="Times New Roman"/>
          <w:sz w:val="24"/>
          <w:szCs w:val="24"/>
        </w:rPr>
        <w:t>%</w:t>
      </w:r>
      <w:r w:rsidR="00EA6878">
        <w:rPr>
          <w:rFonts w:ascii="Times New Roman" w:hAnsi="Times New Roman"/>
          <w:sz w:val="24"/>
          <w:szCs w:val="24"/>
        </w:rPr>
        <w:t>.</w:t>
      </w:r>
      <w:r w:rsidR="009B5BA3" w:rsidRPr="00B56C7A">
        <w:rPr>
          <w:rFonts w:ascii="Times New Roman" w:hAnsi="Times New Roman"/>
          <w:sz w:val="24"/>
          <w:szCs w:val="24"/>
        </w:rPr>
        <w:t xml:space="preserve"> </w:t>
      </w:r>
      <w:r w:rsidR="009A6160" w:rsidRPr="00B56C7A">
        <w:rPr>
          <w:rFonts w:ascii="Times New Roman" w:hAnsi="Times New Roman"/>
          <w:sz w:val="24"/>
          <w:szCs w:val="24"/>
        </w:rPr>
        <w:t>Доходы предприятий отрасли на фоне значительного сокращения цены на</w:t>
      </w:r>
      <w:r w:rsidR="00313F8D" w:rsidRPr="00B56C7A">
        <w:rPr>
          <w:rFonts w:ascii="Times New Roman" w:hAnsi="Times New Roman"/>
          <w:sz w:val="24"/>
          <w:szCs w:val="24"/>
        </w:rPr>
        <w:t xml:space="preserve"> сырье и</w:t>
      </w:r>
      <w:r w:rsidR="009A6160" w:rsidRPr="00B56C7A">
        <w:rPr>
          <w:rFonts w:ascii="Times New Roman" w:hAnsi="Times New Roman"/>
          <w:sz w:val="24"/>
          <w:szCs w:val="24"/>
        </w:rPr>
        <w:t xml:space="preserve"> готовую продукцию, а также продолжающейся тенденцией снижения разницы между стоимостью готовой продукции (прокат</w:t>
      </w:r>
      <w:proofErr w:type="gramEnd"/>
      <w:r w:rsidR="009A6160" w:rsidRPr="00B56C7A">
        <w:rPr>
          <w:rFonts w:ascii="Times New Roman" w:hAnsi="Times New Roman"/>
          <w:sz w:val="24"/>
          <w:szCs w:val="24"/>
        </w:rPr>
        <w:t xml:space="preserve">, сталь) и стоимостью лома, являющегося на 70% сырьевой составляющей в стоимости готовой продукции, в рассматриваемом периоде </w:t>
      </w:r>
      <w:r w:rsidR="009B5BA3" w:rsidRPr="00B56C7A">
        <w:rPr>
          <w:rFonts w:ascii="Times New Roman" w:hAnsi="Times New Roman"/>
          <w:sz w:val="24"/>
          <w:szCs w:val="24"/>
        </w:rPr>
        <w:t>увеличились на</w:t>
      </w:r>
      <w:r w:rsidR="009A6160" w:rsidRPr="00B56C7A">
        <w:rPr>
          <w:rFonts w:ascii="Times New Roman" w:hAnsi="Times New Roman"/>
          <w:sz w:val="24"/>
          <w:szCs w:val="24"/>
        </w:rPr>
        <w:t xml:space="preserve"> </w:t>
      </w:r>
      <w:r w:rsidR="00586CBA" w:rsidRPr="00B56C7A">
        <w:rPr>
          <w:rFonts w:ascii="Times New Roman" w:hAnsi="Times New Roman"/>
          <w:sz w:val="24"/>
          <w:szCs w:val="24"/>
        </w:rPr>
        <w:t>30,7</w:t>
      </w:r>
      <w:r w:rsidR="009A6160" w:rsidRPr="00B56C7A">
        <w:rPr>
          <w:rFonts w:ascii="Times New Roman" w:hAnsi="Times New Roman"/>
          <w:sz w:val="24"/>
          <w:szCs w:val="24"/>
        </w:rPr>
        <w:t>% по отношению к</w:t>
      </w:r>
      <w:r w:rsidR="004109FA" w:rsidRPr="00B56C7A">
        <w:rPr>
          <w:rFonts w:ascii="Times New Roman" w:hAnsi="Times New Roman"/>
          <w:sz w:val="24"/>
          <w:szCs w:val="24"/>
        </w:rPr>
        <w:t xml:space="preserve"> базовому показателю 2015 года, а в </w:t>
      </w:r>
      <w:r w:rsidR="00586CBA" w:rsidRPr="00B56C7A">
        <w:rPr>
          <w:rFonts w:ascii="Times New Roman" w:hAnsi="Times New Roman"/>
          <w:sz w:val="24"/>
          <w:szCs w:val="24"/>
        </w:rPr>
        <w:t>март</w:t>
      </w:r>
      <w:r w:rsidR="004109FA" w:rsidRPr="00B56C7A">
        <w:rPr>
          <w:rFonts w:ascii="Times New Roman" w:hAnsi="Times New Roman"/>
          <w:sz w:val="24"/>
          <w:szCs w:val="24"/>
        </w:rPr>
        <w:t xml:space="preserve">е 2016 прирост показателя по отношению к </w:t>
      </w:r>
      <w:r w:rsidR="00586CBA" w:rsidRPr="00B56C7A">
        <w:rPr>
          <w:rFonts w:ascii="Times New Roman" w:hAnsi="Times New Roman"/>
          <w:sz w:val="24"/>
          <w:szCs w:val="24"/>
        </w:rPr>
        <w:t>февралю</w:t>
      </w:r>
      <w:r w:rsidR="004109FA" w:rsidRPr="00B56C7A">
        <w:rPr>
          <w:rFonts w:ascii="Times New Roman" w:hAnsi="Times New Roman"/>
          <w:sz w:val="24"/>
          <w:szCs w:val="24"/>
        </w:rPr>
        <w:t xml:space="preserve"> 2015 года составил </w:t>
      </w:r>
      <w:r w:rsidR="00586CBA" w:rsidRPr="00B56C7A">
        <w:rPr>
          <w:rFonts w:ascii="Times New Roman" w:hAnsi="Times New Roman"/>
          <w:sz w:val="24"/>
          <w:szCs w:val="24"/>
        </w:rPr>
        <w:t>54,0</w:t>
      </w:r>
      <w:r w:rsidR="004109FA" w:rsidRPr="00B56C7A">
        <w:rPr>
          <w:rFonts w:ascii="Times New Roman" w:hAnsi="Times New Roman"/>
          <w:sz w:val="24"/>
          <w:szCs w:val="24"/>
        </w:rPr>
        <w:t>%.</w:t>
      </w:r>
    </w:p>
    <w:p w:rsidR="00586CBA" w:rsidRPr="00B56C7A" w:rsidRDefault="00DC1DCC" w:rsidP="0058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hAnsi="Times New Roman"/>
          <w:sz w:val="24"/>
          <w:szCs w:val="24"/>
        </w:rPr>
        <w:t>б)</w:t>
      </w:r>
      <w:r w:rsidRPr="00B56C7A">
        <w:rPr>
          <w:rFonts w:ascii="Times New Roman" w:hAnsi="Times New Roman"/>
          <w:b/>
          <w:sz w:val="24"/>
          <w:szCs w:val="24"/>
        </w:rPr>
        <w:t xml:space="preserve"> 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итогам января-марта 2016 года на предприятиях </w:t>
      </w:r>
      <w:r w:rsidR="00586CBA" w:rsidRPr="00B56C7A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объем отраслевого выпуска в сопоставимых ценах сложился на 5,4% выше уровня января-марта 2015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года, что обусловлено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динамикой объема промышленного 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производства 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ряде предприятий отрасли. </w:t>
      </w:r>
      <w:proofErr w:type="gram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Так определяющее влияние на отраслевой показатель оказывает работа крупнейшего предприятия отрасли ЗАО «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» (5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свой товарный выпуск за рассматриваемый период на 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16,5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%. Также увеличение товарного выпуска отмечено на 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ЗАО «Швейная фирма «</w:t>
      </w:r>
      <w:proofErr w:type="spellStart"/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 xml:space="preserve">» - на 63,0%, 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 – на </w:t>
      </w:r>
      <w:r w:rsidR="00BA72AC" w:rsidRPr="00B56C7A">
        <w:rPr>
          <w:rFonts w:ascii="Times New Roman" w:eastAsia="Times New Roman" w:hAnsi="Times New Roman" w:cs="Times New Roman"/>
          <w:sz w:val="24"/>
          <w:szCs w:val="24"/>
        </w:rPr>
        <w:t>28,8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%, и др. Достигнутые результаты в </w:t>
      </w:r>
      <w:r w:rsidR="007B690F" w:rsidRPr="00B56C7A">
        <w:rPr>
          <w:rFonts w:ascii="Times New Roman" w:eastAsia="Times New Roman" w:hAnsi="Times New Roman" w:cs="Times New Roman"/>
          <w:sz w:val="24"/>
          <w:szCs w:val="24"/>
        </w:rPr>
        <w:t xml:space="preserve">совокупности с поиском новых рынков сбыта в </w:t>
      </w:r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значительной мере обусловлены оказанием</w:t>
      </w:r>
      <w:proofErr w:type="gram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поддержки 4 предприятиям легкой промышленности (ЗАО «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586CBA" w:rsidRPr="00B56C7A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доходы.</w:t>
      </w:r>
    </w:p>
    <w:p w:rsidR="00586CBA" w:rsidRPr="00B56C7A" w:rsidRDefault="00586CBA" w:rsidP="0058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B690F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е 2016 года по отношению к </w:t>
      </w:r>
      <w:r w:rsidR="007B690F" w:rsidRPr="00B56C7A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ю 2016 года предприятия отрасли демонстрируют увеличение объема промышленного производства на </w:t>
      </w:r>
      <w:r w:rsidR="007B690F" w:rsidRPr="00B56C7A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86CBA" w:rsidRPr="00B56C7A" w:rsidRDefault="00586CBA" w:rsidP="0058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628775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DCC" w:rsidRPr="00B56C7A" w:rsidRDefault="009619EC" w:rsidP="007F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DC1DCC" w:rsidRPr="00B56C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DC1DCC"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ED0C2B"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фиксируется </w:t>
      </w:r>
      <w:r w:rsidR="00B367D5" w:rsidRPr="00B56C7A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AF53AD" w:rsidRPr="00B56C7A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</w:t>
      </w:r>
      <w:r w:rsidR="00276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расширением 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на 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ГУП «</w:t>
      </w:r>
      <w:proofErr w:type="spellStart"/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Биохим</w:t>
      </w:r>
      <w:proofErr w:type="spellEnd"/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 xml:space="preserve">» (в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46,8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 xml:space="preserve"> р.), 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>ЗАО «Букет Молдавии («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+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, ЗАО «Тираспольский винно-коньячный завод «KVINT» («+»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12,2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объемов производства 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ведуще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отрасли ЗАО «Тираспольский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 xml:space="preserve"> винно-коньячный завод «KVINT»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обусловлено 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>существенным снижением производственных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в</w:t>
      </w:r>
      <w:proofErr w:type="gramEnd"/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2D">
        <w:rPr>
          <w:rFonts w:ascii="Times New Roman" w:eastAsia="Times New Roman" w:hAnsi="Times New Roman" w:cs="Times New Roman"/>
          <w:sz w:val="24"/>
          <w:szCs w:val="24"/>
        </w:rPr>
        <w:t xml:space="preserve">базовом </w:t>
      </w:r>
      <w:proofErr w:type="gramStart"/>
      <w:r w:rsidR="001F1A2D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2015 года, на фоне чего в текущем году предприятие </w:t>
      </w:r>
      <w:r w:rsidR="00ED0C2B" w:rsidRPr="00B56C7A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2B" w:rsidRPr="00B56C7A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>ост объема промышленного производства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E3E" w:rsidRPr="00B56C7A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по отношению к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7F27B4" w:rsidRPr="00B56C7A">
        <w:rPr>
          <w:rFonts w:ascii="Times New Roman" w:eastAsia="Times New Roman" w:hAnsi="Times New Roman" w:cs="Times New Roman"/>
          <w:sz w:val="24"/>
          <w:szCs w:val="24"/>
        </w:rPr>
        <w:t>ю месяцу текущего года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BC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отрасли 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отмечается 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DC1DCC" w:rsidRPr="00B56C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B56C7A" w:rsidRDefault="00BE4CC9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пад промышленного производства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по отношению к 201</w:t>
      </w:r>
      <w:r w:rsidR="00CB1111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в </w:t>
      </w:r>
      <w:proofErr w:type="gramStart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DC1DCC" w:rsidRPr="00B56C7A" w:rsidRDefault="00DC1DCC" w:rsidP="003C49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B56C7A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в 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134276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отмечается 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выработки электроэнергии в натуральном в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 xml:space="preserve">ыражении в целом по отрасли на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% по сравнению с соответствующим периодом 201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года, в стоимостном выражении товарный выпуск отрасли 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601C" w:rsidRPr="00B56C7A">
        <w:rPr>
          <w:rFonts w:ascii="Times New Roman" w:eastAsia="Times New Roman" w:hAnsi="Times New Roman" w:cs="Times New Roman"/>
          <w:sz w:val="24"/>
          <w:szCs w:val="24"/>
        </w:rPr>
        <w:t>, что вызвано сокращением поставок электроэнергии как на внешний</w:t>
      </w:r>
      <w:r w:rsidR="004109FA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01C" w:rsidRPr="00B56C7A">
        <w:rPr>
          <w:rFonts w:ascii="Times New Roman" w:eastAsia="Times New Roman" w:hAnsi="Times New Roman" w:cs="Times New Roman"/>
          <w:sz w:val="24"/>
          <w:szCs w:val="24"/>
        </w:rPr>
        <w:t xml:space="preserve"> так и на внутренний рынки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2D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49C7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фоне значительного снижения объема производства в феврале 2016 года            («-»11,9%) отмечен </w:t>
      </w:r>
      <w:r w:rsidR="001F1A2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>рост производственных показателей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февралю              2016 года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3AF2" w:rsidRPr="00B56C7A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C1DCC" w:rsidRPr="00B56C7A" w:rsidRDefault="00DC1DCC" w:rsidP="00DC1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C7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200977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0B7" w:rsidRDefault="005A630C" w:rsidP="00AE0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86CBA" w:rsidRPr="00B56C7A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586CBA" w:rsidRPr="00B56C7A">
        <w:rPr>
          <w:rFonts w:ascii="Times New Roman" w:hAnsi="Times New Roman"/>
          <w:sz w:val="24"/>
          <w:szCs w:val="24"/>
        </w:rPr>
        <w:t>в январе-</w:t>
      </w:r>
      <w:r w:rsidR="00B47DFA" w:rsidRPr="00B56C7A">
        <w:rPr>
          <w:rFonts w:ascii="Times New Roman" w:hAnsi="Times New Roman"/>
          <w:sz w:val="24"/>
          <w:szCs w:val="24"/>
        </w:rPr>
        <w:t>марте</w:t>
      </w:r>
      <w:r w:rsidR="00586CBA" w:rsidRPr="00B56C7A">
        <w:rPr>
          <w:rFonts w:ascii="Times New Roman" w:hAnsi="Times New Roman"/>
          <w:sz w:val="24"/>
          <w:szCs w:val="24"/>
        </w:rPr>
        <w:t xml:space="preserve"> 2016 года наблюдается </w:t>
      </w:r>
      <w:r w:rsidR="00B47DFA" w:rsidRPr="00B56C7A">
        <w:rPr>
          <w:rFonts w:ascii="Times New Roman" w:hAnsi="Times New Roman"/>
          <w:sz w:val="24"/>
          <w:szCs w:val="24"/>
        </w:rPr>
        <w:t>снижение объема промышленного</w:t>
      </w:r>
      <w:r w:rsidR="00586CBA" w:rsidRPr="00B56C7A">
        <w:rPr>
          <w:rFonts w:ascii="Times New Roman" w:hAnsi="Times New Roman"/>
          <w:sz w:val="24"/>
          <w:szCs w:val="24"/>
        </w:rPr>
        <w:t xml:space="preserve"> производства на </w:t>
      </w:r>
      <w:r w:rsidR="00B47DFA" w:rsidRPr="00B56C7A">
        <w:rPr>
          <w:rFonts w:ascii="Times New Roman" w:hAnsi="Times New Roman"/>
          <w:sz w:val="24"/>
          <w:szCs w:val="24"/>
        </w:rPr>
        <w:t>4,0</w:t>
      </w:r>
      <w:r w:rsidR="00586CBA" w:rsidRPr="00B56C7A">
        <w:rPr>
          <w:rFonts w:ascii="Times New Roman" w:hAnsi="Times New Roman"/>
          <w:sz w:val="24"/>
          <w:szCs w:val="24"/>
        </w:rPr>
        <w:t xml:space="preserve">% к базовому показателю 2015 года. Основное влияние на сложившуюся динамику в отрасли оказало </w:t>
      </w:r>
      <w:r w:rsidR="00B47DFA" w:rsidRPr="00B56C7A">
        <w:rPr>
          <w:rFonts w:ascii="Times New Roman" w:hAnsi="Times New Roman"/>
          <w:sz w:val="24"/>
          <w:szCs w:val="24"/>
        </w:rPr>
        <w:t xml:space="preserve">сокращение </w:t>
      </w:r>
      <w:r w:rsidR="00586CBA" w:rsidRPr="00B56C7A">
        <w:rPr>
          <w:rFonts w:ascii="Times New Roman" w:hAnsi="Times New Roman"/>
          <w:sz w:val="24"/>
          <w:szCs w:val="24"/>
        </w:rPr>
        <w:t>объемов производства крупнейшего предприятия отрасли ЗАО «Завод «</w:t>
      </w:r>
      <w:proofErr w:type="spellStart"/>
      <w:r w:rsidR="00586CBA" w:rsidRPr="00B56C7A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586CBA" w:rsidRPr="00B56C7A">
        <w:rPr>
          <w:rFonts w:ascii="Times New Roman" w:hAnsi="Times New Roman"/>
          <w:sz w:val="24"/>
          <w:szCs w:val="24"/>
        </w:rPr>
        <w:t xml:space="preserve">» (на </w:t>
      </w:r>
      <w:r w:rsidR="00B47DFA" w:rsidRPr="00B56C7A">
        <w:rPr>
          <w:rFonts w:ascii="Times New Roman" w:hAnsi="Times New Roman"/>
          <w:sz w:val="24"/>
          <w:szCs w:val="24"/>
        </w:rPr>
        <w:t>3,6</w:t>
      </w:r>
      <w:r w:rsidR="00586CBA" w:rsidRPr="00B56C7A">
        <w:rPr>
          <w:rFonts w:ascii="Times New Roman" w:hAnsi="Times New Roman"/>
          <w:sz w:val="24"/>
          <w:szCs w:val="24"/>
        </w:rPr>
        <w:t xml:space="preserve">%). </w:t>
      </w:r>
      <w:r w:rsidR="00586CBA" w:rsidRPr="003120B7">
        <w:rPr>
          <w:rFonts w:ascii="Times New Roman" w:hAnsi="Times New Roman"/>
          <w:sz w:val="24"/>
          <w:szCs w:val="24"/>
        </w:rPr>
        <w:t>При этом</w:t>
      </w:r>
      <w:proofErr w:type="gramStart"/>
      <w:r w:rsidR="00586CBA" w:rsidRPr="003120B7">
        <w:rPr>
          <w:rFonts w:ascii="Times New Roman" w:hAnsi="Times New Roman"/>
          <w:sz w:val="24"/>
          <w:szCs w:val="24"/>
        </w:rPr>
        <w:t>,</w:t>
      </w:r>
      <w:proofErr w:type="gramEnd"/>
      <w:r w:rsidR="00586CBA" w:rsidRPr="003120B7">
        <w:rPr>
          <w:rFonts w:ascii="Times New Roman" w:hAnsi="Times New Roman"/>
          <w:sz w:val="24"/>
          <w:szCs w:val="24"/>
        </w:rPr>
        <w:t xml:space="preserve"> в </w:t>
      </w:r>
      <w:r w:rsidR="00B47DFA" w:rsidRPr="003120B7">
        <w:rPr>
          <w:rFonts w:ascii="Times New Roman" w:hAnsi="Times New Roman"/>
          <w:sz w:val="24"/>
          <w:szCs w:val="24"/>
        </w:rPr>
        <w:t>март</w:t>
      </w:r>
      <w:r w:rsidR="00586CBA" w:rsidRPr="003120B7">
        <w:rPr>
          <w:rFonts w:ascii="Times New Roman" w:hAnsi="Times New Roman"/>
          <w:sz w:val="24"/>
          <w:szCs w:val="24"/>
        </w:rPr>
        <w:t xml:space="preserve">е 2016 года </w:t>
      </w:r>
      <w:r w:rsidR="003120B7" w:rsidRPr="003120B7">
        <w:rPr>
          <w:rFonts w:ascii="Times New Roman" w:hAnsi="Times New Roman"/>
          <w:sz w:val="24"/>
          <w:szCs w:val="24"/>
        </w:rPr>
        <w:t xml:space="preserve">по отношению к февралю текущего года </w:t>
      </w:r>
      <w:r w:rsidR="00586CBA" w:rsidRPr="003120B7">
        <w:rPr>
          <w:rFonts w:ascii="Times New Roman" w:hAnsi="Times New Roman"/>
          <w:sz w:val="24"/>
          <w:szCs w:val="24"/>
        </w:rPr>
        <w:t xml:space="preserve">по предприятиям отрасли отмечается </w:t>
      </w:r>
      <w:r w:rsidR="003120B7" w:rsidRPr="003120B7">
        <w:rPr>
          <w:rFonts w:ascii="Times New Roman" w:hAnsi="Times New Roman"/>
          <w:sz w:val="24"/>
          <w:szCs w:val="24"/>
        </w:rPr>
        <w:t>при</w:t>
      </w:r>
      <w:r w:rsidR="00323278" w:rsidRPr="003120B7">
        <w:rPr>
          <w:rFonts w:ascii="Times New Roman" w:hAnsi="Times New Roman"/>
          <w:sz w:val="24"/>
          <w:szCs w:val="24"/>
        </w:rPr>
        <w:t>рост</w:t>
      </w:r>
      <w:r w:rsidR="00586CBA" w:rsidRPr="003120B7">
        <w:rPr>
          <w:rFonts w:ascii="Times New Roman" w:hAnsi="Times New Roman"/>
          <w:sz w:val="24"/>
          <w:szCs w:val="24"/>
        </w:rPr>
        <w:t xml:space="preserve"> объема производства на </w:t>
      </w:r>
      <w:r w:rsidR="00323278" w:rsidRPr="003120B7">
        <w:rPr>
          <w:rFonts w:ascii="Times New Roman" w:hAnsi="Times New Roman"/>
          <w:sz w:val="24"/>
          <w:szCs w:val="24"/>
        </w:rPr>
        <w:t>1</w:t>
      </w:r>
      <w:r w:rsidR="00586CBA" w:rsidRPr="003120B7">
        <w:rPr>
          <w:rFonts w:ascii="Times New Roman" w:hAnsi="Times New Roman"/>
          <w:sz w:val="24"/>
          <w:szCs w:val="24"/>
        </w:rPr>
        <w:t>1,</w:t>
      </w:r>
      <w:r w:rsidR="00323278" w:rsidRPr="003120B7">
        <w:rPr>
          <w:rFonts w:ascii="Times New Roman" w:hAnsi="Times New Roman"/>
          <w:sz w:val="24"/>
          <w:szCs w:val="24"/>
        </w:rPr>
        <w:t>3</w:t>
      </w:r>
      <w:r w:rsidR="00586CBA" w:rsidRPr="003120B7">
        <w:rPr>
          <w:rFonts w:ascii="Times New Roman" w:hAnsi="Times New Roman"/>
          <w:sz w:val="24"/>
          <w:szCs w:val="24"/>
        </w:rPr>
        <w:t>%</w:t>
      </w:r>
      <w:r w:rsidR="003120B7" w:rsidRPr="003120B7">
        <w:rPr>
          <w:rFonts w:ascii="Times New Roman" w:hAnsi="Times New Roman"/>
          <w:sz w:val="24"/>
          <w:szCs w:val="24"/>
        </w:rPr>
        <w:t xml:space="preserve">. </w:t>
      </w:r>
      <w:r w:rsidR="00586CBA" w:rsidRPr="003120B7">
        <w:rPr>
          <w:rFonts w:ascii="Times New Roman" w:hAnsi="Times New Roman"/>
          <w:sz w:val="24"/>
          <w:szCs w:val="24"/>
        </w:rPr>
        <w:t xml:space="preserve"> </w:t>
      </w:r>
    </w:p>
    <w:p w:rsidR="00AE0D34" w:rsidRPr="00B56C7A" w:rsidRDefault="00323278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hAnsi="Times New Roman"/>
          <w:sz w:val="24"/>
          <w:szCs w:val="24"/>
        </w:rPr>
        <w:t xml:space="preserve">в)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="00AE0D34" w:rsidRPr="00B56C7A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5A630C" w:rsidRPr="00B56C7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387DC9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A630C" w:rsidRPr="00B56C7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630C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 снижение объема производства по отношению к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базовым параметрам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25,9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%. Данная динамика показателя вызвана снижением объема производства на ОАО «</w:t>
      </w:r>
      <w:proofErr w:type="spellStart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67,1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496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DC9" w:rsidRPr="00B56C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года по отношению к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387DC9" w:rsidRPr="00B56C7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падения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 xml:space="preserve"> на 5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>% объема промышленного производства на ОАО «</w:t>
      </w:r>
      <w:proofErr w:type="spellStart"/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по отрасли 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сократ</w:t>
      </w:r>
      <w:r w:rsidR="00FF31E4" w:rsidRPr="00B56C7A">
        <w:rPr>
          <w:rFonts w:ascii="Times New Roman" w:eastAsia="Times New Roman" w:hAnsi="Times New Roman" w:cs="Times New Roman"/>
          <w:sz w:val="24"/>
          <w:szCs w:val="24"/>
        </w:rPr>
        <w:t>ился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E0D34" w:rsidRPr="00B56C7A" w:rsidRDefault="00323278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AE0D34" w:rsidRPr="00B56C7A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отмечено падение отраслевого выпуска на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24,1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Между тем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 на НП ЗАО «</w:t>
      </w:r>
      <w:proofErr w:type="spellStart"/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70,8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по отношению к аналогичному периоду 2015 года наблюдается </w:t>
      </w:r>
      <w:r w:rsidR="004963A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сопоставимой оценке на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>%; а на втором ведущем предприятии отрасли ЗАО «</w:t>
      </w:r>
      <w:proofErr w:type="spellStart"/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» (33,1% отраслевого выпуска)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в январе-марте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отмечено снижение объемов производства на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56,0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сложной внешнеторговой конъюнктурой.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отрасли в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="00A16ACE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0D2338" w:rsidRPr="00B56C7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F5BF3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года, то отрасль демонстрирует </w:t>
      </w:r>
      <w:r w:rsidR="00ED0C2B" w:rsidRPr="00B56C7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объема </w:t>
      </w:r>
      <w:r w:rsidR="00003107" w:rsidRPr="00B56C7A">
        <w:rPr>
          <w:rFonts w:ascii="Times New Roman" w:eastAsia="Times New Roman" w:hAnsi="Times New Roman" w:cs="Times New Roman"/>
          <w:sz w:val="24"/>
          <w:szCs w:val="24"/>
        </w:rPr>
        <w:t xml:space="preserve">промышленного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E4" w:rsidRPr="00B56C7A">
        <w:rPr>
          <w:rFonts w:ascii="Times New Roman" w:eastAsia="Times New Roman" w:hAnsi="Times New Roman" w:cs="Times New Roman"/>
          <w:sz w:val="24"/>
          <w:szCs w:val="24"/>
        </w:rPr>
        <w:t>2,9 раз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D34" w:rsidRPr="00B56C7A" w:rsidRDefault="00323278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B56C7A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2D3210" w:rsidRPr="00B56C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D3210" w:rsidRPr="00B56C7A">
        <w:rPr>
          <w:rFonts w:ascii="Times New Roman" w:eastAsia="Times New Roman" w:hAnsi="Times New Roman" w:cs="Times New Roman"/>
          <w:sz w:val="24"/>
          <w:szCs w:val="24"/>
        </w:rPr>
        <w:t xml:space="preserve"> квартала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снижение производственных показателей 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по отрасли в целом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51,6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млн. руб. Данная отрицательная динамика вызвана тем, что на крупнейше</w:t>
      </w:r>
      <w:r w:rsidR="00B3764E" w:rsidRPr="00B56C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B3764E" w:rsidRPr="00B56C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отрасли (ЗАО «</w:t>
      </w:r>
      <w:proofErr w:type="spellStart"/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комбинат»), занимающе</w:t>
      </w:r>
      <w:r w:rsidR="00B3764E" w:rsidRPr="00B56C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164" w:rsidRPr="00B56C7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85,0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>% в общем объеме производства отрасли</w:t>
      </w:r>
      <w:r w:rsidR="00B3764E" w:rsidRPr="00B5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ведутся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</w:t>
      </w:r>
      <w:r w:rsidR="00A84AA7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части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модернизации производства, </w:t>
      </w:r>
      <w:r w:rsidR="001B08F6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направленные на</w:t>
      </w:r>
      <w:r w:rsidR="00276DCC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снижение 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себестоимости продукции</w:t>
      </w:r>
      <w:r w:rsidR="001B08F6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кроме того</w:t>
      </w:r>
      <w:proofErr w:type="gramEnd"/>
      <w:r w:rsidR="001B08F6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764E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предпринимается ряд мер по улучшению 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экологическ</w:t>
      </w:r>
      <w:r w:rsidR="00B3764E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4238ED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составляющ</w:t>
      </w:r>
      <w:r w:rsidR="00B3764E" w:rsidRPr="00B56C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585414" w:rsidRPr="00B56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D34" w:rsidRPr="00B56C7A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B56C7A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итогам       </w:t>
      </w:r>
      <w:r w:rsidR="00434C99" w:rsidRPr="00B56C7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434C99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отмечается снижение выпуска готовой продукции в сопоставимых ценах на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8,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34C99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ЗАО «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Тирасполь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ский комбинат хлебопродуктов» на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%, ввиду </w:t>
      </w:r>
      <w:r w:rsidR="00EF77F9" w:rsidRPr="00B56C7A">
        <w:rPr>
          <w:rFonts w:ascii="Times New Roman" w:hAnsi="Times New Roman"/>
          <w:sz w:val="24"/>
          <w:szCs w:val="24"/>
        </w:rPr>
        <w:t xml:space="preserve">жесткой конкуренции на </w:t>
      </w:r>
      <w:r w:rsidR="006E4DD2" w:rsidRPr="00B56C7A">
        <w:rPr>
          <w:rFonts w:ascii="Times New Roman" w:hAnsi="Times New Roman"/>
          <w:sz w:val="24"/>
          <w:szCs w:val="24"/>
        </w:rPr>
        <w:t xml:space="preserve">отраслевом </w:t>
      </w:r>
      <w:r w:rsidR="00EF77F9" w:rsidRPr="00B56C7A">
        <w:rPr>
          <w:rFonts w:ascii="Times New Roman" w:hAnsi="Times New Roman"/>
          <w:sz w:val="24"/>
          <w:szCs w:val="24"/>
        </w:rPr>
        <w:t xml:space="preserve">рынке, </w:t>
      </w:r>
      <w:r w:rsidR="006E4DD2" w:rsidRPr="00B56C7A">
        <w:rPr>
          <w:rFonts w:ascii="Times New Roman" w:hAnsi="Times New Roman"/>
          <w:sz w:val="24"/>
          <w:szCs w:val="24"/>
        </w:rPr>
        <w:t xml:space="preserve">из-за </w:t>
      </w:r>
      <w:r w:rsidR="00EF77F9" w:rsidRPr="00B56C7A">
        <w:rPr>
          <w:rFonts w:ascii="Times New Roman" w:hAnsi="Times New Roman"/>
          <w:color w:val="262626"/>
          <w:sz w:val="24"/>
          <w:szCs w:val="24"/>
        </w:rPr>
        <w:t xml:space="preserve">импорта товаров </w:t>
      </w:r>
      <w:r w:rsidR="006E4DD2" w:rsidRPr="00B56C7A">
        <w:rPr>
          <w:rFonts w:ascii="Times New Roman" w:hAnsi="Times New Roman"/>
          <w:color w:val="262626"/>
          <w:sz w:val="24"/>
          <w:szCs w:val="24"/>
        </w:rPr>
        <w:t xml:space="preserve">по более низким ценам </w:t>
      </w:r>
      <w:r w:rsidR="00EF77F9" w:rsidRPr="00B56C7A">
        <w:rPr>
          <w:rFonts w:ascii="Times New Roman" w:hAnsi="Times New Roman"/>
          <w:color w:val="262626"/>
          <w:sz w:val="24"/>
          <w:szCs w:val="24"/>
        </w:rPr>
        <w:t>из сопредельных государств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в март</w:t>
      </w:r>
      <w:r w:rsidR="00E54656" w:rsidRPr="00B56C7A">
        <w:rPr>
          <w:rFonts w:ascii="Times New Roman" w:eastAsia="Times New Roman" w:hAnsi="Times New Roman" w:cs="Times New Roman"/>
          <w:sz w:val="24"/>
          <w:szCs w:val="24"/>
        </w:rPr>
        <w:t>е 2016 года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A84AA7" w:rsidRPr="00B56C7A">
        <w:rPr>
          <w:rFonts w:ascii="Times New Roman" w:eastAsia="Times New Roman" w:hAnsi="Times New Roman" w:cs="Times New Roman"/>
          <w:sz w:val="24"/>
          <w:szCs w:val="24"/>
        </w:rPr>
        <w:t>февралю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года на фоне </w:t>
      </w:r>
      <w:r w:rsidR="00F375C0" w:rsidRPr="00B56C7A">
        <w:rPr>
          <w:rFonts w:ascii="Times New Roman" w:eastAsia="Times New Roman" w:hAnsi="Times New Roman" w:cs="Times New Roman"/>
          <w:sz w:val="24"/>
          <w:szCs w:val="24"/>
        </w:rPr>
        <w:t xml:space="preserve">увеличения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объемов производства круп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A10F10" w:rsidRPr="00B56C7A">
        <w:rPr>
          <w:rFonts w:ascii="Times New Roman" w:eastAsia="Times New Roman" w:hAnsi="Times New Roman" w:cs="Times New Roman"/>
          <w:sz w:val="24"/>
          <w:szCs w:val="24"/>
        </w:rPr>
        <w:t>82,1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656" w:rsidRPr="00B56C7A">
        <w:rPr>
          <w:rFonts w:ascii="Times New Roman" w:eastAsia="Times New Roman" w:hAnsi="Times New Roman" w:cs="Times New Roman"/>
          <w:sz w:val="24"/>
          <w:szCs w:val="24"/>
        </w:rPr>
        <w:t>и муки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A10F10" w:rsidRPr="00B56C7A">
        <w:rPr>
          <w:rFonts w:ascii="Times New Roman" w:eastAsia="Times New Roman" w:hAnsi="Times New Roman" w:cs="Times New Roman"/>
          <w:sz w:val="24"/>
          <w:szCs w:val="24"/>
        </w:rPr>
        <w:t>20,1</w:t>
      </w:r>
      <w:r w:rsidR="008006DC" w:rsidRPr="00B56C7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E54656"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отмечен </w:t>
      </w:r>
      <w:r w:rsidR="00B84046" w:rsidRPr="00B56C7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375C0" w:rsidRPr="00B56C7A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по отрасли на </w:t>
      </w:r>
      <w:r w:rsidR="00A10F10" w:rsidRPr="00B56C7A">
        <w:rPr>
          <w:rFonts w:ascii="Times New Roman" w:eastAsia="Times New Roman" w:hAnsi="Times New Roman" w:cs="Times New Roman"/>
          <w:sz w:val="24"/>
          <w:szCs w:val="24"/>
        </w:rPr>
        <w:t>23,9</w:t>
      </w:r>
      <w:r w:rsidR="00AE0D34" w:rsidRPr="00B56C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B56C7A" w:rsidRDefault="005A630C" w:rsidP="005A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6C7A">
        <w:rPr>
          <w:rFonts w:ascii="Times New Roman" w:hAnsi="Times New Roman"/>
          <w:color w:val="000000"/>
          <w:sz w:val="24"/>
          <w:szCs w:val="24"/>
        </w:rPr>
        <w:t xml:space="preserve">ж) в </w:t>
      </w:r>
      <w:r w:rsidRPr="00B56C7A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падени</w:t>
      </w:r>
      <w:r w:rsidR="004963A5">
        <w:rPr>
          <w:rFonts w:ascii="Times New Roman" w:hAnsi="Times New Roman"/>
          <w:color w:val="000000"/>
          <w:sz w:val="24"/>
          <w:szCs w:val="24"/>
        </w:rPr>
        <w:t>е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потребительского спроса на такие виды продукции как 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 xml:space="preserve">книги («-»78,7%), </w:t>
      </w:r>
      <w:proofErr w:type="spellStart"/>
      <w:r w:rsidRPr="00B56C7A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B56C7A">
        <w:rPr>
          <w:rFonts w:ascii="Times New Roman" w:hAnsi="Times New Roman"/>
          <w:color w:val="000000"/>
          <w:sz w:val="24"/>
          <w:szCs w:val="24"/>
        </w:rPr>
        <w:t xml:space="preserve"> («-»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54,1%)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и этикеточные обертки печатные («-»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29,6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4963A5">
        <w:rPr>
          <w:rFonts w:ascii="Times New Roman" w:hAnsi="Times New Roman"/>
          <w:color w:val="000000"/>
          <w:sz w:val="24"/>
          <w:szCs w:val="24"/>
        </w:rPr>
        <w:t xml:space="preserve">предопределило </w:t>
      </w:r>
      <w:r w:rsidR="004963A5" w:rsidRPr="00B56C7A">
        <w:rPr>
          <w:rFonts w:ascii="Times New Roman" w:hAnsi="Times New Roman"/>
          <w:color w:val="000000"/>
          <w:sz w:val="24"/>
          <w:szCs w:val="24"/>
        </w:rPr>
        <w:t>сокра</w:t>
      </w:r>
      <w:r w:rsidR="004963A5">
        <w:rPr>
          <w:rFonts w:ascii="Times New Roman" w:hAnsi="Times New Roman"/>
          <w:color w:val="000000"/>
          <w:sz w:val="24"/>
          <w:szCs w:val="24"/>
        </w:rPr>
        <w:t>щение</w:t>
      </w:r>
      <w:r w:rsidR="004963A5" w:rsidRPr="00B56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C7A">
        <w:rPr>
          <w:rFonts w:ascii="Times New Roman" w:hAnsi="Times New Roman"/>
          <w:color w:val="000000"/>
          <w:sz w:val="24"/>
          <w:szCs w:val="24"/>
        </w:rPr>
        <w:t>совокупн</w:t>
      </w:r>
      <w:r w:rsidR="004963A5">
        <w:rPr>
          <w:rFonts w:ascii="Times New Roman" w:hAnsi="Times New Roman"/>
          <w:color w:val="000000"/>
          <w:sz w:val="24"/>
          <w:szCs w:val="24"/>
        </w:rPr>
        <w:t>ой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4963A5">
        <w:rPr>
          <w:rFonts w:ascii="Times New Roman" w:hAnsi="Times New Roman"/>
          <w:color w:val="000000"/>
          <w:sz w:val="24"/>
          <w:szCs w:val="24"/>
        </w:rPr>
        <w:t>и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 товарного выпуска отрасли в январе</w:t>
      </w:r>
      <w:r w:rsidR="000D1199" w:rsidRPr="00B56C7A">
        <w:rPr>
          <w:rFonts w:ascii="Times New Roman" w:hAnsi="Times New Roman"/>
          <w:color w:val="000000"/>
          <w:sz w:val="24"/>
          <w:szCs w:val="24"/>
        </w:rPr>
        <w:t>-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март</w:t>
      </w:r>
      <w:r w:rsidR="000D1199" w:rsidRPr="00B56C7A">
        <w:rPr>
          <w:rFonts w:ascii="Times New Roman" w:hAnsi="Times New Roman"/>
          <w:color w:val="000000"/>
          <w:sz w:val="24"/>
          <w:szCs w:val="24"/>
        </w:rPr>
        <w:t>е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2016 года по отношению к базисному значению 2015 года на 5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7</w:t>
      </w:r>
      <w:r w:rsidRPr="00B56C7A">
        <w:rPr>
          <w:rFonts w:ascii="Times New Roman" w:hAnsi="Times New Roman"/>
          <w:color w:val="000000"/>
          <w:sz w:val="24"/>
          <w:szCs w:val="24"/>
        </w:rPr>
        <w:t>,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1</w:t>
      </w:r>
      <w:r w:rsidRPr="00B56C7A">
        <w:rPr>
          <w:rFonts w:ascii="Times New Roman" w:hAnsi="Times New Roman"/>
          <w:color w:val="000000"/>
          <w:sz w:val="24"/>
          <w:szCs w:val="24"/>
        </w:rPr>
        <w:t>%. При этом 7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6</w:t>
      </w:r>
      <w:r w:rsidRPr="00B56C7A">
        <w:rPr>
          <w:rFonts w:ascii="Times New Roman" w:hAnsi="Times New Roman"/>
          <w:color w:val="000000"/>
          <w:sz w:val="24"/>
          <w:szCs w:val="24"/>
        </w:rPr>
        <w:t>,</w:t>
      </w:r>
      <w:r w:rsidR="000D1199" w:rsidRPr="00B56C7A">
        <w:rPr>
          <w:rFonts w:ascii="Times New Roman" w:hAnsi="Times New Roman"/>
          <w:color w:val="000000"/>
          <w:sz w:val="24"/>
          <w:szCs w:val="24"/>
        </w:rPr>
        <w:t>6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% общего </w:t>
      </w:r>
      <w:r w:rsidR="00DB7CE2" w:rsidRPr="00B56C7A">
        <w:rPr>
          <w:rFonts w:ascii="Times New Roman" w:hAnsi="Times New Roman"/>
          <w:color w:val="000000"/>
          <w:sz w:val="24"/>
          <w:szCs w:val="24"/>
        </w:rPr>
        <w:t>объема производства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B56C7A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B56C7A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 фоне сокращения</w:t>
      </w:r>
      <w:proofErr w:type="gramEnd"/>
      <w:r w:rsidRPr="00B56C7A">
        <w:rPr>
          <w:rFonts w:ascii="Times New Roman" w:hAnsi="Times New Roman"/>
          <w:color w:val="000000"/>
          <w:sz w:val="24"/>
          <w:szCs w:val="24"/>
        </w:rPr>
        <w:t xml:space="preserve"> заказов по изданию учебной литературы для общеобразовательных учреждений, в январе</w:t>
      </w:r>
      <w:r w:rsidR="006B0877" w:rsidRPr="00B56C7A">
        <w:rPr>
          <w:rFonts w:ascii="Times New Roman" w:hAnsi="Times New Roman"/>
          <w:color w:val="000000"/>
          <w:sz w:val="24"/>
          <w:szCs w:val="24"/>
        </w:rPr>
        <w:t>-</w:t>
      </w:r>
      <w:r w:rsidR="00A10F10" w:rsidRPr="00B56C7A">
        <w:rPr>
          <w:rFonts w:ascii="Times New Roman" w:hAnsi="Times New Roman"/>
          <w:color w:val="000000"/>
          <w:sz w:val="24"/>
          <w:szCs w:val="24"/>
        </w:rPr>
        <w:t>марте</w:t>
      </w:r>
      <w:r w:rsidRPr="00B56C7A">
        <w:rPr>
          <w:rFonts w:ascii="Times New Roman" w:hAnsi="Times New Roman"/>
          <w:color w:val="000000"/>
          <w:sz w:val="24"/>
          <w:szCs w:val="24"/>
        </w:rPr>
        <w:t xml:space="preserve"> 2016 года снизился на </w:t>
      </w:r>
      <w:r w:rsidR="00D233E2" w:rsidRPr="00B56C7A">
        <w:rPr>
          <w:rFonts w:ascii="Times New Roman" w:hAnsi="Times New Roman"/>
          <w:color w:val="000000"/>
          <w:sz w:val="24"/>
          <w:szCs w:val="24"/>
        </w:rPr>
        <w:t>62,0</w:t>
      </w:r>
      <w:r w:rsidRPr="00B56C7A">
        <w:rPr>
          <w:rFonts w:ascii="Times New Roman" w:hAnsi="Times New Roman"/>
          <w:color w:val="000000"/>
          <w:sz w:val="24"/>
          <w:szCs w:val="24"/>
        </w:rPr>
        <w:t>% относительно соответствующего периода прошлого года.</w:t>
      </w:r>
    </w:p>
    <w:p w:rsidR="00DE3D7D" w:rsidRDefault="00B84046" w:rsidP="0058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свидетельствуют о нестабильной ситуации на предприятиях индустрии. </w:t>
      </w:r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Неблагоприятная конъюнктурная ситуация на мировых товарных и сырьевых рынках, трудности с выходом на внешние рынки, в совокупности с </w:t>
      </w:r>
      <w:r w:rsidR="0048012A">
        <w:rPr>
          <w:rFonts w:ascii="Times New Roman" w:eastAsia="Times New Roman" w:hAnsi="Times New Roman" w:cs="Times New Roman"/>
          <w:sz w:val="24"/>
          <w:szCs w:val="24"/>
        </w:rPr>
        <w:t xml:space="preserve">влиянием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4801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2A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6C7A">
        <w:rPr>
          <w:rFonts w:ascii="Times New Roman" w:hAnsi="Times New Roman"/>
          <w:sz w:val="24"/>
          <w:szCs w:val="24"/>
        </w:rPr>
        <w:t>з</w:t>
      </w:r>
      <w:r w:rsidRPr="00B56C7A">
        <w:rPr>
          <w:rFonts w:ascii="Times New Roman" w:eastAsia="MS Mincho" w:hAnsi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B56C7A">
        <w:rPr>
          <w:rFonts w:ascii="Times New Roman" w:hAnsi="Times New Roman"/>
          <w:sz w:val="24"/>
          <w:szCs w:val="24"/>
        </w:rPr>
        <w:t xml:space="preserve">устаревшая структура промышленного производства, невысокая доля в выпуске наукоемкой, высокотехнологичной продукции, техническое и технологическое отставание отечественных предприятий от мирового </w:t>
      </w:r>
      <w:r w:rsidRPr="00B56C7A">
        <w:rPr>
          <w:rFonts w:ascii="Times New Roman" w:hAnsi="Times New Roman"/>
          <w:sz w:val="24"/>
          <w:szCs w:val="24"/>
        </w:rPr>
        <w:lastRenderedPageBreak/>
        <w:t xml:space="preserve">уровня и др.) 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продолжали оказывать дестабилизирующее воздействие на результаты деятельности предприятий индустрии в</w:t>
      </w:r>
      <w:proofErr w:type="gramEnd"/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6C7A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B56C7A" w:rsidRPr="00B56C7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B56C7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B56C7A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:rsidR="009E695C" w:rsidRDefault="009E695C" w:rsidP="0058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5C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b/>
          <w:sz w:val="24"/>
          <w:szCs w:val="24"/>
          <w:u w:val="single"/>
        </w:rPr>
        <w:t>В</w:t>
      </w:r>
      <w:r w:rsidRPr="000A384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9E695C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E695C" w:rsidRPr="00722D15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638">
        <w:rPr>
          <w:rFonts w:ascii="Times New Roman" w:hAnsi="Times New Roman"/>
          <w:sz w:val="24"/>
          <w:szCs w:val="24"/>
        </w:rPr>
        <w:t xml:space="preserve">Неблагоприятная ценовая конъюнктура на мировых рынках, внешнеполитические вызовы и негативные внешнеэкономические изменения,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8D1638">
        <w:rPr>
          <w:rFonts w:ascii="Times New Roman" w:hAnsi="Times New Roman"/>
          <w:sz w:val="24"/>
          <w:szCs w:val="24"/>
        </w:rPr>
        <w:t xml:space="preserve">в соседних государствах, </w:t>
      </w:r>
      <w:r>
        <w:rPr>
          <w:rFonts w:ascii="Times New Roman" w:hAnsi="Times New Roman"/>
          <w:sz w:val="24"/>
          <w:szCs w:val="24"/>
        </w:rPr>
        <w:t xml:space="preserve">так </w:t>
      </w:r>
      <w:r w:rsidRPr="008D16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D1638">
        <w:rPr>
          <w:rFonts w:ascii="Times New Roman" w:hAnsi="Times New Roman"/>
          <w:sz w:val="24"/>
          <w:szCs w:val="24"/>
        </w:rPr>
        <w:t xml:space="preserve"> странах дальнего зарубежья в совокупности с осложнением внутренних условий функционирования оказали непосредственное влияние на деятельность экономических агентов Приднестровской Молдавской Республики в </w:t>
      </w:r>
      <w:r>
        <w:rPr>
          <w:rFonts w:ascii="Times New Roman" w:hAnsi="Times New Roman"/>
          <w:sz w:val="24"/>
          <w:szCs w:val="24"/>
        </w:rPr>
        <w:t>январе-марте 2016 года</w:t>
      </w:r>
      <w:r w:rsidRPr="008D1638">
        <w:rPr>
          <w:rFonts w:ascii="Times New Roman" w:hAnsi="Times New Roman"/>
          <w:sz w:val="24"/>
          <w:szCs w:val="24"/>
        </w:rPr>
        <w:t>, что отразилось на динамике показателей внешнеэкономической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2D15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резидентов республики </w:t>
      </w:r>
      <w:r>
        <w:rPr>
          <w:rFonts w:ascii="Times New Roman" w:hAnsi="Times New Roman"/>
          <w:sz w:val="24"/>
          <w:szCs w:val="24"/>
        </w:rPr>
        <w:t>в рассматриваемом периоде</w:t>
      </w:r>
      <w:r w:rsidRPr="00722D15">
        <w:rPr>
          <w:rFonts w:ascii="Times New Roman" w:hAnsi="Times New Roman"/>
          <w:sz w:val="24"/>
          <w:szCs w:val="24"/>
        </w:rPr>
        <w:t xml:space="preserve"> по отношению к базовому показателю 201</w:t>
      </w:r>
      <w:r>
        <w:rPr>
          <w:rFonts w:ascii="Times New Roman" w:hAnsi="Times New Roman"/>
          <w:sz w:val="24"/>
          <w:szCs w:val="24"/>
        </w:rPr>
        <w:t>5</w:t>
      </w:r>
      <w:r w:rsidRPr="00722D15">
        <w:rPr>
          <w:rFonts w:ascii="Times New Roman" w:hAnsi="Times New Roman"/>
          <w:sz w:val="24"/>
          <w:szCs w:val="24"/>
        </w:rPr>
        <w:t xml:space="preserve"> года снизился на четверть («-»25,</w:t>
      </w:r>
      <w:r>
        <w:rPr>
          <w:rFonts w:ascii="Times New Roman" w:hAnsi="Times New Roman"/>
          <w:sz w:val="24"/>
          <w:szCs w:val="24"/>
        </w:rPr>
        <w:t>4</w:t>
      </w:r>
      <w:r w:rsidRPr="00722D15">
        <w:rPr>
          <w:rFonts w:ascii="Times New Roman" w:hAnsi="Times New Roman"/>
          <w:sz w:val="24"/>
          <w:szCs w:val="24"/>
        </w:rPr>
        <w:t xml:space="preserve">%) до </w:t>
      </w:r>
      <w:r>
        <w:rPr>
          <w:rFonts w:ascii="Times New Roman" w:hAnsi="Times New Roman"/>
          <w:sz w:val="24"/>
          <w:szCs w:val="24"/>
        </w:rPr>
        <w:t>336,7 </w:t>
      </w:r>
      <w:r w:rsidRPr="00722D15">
        <w:rPr>
          <w:rFonts w:ascii="Times New Roman" w:hAnsi="Times New Roman"/>
          <w:sz w:val="24"/>
          <w:szCs w:val="24"/>
        </w:rPr>
        <w:t xml:space="preserve">млн. долл., объем экспортных и импортных поставок сократился на </w:t>
      </w:r>
      <w:r>
        <w:rPr>
          <w:rFonts w:ascii="Times New Roman" w:hAnsi="Times New Roman"/>
          <w:sz w:val="24"/>
          <w:szCs w:val="24"/>
        </w:rPr>
        <w:t>1,4</w:t>
      </w:r>
      <w:r w:rsidRPr="00722D15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127,9 </w:t>
      </w:r>
      <w:r w:rsidRPr="00722D15">
        <w:rPr>
          <w:rFonts w:ascii="Times New Roman" w:hAnsi="Times New Roman"/>
          <w:sz w:val="24"/>
          <w:szCs w:val="24"/>
        </w:rPr>
        <w:t xml:space="preserve">млн. долл. и на </w:t>
      </w:r>
      <w:r>
        <w:rPr>
          <w:rFonts w:ascii="Times New Roman" w:hAnsi="Times New Roman"/>
          <w:sz w:val="24"/>
          <w:szCs w:val="24"/>
        </w:rPr>
        <w:t>35,1</w:t>
      </w:r>
      <w:r w:rsidRPr="00722D15">
        <w:rPr>
          <w:rFonts w:ascii="Times New Roman" w:hAnsi="Times New Roman"/>
          <w:sz w:val="24"/>
          <w:szCs w:val="24"/>
        </w:rPr>
        <w:t>% до</w:t>
      </w:r>
      <w:r>
        <w:rPr>
          <w:rFonts w:ascii="Times New Roman" w:hAnsi="Times New Roman"/>
          <w:sz w:val="24"/>
          <w:szCs w:val="24"/>
        </w:rPr>
        <w:t xml:space="preserve"> 208,8 </w:t>
      </w:r>
      <w:r w:rsidRPr="00722D15">
        <w:rPr>
          <w:rFonts w:ascii="Times New Roman" w:hAnsi="Times New Roman"/>
          <w:sz w:val="24"/>
          <w:szCs w:val="24"/>
        </w:rPr>
        <w:t xml:space="preserve">млн. долл. соответственно. На этом фоне </w:t>
      </w:r>
      <w:r>
        <w:rPr>
          <w:rFonts w:ascii="Times New Roman" w:hAnsi="Times New Roman"/>
          <w:sz w:val="24"/>
          <w:szCs w:val="24"/>
        </w:rPr>
        <w:t xml:space="preserve">отрицательное </w:t>
      </w:r>
      <w:r w:rsidRPr="00722D15">
        <w:rPr>
          <w:rFonts w:ascii="Times New Roman" w:hAnsi="Times New Roman"/>
          <w:sz w:val="24"/>
          <w:szCs w:val="24"/>
        </w:rPr>
        <w:t xml:space="preserve">сальдо внешнеторгового оборота по итогам </w:t>
      </w:r>
      <w:r>
        <w:rPr>
          <w:rFonts w:ascii="Times New Roman" w:hAnsi="Times New Roman"/>
          <w:sz w:val="24"/>
          <w:szCs w:val="24"/>
        </w:rPr>
        <w:t>января-марта</w:t>
      </w:r>
      <w:r w:rsidRPr="00355BF7"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22D15">
        <w:rPr>
          <w:rFonts w:ascii="Times New Roman" w:hAnsi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/>
          <w:sz w:val="24"/>
          <w:szCs w:val="24"/>
        </w:rPr>
        <w:t>80,9 </w:t>
      </w:r>
      <w:r w:rsidRPr="00722D15">
        <w:rPr>
          <w:rFonts w:ascii="Times New Roman" w:hAnsi="Times New Roman"/>
          <w:sz w:val="24"/>
          <w:szCs w:val="24"/>
        </w:rPr>
        <w:t xml:space="preserve">млн. долл., против </w:t>
      </w:r>
      <w:r>
        <w:rPr>
          <w:rFonts w:ascii="Times New Roman" w:hAnsi="Times New Roman"/>
          <w:sz w:val="24"/>
          <w:szCs w:val="24"/>
        </w:rPr>
        <w:t>192,3 </w:t>
      </w:r>
      <w:r w:rsidRPr="00722D15">
        <w:rPr>
          <w:rFonts w:ascii="Times New Roman" w:hAnsi="Times New Roman"/>
          <w:sz w:val="24"/>
          <w:szCs w:val="24"/>
        </w:rPr>
        <w:t xml:space="preserve">млн. долл. в </w:t>
      </w:r>
      <w:r>
        <w:rPr>
          <w:rFonts w:ascii="Times New Roman" w:hAnsi="Times New Roman"/>
          <w:sz w:val="24"/>
          <w:szCs w:val="24"/>
        </w:rPr>
        <w:t xml:space="preserve">сопоставимом периоде минувшего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9E695C" w:rsidRPr="000A384B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Сравнивая данные показатели за </w:t>
      </w:r>
      <w:r>
        <w:rPr>
          <w:rFonts w:ascii="Times New Roman" w:hAnsi="Times New Roman"/>
          <w:sz w:val="24"/>
          <w:szCs w:val="24"/>
        </w:rPr>
        <w:t>март</w:t>
      </w:r>
      <w:r w:rsidRPr="000A384B">
        <w:rPr>
          <w:rFonts w:ascii="Times New Roman" w:hAnsi="Times New Roman"/>
          <w:sz w:val="24"/>
          <w:szCs w:val="24"/>
        </w:rPr>
        <w:t xml:space="preserve"> текущего года с уровнем </w:t>
      </w:r>
      <w:r>
        <w:rPr>
          <w:rFonts w:ascii="Times New Roman" w:hAnsi="Times New Roman"/>
          <w:sz w:val="24"/>
          <w:szCs w:val="24"/>
        </w:rPr>
        <w:t>февраля</w:t>
      </w:r>
      <w:r w:rsidRPr="000A384B">
        <w:rPr>
          <w:rFonts w:ascii="Times New Roman" w:hAnsi="Times New Roman"/>
          <w:sz w:val="24"/>
          <w:szCs w:val="24"/>
        </w:rPr>
        <w:t xml:space="preserve">, необходимо отметить превышение на </w:t>
      </w:r>
      <w:r>
        <w:rPr>
          <w:rFonts w:ascii="Times New Roman" w:hAnsi="Times New Roman"/>
          <w:sz w:val="24"/>
          <w:szCs w:val="24"/>
        </w:rPr>
        <w:t>20,3</w:t>
      </w:r>
      <w:r w:rsidRPr="000A384B">
        <w:rPr>
          <w:rFonts w:ascii="Times New Roman" w:hAnsi="Times New Roman"/>
          <w:sz w:val="24"/>
          <w:szCs w:val="24"/>
        </w:rPr>
        <w:t>% объемов экспорта</w:t>
      </w:r>
      <w:r>
        <w:rPr>
          <w:rFonts w:ascii="Times New Roman" w:hAnsi="Times New Roman"/>
          <w:sz w:val="24"/>
          <w:szCs w:val="24"/>
        </w:rPr>
        <w:t>, объем</w:t>
      </w:r>
      <w:r w:rsidRPr="000A384B">
        <w:rPr>
          <w:rFonts w:ascii="Times New Roman" w:hAnsi="Times New Roman"/>
          <w:sz w:val="24"/>
          <w:szCs w:val="24"/>
        </w:rPr>
        <w:t xml:space="preserve"> импорта </w:t>
      </w:r>
      <w:r>
        <w:rPr>
          <w:rFonts w:ascii="Times New Roman" w:hAnsi="Times New Roman"/>
          <w:sz w:val="24"/>
          <w:szCs w:val="24"/>
        </w:rPr>
        <w:t>остался практически неизменным («+»0,03%)</w:t>
      </w:r>
      <w:r w:rsidRPr="000A384B">
        <w:rPr>
          <w:rFonts w:ascii="Times New Roman" w:hAnsi="Times New Roman"/>
          <w:sz w:val="24"/>
          <w:szCs w:val="24"/>
        </w:rPr>
        <w:t>, при этом совокупный внешнеторговый оборот хозяйствующих субъектов в</w:t>
      </w:r>
      <w:r>
        <w:rPr>
          <w:rFonts w:ascii="Times New Roman" w:hAnsi="Times New Roman"/>
          <w:sz w:val="24"/>
          <w:szCs w:val="24"/>
        </w:rPr>
        <w:t>озрос</w:t>
      </w:r>
      <w:r w:rsidRPr="000A384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7,3</w:t>
      </w:r>
      <w:r w:rsidRPr="000A384B">
        <w:rPr>
          <w:rFonts w:ascii="Times New Roman" w:hAnsi="Times New Roman"/>
          <w:sz w:val="24"/>
          <w:szCs w:val="24"/>
        </w:rPr>
        <w:t>%.</w:t>
      </w:r>
    </w:p>
    <w:p w:rsidR="009E695C" w:rsidRPr="000A384B" w:rsidRDefault="009E695C" w:rsidP="009E69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95C" w:rsidRPr="000A384B" w:rsidRDefault="009E695C" w:rsidP="009E695C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0A384B">
        <w:rPr>
          <w:b/>
          <w:sz w:val="24"/>
          <w:szCs w:val="24"/>
        </w:rPr>
        <w:t xml:space="preserve">Динамика внешнеторгового оборота в январе – </w:t>
      </w:r>
      <w:r>
        <w:rPr>
          <w:b/>
          <w:sz w:val="24"/>
          <w:szCs w:val="24"/>
        </w:rPr>
        <w:t>марте</w:t>
      </w:r>
      <w:r w:rsidRPr="000A384B">
        <w:rPr>
          <w:b/>
          <w:sz w:val="24"/>
          <w:szCs w:val="24"/>
        </w:rPr>
        <w:t xml:space="preserve"> 2015 – 2016 г.г.</w:t>
      </w:r>
    </w:p>
    <w:p w:rsidR="009E695C" w:rsidRPr="000A384B" w:rsidRDefault="009E695C" w:rsidP="009E6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21240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695C" w:rsidRPr="000A384B" w:rsidRDefault="009E695C" w:rsidP="009E695C">
      <w:pPr>
        <w:pStyle w:val="a5"/>
      </w:pPr>
      <w:r w:rsidRPr="000A384B">
        <w:t>Товарная структура экспорта в январе-</w:t>
      </w:r>
      <w:r>
        <w:t>марте</w:t>
      </w:r>
      <w:r w:rsidRPr="000A384B">
        <w:t xml:space="preserve">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9E695C" w:rsidRDefault="009E695C" w:rsidP="009E695C">
      <w:pPr>
        <w:pStyle w:val="a5"/>
        <w:jc w:val="center"/>
        <w:rPr>
          <w:b/>
        </w:rPr>
      </w:pPr>
    </w:p>
    <w:p w:rsidR="009E695C" w:rsidRPr="000A384B" w:rsidRDefault="009E695C" w:rsidP="009E695C">
      <w:pPr>
        <w:pStyle w:val="a5"/>
        <w:jc w:val="center"/>
        <w:rPr>
          <w:b/>
        </w:rPr>
      </w:pPr>
    </w:p>
    <w:p w:rsidR="009E695C" w:rsidRPr="000A384B" w:rsidRDefault="009E695C" w:rsidP="009E695C">
      <w:pPr>
        <w:pStyle w:val="a5"/>
        <w:jc w:val="center"/>
        <w:rPr>
          <w:b/>
        </w:rPr>
      </w:pPr>
      <w:r w:rsidRPr="000A384B">
        <w:rPr>
          <w:b/>
        </w:rPr>
        <w:t>Товарная структура экспорта, млн. долл. США</w:t>
      </w:r>
    </w:p>
    <w:p w:rsidR="009E695C" w:rsidRPr="000A384B" w:rsidRDefault="009E695C" w:rsidP="009E695C">
      <w:pPr>
        <w:pStyle w:val="a5"/>
        <w:ind w:firstLine="0"/>
        <w:jc w:val="center"/>
        <w:rPr>
          <w:b/>
        </w:rPr>
      </w:pPr>
      <w:r w:rsidRPr="000A384B">
        <w:rPr>
          <w:b/>
          <w:noProof/>
        </w:rPr>
        <w:lastRenderedPageBreak/>
        <w:drawing>
          <wp:inline distT="0" distB="0" distL="0" distR="0">
            <wp:extent cx="5934075" cy="292417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695C" w:rsidRDefault="009E695C" w:rsidP="009E695C">
      <w:pPr>
        <w:pStyle w:val="a5"/>
      </w:pPr>
      <w:r w:rsidRPr="000A384B">
        <w:t>В товарной структуре экспорта в обозначенном периоде лидирующую позицию при сокращении объема поставок на 3,</w:t>
      </w:r>
      <w:r>
        <w:t>9</w:t>
      </w:r>
      <w:r w:rsidRPr="000A384B">
        <w:t xml:space="preserve">% сохраняют топливно-энергетические товары, их доля составила </w:t>
      </w:r>
      <w:r>
        <w:t>39,5</w:t>
      </w:r>
      <w:r w:rsidRPr="000A384B">
        <w:t xml:space="preserve">% от совокупного объема экспорта, </w:t>
      </w:r>
      <w:r>
        <w:t>сократив долевое участие</w:t>
      </w:r>
      <w:r w:rsidRPr="000A384B">
        <w:t xml:space="preserve"> </w:t>
      </w:r>
      <w:r>
        <w:t xml:space="preserve">в товарной структуре </w:t>
      </w:r>
      <w:r w:rsidRPr="000A384B">
        <w:t xml:space="preserve">на </w:t>
      </w:r>
      <w:r>
        <w:t>1,0</w:t>
      </w:r>
      <w:r w:rsidRPr="000A384B">
        <w:t xml:space="preserve"> процентны</w:t>
      </w:r>
      <w:r>
        <w:t>й</w:t>
      </w:r>
      <w:r w:rsidRPr="000A384B">
        <w:t xml:space="preserve"> пункт.</w:t>
      </w:r>
    </w:p>
    <w:p w:rsidR="009E695C" w:rsidRPr="00950176" w:rsidRDefault="009E695C" w:rsidP="009E695C">
      <w:pPr>
        <w:pStyle w:val="a5"/>
      </w:pPr>
      <w:r w:rsidRPr="00950176">
        <w:t>Второй компонентой по величине долевого участия в формировании совокупного объема экспорта выступ</w:t>
      </w:r>
      <w:r>
        <w:t>а</w:t>
      </w:r>
      <w:r w:rsidRPr="00950176">
        <w:t xml:space="preserve">ли металлы и изделия из них, удельный вес которых </w:t>
      </w:r>
      <w:r>
        <w:t xml:space="preserve">на фоне увеличения абсолютной величины на 33,7%, расширился на 6,3 процентных пункта до 23,8% </w:t>
      </w:r>
    </w:p>
    <w:p w:rsidR="009E695C" w:rsidRDefault="009E695C" w:rsidP="009E695C">
      <w:pPr>
        <w:pStyle w:val="a5"/>
      </w:pPr>
      <w:r w:rsidRPr="000A384B">
        <w:t xml:space="preserve">Вклад товаров легкой промышленности (текстильные материалы, одежда, текстильные изделия, обувь) на фоне неблагоприятной ситуации на внешних рынках, выразившейся в падении спроса на продукцию отрасли, при сокращении объема ее реализации за рубеж на </w:t>
      </w:r>
      <w:r>
        <w:t>6,0</w:t>
      </w:r>
      <w:r w:rsidRPr="000A384B">
        <w:t xml:space="preserve">% по отношению к январю – </w:t>
      </w:r>
      <w:r>
        <w:t>марту</w:t>
      </w:r>
      <w:r w:rsidRPr="000A384B">
        <w:t xml:space="preserve"> 2015 года сузился на </w:t>
      </w:r>
      <w:r>
        <w:t>0,9 </w:t>
      </w:r>
      <w:r w:rsidRPr="000A384B">
        <w:t xml:space="preserve">процентных пункта до </w:t>
      </w:r>
      <w:r>
        <w:t>19,5</w:t>
      </w:r>
      <w:r w:rsidRPr="000A384B">
        <w:t xml:space="preserve">%. </w:t>
      </w:r>
    </w:p>
    <w:p w:rsidR="009E695C" w:rsidRDefault="009E695C" w:rsidP="009E695C">
      <w:pPr>
        <w:pStyle w:val="a5"/>
      </w:pPr>
      <w:r w:rsidRPr="000A384B">
        <w:t xml:space="preserve">Экспортные поставки продовольствия в рассматриваемом периоде снизились на </w:t>
      </w:r>
      <w:r>
        <w:t>16,6</w:t>
      </w:r>
      <w:r w:rsidRPr="000A384B">
        <w:t xml:space="preserve">% по отношению к соответствующему периоду прошлого года, при этом их долевое участие в товарной структуре сократилось на </w:t>
      </w:r>
      <w:r>
        <w:t>1,7</w:t>
      </w:r>
      <w:r w:rsidRPr="000A384B">
        <w:t xml:space="preserve"> процентных пункта до </w:t>
      </w:r>
      <w:r>
        <w:t>9,5</w:t>
      </w:r>
      <w:r w:rsidRPr="000A384B">
        <w:t>%.</w:t>
      </w:r>
    </w:p>
    <w:p w:rsidR="009E695C" w:rsidRDefault="009E695C" w:rsidP="009E695C">
      <w:pPr>
        <w:pStyle w:val="a5"/>
        <w:ind w:left="-426" w:firstLine="0"/>
      </w:pPr>
      <w:r w:rsidRPr="000A384B">
        <w:rPr>
          <w:noProof/>
        </w:rPr>
        <w:drawing>
          <wp:inline distT="0" distB="0" distL="0" distR="0">
            <wp:extent cx="6981825" cy="285750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695C" w:rsidRDefault="009E695C" w:rsidP="009E695C">
      <w:pPr>
        <w:pStyle w:val="a5"/>
      </w:pPr>
      <w:proofErr w:type="gramStart"/>
      <w:r>
        <w:t>В</w:t>
      </w:r>
      <w:r w:rsidRPr="000A384B">
        <w:t xml:space="preserve"> январе – </w:t>
      </w:r>
      <w:r>
        <w:t>марте</w:t>
      </w:r>
      <w:r w:rsidRPr="000A384B">
        <w:t xml:space="preserve"> 2016 года </w:t>
      </w:r>
      <w:r>
        <w:t>о</w:t>
      </w:r>
      <w:r w:rsidRPr="000A384B">
        <w:t xml:space="preserve">сновными торговыми партнерами Приднестровья по экспортным поставкам </w:t>
      </w:r>
      <w:r>
        <w:t>являлись</w:t>
      </w:r>
      <w:r w:rsidRPr="000A384B">
        <w:t xml:space="preserve"> Республика Молдова (</w:t>
      </w:r>
      <w:r>
        <w:t>45,5</w:t>
      </w:r>
      <w:r w:rsidRPr="000A384B">
        <w:t xml:space="preserve">% совокупного экспорта, </w:t>
      </w:r>
      <w:r>
        <w:t xml:space="preserve">                  </w:t>
      </w:r>
      <w:r w:rsidRPr="000A384B">
        <w:t xml:space="preserve">«-» </w:t>
      </w:r>
      <w:r>
        <w:t>14,5</w:t>
      </w:r>
      <w:r w:rsidRPr="000A384B">
        <w:t xml:space="preserve">% к уровню января – </w:t>
      </w:r>
      <w:r>
        <w:t>марта</w:t>
      </w:r>
      <w:r w:rsidRPr="000A384B">
        <w:t xml:space="preserve"> 2015 года), Румыния (</w:t>
      </w:r>
      <w:r>
        <w:t>18,9</w:t>
      </w:r>
      <w:r w:rsidRPr="000A384B">
        <w:t xml:space="preserve">%, </w:t>
      </w:r>
      <w:r>
        <w:t>при</w:t>
      </w:r>
      <w:r w:rsidRPr="000A384B">
        <w:t xml:space="preserve">рост </w:t>
      </w:r>
      <w:r>
        <w:t>на</w:t>
      </w:r>
      <w:r w:rsidRPr="000A384B">
        <w:t xml:space="preserve"> </w:t>
      </w:r>
      <w:r>
        <w:t>74,3%</w:t>
      </w:r>
      <w:r w:rsidRPr="000A384B">
        <w:t xml:space="preserve"> к </w:t>
      </w:r>
      <w:r>
        <w:lastRenderedPageBreak/>
        <w:t xml:space="preserve">базовому </w:t>
      </w:r>
      <w:r w:rsidRPr="000A384B">
        <w:t>уровню 2015 года), Италия (</w:t>
      </w:r>
      <w:r>
        <w:t>7,7</w:t>
      </w:r>
      <w:r w:rsidRPr="000A384B">
        <w:t xml:space="preserve">%, «-» </w:t>
      </w:r>
      <w:r>
        <w:t>15,1</w:t>
      </w:r>
      <w:r w:rsidRPr="000A384B">
        <w:t xml:space="preserve">% к уровню января – </w:t>
      </w:r>
      <w:r>
        <w:t>марта</w:t>
      </w:r>
      <w:r w:rsidRPr="000A384B">
        <w:t xml:space="preserve"> 2015 года), Российская Федерация (</w:t>
      </w:r>
      <w:r>
        <w:t>6,1</w:t>
      </w:r>
      <w:r w:rsidRPr="000A384B">
        <w:t xml:space="preserve">%, «-» </w:t>
      </w:r>
      <w:r>
        <w:t>30,2</w:t>
      </w:r>
      <w:r w:rsidRPr="000A384B">
        <w:t xml:space="preserve">% к уровню января – </w:t>
      </w:r>
      <w:r>
        <w:t>марта</w:t>
      </w:r>
      <w:r w:rsidRPr="000A384B">
        <w:t xml:space="preserve"> 2015 года), Украина (</w:t>
      </w:r>
      <w:r>
        <w:t>6,6</w:t>
      </w:r>
      <w:r w:rsidRPr="000A384B">
        <w:t xml:space="preserve">%, </w:t>
      </w:r>
      <w:r>
        <w:t>увеличение поставок на 3,3</w:t>
      </w:r>
      <w:proofErr w:type="gramEnd"/>
      <w:r>
        <w:t xml:space="preserve">% </w:t>
      </w:r>
      <w:r w:rsidRPr="000A384B">
        <w:t xml:space="preserve">к уровню января – </w:t>
      </w:r>
      <w:r>
        <w:t>марта</w:t>
      </w:r>
      <w:r w:rsidRPr="000A384B">
        <w:t xml:space="preserve"> 2015 года), Германия (</w:t>
      </w:r>
      <w:r>
        <w:t>6,5</w:t>
      </w:r>
      <w:r w:rsidRPr="000A384B">
        <w:t xml:space="preserve">%, </w:t>
      </w:r>
      <w:r>
        <w:t>прирост на 10,8</w:t>
      </w:r>
      <w:r w:rsidRPr="000A384B">
        <w:t xml:space="preserve">% к уровню </w:t>
      </w:r>
      <w:r>
        <w:t>базового уровня</w:t>
      </w:r>
      <w:r w:rsidRPr="000A384B">
        <w:t xml:space="preserve"> 2015 года).</w:t>
      </w:r>
      <w:r>
        <w:t xml:space="preserve"> Экспортные поставки в данные страны обеспечили 91,3% всех поставок за рубеж.</w:t>
      </w:r>
    </w:p>
    <w:p w:rsidR="009E695C" w:rsidRDefault="009E695C" w:rsidP="009E695C">
      <w:pPr>
        <w:pStyle w:val="a5"/>
      </w:pPr>
      <w:r>
        <w:t>Увеличение экспорта в Румынию в первую очередь обусловлено увеличением поставок о</w:t>
      </w:r>
      <w:r w:rsidRPr="00CC6A1E">
        <w:t>труб</w:t>
      </w:r>
      <w:r>
        <w:t>ей</w:t>
      </w:r>
      <w:r w:rsidRPr="00CC6A1E">
        <w:t xml:space="preserve"> и пр</w:t>
      </w:r>
      <w:r>
        <w:t>очих</w:t>
      </w:r>
      <w:r w:rsidRPr="00CC6A1E">
        <w:t xml:space="preserve"> остатк</w:t>
      </w:r>
      <w:r>
        <w:t>ов</w:t>
      </w:r>
      <w:r w:rsidRPr="00CC6A1E">
        <w:t xml:space="preserve"> от просеивания</w:t>
      </w:r>
      <w:r>
        <w:t xml:space="preserve"> (в 201,7 раза); т</w:t>
      </w:r>
      <w:r w:rsidRPr="00CC6A1E">
        <w:t>кан</w:t>
      </w:r>
      <w:r>
        <w:t>ей</w:t>
      </w:r>
      <w:r w:rsidRPr="00CC6A1E">
        <w:t xml:space="preserve"> хлопчатобумажны</w:t>
      </w:r>
      <w:r>
        <w:t>х (на 26,4%); обуви (на 32,9%); п</w:t>
      </w:r>
      <w:r w:rsidRPr="00CC6A1E">
        <w:t>ровод</w:t>
      </w:r>
      <w:r>
        <w:t>ов</w:t>
      </w:r>
      <w:r w:rsidRPr="00CC6A1E">
        <w:t xml:space="preserve"> обмоточны</w:t>
      </w:r>
      <w:r>
        <w:t>х (на 22,5%); а также не совершаемыми в базисном периоде минувшего года поставками консервированных о</w:t>
      </w:r>
      <w:r w:rsidRPr="000C2DEA">
        <w:t>вощ</w:t>
      </w:r>
      <w:r>
        <w:t>ей и икрой</w:t>
      </w:r>
      <w:r w:rsidRPr="003850BA">
        <w:t xml:space="preserve"> осетровых</w:t>
      </w:r>
      <w:r>
        <w:t>.</w:t>
      </w:r>
    </w:p>
    <w:p w:rsidR="009E695C" w:rsidRDefault="009E695C" w:rsidP="009E695C">
      <w:pPr>
        <w:pStyle w:val="2"/>
        <w:ind w:firstLine="709"/>
        <w:rPr>
          <w:sz w:val="24"/>
          <w:szCs w:val="24"/>
        </w:rPr>
      </w:pPr>
      <w:r w:rsidRPr="007A5F69">
        <w:rPr>
          <w:sz w:val="24"/>
          <w:szCs w:val="24"/>
        </w:rPr>
        <w:t xml:space="preserve">Товарная структура импортных поставок в республику в январе – марте 2016 года зависела от складывающейся ситуации на глобальных товарных рынках, обуславливалась </w:t>
      </w:r>
      <w:proofErr w:type="spellStart"/>
      <w:r w:rsidRPr="007A5F69">
        <w:rPr>
          <w:sz w:val="24"/>
          <w:szCs w:val="24"/>
        </w:rPr>
        <w:t>востребованостью</w:t>
      </w:r>
      <w:proofErr w:type="spellEnd"/>
      <w:r w:rsidRPr="007A5F69">
        <w:rPr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9E695C" w:rsidRDefault="009E695C" w:rsidP="009E695C">
      <w:pPr>
        <w:pStyle w:val="2"/>
        <w:ind w:firstLine="709"/>
        <w:rPr>
          <w:sz w:val="24"/>
          <w:szCs w:val="24"/>
        </w:rPr>
      </w:pPr>
    </w:p>
    <w:p w:rsidR="009E695C" w:rsidRDefault="009E695C" w:rsidP="009E695C">
      <w:pPr>
        <w:pStyle w:val="2"/>
        <w:ind w:firstLine="142"/>
        <w:rPr>
          <w:sz w:val="24"/>
          <w:szCs w:val="24"/>
        </w:rPr>
      </w:pPr>
      <w:r w:rsidRPr="000A384B">
        <w:rPr>
          <w:noProof/>
        </w:rPr>
        <w:drawing>
          <wp:inline distT="0" distB="0" distL="0" distR="0">
            <wp:extent cx="5943600" cy="2638425"/>
            <wp:effectExtent l="0" t="0" r="0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695C" w:rsidRPr="000A384B" w:rsidRDefault="009E695C" w:rsidP="009E695C">
      <w:pPr>
        <w:pStyle w:val="2"/>
        <w:ind w:firstLine="709"/>
        <w:rPr>
          <w:sz w:val="24"/>
          <w:szCs w:val="24"/>
        </w:rPr>
      </w:pPr>
    </w:p>
    <w:p w:rsidR="009E695C" w:rsidRPr="000A384B" w:rsidRDefault="009E695C" w:rsidP="009E695C">
      <w:pPr>
        <w:pStyle w:val="a5"/>
      </w:pPr>
      <w:r w:rsidRPr="000A384B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сократилась до </w:t>
      </w:r>
      <w:r>
        <w:t>59,8</w:t>
      </w:r>
      <w:r w:rsidRPr="000A384B">
        <w:t xml:space="preserve">% против </w:t>
      </w:r>
      <w:r>
        <w:t>64,4</w:t>
      </w:r>
      <w:r w:rsidRPr="000A384B">
        <w:t xml:space="preserve">% в январе – </w:t>
      </w:r>
      <w:r>
        <w:t xml:space="preserve">марте </w:t>
      </w:r>
      <w:r w:rsidRPr="000A384B">
        <w:t xml:space="preserve">2015 года, в абсолютной величине их объем сократился на </w:t>
      </w:r>
      <w:r>
        <w:t>39,8</w:t>
      </w:r>
      <w:r w:rsidRPr="000A384B">
        <w:t xml:space="preserve">%. </w:t>
      </w:r>
    </w:p>
    <w:p w:rsidR="009E695C" w:rsidRPr="000A384B" w:rsidRDefault="009E695C" w:rsidP="009E695C">
      <w:pPr>
        <w:pStyle w:val="a5"/>
      </w:pPr>
      <w:r>
        <w:rPr>
          <w:rFonts w:eastAsia="Times New Roman"/>
          <w:szCs w:val="24"/>
        </w:rPr>
        <w:t>С</w:t>
      </w:r>
      <w:r w:rsidRPr="000A384B">
        <w:rPr>
          <w:rFonts w:eastAsia="Times New Roman"/>
          <w:szCs w:val="24"/>
        </w:rPr>
        <w:t>нижени</w:t>
      </w:r>
      <w:r>
        <w:rPr>
          <w:rFonts w:eastAsia="Times New Roman"/>
          <w:szCs w:val="24"/>
        </w:rPr>
        <w:t>е</w:t>
      </w:r>
      <w:r w:rsidRPr="000A384B">
        <w:rPr>
          <w:rFonts w:eastAsia="Times New Roman"/>
          <w:szCs w:val="24"/>
        </w:rPr>
        <w:t xml:space="preserve"> производственной активности </w:t>
      </w:r>
      <w:r>
        <w:rPr>
          <w:rFonts w:eastAsia="Times New Roman"/>
          <w:szCs w:val="24"/>
        </w:rPr>
        <w:t xml:space="preserve">на </w:t>
      </w:r>
      <w:r w:rsidRPr="000A384B">
        <w:rPr>
          <w:rFonts w:eastAsia="Times New Roman"/>
          <w:szCs w:val="24"/>
        </w:rPr>
        <w:t>ОАО «Молдавский металлургический завод» привел</w:t>
      </w:r>
      <w:r>
        <w:rPr>
          <w:rFonts w:eastAsia="Times New Roman"/>
          <w:szCs w:val="24"/>
        </w:rPr>
        <w:t>и</w:t>
      </w:r>
      <w:r w:rsidRPr="000A384B">
        <w:rPr>
          <w:rFonts w:eastAsia="Times New Roman"/>
          <w:szCs w:val="24"/>
        </w:rPr>
        <w:t xml:space="preserve"> к сокращению потребности предприятия в сырьевых материалах</w:t>
      </w:r>
      <w:r w:rsidRPr="000A384B">
        <w:t>,</w:t>
      </w:r>
      <w:r>
        <w:t xml:space="preserve"> так</w:t>
      </w:r>
      <w:r w:rsidRPr="000A384B">
        <w:t xml:space="preserve"> по итогам января – </w:t>
      </w:r>
      <w:r>
        <w:t>марта</w:t>
      </w:r>
      <w:r w:rsidRPr="000A384B">
        <w:t xml:space="preserve"> 2016 года импорт металлов и изделий из них сократился на </w:t>
      </w:r>
      <w:r>
        <w:t>74,1</w:t>
      </w:r>
      <w:r w:rsidRPr="000A384B">
        <w:t xml:space="preserve">% от фактического базового показателя, сузив долевое представительство в товарной структуре до </w:t>
      </w:r>
      <w:r>
        <w:t>2,3</w:t>
      </w:r>
      <w:r w:rsidRPr="000A384B">
        <w:t xml:space="preserve">% против </w:t>
      </w:r>
      <w:r>
        <w:t>5,7</w:t>
      </w:r>
      <w:r w:rsidRPr="000A384B">
        <w:t xml:space="preserve">% в </w:t>
      </w:r>
      <w:r>
        <w:t xml:space="preserve">январе-марте </w:t>
      </w:r>
      <w:r w:rsidRPr="000A384B">
        <w:t>2015 года.</w:t>
      </w:r>
    </w:p>
    <w:p w:rsidR="009E695C" w:rsidRPr="000A384B" w:rsidRDefault="009E695C" w:rsidP="009E695C">
      <w:pPr>
        <w:pStyle w:val="a5"/>
      </w:pPr>
      <w:r w:rsidRPr="000A384B">
        <w:t xml:space="preserve">Увеличение ввоза текстильных материалов </w:t>
      </w:r>
      <w:r>
        <w:t>на 48,4%</w:t>
      </w:r>
      <w:r w:rsidRPr="000A384B">
        <w:t xml:space="preserve"> </w:t>
      </w:r>
      <w:r>
        <w:t xml:space="preserve">предопределило расширение </w:t>
      </w:r>
      <w:r w:rsidRPr="000A384B">
        <w:t xml:space="preserve">импортных поставок товаров легкой промышленности в январе – </w:t>
      </w:r>
      <w:r>
        <w:t>марте</w:t>
      </w:r>
      <w:r w:rsidRPr="000A384B">
        <w:t xml:space="preserve"> 2016 года на </w:t>
      </w:r>
      <w:r>
        <w:t>2,9</w:t>
      </w:r>
      <w:r w:rsidRPr="000A384B">
        <w:t xml:space="preserve"> процентных пункта до </w:t>
      </w:r>
      <w:r>
        <w:t>5,3</w:t>
      </w:r>
      <w:r w:rsidRPr="000A384B">
        <w:t xml:space="preserve">% против </w:t>
      </w:r>
      <w:r>
        <w:t>2,4</w:t>
      </w:r>
      <w:r w:rsidRPr="000A384B">
        <w:t xml:space="preserve">% в январе – </w:t>
      </w:r>
      <w:r>
        <w:t>марте</w:t>
      </w:r>
      <w:r w:rsidRPr="000A384B">
        <w:t xml:space="preserve"> 2015 года, в абсолютной величине их объем в</w:t>
      </w:r>
      <w:r>
        <w:t xml:space="preserve">озрос </w:t>
      </w:r>
      <w:r w:rsidRPr="000A384B">
        <w:t xml:space="preserve">на </w:t>
      </w:r>
      <w:r>
        <w:t>41,5</w:t>
      </w:r>
      <w:r w:rsidRPr="000A384B">
        <w:t>%.</w:t>
      </w:r>
    </w:p>
    <w:p w:rsidR="009E695C" w:rsidRPr="000A384B" w:rsidRDefault="009E695C" w:rsidP="009E695C">
      <w:pPr>
        <w:pStyle w:val="a5"/>
      </w:pPr>
      <w:r w:rsidRPr="000A384B">
        <w:t xml:space="preserve">В январе – </w:t>
      </w:r>
      <w:r>
        <w:t>марте</w:t>
      </w:r>
      <w:r w:rsidRPr="000A384B">
        <w:t xml:space="preserve"> 2016 года на продовольственные товары (сырье) приходилось </w:t>
      </w:r>
      <w:r>
        <w:t>10,0</w:t>
      </w:r>
      <w:r w:rsidRPr="000A384B">
        <w:t xml:space="preserve">% импортных поставок в общем объеме импорта против </w:t>
      </w:r>
      <w:r>
        <w:t>6,3</w:t>
      </w:r>
      <w:r w:rsidRPr="000A384B">
        <w:t xml:space="preserve">% в базовом периоде минувшего года, при этом в денежном эквиваленте ввоз данных товаров вырос на </w:t>
      </w:r>
      <w:r>
        <w:t>3,3</w:t>
      </w:r>
      <w:r w:rsidRPr="000A384B">
        <w:t>%.</w:t>
      </w:r>
    </w:p>
    <w:p w:rsidR="009E695C" w:rsidRDefault="009E695C" w:rsidP="009E695C">
      <w:pPr>
        <w:pStyle w:val="a5"/>
      </w:pPr>
      <w:r w:rsidRPr="000A384B">
        <w:rPr>
          <w:szCs w:val="24"/>
        </w:rPr>
        <w:t xml:space="preserve">В числе статей импорта, уступивших параметрам января – </w:t>
      </w:r>
      <w:r>
        <w:rPr>
          <w:szCs w:val="24"/>
        </w:rPr>
        <w:t>марта</w:t>
      </w:r>
      <w:r w:rsidRPr="000A384B">
        <w:rPr>
          <w:szCs w:val="24"/>
        </w:rPr>
        <w:t xml:space="preserve"> 2015 года, отмечается и машиностроительная продукция, на импортные</w:t>
      </w:r>
      <w:r w:rsidRPr="000A384B">
        <w:t xml:space="preserve"> поставки которой в               рассматриваемом периоде приходилось </w:t>
      </w:r>
      <w:r>
        <w:t>8,0</w:t>
      </w:r>
      <w:r w:rsidRPr="000A384B">
        <w:t>% ввезенных товаров против 10,</w:t>
      </w:r>
      <w:r>
        <w:t>6</w:t>
      </w:r>
      <w:r w:rsidRPr="000A384B">
        <w:t xml:space="preserve">% в январе – </w:t>
      </w:r>
      <w:r>
        <w:t xml:space="preserve">марте </w:t>
      </w:r>
      <w:r w:rsidRPr="000A384B">
        <w:t xml:space="preserve">2015 года, в абсолютной величине их объем сократился на </w:t>
      </w:r>
      <w:r>
        <w:t>51,1</w:t>
      </w:r>
      <w:r w:rsidRPr="000A384B">
        <w:t>%.</w:t>
      </w:r>
    </w:p>
    <w:p w:rsidR="009E695C" w:rsidRPr="000A384B" w:rsidRDefault="009E695C" w:rsidP="009E695C">
      <w:pPr>
        <w:pStyle w:val="a5"/>
      </w:pPr>
      <w:r w:rsidRPr="00051A36">
        <w:lastRenderedPageBreak/>
        <w:t>Несмотря на снижение объема поставок фармацевтической продукции в рассматриваемом периоде на 10,9%, их долевое участие в товарной структуре импорт</w:t>
      </w:r>
      <w:r>
        <w:t>а</w:t>
      </w:r>
      <w:r w:rsidRPr="00051A36">
        <w:t xml:space="preserve"> возросло с 1,6% в январе-марте 2015 года до 2,2% в январе- марте </w:t>
      </w:r>
      <w:r>
        <w:t>текущего</w:t>
      </w:r>
      <w:r w:rsidRPr="00051A36">
        <w:t xml:space="preserve"> года.</w:t>
      </w:r>
    </w:p>
    <w:p w:rsidR="009E695C" w:rsidRDefault="009E695C" w:rsidP="009E695C">
      <w:pPr>
        <w:pStyle w:val="a5"/>
      </w:pPr>
      <w:r w:rsidRPr="00950176">
        <w:t xml:space="preserve">Основными торговыми партнерами Приднестровья по </w:t>
      </w:r>
      <w:r>
        <w:t xml:space="preserve">импортным </w:t>
      </w:r>
      <w:r w:rsidRPr="00950176">
        <w:t xml:space="preserve">поставкам </w:t>
      </w:r>
      <w:r w:rsidRPr="000A384B">
        <w:rPr>
          <w:color w:val="000000"/>
        </w:rPr>
        <w:t xml:space="preserve">в обозначенном периоде выступали контрагенты </w:t>
      </w:r>
      <w:r w:rsidRPr="000A384B">
        <w:t>Российской Федерации (</w:t>
      </w:r>
      <w:r>
        <w:t>62,2</w:t>
      </w:r>
      <w:r w:rsidRPr="000A384B">
        <w:t xml:space="preserve">% совокупного импорта, «-» </w:t>
      </w:r>
      <w:r>
        <w:t>40,4</w:t>
      </w:r>
      <w:r w:rsidRPr="000A384B">
        <w:t>% к уровню базового показателя 2015 года), Украины (</w:t>
      </w:r>
      <w:r>
        <w:t>7,5</w:t>
      </w:r>
      <w:r w:rsidRPr="000A384B">
        <w:t>%, «-»</w:t>
      </w:r>
      <w:r>
        <w:t>27,1</w:t>
      </w:r>
      <w:r w:rsidRPr="000A384B">
        <w:t>%), Республики Молдова (</w:t>
      </w:r>
      <w:r>
        <w:t>3,3</w:t>
      </w:r>
      <w:r w:rsidRPr="000A384B">
        <w:t>%, «-»</w:t>
      </w:r>
      <w:r>
        <w:t>53,6</w:t>
      </w:r>
      <w:r w:rsidRPr="000A384B">
        <w:t>%), Германии (</w:t>
      </w:r>
      <w:r>
        <w:t>3,7</w:t>
      </w:r>
      <w:r w:rsidRPr="000A384B">
        <w:t>%, «-»</w:t>
      </w:r>
      <w:r>
        <w:t>36,0</w:t>
      </w:r>
      <w:r w:rsidRPr="000A384B">
        <w:t>%), Республики Беларусь (</w:t>
      </w:r>
      <w:r>
        <w:t>2,6</w:t>
      </w:r>
      <w:r w:rsidRPr="000A384B">
        <w:t xml:space="preserve">%, «-» </w:t>
      </w:r>
      <w:r>
        <w:t>28,5</w:t>
      </w:r>
      <w:r w:rsidRPr="000A384B">
        <w:t xml:space="preserve">%). </w:t>
      </w:r>
    </w:p>
    <w:p w:rsidR="009E695C" w:rsidRDefault="009E695C" w:rsidP="009E695C">
      <w:pPr>
        <w:pStyle w:val="a5"/>
      </w:pPr>
      <w:r w:rsidRPr="000A384B">
        <w:t>Вместе с этим следует отметить, что увеличение ввоза хлопкового волокна в январе-</w:t>
      </w:r>
      <w:r>
        <w:t>марте</w:t>
      </w:r>
      <w:r w:rsidRPr="000A384B">
        <w:t xml:space="preserve"> текущего года в </w:t>
      </w:r>
      <w:r>
        <w:t>2,4</w:t>
      </w:r>
      <w:r w:rsidRPr="000A384B">
        <w:t xml:space="preserve"> раза, обеспечило </w:t>
      </w:r>
      <w:r>
        <w:t>рост</w:t>
      </w:r>
      <w:r w:rsidRPr="000A384B">
        <w:t xml:space="preserve"> объемов импорта из Республики Казахстан в </w:t>
      </w:r>
      <w:r>
        <w:t>2,2</w:t>
      </w:r>
      <w:r w:rsidRPr="000A384B">
        <w:t xml:space="preserve"> раза, и обусловило </w:t>
      </w:r>
      <w:r>
        <w:t>расширение</w:t>
      </w:r>
      <w:r w:rsidRPr="000A384B">
        <w:t xml:space="preserve"> долевого участия в совокупном объеме импорта до 2,</w:t>
      </w:r>
      <w:r>
        <w:t>5</w:t>
      </w:r>
      <w:r w:rsidRPr="000A384B">
        <w:t>% против 0,</w:t>
      </w:r>
      <w:r>
        <w:t>7</w:t>
      </w:r>
      <w:r w:rsidRPr="000A384B">
        <w:t>% в январе-</w:t>
      </w:r>
      <w:r>
        <w:t>марте</w:t>
      </w:r>
      <w:r w:rsidRPr="000A384B">
        <w:t xml:space="preserve"> 2015 года.</w:t>
      </w:r>
      <w:r>
        <w:t xml:space="preserve"> </w:t>
      </w:r>
    </w:p>
    <w:p w:rsidR="009E695C" w:rsidRPr="00B36247" w:rsidRDefault="009E695C" w:rsidP="009E695C">
      <w:pPr>
        <w:pStyle w:val="a5"/>
        <w:rPr>
          <w:szCs w:val="24"/>
        </w:rPr>
      </w:pPr>
      <w:proofErr w:type="gramStart"/>
      <w:r>
        <w:t>Импортные поставки из Республики Польша в отчетном периоде превысили сопоставимый уровень минувшего года на 38,5%, обеспечив расширение долевого участия в общем объеме импорта на 1,2 процентных пункта до 2,3%. Основное влияние на прирост импорта из Польши оказало увеличение поставок а</w:t>
      </w:r>
      <w:r w:rsidRPr="00A14FB2">
        <w:t>ппаратур</w:t>
      </w:r>
      <w:r>
        <w:t>ы</w:t>
      </w:r>
      <w:r w:rsidRPr="00A14FB2">
        <w:t xml:space="preserve"> п</w:t>
      </w:r>
      <w:r>
        <w:t xml:space="preserve">риемной для телевизионной связи </w:t>
      </w:r>
      <w:r w:rsidRPr="00A14FB2">
        <w:t>цветного изображения</w:t>
      </w:r>
      <w:r w:rsidRPr="00EE38E1">
        <w:rPr>
          <w:szCs w:val="24"/>
        </w:rPr>
        <w:t xml:space="preserve"> в 8,0 раз</w:t>
      </w:r>
      <w:r>
        <w:t xml:space="preserve">, а также </w:t>
      </w:r>
      <w:r>
        <w:rPr>
          <w:szCs w:val="24"/>
        </w:rPr>
        <w:t>п</w:t>
      </w:r>
      <w:r w:rsidRPr="00B36247">
        <w:rPr>
          <w:szCs w:val="24"/>
        </w:rPr>
        <w:t>анел</w:t>
      </w:r>
      <w:r>
        <w:rPr>
          <w:szCs w:val="24"/>
        </w:rPr>
        <w:t>ей</w:t>
      </w:r>
      <w:r w:rsidRPr="00B36247">
        <w:rPr>
          <w:szCs w:val="24"/>
        </w:rPr>
        <w:t>,</w:t>
      </w:r>
      <w:r>
        <w:rPr>
          <w:szCs w:val="24"/>
        </w:rPr>
        <w:t xml:space="preserve"> состоящих</w:t>
      </w:r>
      <w:r w:rsidRPr="00B36247">
        <w:rPr>
          <w:szCs w:val="24"/>
        </w:rPr>
        <w:t xml:space="preserve"> </w:t>
      </w:r>
      <w:r>
        <w:rPr>
          <w:szCs w:val="24"/>
        </w:rPr>
        <w:t xml:space="preserve">из двух стенок, изготовленных из </w:t>
      </w:r>
      <w:r w:rsidRPr="00B36247">
        <w:rPr>
          <w:szCs w:val="24"/>
        </w:rPr>
        <w:t>гофрированного</w:t>
      </w:r>
      <w:r>
        <w:rPr>
          <w:szCs w:val="24"/>
        </w:rPr>
        <w:t xml:space="preserve"> </w:t>
      </w:r>
      <w:r w:rsidRPr="00B36247">
        <w:rPr>
          <w:szCs w:val="24"/>
        </w:rPr>
        <w:t>(ребристого</w:t>
      </w:r>
      <w:proofErr w:type="gramEnd"/>
      <w:r w:rsidRPr="00B36247">
        <w:rPr>
          <w:szCs w:val="24"/>
        </w:rPr>
        <w:t>)</w:t>
      </w:r>
      <w:r>
        <w:rPr>
          <w:szCs w:val="24"/>
        </w:rPr>
        <w:t xml:space="preserve"> </w:t>
      </w:r>
      <w:r w:rsidRPr="00B36247">
        <w:rPr>
          <w:szCs w:val="24"/>
        </w:rPr>
        <w:t>листа из черных металлов с изоляционным наполнителем</w:t>
      </w:r>
      <w:r w:rsidRPr="00EE38E1">
        <w:t xml:space="preserve"> </w:t>
      </w:r>
      <w:r>
        <w:rPr>
          <w:szCs w:val="24"/>
        </w:rPr>
        <w:t>в 5,5 раз к базовому уровню 2015 года.</w:t>
      </w:r>
    </w:p>
    <w:p w:rsidR="009E695C" w:rsidRPr="000A384B" w:rsidRDefault="009E695C" w:rsidP="009E695C">
      <w:pPr>
        <w:pStyle w:val="a5"/>
        <w:ind w:left="-426" w:firstLine="0"/>
        <w:jc w:val="center"/>
      </w:pPr>
      <w:r w:rsidRPr="000A384B">
        <w:rPr>
          <w:noProof/>
        </w:rPr>
        <w:drawing>
          <wp:inline distT="0" distB="0" distL="0" distR="0">
            <wp:extent cx="6276975" cy="3457575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695C" w:rsidRPr="000A384B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95C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Таким образом, зависимость экономики от внешних ресурсов на фоне высоких рисков в осуществлении внешнеэкономической деятельности вынуждает приднестровских экономических агентов приспосабливаться к действующим условиям ведения внешней торговли, что приводит к дополнительным затратам и соответственно к снижению конкурентоспособности приднестровской продукции. </w:t>
      </w:r>
    </w:p>
    <w:p w:rsidR="009E695C" w:rsidRPr="000A384B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95C" w:rsidRPr="00BE3DD2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E3DD2">
        <w:rPr>
          <w:rFonts w:ascii="Times New Roman" w:hAnsi="Times New Roman"/>
          <w:sz w:val="24"/>
          <w:szCs w:val="24"/>
          <w:u w:val="single"/>
        </w:rPr>
        <w:t>Инфляционные процессы</w:t>
      </w:r>
    </w:p>
    <w:p w:rsidR="009E695C" w:rsidRPr="00B93AD6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D6">
        <w:rPr>
          <w:rFonts w:ascii="Times New Roman" w:hAnsi="Times New Roman"/>
          <w:sz w:val="24"/>
          <w:szCs w:val="24"/>
        </w:rPr>
        <w:t xml:space="preserve">После </w:t>
      </w:r>
      <w:r w:rsidRPr="00B93AD6">
        <w:rPr>
          <w:rStyle w:val="aa"/>
          <w:szCs w:val="24"/>
        </w:rPr>
        <w:t xml:space="preserve">незначительного повышения инфляционного фона в январе 2016 года («+»0,20%) и снижения в феврале </w:t>
      </w:r>
      <w:r w:rsidRPr="00B93AD6">
        <w:rPr>
          <w:rFonts w:ascii="Times New Roman" w:hAnsi="Times New Roman"/>
          <w:sz w:val="24"/>
          <w:szCs w:val="24"/>
        </w:rPr>
        <w:t>(«-»0,62%)</w:t>
      </w:r>
      <w:r w:rsidRPr="00B93AD6">
        <w:rPr>
          <w:rStyle w:val="aa"/>
          <w:szCs w:val="24"/>
        </w:rPr>
        <w:t xml:space="preserve">, в марте на потребительском рынке республики отмечалась тенденция повышения динамики </w:t>
      </w:r>
      <w:r w:rsidRPr="00B93AD6">
        <w:rPr>
          <w:rFonts w:ascii="Times New Roman" w:hAnsi="Times New Roman"/>
          <w:sz w:val="24"/>
          <w:szCs w:val="24"/>
        </w:rPr>
        <w:t xml:space="preserve">стоимости цен на товары и услуги («+»0,41%). </w:t>
      </w:r>
      <w:r w:rsidRPr="00B93AD6">
        <w:rPr>
          <w:rStyle w:val="aa"/>
          <w:szCs w:val="24"/>
        </w:rPr>
        <w:t xml:space="preserve">В целом сводный индекс потребительских цен </w:t>
      </w:r>
      <w:r w:rsidRPr="00B93AD6">
        <w:rPr>
          <w:rStyle w:val="aa"/>
          <w:szCs w:val="24"/>
        </w:rPr>
        <w:lastRenderedPageBreak/>
        <w:t>(инфляция) в январе-марте 2016 года с</w:t>
      </w:r>
      <w:r w:rsidRPr="00B93AD6">
        <w:rPr>
          <w:rFonts w:ascii="Times New Roman" w:hAnsi="Times New Roman"/>
          <w:sz w:val="24"/>
          <w:szCs w:val="24"/>
        </w:rPr>
        <w:t>ложился на уровне 99,99% против 99,19% в январе-марте 2015 года.</w:t>
      </w:r>
    </w:p>
    <w:p w:rsidR="009E695C" w:rsidRPr="00B93AD6" w:rsidRDefault="009E695C" w:rsidP="009E695C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93AD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8860" cy="2286000"/>
            <wp:effectExtent l="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695C" w:rsidRPr="00B93AD6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95C" w:rsidRPr="00B93AD6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D6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9E695C" w:rsidRPr="00B93AD6" w:rsidRDefault="009E695C" w:rsidP="009E6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95C" w:rsidRPr="00B93AD6" w:rsidRDefault="009E695C" w:rsidP="009E695C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B93AD6">
        <w:rPr>
          <w:rStyle w:val="a8"/>
          <w:rFonts w:ascii="Times New Roman" w:hAnsi="Times New Roman"/>
          <w:b w:val="0"/>
          <w:noProof/>
          <w:color w:val="000000"/>
          <w:sz w:val="24"/>
          <w:szCs w:val="24"/>
        </w:rPr>
        <w:drawing>
          <wp:inline distT="0" distB="0" distL="0" distR="0">
            <wp:extent cx="5947410" cy="2011680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695C" w:rsidRPr="00B93AD6" w:rsidRDefault="009E695C" w:rsidP="009E695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Устойчивые дефляционные процессы по большинству видов товаров (удешевление стоимости яиц – на 19,21%, сыра – на 3,86%, кондитерских изделий 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– на 1,27%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консервов овощных – на 1,10%, 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мясопродуктов – на 0,79%), 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совокупности с повышением 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цен на 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рыбопродукты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(«+»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1,35%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сахар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(«+»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1,26%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плодоовощную продукцию, включая картофель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(«+»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1,22%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)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, напитк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и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безалкогольны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е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(«+»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0,09%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)</w:t>
      </w:r>
      <w:r w:rsidRPr="00B93AD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,</w:t>
      </w: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предопределили в продовольственном сегменте потребительского рынка в январе-марте 2016 года выраженный дефляционный тренд – «-»0,59% (в январе-марте</w:t>
      </w:r>
      <w:proofErr w:type="gramEnd"/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2015 года – «-»3,22%).</w:t>
      </w:r>
      <w:proofErr w:type="gramEnd"/>
    </w:p>
    <w:p w:rsidR="009E695C" w:rsidRPr="00B93AD6" w:rsidRDefault="009E695C" w:rsidP="009E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группе непродовольственных товаров фиксировалась инфляция </w:t>
      </w:r>
      <w:r w:rsidRPr="00B93AD6">
        <w:rPr>
          <w:rFonts w:ascii="Times New Roman" w:hAnsi="Times New Roman" w:cs="Times New Roman"/>
          <w:sz w:val="24"/>
          <w:szCs w:val="24"/>
        </w:rPr>
        <w:t>«+»0,17%             (в январе–марте 2015 года «-»1,77%). В общей структуре данного сегмента выделяется удорожание стоимости велосипедов («+»6,26%), ковров и ковровых изделий («+»5,47%), вычислительной техники («+»3,76%), электротоваров и других бытовых приборов («+»3,18%), печатных изданий («+»2,08%), а также строительных материалов («+»1,59%). В то же время отмечалось удешевление стоимости товаров бытовой химии («-»6,32%), топлива (бензина) («-»5,44%), медикаментов («-»1,19%) и др.</w:t>
      </w:r>
    </w:p>
    <w:p w:rsidR="009E695C" w:rsidRPr="00B93AD6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D6">
        <w:rPr>
          <w:rFonts w:ascii="Times New Roman" w:hAnsi="Times New Roman" w:cs="Times New Roman"/>
          <w:sz w:val="24"/>
          <w:szCs w:val="24"/>
        </w:rPr>
        <w:t>По итогам января-марта 2016 года инфляционная нагрузка в сфере услуг составила 0,75%, снизившись на 4,74 процентных пункта</w:t>
      </w:r>
      <w:r w:rsidRPr="00B93AD6">
        <w:rPr>
          <w:rFonts w:ascii="Times New Roman" w:hAnsi="Times New Roman"/>
          <w:sz w:val="24"/>
          <w:szCs w:val="24"/>
        </w:rPr>
        <w:t xml:space="preserve"> к сопоставимому значению соответствующего периода предыдущего года. Данная тенденция обусловлена принятием на государственном уровне решения о сохранении действия в </w:t>
      </w:r>
      <w:r w:rsidRPr="00B93AD6">
        <w:rPr>
          <w:rFonts w:ascii="Times New Roman" w:hAnsi="Times New Roman"/>
          <w:sz w:val="24"/>
          <w:szCs w:val="24"/>
          <w:lang w:val="en-US"/>
        </w:rPr>
        <w:t>I</w:t>
      </w:r>
      <w:r w:rsidRPr="00B93AD6">
        <w:rPr>
          <w:rFonts w:ascii="Times New Roman" w:hAnsi="Times New Roman"/>
          <w:sz w:val="24"/>
          <w:szCs w:val="24"/>
        </w:rPr>
        <w:t xml:space="preserve"> квартале 2016 года тарифов в сфере услуг по газоснабжению, электроэнергетике, а также снабжению тепловой энергии на уровне тарифов, действовавших с марта 2015 года.</w:t>
      </w:r>
    </w:p>
    <w:p w:rsidR="009E695C" w:rsidRPr="00B93AD6" w:rsidRDefault="009E695C" w:rsidP="009E695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D6">
        <w:rPr>
          <w:rFonts w:ascii="Times New Roman" w:hAnsi="Times New Roman" w:cs="Times New Roman"/>
          <w:sz w:val="24"/>
          <w:szCs w:val="24"/>
        </w:rPr>
        <w:t xml:space="preserve">Генератором определившегося инфляционного фона в сфере тарифов на услуги в январе-марте 2016 года выступило плановое </w:t>
      </w:r>
      <w:r w:rsidRPr="00B93AD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стоимости медицинских услуг </w:t>
      </w:r>
      <w:r w:rsidRPr="00B93AD6">
        <w:rPr>
          <w:rStyle w:val="FontStyle183"/>
          <w:rFonts w:ascii="Times New Roman" w:eastAsia="Calibri" w:hAnsi="Times New Roman" w:cs="Times New Roman"/>
          <w:sz w:val="24"/>
          <w:szCs w:val="24"/>
        </w:rPr>
        <w:lastRenderedPageBreak/>
        <w:t xml:space="preserve">(«+»13,34%), услуг дошкольного воспитания («+»8,36%), услуг правового характера («+»8,21%). Также весомое инфляционное давление в сфере услуг в обозначенном периоде создало </w:t>
      </w:r>
      <w:r w:rsidRPr="00B93AD6">
        <w:rPr>
          <w:rFonts w:ascii="Times New Roman" w:hAnsi="Times New Roman" w:cs="Times New Roman"/>
          <w:sz w:val="24"/>
          <w:szCs w:val="24"/>
        </w:rPr>
        <w:t xml:space="preserve">повышение стоимости тарифов на услуги связи – на 0,80%, ремонта бытовых электротоваров – на 1,15%, ритуальных услуг – на 4,38%. </w:t>
      </w:r>
      <w:r w:rsidRPr="00B93AD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В то же время подешевели санаторно-оздоровительные услуги на 20,0%. </w:t>
      </w:r>
    </w:p>
    <w:p w:rsidR="009E695C" w:rsidRPr="00B93AD6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на фоне инфляции в </w:t>
      </w:r>
      <w:r w:rsidRPr="00B93AD6">
        <w:rPr>
          <w:rFonts w:ascii="Times New Roman" w:hAnsi="Times New Roman"/>
          <w:sz w:val="24"/>
          <w:szCs w:val="24"/>
        </w:rPr>
        <w:t>январе-марте 2016 года в Республике Молдова 0,1%, в Украине – 1,5%, в Российской Федерации – 2,1%</w:t>
      </w:r>
      <w:r>
        <w:rPr>
          <w:rFonts w:ascii="Times New Roman" w:hAnsi="Times New Roman"/>
          <w:sz w:val="24"/>
          <w:szCs w:val="24"/>
        </w:rPr>
        <w:t xml:space="preserve"> на потребительском рынке Приднестровья </w:t>
      </w:r>
      <w:r w:rsidRPr="00B93AD6">
        <w:rPr>
          <w:rFonts w:ascii="Times New Roman" w:hAnsi="Times New Roman"/>
          <w:sz w:val="24"/>
          <w:szCs w:val="24"/>
        </w:rPr>
        <w:t>отме</w:t>
      </w:r>
      <w:r>
        <w:rPr>
          <w:rFonts w:ascii="Times New Roman" w:hAnsi="Times New Roman"/>
          <w:sz w:val="24"/>
          <w:szCs w:val="24"/>
        </w:rPr>
        <w:t xml:space="preserve">чается </w:t>
      </w:r>
      <w:r w:rsidRPr="00B93AD6">
        <w:rPr>
          <w:rFonts w:ascii="Times New Roman" w:hAnsi="Times New Roman"/>
          <w:sz w:val="24"/>
          <w:szCs w:val="24"/>
        </w:rPr>
        <w:t>дефляци</w:t>
      </w:r>
      <w:r>
        <w:rPr>
          <w:rFonts w:ascii="Times New Roman" w:hAnsi="Times New Roman"/>
          <w:sz w:val="24"/>
          <w:szCs w:val="24"/>
        </w:rPr>
        <w:t>я в размере 0,01%</w:t>
      </w:r>
      <w:r w:rsidRPr="00B93AD6">
        <w:rPr>
          <w:rFonts w:ascii="Times New Roman" w:hAnsi="Times New Roman"/>
          <w:sz w:val="24"/>
          <w:szCs w:val="24"/>
        </w:rPr>
        <w:t xml:space="preserve">, что обусловлено проводимыми антиинфляционными мерами со стороны государства и бизнеса. Кроме того, определённое влияние оказали принятые на государственном уровне решения о сохранении действия в </w:t>
      </w:r>
      <w:r w:rsidRPr="00B93AD6">
        <w:rPr>
          <w:rFonts w:ascii="Times New Roman" w:hAnsi="Times New Roman"/>
          <w:sz w:val="24"/>
          <w:szCs w:val="24"/>
          <w:lang w:val="en-US"/>
        </w:rPr>
        <w:t>I</w:t>
      </w:r>
      <w:r w:rsidRPr="00B93AD6">
        <w:rPr>
          <w:rFonts w:ascii="Times New Roman" w:hAnsi="Times New Roman"/>
          <w:sz w:val="24"/>
          <w:szCs w:val="24"/>
        </w:rPr>
        <w:t xml:space="preserve"> квартале 2016 года оптимизации тарифной политики в сфере естественных монополий. </w:t>
      </w:r>
    </w:p>
    <w:p w:rsidR="009E695C" w:rsidRPr="00E62181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AD6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B93AD6">
        <w:rPr>
          <w:rFonts w:ascii="Times New Roman" w:hAnsi="Times New Roman"/>
          <w:i/>
          <w:sz w:val="24"/>
          <w:szCs w:val="24"/>
          <w:u w:val="single"/>
        </w:rPr>
        <w:t>:</w:t>
      </w:r>
      <w:r w:rsidRPr="00B93AD6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январе-марте     2016 года в Республике Молдова составил 100,1%, в Украине – 101,5%, в Российской Федерации – 102,1%.</w:t>
      </w:r>
    </w:p>
    <w:p w:rsidR="009E695C" w:rsidRDefault="009E695C" w:rsidP="009E6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E695C" w:rsidSect="00995F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3E"/>
    <w:rsid w:val="00003107"/>
    <w:rsid w:val="00004164"/>
    <w:rsid w:val="000053C5"/>
    <w:rsid w:val="00013AF2"/>
    <w:rsid w:val="0004130A"/>
    <w:rsid w:val="00047393"/>
    <w:rsid w:val="00053023"/>
    <w:rsid w:val="00084FD8"/>
    <w:rsid w:val="000A384B"/>
    <w:rsid w:val="000C6703"/>
    <w:rsid w:val="000D1199"/>
    <w:rsid w:val="000D2338"/>
    <w:rsid w:val="000D352A"/>
    <w:rsid w:val="000E0E9A"/>
    <w:rsid w:val="000E652D"/>
    <w:rsid w:val="000E7C82"/>
    <w:rsid w:val="00103FAC"/>
    <w:rsid w:val="0011673E"/>
    <w:rsid w:val="00134276"/>
    <w:rsid w:val="00166AA4"/>
    <w:rsid w:val="00197975"/>
    <w:rsid w:val="001A0843"/>
    <w:rsid w:val="001A19EA"/>
    <w:rsid w:val="001B08F6"/>
    <w:rsid w:val="001B341E"/>
    <w:rsid w:val="001B3EE4"/>
    <w:rsid w:val="001C1C5B"/>
    <w:rsid w:val="001D5663"/>
    <w:rsid w:val="001E38E2"/>
    <w:rsid w:val="001F1A2D"/>
    <w:rsid w:val="001F77E9"/>
    <w:rsid w:val="001F7829"/>
    <w:rsid w:val="0023331B"/>
    <w:rsid w:val="00235883"/>
    <w:rsid w:val="00237D30"/>
    <w:rsid w:val="0024271A"/>
    <w:rsid w:val="002469D7"/>
    <w:rsid w:val="00266D06"/>
    <w:rsid w:val="00276DCC"/>
    <w:rsid w:val="0027732C"/>
    <w:rsid w:val="002C6187"/>
    <w:rsid w:val="002D3210"/>
    <w:rsid w:val="002E4D70"/>
    <w:rsid w:val="003026F4"/>
    <w:rsid w:val="003120B7"/>
    <w:rsid w:val="00312B1B"/>
    <w:rsid w:val="00313F8D"/>
    <w:rsid w:val="00323278"/>
    <w:rsid w:val="003419E7"/>
    <w:rsid w:val="003830EE"/>
    <w:rsid w:val="00387DC9"/>
    <w:rsid w:val="0039391D"/>
    <w:rsid w:val="0039758C"/>
    <w:rsid w:val="003B1024"/>
    <w:rsid w:val="003C49C7"/>
    <w:rsid w:val="003E292B"/>
    <w:rsid w:val="003F1851"/>
    <w:rsid w:val="004109FA"/>
    <w:rsid w:val="004238ED"/>
    <w:rsid w:val="00424082"/>
    <w:rsid w:val="00431ECE"/>
    <w:rsid w:val="00434C99"/>
    <w:rsid w:val="00435188"/>
    <w:rsid w:val="00435822"/>
    <w:rsid w:val="00443F5D"/>
    <w:rsid w:val="00451302"/>
    <w:rsid w:val="00455DEA"/>
    <w:rsid w:val="0048012A"/>
    <w:rsid w:val="004817FF"/>
    <w:rsid w:val="004869A6"/>
    <w:rsid w:val="00491874"/>
    <w:rsid w:val="004963A5"/>
    <w:rsid w:val="004E1A74"/>
    <w:rsid w:val="004F55C0"/>
    <w:rsid w:val="005119B2"/>
    <w:rsid w:val="00523F1E"/>
    <w:rsid w:val="00544ABB"/>
    <w:rsid w:val="00585414"/>
    <w:rsid w:val="00586CBA"/>
    <w:rsid w:val="005A4136"/>
    <w:rsid w:val="005A630C"/>
    <w:rsid w:val="005B4013"/>
    <w:rsid w:val="005F072D"/>
    <w:rsid w:val="005F19FF"/>
    <w:rsid w:val="005F5BB9"/>
    <w:rsid w:val="00604D34"/>
    <w:rsid w:val="00613D98"/>
    <w:rsid w:val="00626126"/>
    <w:rsid w:val="00655E54"/>
    <w:rsid w:val="00657B11"/>
    <w:rsid w:val="00665821"/>
    <w:rsid w:val="0066601C"/>
    <w:rsid w:val="00670102"/>
    <w:rsid w:val="0068575D"/>
    <w:rsid w:val="006B0877"/>
    <w:rsid w:val="006D3D1C"/>
    <w:rsid w:val="006D670C"/>
    <w:rsid w:val="006E4DD2"/>
    <w:rsid w:val="006F58DA"/>
    <w:rsid w:val="0070267A"/>
    <w:rsid w:val="007057D2"/>
    <w:rsid w:val="007116F7"/>
    <w:rsid w:val="007227EB"/>
    <w:rsid w:val="00736B1E"/>
    <w:rsid w:val="00760D6C"/>
    <w:rsid w:val="00766713"/>
    <w:rsid w:val="00774BF1"/>
    <w:rsid w:val="00781053"/>
    <w:rsid w:val="007902A1"/>
    <w:rsid w:val="007953BC"/>
    <w:rsid w:val="007A0520"/>
    <w:rsid w:val="007B254C"/>
    <w:rsid w:val="007B263D"/>
    <w:rsid w:val="007B690F"/>
    <w:rsid w:val="007D361F"/>
    <w:rsid w:val="007D6856"/>
    <w:rsid w:val="007F27B4"/>
    <w:rsid w:val="008006DC"/>
    <w:rsid w:val="00817C24"/>
    <w:rsid w:val="00820ABD"/>
    <w:rsid w:val="0083211A"/>
    <w:rsid w:val="008453F6"/>
    <w:rsid w:val="008508E3"/>
    <w:rsid w:val="008624DC"/>
    <w:rsid w:val="008727F3"/>
    <w:rsid w:val="008A3A94"/>
    <w:rsid w:val="008D70E8"/>
    <w:rsid w:val="008E262F"/>
    <w:rsid w:val="008F1698"/>
    <w:rsid w:val="008F50E9"/>
    <w:rsid w:val="00926412"/>
    <w:rsid w:val="00930AD2"/>
    <w:rsid w:val="009619EC"/>
    <w:rsid w:val="00964CFF"/>
    <w:rsid w:val="0097562F"/>
    <w:rsid w:val="00975B52"/>
    <w:rsid w:val="00986063"/>
    <w:rsid w:val="00993D27"/>
    <w:rsid w:val="00995F68"/>
    <w:rsid w:val="009A6160"/>
    <w:rsid w:val="009A66F0"/>
    <w:rsid w:val="009B23CA"/>
    <w:rsid w:val="009B5BA3"/>
    <w:rsid w:val="009B6AFD"/>
    <w:rsid w:val="009C42F1"/>
    <w:rsid w:val="009E0BD2"/>
    <w:rsid w:val="009E649F"/>
    <w:rsid w:val="009E695C"/>
    <w:rsid w:val="00A10F10"/>
    <w:rsid w:val="00A16ACE"/>
    <w:rsid w:val="00A3017A"/>
    <w:rsid w:val="00A350AF"/>
    <w:rsid w:val="00A4323A"/>
    <w:rsid w:val="00A5550A"/>
    <w:rsid w:val="00A71FA9"/>
    <w:rsid w:val="00A7244D"/>
    <w:rsid w:val="00A81F86"/>
    <w:rsid w:val="00A84AA7"/>
    <w:rsid w:val="00AA7BD3"/>
    <w:rsid w:val="00AA7F1E"/>
    <w:rsid w:val="00AB301E"/>
    <w:rsid w:val="00AD5E5E"/>
    <w:rsid w:val="00AE006E"/>
    <w:rsid w:val="00AE0D34"/>
    <w:rsid w:val="00AE4032"/>
    <w:rsid w:val="00AE4799"/>
    <w:rsid w:val="00AF53AD"/>
    <w:rsid w:val="00B00831"/>
    <w:rsid w:val="00B01360"/>
    <w:rsid w:val="00B02078"/>
    <w:rsid w:val="00B06E2E"/>
    <w:rsid w:val="00B207F7"/>
    <w:rsid w:val="00B264EC"/>
    <w:rsid w:val="00B367D5"/>
    <w:rsid w:val="00B3764E"/>
    <w:rsid w:val="00B47DFA"/>
    <w:rsid w:val="00B509DB"/>
    <w:rsid w:val="00B56C7A"/>
    <w:rsid w:val="00B620EF"/>
    <w:rsid w:val="00B739AD"/>
    <w:rsid w:val="00B74E74"/>
    <w:rsid w:val="00B81BA3"/>
    <w:rsid w:val="00B84046"/>
    <w:rsid w:val="00BA72AC"/>
    <w:rsid w:val="00BB1C34"/>
    <w:rsid w:val="00BC2898"/>
    <w:rsid w:val="00BE1FED"/>
    <w:rsid w:val="00BE3DD2"/>
    <w:rsid w:val="00BE4CC9"/>
    <w:rsid w:val="00BF2A99"/>
    <w:rsid w:val="00C23D37"/>
    <w:rsid w:val="00C35210"/>
    <w:rsid w:val="00C40F51"/>
    <w:rsid w:val="00C72639"/>
    <w:rsid w:val="00C76C66"/>
    <w:rsid w:val="00CB1111"/>
    <w:rsid w:val="00CB2822"/>
    <w:rsid w:val="00CB2F91"/>
    <w:rsid w:val="00CB45E2"/>
    <w:rsid w:val="00CC1ADF"/>
    <w:rsid w:val="00CC2281"/>
    <w:rsid w:val="00CC2E3E"/>
    <w:rsid w:val="00CC3991"/>
    <w:rsid w:val="00CC4E69"/>
    <w:rsid w:val="00CD22DE"/>
    <w:rsid w:val="00CD2CE5"/>
    <w:rsid w:val="00CD64CB"/>
    <w:rsid w:val="00CE4D7F"/>
    <w:rsid w:val="00CF408E"/>
    <w:rsid w:val="00D0124A"/>
    <w:rsid w:val="00D02A30"/>
    <w:rsid w:val="00D119CE"/>
    <w:rsid w:val="00D233E2"/>
    <w:rsid w:val="00D25BDD"/>
    <w:rsid w:val="00D3092F"/>
    <w:rsid w:val="00D535D9"/>
    <w:rsid w:val="00D574E0"/>
    <w:rsid w:val="00D61F2F"/>
    <w:rsid w:val="00D73FDA"/>
    <w:rsid w:val="00D74175"/>
    <w:rsid w:val="00DB7CE2"/>
    <w:rsid w:val="00DC1DCC"/>
    <w:rsid w:val="00DD053B"/>
    <w:rsid w:val="00DE3D7D"/>
    <w:rsid w:val="00E00CED"/>
    <w:rsid w:val="00E128AB"/>
    <w:rsid w:val="00E54656"/>
    <w:rsid w:val="00E56CB0"/>
    <w:rsid w:val="00E62181"/>
    <w:rsid w:val="00E71101"/>
    <w:rsid w:val="00E72F78"/>
    <w:rsid w:val="00E80738"/>
    <w:rsid w:val="00E84F1C"/>
    <w:rsid w:val="00EA6878"/>
    <w:rsid w:val="00ED0C2B"/>
    <w:rsid w:val="00EF4CD0"/>
    <w:rsid w:val="00EF5BF3"/>
    <w:rsid w:val="00EF77F9"/>
    <w:rsid w:val="00F13905"/>
    <w:rsid w:val="00F375C0"/>
    <w:rsid w:val="00F452ED"/>
    <w:rsid w:val="00F456DC"/>
    <w:rsid w:val="00F47EFD"/>
    <w:rsid w:val="00F503C5"/>
    <w:rsid w:val="00F813C0"/>
    <w:rsid w:val="00FF31E4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8"/>
  </w:style>
  <w:style w:type="paragraph" w:styleId="1">
    <w:name w:val="heading 1"/>
    <w:basedOn w:val="a"/>
    <w:next w:val="a"/>
    <w:link w:val="10"/>
    <w:uiPriority w:val="99"/>
    <w:qFormat/>
    <w:rsid w:val="00116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7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167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B00831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B0083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rsid w:val="007116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F7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E71101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71101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E7110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E71101"/>
    <w:rPr>
      <w:rFonts w:ascii="Sylfaen" w:hAnsi="Sylfaen" w:cs="Sylfaen" w:hint="default"/>
      <w:sz w:val="20"/>
      <w:szCs w:val="20"/>
    </w:rPr>
  </w:style>
  <w:style w:type="paragraph" w:styleId="ab">
    <w:name w:val="Normal (Web)"/>
    <w:basedOn w:val="a"/>
    <w:uiPriority w:val="99"/>
    <w:rsid w:val="0087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411764705882356E-2"/>
          <c:y val="6.2139046572666792E-2"/>
          <c:w val="0.94117647058823561"/>
          <c:h val="0.90696555787669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1"/>
            <c:explosion val="3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3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851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39,0%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41824918944E-3"/>
                  <c:y val="0.250073804876954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2209973753280893E-2"/>
                  <c:y val="1.264110677754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3192339846408091"/>
                  <c:y val="-7.82902137232849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8543326528628426"/>
                  <c:y val="-1.27135893727570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695.2</c:v>
                </c:pt>
                <c:pt idx="1">
                  <c:v>873.1</c:v>
                </c:pt>
                <c:pt idx="2" formatCode="0.0">
                  <c:v>267.2</c:v>
                </c:pt>
                <c:pt idx="3">
                  <c:v>207.6</c:v>
                </c:pt>
                <c:pt idx="4" formatCode="0.0">
                  <c:v>51.6</c:v>
                </c:pt>
                <c:pt idx="5">
                  <c:v>146.70000000000016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28"/>
            </a:pPr>
            <a:r>
              <a:rPr lang="ru-RU" sz="1128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7361560831085535"/>
          <c:y val="3.9292533629891897E-4"/>
        </c:manualLayout>
      </c:layout>
      <c:spPr>
        <a:solidFill>
          <a:sysClr val="window" lastClr="FFFFFF"/>
        </a:solidFill>
        <a:ln w="23365">
          <a:noFill/>
        </a:ln>
      </c:spPr>
    </c:title>
    <c:plotArea>
      <c:layout>
        <c:manualLayout>
          <c:layoutTarget val="inner"/>
          <c:xMode val="edge"/>
          <c:yMode val="edge"/>
          <c:x val="6.4038461538461572E-2"/>
          <c:y val="2.7677496991576421E-2"/>
          <c:w val="0.93596153846153862"/>
          <c:h val="0.445920577617328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2015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3.4046705700249221E-3"/>
                  <c:y val="1.9253737483441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3042837844093721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2825471241536807E-3"/>
                  <c:y val="9.97980163006664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5628511428054401E-3"/>
                  <c:y val="1.625477622973821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10,5*</a:t>
                    </a:r>
                    <a:endParaRPr lang="en-US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</a:t>
                    </a:r>
                    <a:r>
                      <a:rPr lang="en-US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207.5</c:v>
                </c:pt>
                <c:pt idx="1">
                  <c:v>18.399999999999999</c:v>
                </c:pt>
                <c:pt idx="2">
                  <c:v>20.2</c:v>
                </c:pt>
                <c:pt idx="3">
                  <c:v>34.300000000000004</c:v>
                </c:pt>
                <c:pt idx="4">
                  <c:v>7.8</c:v>
                </c:pt>
                <c:pt idx="5">
                  <c:v>33.800000000000004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1876075299204059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10,0*</a:t>
                    </a:r>
                    <a:endParaRPr lang="en-US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92463923035835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5,3*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322401175000143E-2"/>
                  <c:y val="-8.95518428413394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9,</a:t>
                    </a:r>
                    <a:r>
                      <a:rPr lang="ru-RU" b="1"/>
                      <a:t>6</a:t>
                    </a:r>
                    <a:endParaRPr lang="en-US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813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125</c:v>
                </c:pt>
                <c:pt idx="1">
                  <c:v>4.8</c:v>
                </c:pt>
                <c:pt idx="2">
                  <c:v>20.8</c:v>
                </c:pt>
                <c:pt idx="3">
                  <c:v>16.8</c:v>
                </c:pt>
                <c:pt idx="4">
                  <c:v>11.1</c:v>
                </c:pt>
                <c:pt idx="5">
                  <c:v>30.299999999999983</c:v>
                </c:pt>
              </c:numCache>
            </c:numRef>
          </c:val>
        </c:ser>
        <c:gapWidth val="160"/>
        <c:axId val="76947456"/>
        <c:axId val="76948992"/>
      </c:barChart>
      <c:catAx>
        <c:axId val="769474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76948992"/>
        <c:crosses val="autoZero"/>
        <c:lblAlgn val="ctr"/>
        <c:lblOffset val="160"/>
        <c:tickLblSkip val="1"/>
        <c:tickMarkSkip val="1"/>
      </c:catAx>
      <c:valAx>
        <c:axId val="769489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/>
                  <a:t>*-удельный</a:t>
                </a:r>
              </a:p>
              <a:p>
                <a:pPr>
                  <a:defRPr/>
                </a:pPr>
                <a:r>
                  <a:rPr lang="ru-RU" sz="800"/>
                  <a:t> вес в общем </a:t>
                </a:r>
              </a:p>
              <a:p>
                <a:pPr>
                  <a:defRPr/>
                </a:pPr>
                <a:r>
                  <a:rPr lang="ru-RU" sz="8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35461688363"/>
              <c:y val="8.7301603571637965E-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7694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5120051999769617"/>
          <c:w val="0.87457380934179363"/>
          <c:h val="4.879948000230402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413"/>
          <c:y val="3.5633496168669962E-3"/>
        </c:manualLayout>
      </c:layout>
      <c:spPr>
        <a:solidFill>
          <a:sysClr val="window" lastClr="FFFFFF"/>
        </a:solidFill>
        <a:ln w="25335">
          <a:noFill/>
        </a:ln>
      </c:spPr>
    </c:title>
    <c:plotArea>
      <c:layout>
        <c:manualLayout>
          <c:layoutTarget val="inner"/>
          <c:xMode val="edge"/>
          <c:yMode val="edge"/>
          <c:x val="0.20039238646003898"/>
          <c:y val="9.7116331532938513E-2"/>
          <c:w val="0.7892282508692483"/>
          <c:h val="0.6866902381004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2015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-6.9443883617112123E-3"/>
                  <c:y val="1.6468920613410105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433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08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675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38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47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1.0165556228548401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009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">
                  <c:v>217.9</c:v>
                </c:pt>
                <c:pt idx="1">
                  <c:v>21.6</c:v>
                </c:pt>
                <c:pt idx="2" formatCode="0.0">
                  <c:v>14.8</c:v>
                </c:pt>
                <c:pt idx="3">
                  <c:v>7.6</c:v>
                </c:pt>
                <c:pt idx="4">
                  <c:v>12.2</c:v>
                </c:pt>
                <c:pt idx="5" formatCode="0.0">
                  <c:v>5.8</c:v>
                </c:pt>
                <c:pt idx="6">
                  <c:v>3.5</c:v>
                </c:pt>
                <c:pt idx="7" formatCode="0.0">
                  <c:v>38.600000000000009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05809788482324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2992E-3"/>
                  <c:y val="-4.47410961047090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40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829550718108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129.9</c:v>
                </c:pt>
                <c:pt idx="1">
                  <c:v>15.7</c:v>
                </c:pt>
                <c:pt idx="2" formatCode="General">
                  <c:v>6.9</c:v>
                </c:pt>
                <c:pt idx="3">
                  <c:v>5.4</c:v>
                </c:pt>
                <c:pt idx="4" formatCode="General">
                  <c:v>7.8</c:v>
                </c:pt>
                <c:pt idx="5" formatCode="General">
                  <c:v>2.8</c:v>
                </c:pt>
                <c:pt idx="6" formatCode="General">
                  <c:v>4.8</c:v>
                </c:pt>
                <c:pt idx="7" formatCode="General">
                  <c:v>35.5</c:v>
                </c:pt>
              </c:numCache>
            </c:numRef>
          </c:val>
        </c:ser>
        <c:dLbls>
          <c:showVal val="1"/>
        </c:dLbls>
        <c:axId val="77050240"/>
        <c:axId val="77051776"/>
      </c:barChart>
      <c:catAx>
        <c:axId val="77050240"/>
        <c:scaling>
          <c:orientation val="minMax"/>
        </c:scaling>
        <c:axPos val="b"/>
        <c:numFmt formatCode="General" sourceLinked="1"/>
        <c:tickLblPos val="nextTo"/>
        <c:crossAx val="77051776"/>
        <c:crosses val="autoZero"/>
        <c:auto val="1"/>
        <c:lblAlgn val="ctr"/>
        <c:lblOffset val="100"/>
        <c:tickLblSkip val="1"/>
      </c:catAx>
      <c:valAx>
        <c:axId val="770517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spPr>
            <a:noFill/>
            <a:ln w="25335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50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90308049032"/>
          <c:y val="5.0812267793401856E-3"/>
        </c:manualLayout>
      </c:layout>
    </c:title>
    <c:plotArea>
      <c:layout>
        <c:manualLayout>
          <c:layoutTarget val="inner"/>
          <c:xMode val="edge"/>
          <c:yMode val="edge"/>
          <c:x val="0.22158758115761856"/>
          <c:y val="0.11096062992126013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январь-март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66155620178802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-0,81*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443791310449426E-3"/>
                  <c:y val="1.776468588908412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- 3,22*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4E-3"/>
                  <c:y val="1.90609716950852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7813E-3"/>
                  <c:y val="2.199134567035696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+5,49*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99.19</c:v>
                </c:pt>
                <c:pt idx="1">
                  <c:v>96.78</c:v>
                </c:pt>
                <c:pt idx="2">
                  <c:v>98.23</c:v>
                </c:pt>
                <c:pt idx="3">
                  <c:v>105.49000000000002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588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-0,01*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556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-0,59*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618886925939E-3"/>
                  <c:y val="2.806764053483213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+0,17*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+0,75*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99.990000000000023</c:v>
                </c:pt>
                <c:pt idx="1">
                  <c:v>99.410000000000025</c:v>
                </c:pt>
                <c:pt idx="2">
                  <c:v>100.16999999999999</c:v>
                </c:pt>
                <c:pt idx="3">
                  <c:v>100.75</c:v>
                </c:pt>
              </c:numCache>
            </c:numRef>
          </c:val>
        </c:ser>
        <c:axId val="77137408"/>
        <c:axId val="77138944"/>
      </c:barChart>
      <c:catAx>
        <c:axId val="77137408"/>
        <c:scaling>
          <c:orientation val="minMax"/>
        </c:scaling>
        <c:axPos val="b"/>
        <c:tickLblPos val="nextTo"/>
        <c:crossAx val="77138944"/>
        <c:crosses val="autoZero"/>
        <c:auto val="1"/>
        <c:lblAlgn val="ctr"/>
        <c:lblOffset val="100"/>
      </c:catAx>
      <c:valAx>
        <c:axId val="771389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70190989236E-2"/>
              <c:y val="0.60630052493438324"/>
            </c:manualLayout>
          </c:layout>
        </c:title>
        <c:numFmt formatCode="0.00" sourceLinked="1"/>
        <c:tickLblPos val="nextTo"/>
        <c:crossAx val="7713740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январе-марте,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196123284963264E-2"/>
          <c:y val="3.4690799396681744E-2"/>
          <c:w val="0.90861868228012665"/>
          <c:h val="0.652420470262795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11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5.9348523138644423E-3"/>
                  <c:y val="9.228774650902773E-3"/>
                </c:manualLayout>
              </c:layout>
              <c:showVal val="1"/>
            </c:dLbl>
            <c:dLbl>
              <c:idx val="1"/>
              <c:layout>
                <c:manualLayout>
                  <c:x val="4.0156975893708945E-3"/>
                  <c:y val="9.6474534338796773E-3"/>
                </c:manualLayout>
              </c:layout>
              <c:showVal val="1"/>
            </c:dLbl>
            <c:dLbl>
              <c:idx val="2"/>
              <c:layout>
                <c:manualLayout>
                  <c:x val="8.2392167346794654E-3"/>
                  <c:y val="9.2248098897003503E-3"/>
                </c:manualLayout>
              </c:layout>
              <c:showVal val="1"/>
            </c:dLbl>
            <c:dLbl>
              <c:idx val="3"/>
              <c:layout>
                <c:manualLayout>
                  <c:x val="6.0792849324328513E-3"/>
                  <c:y val="9.855603397007643E-3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1.7732088421682781E-3"/>
                  <c:y val="1.4260056616790025E-2"/>
                </c:manualLayout>
              </c:layout>
              <c:showVal val="1"/>
            </c:dLbl>
            <c:dLbl>
              <c:idx val="6"/>
              <c:layout>
                <c:manualLayout>
                  <c:x val="8.2383760325923389E-3"/>
                  <c:y val="1.4080452934319766E-2"/>
                </c:manualLayout>
              </c:layout>
              <c:showVal val="1"/>
            </c:dLbl>
            <c:dLbl>
              <c:idx val="7"/>
              <c:layout>
                <c:manualLayout>
                  <c:x val="5.9815953499087124E-3"/>
                  <c:y val="9.2248098897003503E-3"/>
                </c:manualLayout>
              </c:layout>
              <c:showVal val="1"/>
            </c:dLbl>
            <c:dLbl>
              <c:idx val="8"/>
              <c:layout>
                <c:manualLayout>
                  <c:x val="3.9677775704047178E-3"/>
                  <c:y val="8.4425625044604758E-3"/>
                </c:manualLayout>
              </c:layout>
              <c:showVal val="1"/>
            </c:dLbl>
            <c:dLbl>
              <c:idx val="9"/>
              <c:layout>
                <c:manualLayout>
                  <c:x val="6.0675151032129953E-3"/>
                  <c:y val="9.2335323643457246E-3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6537E-3"/>
                </c:manualLayout>
              </c:layout>
              <c:showVal val="1"/>
            </c:dLbl>
            <c:dLbl>
              <c:idx val="11"/>
              <c:layout>
                <c:manualLayout>
                  <c:x val="8.4251379698144727E-3"/>
                  <c:y val="1.0070337742435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104.52</c:v>
                </c:pt>
                <c:pt idx="1">
                  <c:v>105.61</c:v>
                </c:pt>
                <c:pt idx="2">
                  <c:v>106.41000000000012</c:v>
                </c:pt>
                <c:pt idx="3">
                  <c:v>110.79</c:v>
                </c:pt>
                <c:pt idx="4">
                  <c:v>100.57</c:v>
                </c:pt>
                <c:pt idx="5">
                  <c:v>106.49000000000002</c:v>
                </c:pt>
                <c:pt idx="6">
                  <c:v>107.02</c:v>
                </c:pt>
                <c:pt idx="7">
                  <c:v>105.96000000000002</c:v>
                </c:pt>
                <c:pt idx="8">
                  <c:v>101.99000000000002</c:v>
                </c:pt>
                <c:pt idx="9">
                  <c:v>100.54</c:v>
                </c:pt>
                <c:pt idx="10">
                  <c:v>99.19</c:v>
                </c:pt>
                <c:pt idx="11">
                  <c:v>99.990000000000023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81752064"/>
        <c:axId val="81753600"/>
        <c:axId val="81772544"/>
      </c:bar3DChart>
      <c:catAx>
        <c:axId val="8175206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81753600"/>
        <c:crossesAt val="0"/>
        <c:auto val="1"/>
        <c:lblAlgn val="ctr"/>
        <c:lblOffset val="100"/>
      </c:catAx>
      <c:valAx>
        <c:axId val="81753600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752064"/>
        <c:crosses val="autoZero"/>
        <c:crossBetween val="between"/>
        <c:majorUnit val="20"/>
        <c:minorUnit val="20"/>
      </c:valAx>
      <c:serAx>
        <c:axId val="81772544"/>
        <c:scaling>
          <c:orientation val="minMax"/>
        </c:scaling>
        <c:delete val="1"/>
        <c:axPos val="b"/>
        <c:tickLblPos val="none"/>
        <c:crossAx val="81753600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681949239103738"/>
          <c:w val="0.65553378346790558"/>
          <c:h val="0.79929883764529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9.2689253537964186E-2"/>
                  <c:y val="8.99839133011599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1723467772635289E-2"/>
                  <c:y val="0.102599434686048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47,6%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62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2.4189724376056047E-3"/>
                  <c:y val="-3.7593882495457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321.10000000000002</c:v>
                </c:pt>
                <c:pt idx="1">
                  <c:v>918.7</c:v>
                </c:pt>
                <c:pt idx="2">
                  <c:v>253.5</c:v>
                </c:pt>
                <c:pt idx="3" formatCode="General">
                  <c:v>197.5</c:v>
                </c:pt>
                <c:pt idx="4" formatCode="General">
                  <c:v>54.9</c:v>
                </c:pt>
                <c:pt idx="5">
                  <c:v>184.27999999999975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307"/>
          <c:w val="0.37344660161755894"/>
          <c:h val="0.77601583224560566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62242809304009517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95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19E-2"/>
                  <c:y val="0.262146055272502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36825776088333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71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02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407E-2"/>
                  <c:y val="-0.1477770635813422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5565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4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2164E-2"/>
                  <c:y val="-0.191897185265634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107327348492E-2"/>
                  <c:y val="-0.2145598696714637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3204939413485167E-2"/>
                  <c:y val="-6.60833559598154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4878035917844212E-2"/>
                  <c:y val="-5.98972757715630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</c:numCache>
            </c:numRef>
          </c:val>
        </c:ser>
        <c:marker val="1"/>
        <c:axId val="70671744"/>
        <c:axId val="70694400"/>
      </c:lineChart>
      <c:catAx>
        <c:axId val="7067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7123E-4"/>
              <c:y val="0.8503845947827944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94400"/>
        <c:crosses val="autoZero"/>
        <c:auto val="1"/>
        <c:lblAlgn val="ctr"/>
        <c:lblOffset val="100"/>
      </c:catAx>
      <c:valAx>
        <c:axId val="7069440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71744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91734791112893"/>
          <c:y val="0.89792842418302865"/>
          <c:w val="0.29728521992075946"/>
          <c:h val="9.7756299775833319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033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242E-3"/>
                  <c:y val="1.857510757863732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114,3*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-8.1032132263635023E-3"/>
                  <c:y val="1.02559865202033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75,6*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1687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114,0*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126,5*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0794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111,8*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2,1р.*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6552783997489E-3"/>
                  <c:y val="5.75418813389069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66,6*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746E-3"/>
                  <c:y val="7.85196521281236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541E-3"/>
                  <c:y val="1.45397103139885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5.8299113450273072E-4"/>
                  <c:y val="7.95213729596938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88,4*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3.5751171187547092E-3"/>
                  <c:y val="-6.09595517732000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3,5р.*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313.10000000000002</c:v>
                </c:pt>
                <c:pt idx="1">
                  <c:v>142.69999999999999</c:v>
                </c:pt>
                <c:pt idx="2">
                  <c:v>19.399999999999999</c:v>
                </c:pt>
                <c:pt idx="3">
                  <c:v>19.3</c:v>
                </c:pt>
                <c:pt idx="4">
                  <c:v>19.2</c:v>
                </c:pt>
                <c:pt idx="5">
                  <c:v>1.9000000000000001</c:v>
                </c:pt>
                <c:pt idx="6">
                  <c:v>33.200000000000003</c:v>
                </c:pt>
                <c:pt idx="7">
                  <c:v>83.8</c:v>
                </c:pt>
                <c:pt idx="8">
                  <c:v>70.8</c:v>
                </c:pt>
                <c:pt idx="9">
                  <c:v>10</c:v>
                </c:pt>
                <c:pt idx="10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107E-2"/>
                  <c:y val="1.05490418713334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90,0*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013393262883063E-2"/>
                  <c:y val="5.36016331291921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2,4р.*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50366435355E-2"/>
                  <c:y val="-2.73549912221238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85,4*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5595E-3"/>
                  <c:y val="-2.8837043517708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58,6*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116,6*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234939139759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38,0*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0066E-4"/>
                  <c:y val="-4.215371197722549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121,2*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2.3970718245738677E-3"/>
                  <c:y val="-2.43625502924986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0791119630508007E-2"/>
                  <c:y val="-2.159651339878797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95,5*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95,2*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29751881841E-2"/>
                  <c:y val="-4.318524999189915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42,3*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281.60000000000002</c:v>
                </c:pt>
                <c:pt idx="1">
                  <c:v>342.4</c:v>
                </c:pt>
                <c:pt idx="2">
                  <c:v>16.600000000000001</c:v>
                </c:pt>
                <c:pt idx="3">
                  <c:v>11.3</c:v>
                </c:pt>
                <c:pt idx="4">
                  <c:v>22.4</c:v>
                </c:pt>
                <c:pt idx="5">
                  <c:v>0.70000000000000062</c:v>
                </c:pt>
                <c:pt idx="6">
                  <c:v>40.200000000000003</c:v>
                </c:pt>
                <c:pt idx="7">
                  <c:v>99.5</c:v>
                </c:pt>
                <c:pt idx="8">
                  <c:v>67.599999999999994</c:v>
                </c:pt>
                <c:pt idx="9">
                  <c:v>9.5</c:v>
                </c:pt>
                <c:pt idx="10">
                  <c:v>2.4</c:v>
                </c:pt>
              </c:numCache>
            </c:numRef>
          </c:val>
        </c:ser>
        <c:shape val="cylinder"/>
        <c:axId val="74809728"/>
        <c:axId val="74811264"/>
        <c:axId val="0"/>
      </c:bar3DChart>
      <c:catAx>
        <c:axId val="7480972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74811264"/>
        <c:crosses val="autoZero"/>
        <c:auto val="1"/>
        <c:lblAlgn val="ctr"/>
        <c:lblOffset val="100"/>
      </c:catAx>
      <c:valAx>
        <c:axId val="74811264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0972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2086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5872422341660295"/>
          <c:y val="4.6192523231893323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7345"/>
          <c:y val="0.18870710605620197"/>
          <c:w val="0.57282457566456479"/>
          <c:h val="0.6417246222600555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1.8954387458324485E-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75,5%*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181061920418736E-3"/>
                  <c:y val="1.441441441441441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69,8%*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253.5</c:v>
                </c:pt>
                <c:pt idx="1">
                  <c:v>118.4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5.614937578103192E-4"/>
                  <c:y val="-9.5810456125416891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105,4%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1088126696026814E-3"/>
                  <c:y val="2.8707180833165398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112,2%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267.2</c:v>
                </c:pt>
                <c:pt idx="1">
                  <c:v>138</c:v>
                </c:pt>
              </c:numCache>
            </c:numRef>
          </c:val>
        </c:ser>
        <c:dLbls>
          <c:showVal val="1"/>
        </c:dLbls>
        <c:axId val="75219712"/>
        <c:axId val="75221248"/>
      </c:barChart>
      <c:catAx>
        <c:axId val="752197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5221248"/>
        <c:crosses val="autoZero"/>
        <c:auto val="1"/>
        <c:lblAlgn val="ctr"/>
        <c:lblOffset val="100"/>
      </c:catAx>
      <c:valAx>
        <c:axId val="7522124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75219712"/>
        <c:crosses val="autoZero"/>
        <c:crossBetween val="between"/>
        <c:majorUnit val="3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2058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6837"/>
          <c:y val="0.21069898520750024"/>
          <c:w val="0.50840161891985969"/>
          <c:h val="0.619621441550585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1.0265202075246038E-2"/>
                  <c:y val="1.16999798102160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110,6%*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7.3553993134133555E-3"/>
                  <c:y val="8.79513647665908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114,8%*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4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918.7</c:v>
                </c:pt>
                <c:pt idx="1">
                  <c:v>702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2.4051776677946612E-3"/>
                  <c:y val="3.368934923007565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95,0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0393374234130589E-2"/>
                  <c:y val="-1.1760044417524741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93,1%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42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873.1</c:v>
                </c:pt>
                <c:pt idx="1">
                  <c:v>653.6</c:v>
                </c:pt>
              </c:numCache>
            </c:numRef>
          </c:val>
        </c:ser>
        <c:dLbls>
          <c:showVal val="1"/>
        </c:dLbls>
        <c:axId val="75178368"/>
        <c:axId val="75179904"/>
      </c:barChart>
      <c:catAx>
        <c:axId val="75178368"/>
        <c:scaling>
          <c:orientation val="minMax"/>
        </c:scaling>
        <c:axPos val="l"/>
        <c:numFmt formatCode="General" sourceLinked="1"/>
        <c:tickLblPos val="nextTo"/>
        <c:crossAx val="75179904"/>
        <c:crosses val="autoZero"/>
        <c:auto val="1"/>
        <c:lblAlgn val="ctr"/>
        <c:lblOffset val="100"/>
      </c:catAx>
      <c:valAx>
        <c:axId val="7517990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7517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>
        <c:manualLayout>
          <c:layoutTarget val="inner"/>
          <c:xMode val="edge"/>
          <c:yMode val="edge"/>
          <c:x val="0.32387258821563936"/>
          <c:y val="8.2281182243522932E-2"/>
          <c:w val="0.65776826089509965"/>
          <c:h val="0.485874700445060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март 2015 года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-22,8*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2128514056224945E-2"/>
                  <c:y val="4.71169803326154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-23,2*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-22,6*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451.6</c:v>
                </c:pt>
                <c:pt idx="1">
                  <c:v>129.69999999999999</c:v>
                </c:pt>
                <c:pt idx="2">
                  <c:v>322</c:v>
                </c:pt>
                <c:pt idx="3">
                  <c:v>-192.3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март 2016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1308089500860568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-25,4*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423407917383964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-1,4*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3602802661715366E-2"/>
                  <c:y val="3.62318840579712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-35,1*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336.7</c:v>
                </c:pt>
                <c:pt idx="1">
                  <c:v>127.9</c:v>
                </c:pt>
                <c:pt idx="2">
                  <c:v>208.8</c:v>
                </c:pt>
                <c:pt idx="3">
                  <c:v>-80.900000000000006</c:v>
                </c:pt>
              </c:numCache>
            </c:numRef>
          </c:val>
        </c:ser>
        <c:gapWidth val="50"/>
        <c:overlap val="60"/>
        <c:axId val="75292032"/>
        <c:axId val="75564160"/>
      </c:barChart>
      <c:catAx>
        <c:axId val="7529203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564160"/>
        <c:crosses val="autoZero"/>
        <c:lblAlgn val="ctr"/>
        <c:lblOffset val="20"/>
        <c:tickMarkSkip val="1"/>
      </c:catAx>
      <c:valAx>
        <c:axId val="755641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ru-RU"/>
                  <a:t>* - темп прироста (спада) в % к </a:t>
                </a:r>
              </a:p>
              <a:p>
                <a:pPr>
                  <a:defRPr/>
                </a:pPr>
                <a:r>
                  <a:rPr lang="ru-RU"/>
                  <a:t>предыдущему </a:t>
                </a:r>
              </a:p>
              <a:p>
                <a:pPr>
                  <a:defRPr/>
                </a:pPr>
                <a:r>
                  <a:rPr lang="ru-RU"/>
                  <a:t>году</a:t>
                </a:r>
              </a:p>
            </c:rich>
          </c:tx>
          <c:layout>
            <c:manualLayout>
              <c:xMode val="edge"/>
              <c:yMode val="edge"/>
              <c:x val="1.6593003594758363E-3"/>
              <c:y val="2.5053910514708146E-3"/>
            </c:manualLayout>
          </c:layout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292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05444887118194E-2"/>
          <c:w val="0.92836811128945951"/>
          <c:h val="0.426401062416998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2015 год</c:v>
                </c:pt>
              </c:strCache>
            </c:strRef>
          </c:tx>
          <c:spPr>
            <a:solidFill>
              <a:srgbClr val="4BACC6">
                <a:lumMod val="50000"/>
              </a:srgbClr>
            </a:solidFill>
          </c:spPr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4205457463884395E-3"/>
                  <c:y val="3.750646410834361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5607276618512567E-3"/>
                  <c:y val="1.1693046843720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11,2*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1401819154628857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2,8*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22.7</c:v>
                </c:pt>
                <c:pt idx="1">
                  <c:v>52.6</c:v>
                </c:pt>
                <c:pt idx="2">
                  <c:v>26.5</c:v>
                </c:pt>
                <c:pt idx="3">
                  <c:v>14.6</c:v>
                </c:pt>
                <c:pt idx="4">
                  <c:v>6.2</c:v>
                </c:pt>
                <c:pt idx="5">
                  <c:v>3.6</c:v>
                </c:pt>
                <c:pt idx="6">
                  <c:v>3.4999999999999827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2016 год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19,5*</a:t>
                    </a:r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2,9*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30.4</c:v>
                </c:pt>
                <c:pt idx="1">
                  <c:v>50.5</c:v>
                </c:pt>
                <c:pt idx="2">
                  <c:v>24.9</c:v>
                </c:pt>
                <c:pt idx="3">
                  <c:v>12.1</c:v>
                </c:pt>
                <c:pt idx="4">
                  <c:v>3.7</c:v>
                </c:pt>
                <c:pt idx="5">
                  <c:v>2.6</c:v>
                </c:pt>
                <c:pt idx="6">
                  <c:v>3.7000000000000015</c:v>
                </c:pt>
              </c:numCache>
            </c:numRef>
          </c:val>
        </c:ser>
        <c:dLbls>
          <c:showVal val="1"/>
        </c:dLbls>
        <c:gapWidth val="160"/>
        <c:axId val="75148672"/>
        <c:axId val="76797056"/>
      </c:barChart>
      <c:catAx>
        <c:axId val="7514867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97056"/>
        <c:crosses val="autoZero"/>
        <c:lblAlgn val="ctr"/>
        <c:lblOffset val="160"/>
        <c:tickLblSkip val="1"/>
        <c:tickMarkSkip val="1"/>
      </c:catAx>
      <c:valAx>
        <c:axId val="767970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9914391173"/>
              <c:y val="4.7138312256422531E-2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4867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141034369073143"/>
          <c:y val="0.90813400293467261"/>
          <c:w val="0.73615633282381365"/>
          <c:h val="6.915163163659790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spPr>
        <a:solidFill>
          <a:sysClr val="window" lastClr="FFFFFF"/>
        </a:solidFill>
        <a:ln w="24889">
          <a:noFill/>
        </a:ln>
      </c:spPr>
    </c:title>
    <c:plotArea>
      <c:layout>
        <c:manualLayout>
          <c:layoutTarget val="inner"/>
          <c:xMode val="edge"/>
          <c:yMode val="edge"/>
          <c:x val="0.19265852842220227"/>
          <c:y val="6.1114610673665797E-2"/>
          <c:w val="0.71325978522807454"/>
          <c:h val="0.60384636920384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2015 г.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52,5*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177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6,2*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5,8*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8.4156597542425268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894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68.099999999999994</c:v>
                </c:pt>
                <c:pt idx="1">
                  <c:v>11.2</c:v>
                </c:pt>
                <c:pt idx="2">
                  <c:v>8.1</c:v>
                </c:pt>
                <c:pt idx="3" formatCode="General">
                  <c:v>11.7</c:v>
                </c:pt>
                <c:pt idx="4">
                  <c:v>7.5</c:v>
                </c:pt>
                <c:pt idx="5" formatCode="General">
                  <c:v>13.8</c:v>
                </c:pt>
                <c:pt idx="6">
                  <c:v>2.2000000000000002</c:v>
                </c:pt>
                <c:pt idx="7">
                  <c:v>7.0999999999999899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6700320263281002E-2"/>
                  <c:y val="1.660510189789785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45,5*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49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</a:p>
                  <a:p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49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16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18,8*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194E-3"/>
                  <c:y val="1.40095096808552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0,8*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58.2</c:v>
                </c:pt>
                <c:pt idx="1">
                  <c:v>7.8</c:v>
                </c:pt>
                <c:pt idx="2" formatCode="General">
                  <c:v>8.4</c:v>
                </c:pt>
                <c:pt idx="3">
                  <c:v>9.9</c:v>
                </c:pt>
                <c:pt idx="4">
                  <c:v>8.3000000000000007</c:v>
                </c:pt>
                <c:pt idx="5">
                  <c:v>24.1</c:v>
                </c:pt>
                <c:pt idx="6">
                  <c:v>1</c:v>
                </c:pt>
                <c:pt idx="7">
                  <c:v>10.20000000000001</c:v>
                </c:pt>
              </c:numCache>
            </c:numRef>
          </c:val>
        </c:ser>
        <c:dLbls>
          <c:showVal val="1"/>
        </c:dLbls>
        <c:axId val="76843648"/>
        <c:axId val="76882304"/>
      </c:barChart>
      <c:catAx>
        <c:axId val="76843648"/>
        <c:scaling>
          <c:orientation val="minMax"/>
        </c:scaling>
        <c:axPos val="b"/>
        <c:numFmt formatCode="General" sourceLinked="1"/>
        <c:tickLblPos val="nextTo"/>
        <c:crossAx val="76882304"/>
        <c:crosses val="autoZero"/>
        <c:auto val="1"/>
        <c:lblAlgn val="ctr"/>
        <c:lblOffset val="100"/>
      </c:catAx>
      <c:valAx>
        <c:axId val="768823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8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69506743236043078"/>
              <c:y val="0.22692134071476391"/>
            </c:manualLayout>
          </c:layout>
          <c:spPr>
            <a:noFill/>
            <a:ln w="24889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43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0.18355016686516637"/>
          <c:y val="0.94821572658938735"/>
          <c:w val="0.71545891128933969"/>
          <c:h val="4.87390962922087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2F0-DC79-4619-BE58-77B3E14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gosharova-s</cp:lastModifiedBy>
  <cp:revision>27</cp:revision>
  <cp:lastPrinted>2016-04-25T10:35:00Z</cp:lastPrinted>
  <dcterms:created xsi:type="dcterms:W3CDTF">2016-03-21T12:53:00Z</dcterms:created>
  <dcterms:modified xsi:type="dcterms:W3CDTF">2016-05-16T06:34:00Z</dcterms:modified>
</cp:coreProperties>
</file>