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5D" w:rsidRPr="009C0D9A" w:rsidRDefault="00E6295D" w:rsidP="00E6295D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D9A">
        <w:rPr>
          <w:rFonts w:ascii="Times New Roman" w:hAnsi="Times New Roman" w:cs="Times New Roman"/>
          <w:sz w:val="24"/>
          <w:szCs w:val="24"/>
        </w:rPr>
        <w:t xml:space="preserve">Краткие итоги социально-экономического развития Приднестровской Молдавской Республики в январе-апреле 2016 года </w:t>
      </w:r>
    </w:p>
    <w:p w:rsidR="00E6295D" w:rsidRPr="009C0D9A" w:rsidRDefault="00E6295D" w:rsidP="00E6295D">
      <w:pPr>
        <w:pStyle w:val="a3"/>
        <w:spacing w:before="0" w:beforeAutospacing="0" w:after="0" w:afterAutospacing="0"/>
        <w:ind w:firstLine="709"/>
        <w:jc w:val="both"/>
      </w:pPr>
      <w:r>
        <w:t xml:space="preserve">Влияние мировых </w:t>
      </w:r>
      <w:r w:rsidRPr="006E5E01">
        <w:t>конъюнктурн</w:t>
      </w:r>
      <w:r>
        <w:t>ых</w:t>
      </w:r>
      <w:r w:rsidRPr="006E5E01">
        <w:t xml:space="preserve"> </w:t>
      </w:r>
      <w:r>
        <w:t>тенденций, избыточное предложение на сырьевых и товарных рынках в совокупности с внутренними проблемами</w:t>
      </w:r>
      <w:r w:rsidRPr="00A42CC4">
        <w:t xml:space="preserve"> </w:t>
      </w:r>
      <w:r>
        <w:t xml:space="preserve">усиливали риски осуществления внешнеэкономической деятельности хозяйствующими субъектами республики в январе-апреле 2016 года и </w:t>
      </w:r>
      <w:r w:rsidRPr="009C0D9A">
        <w:t>оказыва</w:t>
      </w:r>
      <w:r>
        <w:t>ли</w:t>
      </w:r>
      <w:r w:rsidRPr="009C0D9A">
        <w:t xml:space="preserve"> дестабилизирующее воздействие на динамику основных макроэкономических показателей и на развитие экономики в целом.</w:t>
      </w:r>
    </w:p>
    <w:p w:rsidR="00E6295D" w:rsidRDefault="00E6295D" w:rsidP="00E62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6295D" w:rsidRPr="009C0D9A" w:rsidRDefault="00E6295D" w:rsidP="00E62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C0D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Промышленность</w:t>
      </w:r>
    </w:p>
    <w:p w:rsidR="00E6295D" w:rsidRPr="009C0D9A" w:rsidRDefault="00E6295D" w:rsidP="00E62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Ситуация в индустриальном секторе республики в рассматриваемом периоде складывалась в условиях действия ограничительных </w:t>
      </w:r>
      <w:r w:rsidRPr="009C0D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барьеров в отношении Приднестровской Молдавской Республики со стороны соседних государств, мировой экономической нестабильности, а также падения спроса на приднестровскую продукцию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как на внешнем так и на внутреннем рынках</w:t>
      </w:r>
      <w:r w:rsidRPr="009C0D9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 Объем п</w:t>
      </w:r>
      <w:r w:rsidRPr="009C0D9A">
        <w:rPr>
          <w:rFonts w:ascii="Times New Roman" w:eastAsia="Times New Roman" w:hAnsi="Times New Roman" w:cs="Times New Roman"/>
          <w:snapToGrid w:val="0"/>
          <w:sz w:val="24"/>
          <w:szCs w:val="24"/>
        </w:rPr>
        <w:t>ромышленного производства</w:t>
      </w:r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 (без учета субъектов малого предпринимательства) в январе-апреле </w:t>
      </w:r>
      <w:r w:rsidRPr="009C0D9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2016 года </w:t>
      </w:r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D9A">
        <w:rPr>
          <w:rFonts w:ascii="Times New Roman" w:eastAsia="Times New Roman" w:hAnsi="Times New Roman" w:cs="Times New Roman"/>
          <w:sz w:val="24"/>
          <w:szCs w:val="24"/>
        </w:rPr>
        <w:t>2 </w:t>
      </w:r>
      <w:r>
        <w:rPr>
          <w:rFonts w:ascii="Times New Roman" w:eastAsia="Times New Roman" w:hAnsi="Times New Roman" w:cs="Times New Roman"/>
          <w:sz w:val="24"/>
          <w:szCs w:val="24"/>
        </w:rPr>
        <w:t>934,8</w:t>
      </w:r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 млн. руб.</w:t>
      </w:r>
      <w:r w:rsidRPr="006E6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сопоставимых ценах)</w:t>
      </w:r>
      <w:r w:rsidRPr="009C0D9A">
        <w:rPr>
          <w:rFonts w:ascii="Times New Roman" w:eastAsia="Times New Roman" w:hAnsi="Times New Roman" w:cs="Times New Roman"/>
          <w:sz w:val="24"/>
          <w:szCs w:val="24"/>
        </w:rPr>
        <w:t>, что выше аналогичного показателя прошлого года на 11,9%. В долларовом эквиваленте объем промышленного производства составил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C0D9A">
        <w:rPr>
          <w:rFonts w:ascii="Times New Roman" w:eastAsia="Times New Roman" w:hAnsi="Times New Roman" w:cs="Times New Roman"/>
          <w:sz w:val="24"/>
          <w:szCs w:val="24"/>
        </w:rPr>
        <w:t>231,5 млн. долл. или 95,4% к уровню показателя 2015 года. Доход от реализации в рассматриваемом периоде сложился ниже показателя 2015 года на 5,1%, составив 2 616,8 млн. руб. или 234,1 млн. долл. Доля экспорта в общем объеме промышленного производства сократилась до 64,3%, против 75,5% в базовом периоде 2015 года.</w:t>
      </w:r>
    </w:p>
    <w:p w:rsidR="00E6295D" w:rsidRPr="009C0D9A" w:rsidRDefault="00E6295D" w:rsidP="00E62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D9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381000</wp:posOffset>
            </wp:positionV>
            <wp:extent cx="3743325" cy="2038350"/>
            <wp:effectExtent l="19050" t="0" r="0" b="0"/>
            <wp:wrapTight wrapText="bothSides">
              <wp:wrapPolygon edited="0">
                <wp:start x="-110" y="0"/>
                <wp:lineTo x="-110" y="21398"/>
                <wp:lineTo x="21545" y="21398"/>
                <wp:lineTo x="21545" y="0"/>
                <wp:lineTo x="-110" y="0"/>
              </wp:wrapPolygon>
            </wp:wrapTight>
            <wp:docPr id="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Pr="009C0D9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381000</wp:posOffset>
            </wp:positionV>
            <wp:extent cx="2590800" cy="2038350"/>
            <wp:effectExtent l="19050" t="0" r="0" b="0"/>
            <wp:wrapTight wrapText="bothSides">
              <wp:wrapPolygon edited="0">
                <wp:start x="-159" y="0"/>
                <wp:lineTo x="-159" y="21398"/>
                <wp:lineTo x="21600" y="21398"/>
                <wp:lineTo x="21600" y="0"/>
                <wp:lineTo x="-159" y="0"/>
              </wp:wrapPolygon>
            </wp:wrapTight>
            <wp:docPr id="9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9C0D9A">
        <w:rPr>
          <w:rFonts w:ascii="Times New Roman" w:eastAsia="Times New Roman" w:hAnsi="Times New Roman" w:cs="Times New Roman"/>
          <w:sz w:val="24"/>
          <w:szCs w:val="24"/>
        </w:rPr>
        <w:t>Отраслевая структура промышленного производства в январе-апреле 2016 года выглядела следующим образом:</w:t>
      </w:r>
    </w:p>
    <w:p w:rsidR="00E6295D" w:rsidRPr="009C0D9A" w:rsidRDefault="00E6295D" w:rsidP="00E62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D9A">
        <w:rPr>
          <w:rFonts w:ascii="Times New Roman" w:eastAsia="Times New Roman" w:hAnsi="Times New Roman" w:cs="Times New Roman"/>
          <w:sz w:val="24"/>
          <w:szCs w:val="24"/>
        </w:rPr>
        <w:t>Несмотря на уменьшение объемов производства в электроэнергетике («-»5,2%) предприятиям отрасли удалось сохранить в рассматриваемом периоде лидирующую позицию в структуре выпуска – 38,6% (45,6% в январе - апреле 2015 года). На металлургию в результате увеличения объемов товарного выпуска в январе-апреле 2016 года по отношению к соответствующему периоду 2015 года, в рассматриваемом периоде приходилось 28,1% выпуска в промышленности против 19,9% в январе-апреле 2015 года. Предприятия легкой и пищевой промышленности сформировали по 12,2% и 10,3% товарного выпуска соответственно против 12,0% и 10,8% в аналогичном периоде 2015 года.</w:t>
      </w:r>
    </w:p>
    <w:p w:rsidR="00E6295D" w:rsidRPr="003142A8" w:rsidRDefault="00E6295D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 апреле 2016 года </w:t>
      </w:r>
      <w:r>
        <w:rPr>
          <w:rFonts w:ascii="Times New Roman" w:eastAsia="Times New Roman" w:hAnsi="Times New Roman" w:cs="Times New Roman"/>
          <w:sz w:val="24"/>
          <w:szCs w:val="24"/>
        </w:rPr>
        <w:t>после прироста в марте к февралю («+»21,9%) динамика о</w:t>
      </w:r>
      <w:r w:rsidRPr="009C0D9A">
        <w:rPr>
          <w:rFonts w:ascii="Times New Roman" w:eastAsia="Times New Roman" w:hAnsi="Times New Roman" w:cs="Times New Roman"/>
          <w:sz w:val="24"/>
          <w:szCs w:val="24"/>
        </w:rPr>
        <w:t>бъем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 промышленного производства, на фоне неустойчивой рыночной конъюнктуры </w:t>
      </w:r>
      <w:r>
        <w:rPr>
          <w:rFonts w:ascii="Times New Roman" w:eastAsia="Times New Roman" w:hAnsi="Times New Roman" w:cs="Times New Roman"/>
          <w:sz w:val="24"/>
          <w:szCs w:val="24"/>
        </w:rPr>
        <w:t>сменилась</w:t>
      </w:r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падением </w:t>
      </w:r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по отношению к показателю марта 2016 года </w:t>
      </w:r>
      <w:r w:rsidRPr="003142A8">
        <w:rPr>
          <w:rFonts w:ascii="Times New Roman" w:eastAsia="Times New Roman" w:hAnsi="Times New Roman" w:cs="Times New Roman"/>
          <w:sz w:val="24"/>
          <w:szCs w:val="24"/>
        </w:rPr>
        <w:t>на 22,5%.</w:t>
      </w:r>
    </w:p>
    <w:p w:rsidR="00E6295D" w:rsidRPr="006E6255" w:rsidRDefault="00E6295D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6295D" w:rsidRPr="009C0D9A" w:rsidRDefault="00E6295D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95D" w:rsidRPr="009C0D9A" w:rsidRDefault="00E6295D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95D" w:rsidRDefault="00E6295D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95D" w:rsidRPr="009C0D9A" w:rsidRDefault="00E6295D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95D" w:rsidRPr="009C0D9A" w:rsidRDefault="00E6295D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D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Динамика промышленного производства</w:t>
      </w:r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 (в сопоставимых ценах), </w:t>
      </w:r>
      <w:r w:rsidRPr="009C0D9A">
        <w:rPr>
          <w:rFonts w:ascii="Times New Roman" w:eastAsia="Times New Roman" w:hAnsi="Times New Roman" w:cs="Times New Roman"/>
          <w:b/>
          <w:sz w:val="24"/>
          <w:szCs w:val="24"/>
        </w:rPr>
        <w:t>млн. руб.</w:t>
      </w:r>
    </w:p>
    <w:p w:rsidR="00E6295D" w:rsidRPr="009C0D9A" w:rsidRDefault="00E6295D" w:rsidP="00E62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D9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981700" cy="1466850"/>
            <wp:effectExtent l="0" t="0" r="0" b="0"/>
            <wp:docPr id="10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6295D" w:rsidRPr="009C0D9A" w:rsidRDefault="00E6295D" w:rsidP="00E62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95D" w:rsidRDefault="00E6295D" w:rsidP="00E62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отраслевом разрезе д</w:t>
      </w:r>
      <w:r w:rsidRPr="009C0D9A">
        <w:rPr>
          <w:rFonts w:ascii="Times New Roman" w:eastAsia="Times New Roman" w:hAnsi="Times New Roman" w:cs="Times New Roman"/>
          <w:sz w:val="24"/>
          <w:szCs w:val="24"/>
        </w:rPr>
        <w:t>инамика промышленного производства в апреле 2016 года по отношению к базовому показателю 2015 года свидетельствует об увеличении объемов производства по отдельным отраслям промышленности и промышленным предприятиям и выглядит следующим образом:</w:t>
      </w:r>
    </w:p>
    <w:p w:rsidR="00ED5783" w:rsidRPr="009C0D9A" w:rsidRDefault="00ED5783" w:rsidP="00E62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95D" w:rsidRPr="009C0D9A" w:rsidRDefault="00E6295D" w:rsidP="00E629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D9A">
        <w:rPr>
          <w:rFonts w:ascii="Times New Roman" w:eastAsia="Times New Roman" w:hAnsi="Times New Roman" w:cs="Times New Roman"/>
          <w:b/>
          <w:sz w:val="24"/>
          <w:szCs w:val="24"/>
        </w:rPr>
        <w:t xml:space="preserve">Динамика промышленной продукции в разрезе </w:t>
      </w:r>
      <w:proofErr w:type="spellStart"/>
      <w:r w:rsidRPr="009C0D9A">
        <w:rPr>
          <w:rFonts w:ascii="Times New Roman" w:eastAsia="Times New Roman" w:hAnsi="Times New Roman" w:cs="Times New Roman"/>
          <w:b/>
          <w:sz w:val="24"/>
          <w:szCs w:val="24"/>
        </w:rPr>
        <w:t>подотраслей</w:t>
      </w:r>
      <w:proofErr w:type="spellEnd"/>
      <w:r w:rsidRPr="009C0D9A">
        <w:rPr>
          <w:rFonts w:ascii="Times New Roman" w:eastAsia="Times New Roman" w:hAnsi="Times New Roman" w:cs="Times New Roman"/>
          <w:b/>
          <w:sz w:val="24"/>
          <w:szCs w:val="24"/>
        </w:rPr>
        <w:t>, млн. руб.</w:t>
      </w:r>
    </w:p>
    <w:p w:rsidR="00E6295D" w:rsidRPr="009C0D9A" w:rsidRDefault="00E6295D" w:rsidP="00E62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C0D9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051550" cy="2962275"/>
            <wp:effectExtent l="19050" t="0" r="25400" b="0"/>
            <wp:docPr id="11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6295D" w:rsidRPr="009C0D9A" w:rsidRDefault="00E6295D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95D" w:rsidRPr="009C0D9A" w:rsidRDefault="00E6295D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Увеличение промышленного производства </w:t>
      </w:r>
      <w:r w:rsidRPr="009C0D9A">
        <w:rPr>
          <w:rFonts w:ascii="Times New Roman" w:hAnsi="Times New Roman"/>
          <w:sz w:val="24"/>
          <w:szCs w:val="24"/>
        </w:rPr>
        <w:t xml:space="preserve">по итогам января-апреля 2016 года </w:t>
      </w:r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по отношению к аналогичному периоду 2015 года зафиксировано в </w:t>
      </w:r>
      <w:proofErr w:type="gramStart"/>
      <w:r w:rsidRPr="009C0D9A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proofErr w:type="gramEnd"/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D9A">
        <w:rPr>
          <w:rFonts w:ascii="Times New Roman" w:eastAsia="Times New Roman" w:hAnsi="Times New Roman" w:cs="Times New Roman"/>
          <w:sz w:val="24"/>
          <w:szCs w:val="24"/>
        </w:rPr>
        <w:t>подотраслях</w:t>
      </w:r>
      <w:proofErr w:type="spellEnd"/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 промышленности:</w:t>
      </w:r>
    </w:p>
    <w:p w:rsidR="00E6295D" w:rsidRPr="003142A8" w:rsidRDefault="00E6295D" w:rsidP="00E62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а) в </w:t>
      </w:r>
      <w:r w:rsidRPr="009C0D9A">
        <w:rPr>
          <w:rFonts w:ascii="Times New Roman" w:eastAsia="Times New Roman" w:hAnsi="Times New Roman" w:cs="Times New Roman"/>
          <w:b/>
          <w:sz w:val="24"/>
          <w:szCs w:val="24"/>
        </w:rPr>
        <w:t xml:space="preserve">черной металлургии </w:t>
      </w:r>
      <w:r w:rsidRPr="009C0D9A">
        <w:rPr>
          <w:rFonts w:ascii="Times New Roman" w:hAnsi="Times New Roman"/>
          <w:sz w:val="24"/>
          <w:szCs w:val="24"/>
        </w:rPr>
        <w:t xml:space="preserve">в январе-апреле </w:t>
      </w:r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текущего года </w:t>
      </w:r>
      <w:r w:rsidRPr="009C0D9A">
        <w:rPr>
          <w:rFonts w:ascii="Times New Roman" w:hAnsi="Times New Roman"/>
          <w:sz w:val="24"/>
          <w:szCs w:val="24"/>
        </w:rPr>
        <w:t>отмечено увеличение производства проката черных металлов на 59,3%. На фоне приостановки деятельности крупнейшего предприятия отрасли - ОАО «Молдавский металлургический завод» в январе-феврале 2015 года, в рассматриваемом периоде отмечен прирост объема промышленного производства на 58,8% (в сопоставимых ценах) по отношению к январю-апрелю 2015 года, в целом объем производства отрасли по отношению к соответствующему периоду</w:t>
      </w:r>
      <w:proofErr w:type="gramEnd"/>
      <w:r w:rsidRPr="009C0D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0D9A">
        <w:rPr>
          <w:rFonts w:ascii="Times New Roman" w:hAnsi="Times New Roman"/>
          <w:sz w:val="24"/>
          <w:szCs w:val="24"/>
        </w:rPr>
        <w:t>2015 года увеличился на 57,9%. При этом следует отметить, что нестабильная работа ОАО «Молдавский металлургический завод» в апреле 2016 года, из-за отсутствия сырья для осуществления производственного процесса, обусловила пад</w:t>
      </w:r>
      <w:r>
        <w:rPr>
          <w:rFonts w:ascii="Times New Roman" w:hAnsi="Times New Roman"/>
          <w:sz w:val="24"/>
          <w:szCs w:val="24"/>
        </w:rPr>
        <w:t>ение</w:t>
      </w:r>
      <w:r w:rsidRPr="009C0D9A">
        <w:rPr>
          <w:rFonts w:ascii="Times New Roman" w:hAnsi="Times New Roman"/>
          <w:sz w:val="24"/>
          <w:szCs w:val="24"/>
        </w:rPr>
        <w:t xml:space="preserve"> объема промышленного производства отрасли по отношению к марту 2016 года на 62,3%. Доходы предприятий отрасли на фоне нестабильности цен на сырье и готовую продукцию, </w:t>
      </w:r>
      <w:r>
        <w:rPr>
          <w:rFonts w:ascii="Times New Roman" w:hAnsi="Times New Roman"/>
          <w:sz w:val="24"/>
          <w:szCs w:val="24"/>
        </w:rPr>
        <w:t>при</w:t>
      </w:r>
      <w:r w:rsidRPr="003142A8">
        <w:rPr>
          <w:rFonts w:ascii="Times New Roman" w:hAnsi="Times New Roman"/>
          <w:sz w:val="24"/>
          <w:szCs w:val="24"/>
        </w:rPr>
        <w:t xml:space="preserve"> высокой конкуренции на рынке черных металлов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C0D9A">
        <w:rPr>
          <w:rFonts w:ascii="Times New Roman" w:hAnsi="Times New Roman"/>
          <w:sz w:val="24"/>
          <w:szCs w:val="24"/>
        </w:rPr>
        <w:t xml:space="preserve">в рассматриваемом периоде увеличились на 1,7% по отношению к базовому показателю 2015 года, а в апреле 2016 значение показателя по отношению к марту 2016 года демонстрирует спад на </w:t>
      </w:r>
      <w:r w:rsidRPr="003142A8">
        <w:rPr>
          <w:rFonts w:ascii="Times New Roman" w:hAnsi="Times New Roman"/>
          <w:sz w:val="24"/>
          <w:szCs w:val="24"/>
        </w:rPr>
        <w:t>61,1%.</w:t>
      </w:r>
    </w:p>
    <w:p w:rsidR="00E6295D" w:rsidRPr="009C0D9A" w:rsidRDefault="00E6295D" w:rsidP="00E629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D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</w:t>
      </w:r>
      <w:r w:rsidRPr="009C0D9A">
        <w:rPr>
          <w:rFonts w:ascii="Times New Roman" w:hAnsi="Times New Roman"/>
          <w:b/>
          <w:sz w:val="24"/>
          <w:szCs w:val="24"/>
        </w:rPr>
        <w:t xml:space="preserve">в химической промышленности </w:t>
      </w:r>
      <w:r w:rsidRPr="009C0D9A">
        <w:rPr>
          <w:rFonts w:ascii="Times New Roman" w:hAnsi="Times New Roman"/>
          <w:sz w:val="24"/>
          <w:szCs w:val="24"/>
        </w:rPr>
        <w:t>в январе-апреле 2016 года наблюдается увеличение объема промышленного производства на 24,0% к базовому показателю 2015 года. Основное влияние на сложившуюся динамику в отрасли оказало увеличение объемов производства крупнейшего предприятия отрасли ЗАО «Завод «</w:t>
      </w:r>
      <w:proofErr w:type="spellStart"/>
      <w:r w:rsidRPr="009C0D9A">
        <w:rPr>
          <w:rFonts w:ascii="Times New Roman" w:hAnsi="Times New Roman"/>
          <w:sz w:val="24"/>
          <w:szCs w:val="24"/>
        </w:rPr>
        <w:t>Молдавизолит</w:t>
      </w:r>
      <w:proofErr w:type="spellEnd"/>
      <w:r w:rsidRPr="009C0D9A">
        <w:rPr>
          <w:rFonts w:ascii="Times New Roman" w:hAnsi="Times New Roman"/>
          <w:sz w:val="24"/>
          <w:szCs w:val="24"/>
        </w:rPr>
        <w:t>» (на 25,2%). При этом</w:t>
      </w:r>
      <w:proofErr w:type="gramStart"/>
      <w:r w:rsidRPr="009C0D9A">
        <w:rPr>
          <w:rFonts w:ascii="Times New Roman" w:hAnsi="Times New Roman"/>
          <w:sz w:val="24"/>
          <w:szCs w:val="24"/>
        </w:rPr>
        <w:t>,</w:t>
      </w:r>
      <w:proofErr w:type="gramEnd"/>
      <w:r w:rsidRPr="009C0D9A">
        <w:rPr>
          <w:rFonts w:ascii="Times New Roman" w:hAnsi="Times New Roman"/>
          <w:sz w:val="24"/>
          <w:szCs w:val="24"/>
        </w:rPr>
        <w:t xml:space="preserve"> в апреле 2016 года по отношению к марту текущего года по предприятиям отрасли отмечается спад объема производства на 4,8%.</w:t>
      </w:r>
    </w:p>
    <w:p w:rsidR="00E6295D" w:rsidRPr="009C0D9A" w:rsidRDefault="00E6295D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в) в </w:t>
      </w:r>
      <w:r w:rsidRPr="009C0D9A">
        <w:rPr>
          <w:rFonts w:ascii="Times New Roman" w:eastAsia="Times New Roman" w:hAnsi="Times New Roman" w:cs="Times New Roman"/>
          <w:b/>
          <w:sz w:val="24"/>
          <w:szCs w:val="24"/>
        </w:rPr>
        <w:t>промышленности строительных материалов</w:t>
      </w:r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 по итогам января-апреля 2016 года зафиксирован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рост производственных показателей в целом по отрасли на 44,4% до 108,1 млн. руб. Данная динамика </w:t>
      </w:r>
      <w:r w:rsidR="0053494D">
        <w:rPr>
          <w:rFonts w:ascii="Times New Roman" w:eastAsia="Times New Roman" w:hAnsi="Times New Roman" w:cs="Times New Roman"/>
          <w:sz w:val="24"/>
          <w:szCs w:val="24"/>
        </w:rPr>
        <w:t xml:space="preserve">достигнута в результате осуществления мероприятий, направленных на </w:t>
      </w:r>
      <w:r w:rsidRPr="009C0D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снижение себестоимости продукции</w:t>
      </w:r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 на крупнейшем предприятии отрасли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142A8">
        <w:rPr>
          <w:rFonts w:ascii="Times New Roman" w:eastAsia="Times New Roman" w:hAnsi="Times New Roman" w:cs="Times New Roman"/>
          <w:sz w:val="24"/>
          <w:szCs w:val="24"/>
        </w:rPr>
        <w:t>ЗАО «</w:t>
      </w:r>
      <w:proofErr w:type="spellStart"/>
      <w:r w:rsidRPr="003142A8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3142A8">
        <w:rPr>
          <w:rFonts w:ascii="Times New Roman" w:eastAsia="Times New Roman" w:hAnsi="Times New Roman" w:cs="Times New Roman"/>
          <w:sz w:val="24"/>
          <w:szCs w:val="24"/>
        </w:rPr>
        <w:t xml:space="preserve"> цементный комбинат»</w:t>
      </w:r>
      <w:r w:rsidRPr="00314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увеличивший объем производства на 67,0% и обеспечивший </w:t>
      </w:r>
      <w:r w:rsidRPr="003142A8">
        <w:rPr>
          <w:rFonts w:ascii="Times New Roman" w:eastAsia="Times New Roman" w:hAnsi="Times New Roman" w:cs="Times New Roman"/>
          <w:sz w:val="24"/>
          <w:szCs w:val="24"/>
        </w:rPr>
        <w:t>более 80,0% в общем объеме выпуска в отрасли.</w:t>
      </w:r>
      <w:proofErr w:type="gramEnd"/>
    </w:p>
    <w:p w:rsidR="00E6295D" w:rsidRPr="009C0D9A" w:rsidRDefault="00E6295D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D9A">
        <w:rPr>
          <w:rFonts w:ascii="Times New Roman" w:hAnsi="Times New Roman"/>
          <w:sz w:val="24"/>
          <w:szCs w:val="24"/>
        </w:rPr>
        <w:t>г)</w:t>
      </w:r>
      <w:r w:rsidRPr="009C0D9A">
        <w:rPr>
          <w:rFonts w:ascii="Times New Roman" w:hAnsi="Times New Roman"/>
          <w:b/>
          <w:sz w:val="24"/>
          <w:szCs w:val="24"/>
        </w:rPr>
        <w:t xml:space="preserve"> </w:t>
      </w:r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по итогам января-апреля 2016 года на предприятиях </w:t>
      </w:r>
      <w:r w:rsidRPr="009C0D9A">
        <w:rPr>
          <w:rFonts w:ascii="Times New Roman" w:eastAsia="Times New Roman" w:hAnsi="Times New Roman" w:cs="Times New Roman"/>
          <w:b/>
          <w:sz w:val="24"/>
          <w:szCs w:val="24"/>
        </w:rPr>
        <w:t xml:space="preserve">легкой промышленности </w:t>
      </w:r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объем отраслевого выпуска в сопоставимых ценах сложился на 13,8% выше уровня января-апреля 2015 года, что обусловлено положительной динамикой объема промышленного производства на ряде предприятий отрасли. </w:t>
      </w:r>
      <w:proofErr w:type="gramStart"/>
      <w:r w:rsidRPr="009C0D9A">
        <w:rPr>
          <w:rFonts w:ascii="Times New Roman" w:eastAsia="Times New Roman" w:hAnsi="Times New Roman" w:cs="Times New Roman"/>
          <w:sz w:val="24"/>
          <w:szCs w:val="24"/>
        </w:rPr>
        <w:t>Так определяющее влияние на отраслевой показатель оказывает работа крупнейшего предприятия отрасли                      ЗАО «</w:t>
      </w:r>
      <w:proofErr w:type="spellStart"/>
      <w:r w:rsidRPr="009C0D9A">
        <w:rPr>
          <w:rFonts w:ascii="Times New Roman" w:eastAsia="Times New Roman" w:hAnsi="Times New Roman" w:cs="Times New Roman"/>
          <w:sz w:val="24"/>
          <w:szCs w:val="24"/>
        </w:rPr>
        <w:t>Тиротекс</w:t>
      </w:r>
      <w:proofErr w:type="spellEnd"/>
      <w:r w:rsidRPr="009C0D9A">
        <w:rPr>
          <w:rFonts w:ascii="Times New Roman" w:eastAsia="Times New Roman" w:hAnsi="Times New Roman" w:cs="Times New Roman"/>
          <w:sz w:val="24"/>
          <w:szCs w:val="24"/>
        </w:rPr>
        <w:t>» (54,4% отраслевого выпуска), увеличившего товарный выпуск за рассматриваемый период на 35,5%. Также увеличение товарного выпуска отмечено на ЗАО «Швейная фирма «</w:t>
      </w:r>
      <w:proofErr w:type="spellStart"/>
      <w:r w:rsidRPr="009C0D9A">
        <w:rPr>
          <w:rFonts w:ascii="Times New Roman" w:eastAsia="Times New Roman" w:hAnsi="Times New Roman" w:cs="Times New Roman"/>
          <w:sz w:val="24"/>
          <w:szCs w:val="24"/>
        </w:rPr>
        <w:t>Вестра</w:t>
      </w:r>
      <w:proofErr w:type="spellEnd"/>
      <w:r w:rsidRPr="009C0D9A">
        <w:rPr>
          <w:rFonts w:ascii="Times New Roman" w:eastAsia="Times New Roman" w:hAnsi="Times New Roman" w:cs="Times New Roman"/>
          <w:sz w:val="24"/>
          <w:szCs w:val="24"/>
        </w:rPr>
        <w:t>» - на 94,8%, ОАО «</w:t>
      </w:r>
      <w:proofErr w:type="spellStart"/>
      <w:r w:rsidRPr="009C0D9A">
        <w:rPr>
          <w:rFonts w:ascii="Times New Roman" w:eastAsia="Times New Roman" w:hAnsi="Times New Roman" w:cs="Times New Roman"/>
          <w:sz w:val="24"/>
          <w:szCs w:val="24"/>
        </w:rPr>
        <w:t>Флоаре</w:t>
      </w:r>
      <w:proofErr w:type="spellEnd"/>
      <w:r w:rsidRPr="009C0D9A">
        <w:rPr>
          <w:rFonts w:ascii="Times New Roman" w:eastAsia="Times New Roman" w:hAnsi="Times New Roman" w:cs="Times New Roman"/>
          <w:sz w:val="24"/>
          <w:szCs w:val="24"/>
        </w:rPr>
        <w:t>» - на 10,0%, ЗАО «</w:t>
      </w:r>
      <w:proofErr w:type="spellStart"/>
      <w:r w:rsidRPr="009C0D9A">
        <w:rPr>
          <w:rFonts w:ascii="Times New Roman" w:eastAsia="Times New Roman" w:hAnsi="Times New Roman" w:cs="Times New Roman"/>
          <w:sz w:val="24"/>
          <w:szCs w:val="24"/>
        </w:rPr>
        <w:t>Одема</w:t>
      </w:r>
      <w:proofErr w:type="spellEnd"/>
      <w:r w:rsidRPr="009C0D9A">
        <w:rPr>
          <w:rFonts w:ascii="Times New Roman" w:eastAsia="Times New Roman" w:hAnsi="Times New Roman" w:cs="Times New Roman"/>
          <w:sz w:val="24"/>
          <w:szCs w:val="24"/>
        </w:rPr>
        <w:t>»          им. В.Соловьевой – на 5,8%, и др. Достигнутые результаты в совокупности с поиском новых рынков сбыта в значительной</w:t>
      </w:r>
      <w:proofErr w:type="gramEnd"/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 мере обусловлены оказанием государственной поддержки 4 предприятиям легкой промышленности (ЗАО «</w:t>
      </w:r>
      <w:proofErr w:type="spellStart"/>
      <w:r w:rsidRPr="009C0D9A">
        <w:rPr>
          <w:rFonts w:ascii="Times New Roman" w:eastAsia="Times New Roman" w:hAnsi="Times New Roman" w:cs="Times New Roman"/>
          <w:sz w:val="24"/>
          <w:szCs w:val="24"/>
        </w:rPr>
        <w:t>Тиротекс</w:t>
      </w:r>
      <w:proofErr w:type="spellEnd"/>
      <w:r w:rsidRPr="009C0D9A">
        <w:rPr>
          <w:rFonts w:ascii="Times New Roman" w:eastAsia="Times New Roman" w:hAnsi="Times New Roman" w:cs="Times New Roman"/>
          <w:sz w:val="24"/>
          <w:szCs w:val="24"/>
        </w:rPr>
        <w:t>», ЗАО «</w:t>
      </w:r>
      <w:proofErr w:type="spellStart"/>
      <w:r w:rsidRPr="009C0D9A">
        <w:rPr>
          <w:rFonts w:ascii="Times New Roman" w:eastAsia="Times New Roman" w:hAnsi="Times New Roman" w:cs="Times New Roman"/>
          <w:sz w:val="24"/>
          <w:szCs w:val="24"/>
        </w:rPr>
        <w:t>Одема</w:t>
      </w:r>
      <w:proofErr w:type="spellEnd"/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» им. В.Соловьевой, ЗАО «Швейная фирма» </w:t>
      </w:r>
      <w:proofErr w:type="spellStart"/>
      <w:r w:rsidRPr="009C0D9A">
        <w:rPr>
          <w:rFonts w:ascii="Times New Roman" w:eastAsia="Times New Roman" w:hAnsi="Times New Roman" w:cs="Times New Roman"/>
          <w:sz w:val="24"/>
          <w:szCs w:val="24"/>
        </w:rPr>
        <w:t>Вестра</w:t>
      </w:r>
      <w:proofErr w:type="spellEnd"/>
      <w:r w:rsidRPr="009C0D9A">
        <w:rPr>
          <w:rFonts w:ascii="Times New Roman" w:eastAsia="Times New Roman" w:hAnsi="Times New Roman" w:cs="Times New Roman"/>
          <w:sz w:val="24"/>
          <w:szCs w:val="24"/>
        </w:rPr>
        <w:t>», ООО «</w:t>
      </w:r>
      <w:proofErr w:type="spellStart"/>
      <w:r w:rsidRPr="009C0D9A">
        <w:rPr>
          <w:rFonts w:ascii="Times New Roman" w:eastAsia="Times New Roman" w:hAnsi="Times New Roman" w:cs="Times New Roman"/>
          <w:sz w:val="24"/>
          <w:szCs w:val="24"/>
        </w:rPr>
        <w:t>Софтшуз</w:t>
      </w:r>
      <w:proofErr w:type="spellEnd"/>
      <w:r w:rsidRPr="009C0D9A">
        <w:rPr>
          <w:rFonts w:ascii="Times New Roman" w:eastAsia="Times New Roman" w:hAnsi="Times New Roman" w:cs="Times New Roman"/>
          <w:sz w:val="24"/>
          <w:szCs w:val="24"/>
        </w:rPr>
        <w:t>») в виде льготных тарифов на энергоносители и льгот по налогу на доходы.</w:t>
      </w:r>
    </w:p>
    <w:p w:rsidR="00E6295D" w:rsidRPr="009C0D9A" w:rsidRDefault="00E6295D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D9A">
        <w:rPr>
          <w:rFonts w:ascii="Times New Roman" w:eastAsia="Times New Roman" w:hAnsi="Times New Roman" w:cs="Times New Roman"/>
          <w:sz w:val="24"/>
          <w:szCs w:val="24"/>
        </w:rPr>
        <w:t>В апреле 2016 года по отношению к марту текущего года предприятия отрасли демонстрируют спад объема промышленного производства на 7,5%.</w:t>
      </w:r>
    </w:p>
    <w:p w:rsidR="00E6295D" w:rsidRPr="009C0D9A" w:rsidRDefault="00E6295D" w:rsidP="00E6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D9A">
        <w:rPr>
          <w:rFonts w:ascii="Calibri" w:eastAsia="Times New Roman" w:hAnsi="Calibri" w:cs="Times New Roman"/>
          <w:noProof/>
        </w:rPr>
        <w:drawing>
          <wp:inline distT="0" distB="0" distL="0" distR="0">
            <wp:extent cx="6181725" cy="1695450"/>
            <wp:effectExtent l="0" t="0" r="0" b="0"/>
            <wp:docPr id="12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295D" w:rsidRPr="009C0D9A" w:rsidRDefault="00E6295D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C0D9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r w:rsidRPr="009C0D9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пищевой промышленности </w:t>
      </w:r>
      <w:r w:rsidRPr="009C0D9A">
        <w:rPr>
          <w:rFonts w:ascii="Times New Roman" w:eastAsia="Times New Roman" w:hAnsi="Times New Roman" w:cs="Times New Roman"/>
          <w:snapToGrid w:val="0"/>
          <w:sz w:val="24"/>
          <w:szCs w:val="24"/>
        </w:rPr>
        <w:t>в</w:t>
      </w:r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рассматриваемом периоде </w:t>
      </w:r>
      <w:r w:rsidRPr="009C0D9A">
        <w:rPr>
          <w:rFonts w:ascii="Times New Roman" w:eastAsia="Times New Roman" w:hAnsi="Times New Roman" w:cs="Times New Roman"/>
          <w:snapToGrid w:val="0"/>
          <w:sz w:val="24"/>
          <w:szCs w:val="24"/>
        </w:rPr>
        <w:t>фиксируется увеличение</w:t>
      </w:r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 товарного выпуска в сопоставимых ценах на 6,4%, что вызвано расширением объемов производства на ГУП «</w:t>
      </w:r>
      <w:proofErr w:type="spellStart"/>
      <w:r w:rsidRPr="009C0D9A">
        <w:rPr>
          <w:rFonts w:ascii="Times New Roman" w:eastAsia="Times New Roman" w:hAnsi="Times New Roman" w:cs="Times New Roman"/>
          <w:sz w:val="24"/>
          <w:szCs w:val="24"/>
        </w:rPr>
        <w:t>Биохим</w:t>
      </w:r>
      <w:proofErr w:type="spellEnd"/>
      <w:r w:rsidRPr="009C0D9A">
        <w:rPr>
          <w:rFonts w:ascii="Times New Roman" w:eastAsia="Times New Roman" w:hAnsi="Times New Roman" w:cs="Times New Roman"/>
          <w:sz w:val="24"/>
          <w:szCs w:val="24"/>
        </w:rPr>
        <w:t>» (в 3,3 р.), ЗАО «Букет Молдавии («+»42,5%), ЗАО «Тираспольский винно-коньячный завод «KVINT» («+»23,8%) и др. Увеличение объемов производства на ведущем предприятии отрасли ЗАО «Тираспольский винно-коньячный завод «KVINT» в рассматриваемом периоде обусловлено существенным снижением производственных показателей в</w:t>
      </w:r>
      <w:proofErr w:type="gramEnd"/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 базовом </w:t>
      </w:r>
      <w:proofErr w:type="gramStart"/>
      <w:r w:rsidRPr="009C0D9A">
        <w:rPr>
          <w:rFonts w:ascii="Times New Roman" w:eastAsia="Times New Roman" w:hAnsi="Times New Roman" w:cs="Times New Roman"/>
          <w:sz w:val="24"/>
          <w:szCs w:val="24"/>
        </w:rPr>
        <w:t>периоде</w:t>
      </w:r>
      <w:proofErr w:type="gramEnd"/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 2015 года, на фоне чего в текущем году предприятие демонстрирует прирост объема промышленного производства. Также следует отметить, что в апреле 2016 года по отношению к марту месяцу текущего года по отрасли отмечается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C0D9A">
        <w:rPr>
          <w:rFonts w:ascii="Times New Roman" w:eastAsia="Times New Roman" w:hAnsi="Times New Roman" w:cs="Times New Roman"/>
          <w:sz w:val="24"/>
          <w:szCs w:val="24"/>
        </w:rPr>
        <w:t>рост объема промышленного производства на 37,7%.</w:t>
      </w:r>
    </w:p>
    <w:p w:rsidR="00E6295D" w:rsidRPr="009C0D9A" w:rsidRDefault="00E6295D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Спад промышленного производства в 2016 году по отношению к 2015 году наблюдается в </w:t>
      </w:r>
      <w:proofErr w:type="gramStart"/>
      <w:r w:rsidRPr="009C0D9A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proofErr w:type="gramEnd"/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D9A">
        <w:rPr>
          <w:rFonts w:ascii="Times New Roman" w:eastAsia="Times New Roman" w:hAnsi="Times New Roman" w:cs="Times New Roman"/>
          <w:sz w:val="24"/>
          <w:szCs w:val="24"/>
        </w:rPr>
        <w:t>подотраслях</w:t>
      </w:r>
      <w:proofErr w:type="spellEnd"/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 промышленности:</w:t>
      </w:r>
    </w:p>
    <w:p w:rsidR="00E6295D" w:rsidRPr="009C0D9A" w:rsidRDefault="00E6295D" w:rsidP="00E62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а) в </w:t>
      </w:r>
      <w:r w:rsidRPr="009C0D9A">
        <w:rPr>
          <w:rFonts w:ascii="Times New Roman" w:eastAsia="Times New Roman" w:hAnsi="Times New Roman" w:cs="Times New Roman"/>
          <w:b/>
          <w:sz w:val="24"/>
          <w:szCs w:val="24"/>
        </w:rPr>
        <w:t>электроэнергетическом комплексе</w:t>
      </w:r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 республики в январе-апреле 2016 года отмечается снижение выработки электроэнергии в натуральном выражении в целом по отрасли на 6,4% по сравнению с соответствующим периодом 2015 года, в стоимостном выражении товарный выпуск отрасли снизился на 5,2%, что вызвано сокращением </w:t>
      </w:r>
      <w:r w:rsidRPr="009C0D9A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поставок электроэнергии как на внешний, так и на внутренний рынки.</w:t>
      </w:r>
      <w:proofErr w:type="gramEnd"/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 При этом</w:t>
      </w:r>
      <w:proofErr w:type="gramStart"/>
      <w:r w:rsidRPr="009C0D9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 в апреле 2016 года на фоне незначительного роста объема производства в марте 2016 года                    («+»1,7%), отмечен спад производственных показателей по отношению к марту              2016 года на 7,6%.</w:t>
      </w:r>
    </w:p>
    <w:p w:rsidR="00E6295D" w:rsidRPr="009C0D9A" w:rsidRDefault="00E6295D" w:rsidP="00E62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D9A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124575" cy="2066925"/>
            <wp:effectExtent l="19050" t="0" r="0" b="0"/>
            <wp:docPr id="15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295D" w:rsidRPr="009C0D9A" w:rsidRDefault="00E6295D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D9A">
        <w:rPr>
          <w:rFonts w:ascii="Times New Roman" w:hAnsi="Times New Roman"/>
          <w:sz w:val="24"/>
          <w:szCs w:val="24"/>
        </w:rPr>
        <w:t xml:space="preserve">в) </w:t>
      </w:r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предприятия </w:t>
      </w:r>
      <w:r w:rsidRPr="009C0D9A">
        <w:rPr>
          <w:rFonts w:ascii="Times New Roman" w:eastAsia="Times New Roman" w:hAnsi="Times New Roman" w:cs="Times New Roman"/>
          <w:b/>
          <w:sz w:val="24"/>
          <w:szCs w:val="24"/>
        </w:rPr>
        <w:t>машиностроения и металлообработки</w:t>
      </w:r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 по итогам января-апреля                2016 года демонстрируют снижение объема производства по отношению к базовым параметрам 2015 года на 17,6%. Данная динамика показателя вызвана снижением объема производства на ОАО «</w:t>
      </w:r>
      <w:proofErr w:type="spellStart"/>
      <w:r w:rsidRPr="009C0D9A">
        <w:rPr>
          <w:rFonts w:ascii="Times New Roman" w:eastAsia="Times New Roman" w:hAnsi="Times New Roman" w:cs="Times New Roman"/>
          <w:sz w:val="24"/>
          <w:szCs w:val="24"/>
        </w:rPr>
        <w:t>Литмаш</w:t>
      </w:r>
      <w:proofErr w:type="spellEnd"/>
      <w:r w:rsidRPr="009C0D9A">
        <w:rPr>
          <w:rFonts w:ascii="Times New Roman" w:eastAsia="Times New Roman" w:hAnsi="Times New Roman" w:cs="Times New Roman"/>
          <w:sz w:val="24"/>
          <w:szCs w:val="24"/>
        </w:rPr>
        <w:t>» («-»53,8%). При этом, в апреле 2016 года на фоне роста в 2,1 раза по отношению к марту текущего года объема промышленного производства на ОАО «</w:t>
      </w:r>
      <w:proofErr w:type="spellStart"/>
      <w:r w:rsidRPr="009C0D9A">
        <w:rPr>
          <w:rFonts w:ascii="Times New Roman" w:eastAsia="Times New Roman" w:hAnsi="Times New Roman" w:cs="Times New Roman"/>
          <w:sz w:val="24"/>
          <w:szCs w:val="24"/>
        </w:rPr>
        <w:t>Литмаш</w:t>
      </w:r>
      <w:proofErr w:type="spellEnd"/>
      <w:r w:rsidRPr="009C0D9A">
        <w:rPr>
          <w:rFonts w:ascii="Times New Roman" w:eastAsia="Times New Roman" w:hAnsi="Times New Roman" w:cs="Times New Roman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товарный выпуск в </w:t>
      </w:r>
      <w:r w:rsidRPr="009C0D9A">
        <w:rPr>
          <w:rFonts w:ascii="Times New Roman" w:eastAsia="Times New Roman" w:hAnsi="Times New Roman" w:cs="Times New Roman"/>
          <w:sz w:val="24"/>
          <w:szCs w:val="24"/>
        </w:rPr>
        <w:t>целом по отрасли увеличился на 66,3%;</w:t>
      </w:r>
    </w:p>
    <w:p w:rsidR="00E6295D" w:rsidRPr="009C0D9A" w:rsidRDefault="00E6295D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D9A">
        <w:rPr>
          <w:rFonts w:ascii="Times New Roman" w:eastAsia="Times New Roman" w:hAnsi="Times New Roman" w:cs="Times New Roman"/>
          <w:sz w:val="24"/>
          <w:szCs w:val="24"/>
        </w:rPr>
        <w:t>г) в</w:t>
      </w:r>
      <w:r w:rsidRPr="009C0D9A">
        <w:rPr>
          <w:rFonts w:ascii="Times New Roman" w:eastAsia="Times New Roman" w:hAnsi="Times New Roman" w:cs="Times New Roman"/>
          <w:b/>
          <w:sz w:val="24"/>
          <w:szCs w:val="24"/>
        </w:rPr>
        <w:t xml:space="preserve"> электротехнической промышленности</w:t>
      </w:r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 по итогам января-апреля 2016 года отмечено падение отраслевого выпуска на 16,4%. Между тем на НП ЗАО «</w:t>
      </w:r>
      <w:proofErr w:type="spellStart"/>
      <w:r w:rsidRPr="009C0D9A">
        <w:rPr>
          <w:rFonts w:ascii="Times New Roman" w:eastAsia="Times New Roman" w:hAnsi="Times New Roman" w:cs="Times New Roman"/>
          <w:sz w:val="24"/>
          <w:szCs w:val="24"/>
        </w:rPr>
        <w:t>Электромаш</w:t>
      </w:r>
      <w:proofErr w:type="spellEnd"/>
      <w:r w:rsidRPr="009C0D9A">
        <w:rPr>
          <w:rFonts w:ascii="Times New Roman" w:eastAsia="Times New Roman" w:hAnsi="Times New Roman" w:cs="Times New Roman"/>
          <w:sz w:val="24"/>
          <w:szCs w:val="24"/>
        </w:rPr>
        <w:t>» (67,9% отраслевого выпуска) по отношению к аналогичному периоду 2015 года наблюдается прирост товарного выпуска в сопоставимой оценке на 6,3%; а на втором ведущем предприятии отрасли ЗАО «</w:t>
      </w:r>
      <w:proofErr w:type="spellStart"/>
      <w:r w:rsidRPr="009C0D9A">
        <w:rPr>
          <w:rFonts w:ascii="Times New Roman" w:eastAsia="Times New Roman" w:hAnsi="Times New Roman" w:cs="Times New Roman"/>
          <w:sz w:val="24"/>
          <w:szCs w:val="24"/>
        </w:rPr>
        <w:t>Молдавкабель</w:t>
      </w:r>
      <w:proofErr w:type="spellEnd"/>
      <w:r w:rsidRPr="009C0D9A">
        <w:rPr>
          <w:rFonts w:ascii="Times New Roman" w:eastAsia="Times New Roman" w:hAnsi="Times New Roman" w:cs="Times New Roman"/>
          <w:sz w:val="24"/>
          <w:szCs w:val="24"/>
        </w:rPr>
        <w:t>» (27,9% отраслевого выпуска) в январе-апреле 2016 года отмечено снижение объемов производства на 45,7%, что вызвано сложной внешнеторговой конъюнктурой. При этом если рассматривать показатели отрасли в апреле 2016 года по отношению к марту 2016 года, то отрасль демонстрирует снижение объема промышленного производства на 33,7%;</w:t>
      </w:r>
    </w:p>
    <w:p w:rsidR="00E6295D" w:rsidRPr="009C0D9A" w:rsidRDefault="00E6295D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е) в </w:t>
      </w:r>
      <w:r w:rsidRPr="009C0D9A">
        <w:rPr>
          <w:rFonts w:ascii="Times New Roman" w:eastAsia="Times New Roman" w:hAnsi="Times New Roman" w:cs="Times New Roman"/>
          <w:b/>
          <w:sz w:val="24"/>
          <w:szCs w:val="24"/>
        </w:rPr>
        <w:t>мукомольно-крупяной и комбикормовой промышленности</w:t>
      </w:r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 по итогам       января-апреля 2016 года отмечается снижение выпуска готовой продукции в сопоставимых ценах на 8,8%, что вызвано в основном сокращением объемов производства на ЗАО «Тираспольский комбинат хлебопродуктов» на 0,9%, ввиду </w:t>
      </w:r>
      <w:r w:rsidRPr="009C0D9A">
        <w:rPr>
          <w:rFonts w:ascii="Times New Roman" w:hAnsi="Times New Roman"/>
          <w:sz w:val="24"/>
          <w:szCs w:val="24"/>
        </w:rPr>
        <w:t xml:space="preserve">жесткой конкуренции на отраслевом рынке, из-за </w:t>
      </w:r>
      <w:r w:rsidRPr="009C0D9A">
        <w:rPr>
          <w:rFonts w:ascii="Times New Roman" w:hAnsi="Times New Roman"/>
          <w:color w:val="262626"/>
          <w:sz w:val="24"/>
          <w:szCs w:val="24"/>
        </w:rPr>
        <w:t>импорта товаров по более низким ценам из сопредельных государств</w:t>
      </w:r>
      <w:r w:rsidRPr="009C0D9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 При этом в апреле 2016 года по отношению к марту 2016 года на фоне увеличения объемов производства круп («+»55,7%) и муки («+»12,5%) отмечен прирост объема производства по отрасли на 13,2%.</w:t>
      </w:r>
    </w:p>
    <w:p w:rsidR="00E6295D" w:rsidRPr="009C0D9A" w:rsidRDefault="00E6295D" w:rsidP="00E629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0D9A">
        <w:rPr>
          <w:rFonts w:ascii="Times New Roman" w:hAnsi="Times New Roman"/>
          <w:color w:val="000000"/>
          <w:sz w:val="24"/>
          <w:szCs w:val="24"/>
        </w:rPr>
        <w:t xml:space="preserve">ж) в </w:t>
      </w:r>
      <w:r w:rsidRPr="009C0D9A">
        <w:rPr>
          <w:rFonts w:ascii="Times New Roman" w:hAnsi="Times New Roman"/>
          <w:b/>
          <w:color w:val="000000"/>
          <w:sz w:val="24"/>
          <w:szCs w:val="24"/>
        </w:rPr>
        <w:t>полиграфической промышленности</w:t>
      </w:r>
      <w:r w:rsidRPr="009C0D9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падение </w:t>
      </w:r>
      <w:r w:rsidRPr="009C0D9A">
        <w:rPr>
          <w:rFonts w:ascii="Times New Roman" w:hAnsi="Times New Roman"/>
          <w:color w:val="000000"/>
          <w:sz w:val="24"/>
          <w:szCs w:val="24"/>
        </w:rPr>
        <w:t>объем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9C0D9A">
        <w:rPr>
          <w:rFonts w:ascii="Times New Roman" w:hAnsi="Times New Roman"/>
          <w:color w:val="000000"/>
          <w:sz w:val="24"/>
          <w:szCs w:val="24"/>
        </w:rPr>
        <w:t xml:space="preserve"> промышленного производства </w:t>
      </w:r>
      <w:r>
        <w:rPr>
          <w:rFonts w:ascii="Times New Roman" w:hAnsi="Times New Roman"/>
          <w:color w:val="000000"/>
          <w:sz w:val="24"/>
          <w:szCs w:val="24"/>
        </w:rPr>
        <w:t xml:space="preserve">в январе-апреле текущего года на </w:t>
      </w:r>
      <w:r w:rsidRPr="009C0D9A">
        <w:rPr>
          <w:rFonts w:ascii="Times New Roman" w:hAnsi="Times New Roman"/>
          <w:color w:val="000000"/>
          <w:sz w:val="24"/>
          <w:szCs w:val="24"/>
        </w:rPr>
        <w:t>ГУИП Типография «Полиграфист»</w:t>
      </w:r>
      <w:r w:rsidRPr="00504C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9C0D9A">
        <w:rPr>
          <w:rFonts w:ascii="Times New Roman" w:hAnsi="Times New Roman"/>
          <w:color w:val="000000"/>
          <w:sz w:val="24"/>
          <w:szCs w:val="24"/>
        </w:rPr>
        <w:t xml:space="preserve">73,1% общего объема производства по </w:t>
      </w:r>
      <w:proofErr w:type="spellStart"/>
      <w:r w:rsidRPr="009C0D9A">
        <w:rPr>
          <w:rFonts w:ascii="Times New Roman" w:hAnsi="Times New Roman"/>
          <w:color w:val="000000"/>
          <w:sz w:val="24"/>
          <w:szCs w:val="24"/>
        </w:rPr>
        <w:t>подотрасли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в результате</w:t>
      </w:r>
      <w:r w:rsidRPr="009C0D9A">
        <w:rPr>
          <w:rFonts w:ascii="Times New Roman" w:hAnsi="Times New Roman"/>
          <w:color w:val="000000"/>
          <w:sz w:val="24"/>
          <w:szCs w:val="24"/>
        </w:rPr>
        <w:t xml:space="preserve"> сокращения заказов по изданию учебной литературы для общеобразовательных учреждений</w:t>
      </w:r>
      <w:r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Pr="009C0D9A">
        <w:rPr>
          <w:rFonts w:ascii="Times New Roman" w:hAnsi="Times New Roman"/>
          <w:color w:val="000000"/>
          <w:sz w:val="24"/>
          <w:szCs w:val="24"/>
        </w:rPr>
        <w:t>61,9% относительно соответствующего периода прошлого года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D6F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D9A">
        <w:rPr>
          <w:rFonts w:ascii="Times New Roman" w:hAnsi="Times New Roman"/>
          <w:color w:val="000000"/>
          <w:sz w:val="24"/>
          <w:szCs w:val="24"/>
        </w:rPr>
        <w:t>предопределило сокращение совокупной стоимости  товарного выпуска отрасли на 55,9%.</w:t>
      </w:r>
    </w:p>
    <w:p w:rsidR="00E6295D" w:rsidRDefault="00E6295D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достигнутые значения показателей промышленного производства свидетельствуют о нестабильной ситуации на предприятиях индустрии. </w:t>
      </w:r>
      <w:proofErr w:type="gramStart"/>
      <w:r w:rsidRPr="009C0D9A">
        <w:rPr>
          <w:rFonts w:ascii="Times New Roman" w:eastAsia="Times New Roman" w:hAnsi="Times New Roman" w:cs="Times New Roman"/>
          <w:sz w:val="24"/>
          <w:szCs w:val="24"/>
        </w:rPr>
        <w:t>Неблагоприятная конъюнктурная ситуация на мировых товарных и сырьевых рынках, трудности с выходом на внешние рынки, в совокупности с влиянием внутренних факторов (</w:t>
      </w:r>
      <w:r w:rsidRPr="009C0D9A">
        <w:rPr>
          <w:rFonts w:ascii="Times New Roman" w:hAnsi="Times New Roman"/>
          <w:sz w:val="24"/>
          <w:szCs w:val="24"/>
        </w:rPr>
        <w:t>з</w:t>
      </w:r>
      <w:r w:rsidRPr="009C0D9A">
        <w:rPr>
          <w:rFonts w:ascii="Times New Roman" w:eastAsia="MS Mincho" w:hAnsi="Times New Roman"/>
          <w:sz w:val="24"/>
          <w:szCs w:val="24"/>
        </w:rPr>
        <w:t xml:space="preserve">начительный физический и моральный износ основных фондов, </w:t>
      </w:r>
      <w:r w:rsidRPr="009C0D9A">
        <w:rPr>
          <w:rFonts w:ascii="Times New Roman" w:hAnsi="Times New Roman"/>
          <w:sz w:val="24"/>
          <w:szCs w:val="24"/>
        </w:rPr>
        <w:t xml:space="preserve">устаревшая структура промышленного производства, невысокая доля в выпуске наукоемкой, высокотехнологичной продукции, техническое и технологическое отставание отечественных предприятий от мирового </w:t>
      </w:r>
      <w:r w:rsidRPr="009C0D9A">
        <w:rPr>
          <w:rFonts w:ascii="Times New Roman" w:hAnsi="Times New Roman"/>
          <w:sz w:val="24"/>
          <w:szCs w:val="24"/>
        </w:rPr>
        <w:lastRenderedPageBreak/>
        <w:t xml:space="preserve">уровня и др.) </w:t>
      </w:r>
      <w:r w:rsidRPr="009C0D9A">
        <w:rPr>
          <w:rFonts w:ascii="Times New Roman" w:eastAsia="Times New Roman" w:hAnsi="Times New Roman" w:cs="Times New Roman"/>
          <w:sz w:val="24"/>
          <w:szCs w:val="24"/>
        </w:rPr>
        <w:t>продолжали оказывать дестабилизирующее воздействие на результаты деятельности предприятий индустрии в</w:t>
      </w:r>
      <w:proofErr w:type="gramEnd"/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C0D9A">
        <w:rPr>
          <w:rFonts w:ascii="Times New Roman" w:eastAsia="Times New Roman" w:hAnsi="Times New Roman" w:cs="Times New Roman"/>
          <w:sz w:val="24"/>
          <w:szCs w:val="24"/>
        </w:rPr>
        <w:t>январе-апреле</w:t>
      </w:r>
      <w:proofErr w:type="gramEnd"/>
      <w:r w:rsidRPr="009C0D9A">
        <w:rPr>
          <w:rFonts w:ascii="Times New Roman" w:eastAsia="Times New Roman" w:hAnsi="Times New Roman" w:cs="Times New Roman"/>
          <w:sz w:val="24"/>
          <w:szCs w:val="24"/>
        </w:rPr>
        <w:t xml:space="preserve"> 2016 года.</w:t>
      </w:r>
    </w:p>
    <w:p w:rsidR="00ED5783" w:rsidRPr="00854C93" w:rsidRDefault="00ED5783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DEC" w:rsidRDefault="00F36DEC" w:rsidP="00F36D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1462E">
        <w:rPr>
          <w:rFonts w:ascii="Times New Roman" w:hAnsi="Times New Roman"/>
          <w:b/>
          <w:sz w:val="24"/>
          <w:szCs w:val="24"/>
          <w:u w:val="single"/>
        </w:rPr>
        <w:t>В</w:t>
      </w:r>
      <w:r w:rsidRPr="0071462E">
        <w:rPr>
          <w:rFonts w:ascii="Times New Roman" w:hAnsi="Times New Roman"/>
          <w:b/>
          <w:color w:val="000000"/>
          <w:sz w:val="24"/>
          <w:szCs w:val="24"/>
          <w:u w:val="single"/>
        </w:rPr>
        <w:t>нешнеэкономическая деятельность</w:t>
      </w:r>
    </w:p>
    <w:p w:rsidR="00F36DEC" w:rsidRDefault="00F36DEC" w:rsidP="00F36D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36DEC" w:rsidRPr="0079394D" w:rsidRDefault="00F36DEC" w:rsidP="00F36D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D16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январе-апреле 2016 года влияние н</w:t>
      </w:r>
      <w:r w:rsidRPr="008D1638">
        <w:rPr>
          <w:rFonts w:ascii="Times New Roman" w:hAnsi="Times New Roman"/>
          <w:sz w:val="24"/>
          <w:szCs w:val="24"/>
        </w:rPr>
        <w:t>еблагоприятн</w:t>
      </w:r>
      <w:r>
        <w:rPr>
          <w:rFonts w:ascii="Times New Roman" w:hAnsi="Times New Roman"/>
          <w:sz w:val="24"/>
          <w:szCs w:val="24"/>
        </w:rPr>
        <w:t>ой</w:t>
      </w:r>
      <w:r w:rsidRPr="008D1638">
        <w:rPr>
          <w:rFonts w:ascii="Times New Roman" w:hAnsi="Times New Roman"/>
          <w:sz w:val="24"/>
          <w:szCs w:val="24"/>
        </w:rPr>
        <w:t xml:space="preserve"> ценов</w:t>
      </w:r>
      <w:r>
        <w:rPr>
          <w:rFonts w:ascii="Times New Roman" w:hAnsi="Times New Roman"/>
          <w:sz w:val="24"/>
          <w:szCs w:val="24"/>
        </w:rPr>
        <w:t>ой</w:t>
      </w:r>
      <w:r w:rsidRPr="008D1638">
        <w:rPr>
          <w:rFonts w:ascii="Times New Roman" w:hAnsi="Times New Roman"/>
          <w:sz w:val="24"/>
          <w:szCs w:val="24"/>
        </w:rPr>
        <w:t xml:space="preserve"> конъюнктур</w:t>
      </w:r>
      <w:r>
        <w:rPr>
          <w:rFonts w:ascii="Times New Roman" w:hAnsi="Times New Roman"/>
          <w:sz w:val="24"/>
          <w:szCs w:val="24"/>
        </w:rPr>
        <w:t>ы</w:t>
      </w:r>
      <w:r w:rsidRPr="008D1638">
        <w:rPr>
          <w:rFonts w:ascii="Times New Roman" w:hAnsi="Times New Roman"/>
          <w:sz w:val="24"/>
          <w:szCs w:val="24"/>
        </w:rPr>
        <w:t xml:space="preserve"> мировых рынк</w:t>
      </w:r>
      <w:r>
        <w:rPr>
          <w:rFonts w:ascii="Times New Roman" w:hAnsi="Times New Roman"/>
          <w:sz w:val="24"/>
          <w:szCs w:val="24"/>
        </w:rPr>
        <w:t>ов</w:t>
      </w:r>
      <w:r w:rsidRPr="008D163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также </w:t>
      </w:r>
      <w:r w:rsidRPr="008D1638">
        <w:rPr>
          <w:rFonts w:ascii="Times New Roman" w:hAnsi="Times New Roman"/>
          <w:sz w:val="24"/>
          <w:szCs w:val="24"/>
        </w:rPr>
        <w:t>внешнеполитически</w:t>
      </w:r>
      <w:r>
        <w:rPr>
          <w:rFonts w:ascii="Times New Roman" w:hAnsi="Times New Roman"/>
          <w:sz w:val="24"/>
          <w:szCs w:val="24"/>
        </w:rPr>
        <w:t>х</w:t>
      </w:r>
      <w:r w:rsidRPr="008D1638">
        <w:rPr>
          <w:rFonts w:ascii="Times New Roman" w:hAnsi="Times New Roman"/>
          <w:sz w:val="24"/>
          <w:szCs w:val="24"/>
        </w:rPr>
        <w:t xml:space="preserve"> вызов</w:t>
      </w:r>
      <w:r>
        <w:rPr>
          <w:rFonts w:ascii="Times New Roman" w:hAnsi="Times New Roman"/>
          <w:sz w:val="24"/>
          <w:szCs w:val="24"/>
        </w:rPr>
        <w:t>ов</w:t>
      </w:r>
      <w:r w:rsidRPr="008D1638">
        <w:rPr>
          <w:rFonts w:ascii="Times New Roman" w:hAnsi="Times New Roman"/>
          <w:sz w:val="24"/>
          <w:szCs w:val="24"/>
        </w:rPr>
        <w:t xml:space="preserve"> и негативны</w:t>
      </w:r>
      <w:r>
        <w:rPr>
          <w:rFonts w:ascii="Times New Roman" w:hAnsi="Times New Roman"/>
          <w:sz w:val="24"/>
          <w:szCs w:val="24"/>
        </w:rPr>
        <w:t>х</w:t>
      </w:r>
      <w:r w:rsidRPr="008D1638">
        <w:rPr>
          <w:rFonts w:ascii="Times New Roman" w:hAnsi="Times New Roman"/>
          <w:sz w:val="24"/>
          <w:szCs w:val="24"/>
        </w:rPr>
        <w:t xml:space="preserve"> внешнеэкономически</w:t>
      </w:r>
      <w:r>
        <w:rPr>
          <w:rFonts w:ascii="Times New Roman" w:hAnsi="Times New Roman"/>
          <w:sz w:val="24"/>
          <w:szCs w:val="24"/>
        </w:rPr>
        <w:t>х</w:t>
      </w:r>
      <w:r w:rsidRPr="008D1638">
        <w:rPr>
          <w:rFonts w:ascii="Times New Roman" w:hAnsi="Times New Roman"/>
          <w:sz w:val="24"/>
          <w:szCs w:val="24"/>
        </w:rPr>
        <w:t xml:space="preserve"> изменени</w:t>
      </w:r>
      <w:r>
        <w:rPr>
          <w:rFonts w:ascii="Times New Roman" w:hAnsi="Times New Roman"/>
          <w:sz w:val="24"/>
          <w:szCs w:val="24"/>
        </w:rPr>
        <w:t>й в</w:t>
      </w:r>
      <w:r w:rsidRPr="008D1638">
        <w:rPr>
          <w:rFonts w:ascii="Times New Roman" w:hAnsi="Times New Roman"/>
          <w:sz w:val="24"/>
          <w:szCs w:val="24"/>
        </w:rPr>
        <w:t xml:space="preserve"> странах </w:t>
      </w:r>
      <w:r>
        <w:rPr>
          <w:rFonts w:ascii="Times New Roman" w:hAnsi="Times New Roman"/>
          <w:sz w:val="24"/>
          <w:szCs w:val="24"/>
        </w:rPr>
        <w:t xml:space="preserve">ближнего и </w:t>
      </w:r>
      <w:r w:rsidRPr="008D1638">
        <w:rPr>
          <w:rFonts w:ascii="Times New Roman" w:hAnsi="Times New Roman"/>
          <w:sz w:val="24"/>
          <w:szCs w:val="24"/>
        </w:rPr>
        <w:t>дальнего зарубежья в совокупности с осложнением внутренних условий функционирования оказ</w:t>
      </w:r>
      <w:r>
        <w:rPr>
          <w:rFonts w:ascii="Times New Roman" w:hAnsi="Times New Roman"/>
          <w:sz w:val="24"/>
          <w:szCs w:val="24"/>
        </w:rPr>
        <w:t xml:space="preserve">ывали </w:t>
      </w:r>
      <w:r w:rsidRPr="008D1638">
        <w:rPr>
          <w:rFonts w:ascii="Times New Roman" w:hAnsi="Times New Roman"/>
          <w:sz w:val="24"/>
          <w:szCs w:val="24"/>
        </w:rPr>
        <w:t xml:space="preserve">непосредственное </w:t>
      </w:r>
      <w:r>
        <w:rPr>
          <w:rFonts w:ascii="Times New Roman" w:hAnsi="Times New Roman"/>
          <w:sz w:val="24"/>
          <w:szCs w:val="24"/>
        </w:rPr>
        <w:t xml:space="preserve">воздействие </w:t>
      </w:r>
      <w:r w:rsidRPr="008D1638">
        <w:rPr>
          <w:rFonts w:ascii="Times New Roman" w:hAnsi="Times New Roman"/>
          <w:sz w:val="24"/>
          <w:szCs w:val="24"/>
        </w:rPr>
        <w:t>на деятельность экономических агентов Приднестровской Молдавской Республики</w:t>
      </w:r>
      <w:r>
        <w:rPr>
          <w:rFonts w:ascii="Times New Roman" w:hAnsi="Times New Roman"/>
          <w:sz w:val="24"/>
          <w:szCs w:val="24"/>
        </w:rPr>
        <w:t xml:space="preserve"> и как следствие </w:t>
      </w:r>
      <w:r w:rsidRPr="0079394D">
        <w:rPr>
          <w:rFonts w:ascii="Times New Roman" w:hAnsi="Times New Roman"/>
          <w:sz w:val="24"/>
          <w:szCs w:val="24"/>
        </w:rPr>
        <w:t>на динамику показателей внешне</w:t>
      </w:r>
      <w:r w:rsidRPr="008D1638">
        <w:rPr>
          <w:rFonts w:ascii="Times New Roman" w:hAnsi="Times New Roman"/>
          <w:sz w:val="24"/>
          <w:szCs w:val="24"/>
        </w:rPr>
        <w:t>экономической</w:t>
      </w:r>
      <w:r>
        <w:rPr>
          <w:rFonts w:ascii="Times New Roman" w:hAnsi="Times New Roman"/>
          <w:sz w:val="24"/>
          <w:szCs w:val="24"/>
        </w:rPr>
        <w:t xml:space="preserve"> деятельности</w:t>
      </w:r>
      <w:r w:rsidRPr="0079394D">
        <w:rPr>
          <w:rFonts w:ascii="Times New Roman" w:hAnsi="Times New Roman"/>
          <w:sz w:val="24"/>
          <w:szCs w:val="24"/>
        </w:rPr>
        <w:t>.</w:t>
      </w:r>
    </w:p>
    <w:p w:rsidR="00F36DEC" w:rsidRPr="00722D15" w:rsidRDefault="00F36DEC" w:rsidP="00F36D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22D15">
        <w:rPr>
          <w:rFonts w:ascii="Times New Roman" w:hAnsi="Times New Roman"/>
          <w:sz w:val="24"/>
          <w:szCs w:val="24"/>
        </w:rPr>
        <w:t>овокупный внешнеторгов</w:t>
      </w:r>
      <w:r>
        <w:rPr>
          <w:rFonts w:ascii="Times New Roman" w:hAnsi="Times New Roman"/>
          <w:sz w:val="24"/>
          <w:szCs w:val="24"/>
        </w:rPr>
        <w:t>ый</w:t>
      </w:r>
      <w:r w:rsidRPr="00722D15">
        <w:rPr>
          <w:rFonts w:ascii="Times New Roman" w:hAnsi="Times New Roman"/>
          <w:sz w:val="24"/>
          <w:szCs w:val="24"/>
        </w:rPr>
        <w:t xml:space="preserve"> оборот резидентов республики </w:t>
      </w:r>
      <w:r>
        <w:rPr>
          <w:rFonts w:ascii="Times New Roman" w:hAnsi="Times New Roman"/>
          <w:sz w:val="24"/>
          <w:szCs w:val="24"/>
        </w:rPr>
        <w:t>в рассматриваемом периоде</w:t>
      </w:r>
      <w:r w:rsidRPr="00722D15">
        <w:rPr>
          <w:rFonts w:ascii="Times New Roman" w:hAnsi="Times New Roman"/>
          <w:sz w:val="24"/>
          <w:szCs w:val="24"/>
        </w:rPr>
        <w:t xml:space="preserve"> по отношению к базовому показателю 201</w:t>
      </w:r>
      <w:r>
        <w:rPr>
          <w:rFonts w:ascii="Times New Roman" w:hAnsi="Times New Roman"/>
          <w:sz w:val="24"/>
          <w:szCs w:val="24"/>
        </w:rPr>
        <w:t>5</w:t>
      </w:r>
      <w:r w:rsidRPr="00722D15">
        <w:rPr>
          <w:rFonts w:ascii="Times New Roman" w:hAnsi="Times New Roman"/>
          <w:sz w:val="24"/>
          <w:szCs w:val="24"/>
        </w:rPr>
        <w:t xml:space="preserve"> года снизился на четверть («-»25,</w:t>
      </w:r>
      <w:r>
        <w:rPr>
          <w:rFonts w:ascii="Times New Roman" w:hAnsi="Times New Roman"/>
          <w:sz w:val="24"/>
          <w:szCs w:val="24"/>
        </w:rPr>
        <w:t>2</w:t>
      </w:r>
      <w:r w:rsidRPr="00722D15">
        <w:rPr>
          <w:rFonts w:ascii="Times New Roman" w:hAnsi="Times New Roman"/>
          <w:sz w:val="24"/>
          <w:szCs w:val="24"/>
        </w:rPr>
        <w:t xml:space="preserve">%) до </w:t>
      </w:r>
      <w:r>
        <w:rPr>
          <w:rFonts w:ascii="Times New Roman" w:hAnsi="Times New Roman"/>
          <w:sz w:val="24"/>
          <w:szCs w:val="24"/>
        </w:rPr>
        <w:t>458,6 </w:t>
      </w:r>
      <w:r w:rsidRPr="00722D15">
        <w:rPr>
          <w:rFonts w:ascii="Times New Roman" w:hAnsi="Times New Roman"/>
          <w:sz w:val="24"/>
          <w:szCs w:val="24"/>
        </w:rPr>
        <w:t xml:space="preserve">млн. долл., объем экспортных и импортных поставок сократился на </w:t>
      </w:r>
      <w:r>
        <w:rPr>
          <w:rFonts w:ascii="Times New Roman" w:hAnsi="Times New Roman"/>
          <w:sz w:val="24"/>
          <w:szCs w:val="24"/>
        </w:rPr>
        <w:t>5,5</w:t>
      </w:r>
      <w:r w:rsidRPr="00722D15">
        <w:rPr>
          <w:rFonts w:ascii="Times New Roman" w:hAnsi="Times New Roman"/>
          <w:sz w:val="24"/>
          <w:szCs w:val="24"/>
        </w:rPr>
        <w:t xml:space="preserve">% до </w:t>
      </w:r>
      <w:r>
        <w:rPr>
          <w:rFonts w:ascii="Times New Roman" w:hAnsi="Times New Roman"/>
          <w:sz w:val="24"/>
          <w:szCs w:val="24"/>
        </w:rPr>
        <w:t>168,8 </w:t>
      </w:r>
      <w:r w:rsidRPr="00722D15">
        <w:rPr>
          <w:rFonts w:ascii="Times New Roman" w:hAnsi="Times New Roman"/>
          <w:sz w:val="24"/>
          <w:szCs w:val="24"/>
        </w:rPr>
        <w:t xml:space="preserve">млн. долл. и на </w:t>
      </w:r>
      <w:r>
        <w:rPr>
          <w:rFonts w:ascii="Times New Roman" w:hAnsi="Times New Roman"/>
          <w:sz w:val="24"/>
          <w:szCs w:val="24"/>
        </w:rPr>
        <w:t>33,3</w:t>
      </w:r>
      <w:r w:rsidRPr="00722D15">
        <w:rPr>
          <w:rFonts w:ascii="Times New Roman" w:hAnsi="Times New Roman"/>
          <w:sz w:val="24"/>
          <w:szCs w:val="24"/>
        </w:rPr>
        <w:t>% до</w:t>
      </w:r>
      <w:r>
        <w:rPr>
          <w:rFonts w:ascii="Times New Roman" w:hAnsi="Times New Roman"/>
          <w:sz w:val="24"/>
          <w:szCs w:val="24"/>
        </w:rPr>
        <w:t xml:space="preserve"> 289,8 </w:t>
      </w:r>
      <w:r w:rsidRPr="00722D15">
        <w:rPr>
          <w:rFonts w:ascii="Times New Roman" w:hAnsi="Times New Roman"/>
          <w:sz w:val="24"/>
          <w:szCs w:val="24"/>
        </w:rPr>
        <w:t xml:space="preserve">млн. долл. соответственно. На этом фоне </w:t>
      </w:r>
      <w:r>
        <w:rPr>
          <w:rFonts w:ascii="Times New Roman" w:hAnsi="Times New Roman"/>
          <w:sz w:val="24"/>
          <w:szCs w:val="24"/>
        </w:rPr>
        <w:t xml:space="preserve">отрицательное </w:t>
      </w:r>
      <w:r w:rsidRPr="00722D15">
        <w:rPr>
          <w:rFonts w:ascii="Times New Roman" w:hAnsi="Times New Roman"/>
          <w:sz w:val="24"/>
          <w:szCs w:val="24"/>
        </w:rPr>
        <w:t xml:space="preserve">сальдо внешнеторгового оборота по итогам </w:t>
      </w:r>
      <w:r>
        <w:rPr>
          <w:rFonts w:ascii="Times New Roman" w:hAnsi="Times New Roman"/>
          <w:sz w:val="24"/>
          <w:szCs w:val="24"/>
        </w:rPr>
        <w:t>января-апреля</w:t>
      </w:r>
      <w:r w:rsidRPr="00355BF7">
        <w:rPr>
          <w:rFonts w:ascii="Times New Roman" w:hAnsi="Times New Roman"/>
          <w:sz w:val="24"/>
          <w:szCs w:val="24"/>
        </w:rPr>
        <w:t xml:space="preserve"> </w:t>
      </w:r>
      <w:r w:rsidRPr="00722D1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722D15">
        <w:rPr>
          <w:rFonts w:ascii="Times New Roman" w:hAnsi="Times New Roman"/>
          <w:sz w:val="24"/>
          <w:szCs w:val="24"/>
        </w:rPr>
        <w:t xml:space="preserve"> года составило </w:t>
      </w:r>
      <w:r>
        <w:rPr>
          <w:rFonts w:ascii="Times New Roman" w:hAnsi="Times New Roman"/>
          <w:sz w:val="24"/>
          <w:szCs w:val="24"/>
        </w:rPr>
        <w:t>121,0 </w:t>
      </w:r>
      <w:r w:rsidRPr="00722D15">
        <w:rPr>
          <w:rFonts w:ascii="Times New Roman" w:hAnsi="Times New Roman"/>
          <w:sz w:val="24"/>
          <w:szCs w:val="24"/>
        </w:rPr>
        <w:t xml:space="preserve">млн. долл., против </w:t>
      </w:r>
      <w:r>
        <w:rPr>
          <w:rFonts w:ascii="Times New Roman" w:hAnsi="Times New Roman"/>
          <w:sz w:val="24"/>
          <w:szCs w:val="24"/>
        </w:rPr>
        <w:t>255,8 </w:t>
      </w:r>
      <w:r w:rsidRPr="00722D15">
        <w:rPr>
          <w:rFonts w:ascii="Times New Roman" w:hAnsi="Times New Roman"/>
          <w:sz w:val="24"/>
          <w:szCs w:val="24"/>
        </w:rPr>
        <w:t xml:space="preserve">млн. долл. в </w:t>
      </w:r>
      <w:r>
        <w:rPr>
          <w:rFonts w:ascii="Times New Roman" w:hAnsi="Times New Roman"/>
          <w:sz w:val="24"/>
          <w:szCs w:val="24"/>
        </w:rPr>
        <w:t xml:space="preserve">сопоставимом периоде минувшего </w:t>
      </w:r>
      <w:r w:rsidRPr="00722D15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а</w:t>
      </w:r>
      <w:r w:rsidRPr="00722D15">
        <w:rPr>
          <w:rFonts w:ascii="Times New Roman" w:hAnsi="Times New Roman"/>
          <w:sz w:val="24"/>
          <w:szCs w:val="24"/>
        </w:rPr>
        <w:t>.</w:t>
      </w:r>
    </w:p>
    <w:p w:rsidR="00F36DEC" w:rsidRDefault="00F36DEC" w:rsidP="00F36D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Рассматривая</w:t>
      </w:r>
      <w:r w:rsidRPr="000A38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помесячную динамику </w:t>
      </w:r>
      <w:r w:rsidRPr="000A384B">
        <w:rPr>
          <w:rFonts w:ascii="Times New Roman" w:hAnsi="Times New Roman"/>
          <w:sz w:val="24"/>
          <w:szCs w:val="24"/>
        </w:rPr>
        <w:t>показат</w:t>
      </w:r>
      <w:r>
        <w:rPr>
          <w:rFonts w:ascii="Times New Roman" w:hAnsi="Times New Roman"/>
          <w:sz w:val="24"/>
          <w:szCs w:val="24"/>
        </w:rPr>
        <w:t>елей внешнеторговой деятельности</w:t>
      </w:r>
      <w:r w:rsidRPr="0079394D">
        <w:rPr>
          <w:rFonts w:ascii="Times New Roman" w:hAnsi="Times New Roman"/>
          <w:sz w:val="24"/>
          <w:szCs w:val="24"/>
        </w:rPr>
        <w:t xml:space="preserve"> </w:t>
      </w:r>
      <w:r w:rsidRPr="000A384B">
        <w:rPr>
          <w:rFonts w:ascii="Times New Roman" w:hAnsi="Times New Roman"/>
          <w:sz w:val="24"/>
          <w:szCs w:val="24"/>
        </w:rPr>
        <w:t>необходимо отметить</w:t>
      </w:r>
      <w:r>
        <w:rPr>
          <w:rFonts w:ascii="Times New Roman" w:hAnsi="Times New Roman"/>
          <w:sz w:val="24"/>
          <w:szCs w:val="24"/>
        </w:rPr>
        <w:t>, что в апреле</w:t>
      </w:r>
      <w:r w:rsidRPr="000A38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</w:t>
      </w:r>
      <w:r w:rsidRPr="000A384B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по отношению к марту наблюдается сжатие объемов </w:t>
      </w:r>
      <w:r w:rsidRPr="000A384B">
        <w:rPr>
          <w:rFonts w:ascii="Times New Roman" w:hAnsi="Times New Roman"/>
          <w:sz w:val="24"/>
          <w:szCs w:val="24"/>
        </w:rPr>
        <w:t>совокупн</w:t>
      </w:r>
      <w:r>
        <w:rPr>
          <w:rFonts w:ascii="Times New Roman" w:hAnsi="Times New Roman"/>
          <w:sz w:val="24"/>
          <w:szCs w:val="24"/>
        </w:rPr>
        <w:t>ого</w:t>
      </w:r>
      <w:r w:rsidRPr="000A384B">
        <w:rPr>
          <w:rFonts w:ascii="Times New Roman" w:hAnsi="Times New Roman"/>
          <w:sz w:val="24"/>
          <w:szCs w:val="24"/>
        </w:rPr>
        <w:t xml:space="preserve"> внешнеторгов</w:t>
      </w:r>
      <w:r>
        <w:rPr>
          <w:rFonts w:ascii="Times New Roman" w:hAnsi="Times New Roman"/>
          <w:sz w:val="24"/>
          <w:szCs w:val="24"/>
        </w:rPr>
        <w:t>ого</w:t>
      </w:r>
      <w:r w:rsidRPr="000A384B">
        <w:rPr>
          <w:rFonts w:ascii="Times New Roman" w:hAnsi="Times New Roman"/>
          <w:sz w:val="24"/>
          <w:szCs w:val="24"/>
        </w:rPr>
        <w:t xml:space="preserve"> оборот</w:t>
      </w:r>
      <w:r>
        <w:rPr>
          <w:rFonts w:ascii="Times New Roman" w:hAnsi="Times New Roman"/>
          <w:sz w:val="24"/>
          <w:szCs w:val="24"/>
        </w:rPr>
        <w:t>а Республики на 4,5%,</w:t>
      </w:r>
      <w:r w:rsidRPr="0079394D">
        <w:rPr>
          <w:rFonts w:ascii="Times New Roman" w:hAnsi="Times New Roman"/>
          <w:sz w:val="24"/>
          <w:szCs w:val="24"/>
        </w:rPr>
        <w:t xml:space="preserve"> </w:t>
      </w:r>
      <w:r w:rsidRPr="000A384B">
        <w:rPr>
          <w:rFonts w:ascii="Times New Roman" w:hAnsi="Times New Roman"/>
          <w:sz w:val="24"/>
          <w:szCs w:val="24"/>
        </w:rPr>
        <w:t>при этом</w:t>
      </w:r>
      <w:r>
        <w:rPr>
          <w:rFonts w:ascii="Times New Roman" w:hAnsi="Times New Roman"/>
          <w:sz w:val="24"/>
          <w:szCs w:val="24"/>
        </w:rPr>
        <w:t xml:space="preserve"> экспортные поставки сократились на 20,9%, импортные поставки увеличились на 6,8%.</w:t>
      </w:r>
    </w:p>
    <w:p w:rsidR="00F36DEC" w:rsidRDefault="00F36DEC" w:rsidP="00F36DEC">
      <w:pPr>
        <w:pStyle w:val="a5"/>
        <w:tabs>
          <w:tab w:val="left" w:pos="7920"/>
        </w:tabs>
        <w:jc w:val="center"/>
        <w:rPr>
          <w:b/>
          <w:szCs w:val="24"/>
        </w:rPr>
      </w:pPr>
    </w:p>
    <w:p w:rsidR="00F36DEC" w:rsidRDefault="00F36DEC" w:rsidP="00F36DEC">
      <w:pPr>
        <w:pStyle w:val="a5"/>
        <w:tabs>
          <w:tab w:val="left" w:pos="7920"/>
        </w:tabs>
        <w:jc w:val="center"/>
        <w:rPr>
          <w:b/>
          <w:szCs w:val="24"/>
        </w:rPr>
      </w:pPr>
      <w:r w:rsidRPr="0071462E">
        <w:rPr>
          <w:b/>
          <w:szCs w:val="24"/>
        </w:rPr>
        <w:t>Динамика внешнеторгового оборота в январе-апреле 201</w:t>
      </w:r>
      <w:r>
        <w:rPr>
          <w:b/>
          <w:szCs w:val="24"/>
        </w:rPr>
        <w:t>5</w:t>
      </w:r>
      <w:r w:rsidRPr="0071462E">
        <w:rPr>
          <w:b/>
          <w:szCs w:val="24"/>
        </w:rPr>
        <w:t xml:space="preserve"> - 201</w:t>
      </w:r>
      <w:r>
        <w:rPr>
          <w:b/>
          <w:szCs w:val="24"/>
        </w:rPr>
        <w:t>6</w:t>
      </w:r>
      <w:r w:rsidRPr="0071462E">
        <w:rPr>
          <w:b/>
          <w:szCs w:val="24"/>
        </w:rPr>
        <w:t xml:space="preserve"> г.г.</w:t>
      </w:r>
      <w:r>
        <w:rPr>
          <w:b/>
          <w:szCs w:val="24"/>
        </w:rPr>
        <w:t>,</w:t>
      </w:r>
    </w:p>
    <w:p w:rsidR="00F36DEC" w:rsidRPr="0071462E" w:rsidRDefault="00F36DEC" w:rsidP="00F36DEC">
      <w:pPr>
        <w:pStyle w:val="a5"/>
        <w:tabs>
          <w:tab w:val="left" w:pos="7920"/>
        </w:tabs>
        <w:jc w:val="center"/>
        <w:rPr>
          <w:b/>
          <w:szCs w:val="24"/>
        </w:rPr>
      </w:pPr>
      <w:r>
        <w:rPr>
          <w:b/>
          <w:szCs w:val="24"/>
        </w:rPr>
        <w:t>млн. долл. США</w:t>
      </w:r>
    </w:p>
    <w:p w:rsidR="00F36DEC" w:rsidRPr="0071462E" w:rsidRDefault="00F36DEC" w:rsidP="00F36DEC">
      <w:pPr>
        <w:pStyle w:val="a5"/>
        <w:tabs>
          <w:tab w:val="left" w:pos="7920"/>
        </w:tabs>
        <w:ind w:firstLine="0"/>
        <w:jc w:val="center"/>
        <w:rPr>
          <w:b/>
          <w:szCs w:val="24"/>
        </w:rPr>
      </w:pPr>
      <w:r w:rsidRPr="0071462E">
        <w:rPr>
          <w:b/>
          <w:noProof/>
          <w:szCs w:val="24"/>
        </w:rPr>
        <w:drawing>
          <wp:inline distT="0" distB="0" distL="0" distR="0">
            <wp:extent cx="6048375" cy="2076450"/>
            <wp:effectExtent l="1905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36DEC" w:rsidRDefault="00F36DEC" w:rsidP="00F36DEC">
      <w:pPr>
        <w:pStyle w:val="a5"/>
      </w:pPr>
      <w:r w:rsidRPr="000A384B">
        <w:t xml:space="preserve">В товарной структуре экспорта в обозначенном периоде лидирующую позицию при сокращении объема поставок на </w:t>
      </w:r>
      <w:r>
        <w:t>7,1</w:t>
      </w:r>
      <w:r w:rsidRPr="000A384B">
        <w:t xml:space="preserve">% сохраняют топливно-энергетические товары, их доля составила </w:t>
      </w:r>
      <w:r>
        <w:t>38,5</w:t>
      </w:r>
      <w:r w:rsidRPr="000A384B">
        <w:t xml:space="preserve">% от совокупного объема экспорта, </w:t>
      </w:r>
      <w:r>
        <w:t>сократив долевое участие</w:t>
      </w:r>
      <w:r w:rsidRPr="000A384B">
        <w:t xml:space="preserve"> </w:t>
      </w:r>
      <w:r>
        <w:t xml:space="preserve">в товарной структуре </w:t>
      </w:r>
      <w:r w:rsidRPr="000A384B">
        <w:t xml:space="preserve">на </w:t>
      </w:r>
      <w:r>
        <w:t>0,6</w:t>
      </w:r>
      <w:r w:rsidRPr="000A384B">
        <w:t xml:space="preserve"> процентны</w:t>
      </w:r>
      <w:r>
        <w:t xml:space="preserve">х </w:t>
      </w:r>
      <w:r w:rsidRPr="000A384B">
        <w:t>пункт</w:t>
      </w:r>
      <w:r>
        <w:t>а</w:t>
      </w:r>
      <w:r w:rsidRPr="000A384B">
        <w:t>.</w:t>
      </w:r>
    </w:p>
    <w:p w:rsidR="00F36DEC" w:rsidRPr="00950176" w:rsidRDefault="00F36DEC" w:rsidP="00F36DEC">
      <w:pPr>
        <w:pStyle w:val="a5"/>
      </w:pPr>
      <w:r w:rsidRPr="00950176">
        <w:t>Второй компонентой по величине долевого участия в формировании совокупного объема экспорта выступ</w:t>
      </w:r>
      <w:r>
        <w:t>а</w:t>
      </w:r>
      <w:r w:rsidRPr="00950176">
        <w:t xml:space="preserve">ли металлы и изделия из них, удельный вес которых </w:t>
      </w:r>
      <w:r>
        <w:t xml:space="preserve">на фоне увеличения абсолютной величины на 5,5%, расширился на 2,3 процентных пункта до 21,7% </w:t>
      </w:r>
    </w:p>
    <w:p w:rsidR="00F36DEC" w:rsidRDefault="00F36DEC" w:rsidP="00F36DEC">
      <w:pPr>
        <w:pStyle w:val="a5"/>
      </w:pPr>
      <w:r>
        <w:t>Н</w:t>
      </w:r>
      <w:r w:rsidRPr="000A384B">
        <w:t xml:space="preserve">а фоне неблагоприятной ситуации на внешних рынках, выразившейся в </w:t>
      </w:r>
      <w:r w:rsidRPr="002942A8">
        <w:t>падении спроса на текстильные изделия («-»4,2%), вклад товаров легкой промышленности (текстильные материалы, одежда, текстильные изделия, обувь) при приросте совокупного</w:t>
      </w:r>
      <w:r>
        <w:t xml:space="preserve"> </w:t>
      </w:r>
      <w:r w:rsidRPr="000A384B">
        <w:t xml:space="preserve">объема реализации за рубеж </w:t>
      </w:r>
      <w:r>
        <w:t xml:space="preserve">всего лишь </w:t>
      </w:r>
      <w:r w:rsidRPr="000A384B">
        <w:t xml:space="preserve">на </w:t>
      </w:r>
      <w:r>
        <w:t>0,2</w:t>
      </w:r>
      <w:r w:rsidRPr="000A384B">
        <w:t xml:space="preserve">% </w:t>
      </w:r>
      <w:r>
        <w:t>к базисному уровню расширился</w:t>
      </w:r>
      <w:r w:rsidRPr="000A384B">
        <w:t xml:space="preserve"> на </w:t>
      </w:r>
      <w:r>
        <w:t xml:space="preserve">         1,1 </w:t>
      </w:r>
      <w:r w:rsidRPr="000A384B">
        <w:t>процентны</w:t>
      </w:r>
      <w:r>
        <w:t>й пункт</w:t>
      </w:r>
      <w:r w:rsidRPr="000A384B">
        <w:t xml:space="preserve"> до </w:t>
      </w:r>
      <w:r>
        <w:t>19,4</w:t>
      </w:r>
      <w:r w:rsidRPr="000A384B">
        <w:t xml:space="preserve">%. </w:t>
      </w:r>
    </w:p>
    <w:p w:rsidR="00F36DEC" w:rsidRDefault="00F36DEC" w:rsidP="00ED5783">
      <w:pPr>
        <w:pStyle w:val="a5"/>
      </w:pPr>
      <w:r>
        <w:lastRenderedPageBreak/>
        <w:t>В январе-апреле 2016 года э</w:t>
      </w:r>
      <w:r w:rsidRPr="000A384B">
        <w:t>кспортные поставки продовольствия с</w:t>
      </w:r>
      <w:r>
        <w:t>ократились</w:t>
      </w:r>
      <w:r w:rsidRPr="000A384B">
        <w:t xml:space="preserve"> на </w:t>
      </w:r>
      <w:r>
        <w:t>17,7</w:t>
      </w:r>
      <w:r w:rsidRPr="000A384B">
        <w:t xml:space="preserve">% по отношению к соответствующему периоду прошлого года, </w:t>
      </w:r>
      <w:r>
        <w:t>а</w:t>
      </w:r>
      <w:r w:rsidRPr="000A384B">
        <w:t xml:space="preserve"> их долевое участие в товарной структуре с</w:t>
      </w:r>
      <w:r>
        <w:t>узилось</w:t>
      </w:r>
      <w:r w:rsidRPr="000A384B">
        <w:t xml:space="preserve"> на </w:t>
      </w:r>
      <w:r>
        <w:t>1,7</w:t>
      </w:r>
      <w:r w:rsidRPr="000A384B">
        <w:t xml:space="preserve"> процентных пункта до </w:t>
      </w:r>
      <w:r>
        <w:t>11,1</w:t>
      </w:r>
      <w:r w:rsidRPr="000A384B">
        <w:t>%.</w:t>
      </w:r>
    </w:p>
    <w:p w:rsidR="00ED5783" w:rsidRDefault="00ED5783" w:rsidP="00ED5783">
      <w:pPr>
        <w:pStyle w:val="a5"/>
      </w:pPr>
    </w:p>
    <w:p w:rsidR="00F36DEC" w:rsidRPr="0071462E" w:rsidRDefault="00F36DEC" w:rsidP="00ED5783">
      <w:pPr>
        <w:pStyle w:val="a3"/>
        <w:spacing w:before="0" w:beforeAutospacing="0" w:after="0" w:afterAutospacing="0"/>
        <w:jc w:val="center"/>
        <w:rPr>
          <w:b/>
        </w:rPr>
      </w:pPr>
      <w:r w:rsidRPr="0071462E">
        <w:rPr>
          <w:b/>
        </w:rPr>
        <w:t>Товарная структура экспорта, млн. долл. США</w:t>
      </w:r>
    </w:p>
    <w:p w:rsidR="00F36DEC" w:rsidRPr="0071462E" w:rsidRDefault="00F36DEC" w:rsidP="00F36DEC">
      <w:pPr>
        <w:pStyle w:val="a3"/>
        <w:rPr>
          <w:b/>
          <w:noProof/>
        </w:rPr>
      </w:pPr>
      <w:r w:rsidRPr="0071462E">
        <w:rPr>
          <w:b/>
          <w:noProof/>
        </w:rPr>
        <w:drawing>
          <wp:inline distT="0" distB="0" distL="0" distR="0">
            <wp:extent cx="5896051" cy="253837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36DEC" w:rsidRDefault="00F36DEC" w:rsidP="00ED5783">
      <w:pPr>
        <w:pStyle w:val="a5"/>
        <w:contextualSpacing/>
      </w:pPr>
      <w:proofErr w:type="gramStart"/>
      <w:r>
        <w:t>В</w:t>
      </w:r>
      <w:r w:rsidRPr="000A384B">
        <w:t xml:space="preserve"> январе – </w:t>
      </w:r>
      <w:r>
        <w:t>апреле</w:t>
      </w:r>
      <w:r w:rsidRPr="000A384B">
        <w:t xml:space="preserve"> 2016 года </w:t>
      </w:r>
      <w:r>
        <w:t>о</w:t>
      </w:r>
      <w:r w:rsidRPr="000A384B">
        <w:t xml:space="preserve">сновными торговыми партнерами Приднестровья по экспортным поставкам </w:t>
      </w:r>
      <w:r>
        <w:t>являлись</w:t>
      </w:r>
      <w:r w:rsidRPr="000A384B">
        <w:t xml:space="preserve"> Республика Молдова (</w:t>
      </w:r>
      <w:r>
        <w:t>45,7</w:t>
      </w:r>
      <w:r w:rsidRPr="000A384B">
        <w:t xml:space="preserve">% совокупного экспорта, </w:t>
      </w:r>
      <w:r>
        <w:t xml:space="preserve">        </w:t>
      </w:r>
      <w:r w:rsidRPr="000A384B">
        <w:t xml:space="preserve">«-» </w:t>
      </w:r>
      <w:r>
        <w:t>16,8</w:t>
      </w:r>
      <w:r w:rsidRPr="000A384B">
        <w:t xml:space="preserve">% к уровню января – </w:t>
      </w:r>
      <w:r>
        <w:t>апреля</w:t>
      </w:r>
      <w:r w:rsidRPr="000A384B">
        <w:t xml:space="preserve"> 2015 года), Румыния (</w:t>
      </w:r>
      <w:r>
        <w:t>17,4</w:t>
      </w:r>
      <w:r w:rsidRPr="000A384B">
        <w:t xml:space="preserve">%, </w:t>
      </w:r>
      <w:r>
        <w:t>при</w:t>
      </w:r>
      <w:r w:rsidRPr="000A384B">
        <w:t xml:space="preserve">рост </w:t>
      </w:r>
      <w:r>
        <w:t>на</w:t>
      </w:r>
      <w:r w:rsidRPr="000A384B">
        <w:t xml:space="preserve"> </w:t>
      </w:r>
      <w:r>
        <w:t>27,7%</w:t>
      </w:r>
      <w:r w:rsidRPr="000A384B">
        <w:t xml:space="preserve"> к </w:t>
      </w:r>
      <w:r>
        <w:t xml:space="preserve">базовому </w:t>
      </w:r>
      <w:r w:rsidRPr="000A384B">
        <w:t>уровню 2015 года), Италия (</w:t>
      </w:r>
      <w:r>
        <w:t>7,7</w:t>
      </w:r>
      <w:r w:rsidRPr="000A384B">
        <w:t xml:space="preserve">%, «-» </w:t>
      </w:r>
      <w:r>
        <w:t>4,8</w:t>
      </w:r>
      <w:r w:rsidRPr="000A384B">
        <w:t xml:space="preserve">% к уровню января – </w:t>
      </w:r>
      <w:r>
        <w:t>апреля</w:t>
      </w:r>
      <w:r w:rsidRPr="000A384B">
        <w:t xml:space="preserve"> 2015 года), Российская Федерация (</w:t>
      </w:r>
      <w:r>
        <w:t>6,8</w:t>
      </w:r>
      <w:r w:rsidRPr="000A384B">
        <w:t xml:space="preserve">%, «-» </w:t>
      </w:r>
      <w:r>
        <w:t>24,5</w:t>
      </w:r>
      <w:r w:rsidRPr="000A384B">
        <w:t xml:space="preserve">% </w:t>
      </w:r>
      <w:r>
        <w:t xml:space="preserve">базисного </w:t>
      </w:r>
      <w:r w:rsidRPr="000A384B">
        <w:t>уровн</w:t>
      </w:r>
      <w:r>
        <w:t>я</w:t>
      </w:r>
      <w:r w:rsidRPr="000A384B">
        <w:t xml:space="preserve"> 2015 года), Украина (</w:t>
      </w:r>
      <w:r>
        <w:t>7,8</w:t>
      </w:r>
      <w:r w:rsidRPr="000A384B">
        <w:t xml:space="preserve">%, </w:t>
      </w:r>
      <w:r>
        <w:t xml:space="preserve">увеличение поставок на 6,6% </w:t>
      </w:r>
      <w:r w:rsidRPr="000A384B">
        <w:t>к уровню</w:t>
      </w:r>
      <w:proofErr w:type="gramEnd"/>
      <w:r w:rsidRPr="000A384B">
        <w:t xml:space="preserve"> января – </w:t>
      </w:r>
      <w:r>
        <w:t>апреля</w:t>
      </w:r>
      <w:r w:rsidRPr="000A384B">
        <w:t xml:space="preserve"> 2015 года), Германия (</w:t>
      </w:r>
      <w:r>
        <w:t>6,1</w:t>
      </w:r>
      <w:r w:rsidRPr="000A384B">
        <w:t xml:space="preserve">%, </w:t>
      </w:r>
      <w:r>
        <w:t>прирост на 2,4</w:t>
      </w:r>
      <w:r w:rsidRPr="000A384B">
        <w:t xml:space="preserve">% к </w:t>
      </w:r>
      <w:r>
        <w:t>базовому уровню</w:t>
      </w:r>
      <w:r w:rsidRPr="000A384B">
        <w:t xml:space="preserve"> 2015 года).</w:t>
      </w:r>
      <w:r>
        <w:t xml:space="preserve"> Экспортные поставки в данные страны обеспечили 91,5% всех поставок за рубеж.</w:t>
      </w:r>
    </w:p>
    <w:p w:rsidR="00F36DEC" w:rsidRPr="0071462E" w:rsidRDefault="00F36DEC" w:rsidP="00ED5783">
      <w:pPr>
        <w:pStyle w:val="a3"/>
        <w:spacing w:before="0" w:beforeAutospacing="0" w:after="0" w:afterAutospacing="0"/>
        <w:ind w:left="-426"/>
      </w:pPr>
      <w:r w:rsidRPr="0071462E">
        <w:rPr>
          <w:noProof/>
        </w:rPr>
        <w:drawing>
          <wp:inline distT="0" distB="0" distL="0" distR="0">
            <wp:extent cx="6362700" cy="310515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36DEC" w:rsidRPr="0071462E" w:rsidRDefault="00F36DEC" w:rsidP="00ED5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301C6">
        <w:rPr>
          <w:rFonts w:ascii="Times New Roman" w:hAnsi="Times New Roman"/>
          <w:sz w:val="24"/>
          <w:szCs w:val="24"/>
        </w:rPr>
        <w:t>кладывающ</w:t>
      </w:r>
      <w:r>
        <w:rPr>
          <w:rFonts w:ascii="Times New Roman" w:hAnsi="Times New Roman"/>
          <w:sz w:val="24"/>
          <w:szCs w:val="24"/>
        </w:rPr>
        <w:t>ая</w:t>
      </w:r>
      <w:r w:rsidRPr="00F301C6">
        <w:rPr>
          <w:rFonts w:ascii="Times New Roman" w:hAnsi="Times New Roman"/>
          <w:sz w:val="24"/>
          <w:szCs w:val="24"/>
        </w:rPr>
        <w:t xml:space="preserve"> ситуаци</w:t>
      </w:r>
      <w:r>
        <w:rPr>
          <w:rFonts w:ascii="Times New Roman" w:hAnsi="Times New Roman"/>
          <w:sz w:val="24"/>
          <w:szCs w:val="24"/>
        </w:rPr>
        <w:t>я</w:t>
      </w:r>
      <w:r w:rsidRPr="00F301C6">
        <w:rPr>
          <w:rFonts w:ascii="Times New Roman" w:hAnsi="Times New Roman"/>
          <w:sz w:val="24"/>
          <w:szCs w:val="24"/>
        </w:rPr>
        <w:t xml:space="preserve"> на глобальных товарных рынках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62E">
        <w:rPr>
          <w:rFonts w:ascii="Times New Roman" w:hAnsi="Times New Roman"/>
          <w:sz w:val="24"/>
          <w:szCs w:val="24"/>
        </w:rPr>
        <w:t xml:space="preserve">в январе-апреле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1462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71462E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в совокупности с </w:t>
      </w:r>
      <w:proofErr w:type="spellStart"/>
      <w:r w:rsidRPr="0071462E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>с</w:t>
      </w:r>
      <w:r w:rsidRPr="0071462E">
        <w:rPr>
          <w:rFonts w:ascii="Times New Roman" w:hAnsi="Times New Roman"/>
          <w:sz w:val="24"/>
          <w:szCs w:val="24"/>
        </w:rPr>
        <w:t>требованостью</w:t>
      </w:r>
      <w:proofErr w:type="spellEnd"/>
      <w:r w:rsidRPr="0071462E">
        <w:rPr>
          <w:rFonts w:ascii="Times New Roman" w:hAnsi="Times New Roman"/>
          <w:sz w:val="24"/>
          <w:szCs w:val="24"/>
        </w:rPr>
        <w:t xml:space="preserve"> крупных предприятий индустрии в сырьевых материалах и ресурсах</w:t>
      </w:r>
      <w:r>
        <w:rPr>
          <w:rFonts w:ascii="Times New Roman" w:hAnsi="Times New Roman"/>
          <w:sz w:val="24"/>
          <w:szCs w:val="24"/>
        </w:rPr>
        <w:t xml:space="preserve"> предопределили д</w:t>
      </w:r>
      <w:r w:rsidRPr="0071462E">
        <w:rPr>
          <w:rFonts w:ascii="Times New Roman" w:hAnsi="Times New Roman"/>
          <w:sz w:val="24"/>
          <w:szCs w:val="24"/>
        </w:rPr>
        <w:t>инамик</w:t>
      </w:r>
      <w:r>
        <w:rPr>
          <w:rFonts w:ascii="Times New Roman" w:hAnsi="Times New Roman"/>
          <w:sz w:val="24"/>
          <w:szCs w:val="24"/>
        </w:rPr>
        <w:t xml:space="preserve">у и </w:t>
      </w:r>
      <w:r w:rsidRPr="0071462E">
        <w:rPr>
          <w:rFonts w:ascii="Times New Roman" w:hAnsi="Times New Roman"/>
          <w:sz w:val="24"/>
          <w:szCs w:val="24"/>
        </w:rPr>
        <w:t>структур</w:t>
      </w:r>
      <w:r>
        <w:rPr>
          <w:rFonts w:ascii="Times New Roman" w:hAnsi="Times New Roman"/>
          <w:sz w:val="24"/>
          <w:szCs w:val="24"/>
        </w:rPr>
        <w:t>у</w:t>
      </w:r>
      <w:r w:rsidRPr="0071462E">
        <w:rPr>
          <w:rFonts w:ascii="Times New Roman" w:hAnsi="Times New Roman"/>
          <w:sz w:val="24"/>
          <w:szCs w:val="24"/>
        </w:rPr>
        <w:t xml:space="preserve"> составляющих импорта товаров в республику</w:t>
      </w:r>
      <w:r>
        <w:rPr>
          <w:rFonts w:ascii="Times New Roman" w:hAnsi="Times New Roman"/>
          <w:sz w:val="24"/>
          <w:szCs w:val="24"/>
        </w:rPr>
        <w:t>.</w:t>
      </w:r>
      <w:r w:rsidRPr="00F301C6">
        <w:rPr>
          <w:rFonts w:ascii="Times New Roman" w:hAnsi="Times New Roman"/>
          <w:sz w:val="24"/>
          <w:szCs w:val="24"/>
        </w:rPr>
        <w:t xml:space="preserve"> </w:t>
      </w:r>
    </w:p>
    <w:p w:rsidR="00F36DEC" w:rsidRPr="000A384B" w:rsidRDefault="00F36DEC" w:rsidP="00F36DEC">
      <w:pPr>
        <w:pStyle w:val="a5"/>
      </w:pPr>
      <w:r>
        <w:lastRenderedPageBreak/>
        <w:t>В</w:t>
      </w:r>
      <w:r w:rsidRPr="000A384B">
        <w:t xml:space="preserve"> товарной структуре импорта, по-прежнему, преобладал ввоз топливно-энергетических товаров, при этом их доля в общей структуре импорта сократилась до </w:t>
      </w:r>
      <w:r>
        <w:t>56,5</w:t>
      </w:r>
      <w:r w:rsidRPr="000A384B">
        <w:t xml:space="preserve">% против </w:t>
      </w:r>
      <w:r>
        <w:t>62,2</w:t>
      </w:r>
      <w:r w:rsidRPr="000A384B">
        <w:t xml:space="preserve">% в январе – </w:t>
      </w:r>
      <w:r>
        <w:t xml:space="preserve">апреле </w:t>
      </w:r>
      <w:r w:rsidRPr="000A384B">
        <w:t xml:space="preserve">2015 года, в абсолютной величине их объем сократился на </w:t>
      </w:r>
      <w:r>
        <w:t>39,4</w:t>
      </w:r>
      <w:r w:rsidRPr="000A384B">
        <w:t xml:space="preserve">%. </w:t>
      </w:r>
    </w:p>
    <w:p w:rsidR="00F36DEC" w:rsidRDefault="00F36DEC" w:rsidP="00F36DEC">
      <w:pPr>
        <w:pStyle w:val="a5"/>
      </w:pPr>
      <w:r>
        <w:rPr>
          <w:rFonts w:eastAsia="Times New Roman"/>
          <w:szCs w:val="24"/>
        </w:rPr>
        <w:t>С</w:t>
      </w:r>
      <w:r w:rsidRPr="000A384B">
        <w:rPr>
          <w:rFonts w:eastAsia="Times New Roman"/>
          <w:szCs w:val="24"/>
        </w:rPr>
        <w:t>нижени</w:t>
      </w:r>
      <w:r>
        <w:rPr>
          <w:rFonts w:eastAsia="Times New Roman"/>
          <w:szCs w:val="24"/>
        </w:rPr>
        <w:t>е</w:t>
      </w:r>
      <w:r w:rsidRPr="000A384B">
        <w:rPr>
          <w:rFonts w:eastAsia="Times New Roman"/>
          <w:szCs w:val="24"/>
        </w:rPr>
        <w:t xml:space="preserve"> производственной активности </w:t>
      </w:r>
      <w:r>
        <w:rPr>
          <w:rFonts w:eastAsia="Times New Roman"/>
          <w:szCs w:val="24"/>
        </w:rPr>
        <w:t xml:space="preserve">на </w:t>
      </w:r>
      <w:r w:rsidRPr="000A384B">
        <w:rPr>
          <w:rFonts w:eastAsia="Times New Roman"/>
          <w:szCs w:val="24"/>
        </w:rPr>
        <w:t>ОАО «Молдавский металлургический завод» привел</w:t>
      </w:r>
      <w:r>
        <w:rPr>
          <w:rFonts w:eastAsia="Times New Roman"/>
          <w:szCs w:val="24"/>
        </w:rPr>
        <w:t>о</w:t>
      </w:r>
      <w:r w:rsidRPr="000A384B">
        <w:rPr>
          <w:rFonts w:eastAsia="Times New Roman"/>
          <w:szCs w:val="24"/>
        </w:rPr>
        <w:t xml:space="preserve"> к сокращению потребности предприятия в сырьевых материалах</w:t>
      </w:r>
      <w:r w:rsidRPr="000A384B">
        <w:t>,</w:t>
      </w:r>
      <w:r>
        <w:t xml:space="preserve"> так</w:t>
      </w:r>
      <w:r w:rsidRPr="000A384B">
        <w:t xml:space="preserve"> по итогам января – </w:t>
      </w:r>
      <w:r>
        <w:t>апреля</w:t>
      </w:r>
      <w:r w:rsidRPr="000A384B">
        <w:t xml:space="preserve"> 2016 года импорт металлов и изделий из них сократился на </w:t>
      </w:r>
      <w:r>
        <w:t>58,3</w:t>
      </w:r>
      <w:r w:rsidRPr="000A384B">
        <w:t xml:space="preserve">% от фактического базового показателя, сузив долевое представительство в товарной структуре до </w:t>
      </w:r>
      <w:r>
        <w:t>4,4</w:t>
      </w:r>
      <w:r w:rsidRPr="000A384B">
        <w:t xml:space="preserve">% против </w:t>
      </w:r>
      <w:r>
        <w:t>7,0</w:t>
      </w:r>
      <w:r w:rsidRPr="000A384B">
        <w:t xml:space="preserve">% в </w:t>
      </w:r>
      <w:r>
        <w:t xml:space="preserve">январе-апреле </w:t>
      </w:r>
      <w:r w:rsidRPr="000A384B">
        <w:t>2015 года.</w:t>
      </w:r>
    </w:p>
    <w:p w:rsidR="00F36DEC" w:rsidRDefault="00F36DEC" w:rsidP="00F36DEC">
      <w:pPr>
        <w:pStyle w:val="a5"/>
        <w:ind w:firstLine="0"/>
      </w:pPr>
      <w:r w:rsidRPr="0071462E">
        <w:rPr>
          <w:noProof/>
        </w:rPr>
        <w:drawing>
          <wp:inline distT="0" distB="0" distL="0" distR="0">
            <wp:extent cx="5940425" cy="2466787"/>
            <wp:effectExtent l="0" t="0" r="3175" b="0"/>
            <wp:docPr id="6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36DEC" w:rsidRPr="000A384B" w:rsidRDefault="00F36DEC" w:rsidP="00F36DEC">
      <w:pPr>
        <w:pStyle w:val="a5"/>
      </w:pPr>
      <w:r w:rsidRPr="000A384B">
        <w:t xml:space="preserve">Увеличение ввоза текстильных </w:t>
      </w:r>
      <w:r>
        <w:t>изделий</w:t>
      </w:r>
      <w:r w:rsidRPr="000A384B">
        <w:t xml:space="preserve"> </w:t>
      </w:r>
      <w:r>
        <w:t>на 43,3%</w:t>
      </w:r>
      <w:r w:rsidRPr="000A384B">
        <w:t xml:space="preserve"> </w:t>
      </w:r>
      <w:r>
        <w:t xml:space="preserve">предопределило расширение </w:t>
      </w:r>
      <w:r w:rsidRPr="000A384B">
        <w:t xml:space="preserve">импортных поставок товаров легкой промышленности в январе – </w:t>
      </w:r>
      <w:r>
        <w:t>апреле</w:t>
      </w:r>
      <w:r w:rsidRPr="000A384B">
        <w:t xml:space="preserve"> 2016 года на </w:t>
      </w:r>
      <w:r w:rsidR="00A06EF2">
        <w:br/>
      </w:r>
      <w:r>
        <w:t>1,8</w:t>
      </w:r>
      <w:r w:rsidRPr="000A384B">
        <w:t xml:space="preserve"> процентных пункта до </w:t>
      </w:r>
      <w:r>
        <w:t>4,6</w:t>
      </w:r>
      <w:r w:rsidRPr="000A384B">
        <w:t xml:space="preserve">% против </w:t>
      </w:r>
      <w:r>
        <w:t>2,8</w:t>
      </w:r>
      <w:r w:rsidRPr="000A384B">
        <w:t xml:space="preserve">% в январе – </w:t>
      </w:r>
      <w:r>
        <w:t>апреле</w:t>
      </w:r>
      <w:r w:rsidRPr="000A384B">
        <w:t xml:space="preserve"> 2015 года, в абсолютной величине их объем в</w:t>
      </w:r>
      <w:r>
        <w:t xml:space="preserve">озрос </w:t>
      </w:r>
      <w:r w:rsidRPr="000A384B">
        <w:t xml:space="preserve">на </w:t>
      </w:r>
      <w:r>
        <w:t>11,3</w:t>
      </w:r>
      <w:r w:rsidRPr="000A384B">
        <w:t>%.</w:t>
      </w:r>
    </w:p>
    <w:p w:rsidR="00F36DEC" w:rsidRPr="000A384B" w:rsidRDefault="00F36DEC" w:rsidP="00F36DEC">
      <w:pPr>
        <w:pStyle w:val="a5"/>
      </w:pPr>
      <w:r w:rsidRPr="000A384B">
        <w:t xml:space="preserve">В январе – </w:t>
      </w:r>
      <w:r>
        <w:t>апреле</w:t>
      </w:r>
      <w:r w:rsidRPr="000A384B">
        <w:t xml:space="preserve"> 2016 года на продовольственные товары (сырье) приходилось </w:t>
      </w:r>
      <w:r>
        <w:t>10,7</w:t>
      </w:r>
      <w:r w:rsidRPr="000A384B">
        <w:t xml:space="preserve">% импортных поставок в общем объеме импорта против </w:t>
      </w:r>
      <w:r>
        <w:t>6,9</w:t>
      </w:r>
      <w:r w:rsidRPr="000A384B">
        <w:t xml:space="preserve">% в базовом периоде минувшего года, при этом в денежном эквиваленте ввоз данных товаров вырос на </w:t>
      </w:r>
      <w:r>
        <w:t>4,2</w:t>
      </w:r>
      <w:r w:rsidRPr="000A384B">
        <w:t>%.</w:t>
      </w:r>
    </w:p>
    <w:p w:rsidR="00F36DEC" w:rsidRDefault="00F36DEC" w:rsidP="00F36DEC">
      <w:pPr>
        <w:pStyle w:val="a5"/>
      </w:pPr>
      <w:r w:rsidRPr="000A384B">
        <w:rPr>
          <w:szCs w:val="24"/>
        </w:rPr>
        <w:t xml:space="preserve">В числе статей импорта, уступивших параметрам января – </w:t>
      </w:r>
      <w:r>
        <w:rPr>
          <w:szCs w:val="24"/>
        </w:rPr>
        <w:t>апреля</w:t>
      </w:r>
      <w:r w:rsidRPr="000A384B">
        <w:rPr>
          <w:szCs w:val="24"/>
        </w:rPr>
        <w:t xml:space="preserve"> 2015 года, отмечается и машиностроительная продукция, на импортные</w:t>
      </w:r>
      <w:r w:rsidRPr="000A384B">
        <w:t xml:space="preserve"> поставки которой в рассматриваемом периоде приходилось </w:t>
      </w:r>
      <w:r>
        <w:t>8,4</w:t>
      </w:r>
      <w:r w:rsidRPr="000A384B">
        <w:t>% ввезенных товаров против 10,</w:t>
      </w:r>
      <w:r>
        <w:t>0</w:t>
      </w:r>
      <w:r w:rsidRPr="000A384B">
        <w:t xml:space="preserve">% в январе – </w:t>
      </w:r>
      <w:r>
        <w:t xml:space="preserve">апреле </w:t>
      </w:r>
      <w:r w:rsidRPr="000A384B">
        <w:t xml:space="preserve">2015 года, в абсолютной величине их объем сократился на </w:t>
      </w:r>
      <w:r>
        <w:t>43,8</w:t>
      </w:r>
      <w:r w:rsidRPr="000A384B">
        <w:t>%.</w:t>
      </w:r>
    </w:p>
    <w:p w:rsidR="00F36DEC" w:rsidRDefault="00F36DEC" w:rsidP="00F36DEC">
      <w:pPr>
        <w:pStyle w:val="a5"/>
      </w:pPr>
      <w:r>
        <w:t>Увеличение</w:t>
      </w:r>
      <w:r w:rsidRPr="00051A36">
        <w:t xml:space="preserve"> объема поставок фармацевтической продукции в рассматриваемом периоде на </w:t>
      </w:r>
      <w:r>
        <w:t>1,7</w:t>
      </w:r>
      <w:r w:rsidRPr="00051A36">
        <w:t xml:space="preserve">%, </w:t>
      </w:r>
      <w:r>
        <w:t xml:space="preserve">предопределило расширение </w:t>
      </w:r>
      <w:r w:rsidRPr="00051A36">
        <w:t>их долево</w:t>
      </w:r>
      <w:r>
        <w:t>го</w:t>
      </w:r>
      <w:r w:rsidRPr="00051A36">
        <w:t xml:space="preserve"> участи</w:t>
      </w:r>
      <w:r>
        <w:t>я</w:t>
      </w:r>
      <w:r w:rsidRPr="00051A36">
        <w:t xml:space="preserve"> в товарной структуре импорт</w:t>
      </w:r>
      <w:r>
        <w:t>а</w:t>
      </w:r>
      <w:r w:rsidRPr="00051A36">
        <w:t xml:space="preserve"> с 1,</w:t>
      </w:r>
      <w:r>
        <w:t>5</w:t>
      </w:r>
      <w:r w:rsidRPr="00051A36">
        <w:t>% в январе-</w:t>
      </w:r>
      <w:r>
        <w:t>апреле</w:t>
      </w:r>
      <w:r w:rsidRPr="00051A36">
        <w:t xml:space="preserve"> 2015 года до 2,2% в январе- </w:t>
      </w:r>
      <w:r>
        <w:t>апреле</w:t>
      </w:r>
      <w:r w:rsidRPr="00051A36">
        <w:t xml:space="preserve"> </w:t>
      </w:r>
      <w:r>
        <w:t>текущего</w:t>
      </w:r>
      <w:r w:rsidRPr="00051A36">
        <w:t xml:space="preserve"> года.</w:t>
      </w:r>
    </w:p>
    <w:p w:rsidR="00F36DEC" w:rsidRDefault="00F36DEC" w:rsidP="00F36DEC">
      <w:pPr>
        <w:pStyle w:val="a3"/>
        <w:ind w:hanging="284"/>
        <w:jc w:val="both"/>
      </w:pPr>
      <w:r w:rsidRPr="0071462E">
        <w:rPr>
          <w:noProof/>
        </w:rPr>
        <w:drawing>
          <wp:inline distT="0" distB="0" distL="0" distR="0">
            <wp:extent cx="6219825" cy="2524125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36DEC" w:rsidRDefault="00F36DEC" w:rsidP="00F36DEC">
      <w:pPr>
        <w:pStyle w:val="a5"/>
      </w:pPr>
      <w:r w:rsidRPr="00950176">
        <w:lastRenderedPageBreak/>
        <w:t xml:space="preserve">Основными торговыми партнерами Приднестровья по </w:t>
      </w:r>
      <w:r>
        <w:t xml:space="preserve">импортным </w:t>
      </w:r>
      <w:r w:rsidRPr="00950176">
        <w:t xml:space="preserve">поставкам </w:t>
      </w:r>
      <w:r w:rsidRPr="000A384B">
        <w:rPr>
          <w:color w:val="000000"/>
        </w:rPr>
        <w:t xml:space="preserve">в обозначенном периоде выступали контрагенты </w:t>
      </w:r>
      <w:r w:rsidRPr="000A384B">
        <w:t>Российской Федерации (</w:t>
      </w:r>
      <w:r>
        <w:t>59,0</w:t>
      </w:r>
      <w:r w:rsidRPr="000A384B">
        <w:t xml:space="preserve">% совокупного импорта, «-» </w:t>
      </w:r>
      <w:r>
        <w:t>39,2</w:t>
      </w:r>
      <w:r w:rsidRPr="000A384B">
        <w:t>% к уровню базового показателя 2015 года), Украины (</w:t>
      </w:r>
      <w:r>
        <w:t>8,9</w:t>
      </w:r>
      <w:r w:rsidRPr="000A384B">
        <w:t>%, «-»</w:t>
      </w:r>
      <w:r>
        <w:t>27,4</w:t>
      </w:r>
      <w:r w:rsidRPr="000A384B">
        <w:t>%), Республики Молдова (</w:t>
      </w:r>
      <w:r>
        <w:t>5,1</w:t>
      </w:r>
      <w:r w:rsidRPr="000A384B">
        <w:t>%, «-»</w:t>
      </w:r>
      <w:r>
        <w:t>37,8</w:t>
      </w:r>
      <w:r w:rsidRPr="000A384B">
        <w:t>%), Германии (</w:t>
      </w:r>
      <w:r>
        <w:t>4,0</w:t>
      </w:r>
      <w:r w:rsidRPr="000A384B">
        <w:t>%, «-»</w:t>
      </w:r>
      <w:r>
        <w:t>27,1</w:t>
      </w:r>
      <w:r w:rsidRPr="000A384B">
        <w:t>%), Республики Беларусь (</w:t>
      </w:r>
      <w:r>
        <w:t>2,6</w:t>
      </w:r>
      <w:r w:rsidRPr="000A384B">
        <w:t xml:space="preserve">%, «-» </w:t>
      </w:r>
      <w:r>
        <w:t>39,7</w:t>
      </w:r>
      <w:r w:rsidRPr="000A384B">
        <w:t xml:space="preserve">%). </w:t>
      </w:r>
    </w:p>
    <w:p w:rsidR="00F36DEC" w:rsidRDefault="00F36DEC" w:rsidP="00F36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84B">
        <w:rPr>
          <w:rFonts w:ascii="Times New Roman" w:hAnsi="Times New Roman"/>
          <w:sz w:val="24"/>
          <w:szCs w:val="24"/>
        </w:rPr>
        <w:t xml:space="preserve">Таким образом, зависимость экономики от внешних ресурсов на фоне высоких рисков в осуществлении внешнеэкономической деятельности вынуждает приднестровских экономических агентов приспосабливаться к действующим условиям ведения внешней торговли, что приводит к дополнительным затратам и соответственно к снижению конкурентоспособности приднестровской продукции. </w:t>
      </w:r>
    </w:p>
    <w:p w:rsidR="006F0E69" w:rsidRPr="000A384B" w:rsidRDefault="006F0E69" w:rsidP="00F36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0E69" w:rsidRDefault="006F0E69" w:rsidP="006F0E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E3DD2">
        <w:rPr>
          <w:rFonts w:ascii="Times New Roman" w:hAnsi="Times New Roman"/>
          <w:sz w:val="24"/>
          <w:szCs w:val="24"/>
          <w:u w:val="single"/>
        </w:rPr>
        <w:t>Инфляционные процессы</w:t>
      </w:r>
    </w:p>
    <w:p w:rsidR="006F0E69" w:rsidRDefault="006F0E69" w:rsidP="006F0E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6F0E69" w:rsidRPr="00477E43" w:rsidRDefault="006F0E69" w:rsidP="006F0E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E43">
        <w:rPr>
          <w:rFonts w:ascii="Times New Roman" w:hAnsi="Times New Roman"/>
          <w:sz w:val="24"/>
          <w:szCs w:val="24"/>
        </w:rPr>
        <w:t>После незначительного снижения</w:t>
      </w:r>
      <w:r w:rsidRPr="00477E43">
        <w:rPr>
          <w:rStyle w:val="aa"/>
          <w:sz w:val="24"/>
          <w:szCs w:val="24"/>
        </w:rPr>
        <w:t xml:space="preserve"> инфляционного фона в январе-марте 2016 года («-»0,01%), в апреле цен</w:t>
      </w:r>
      <w:r>
        <w:rPr>
          <w:rStyle w:val="aa"/>
          <w:sz w:val="24"/>
          <w:szCs w:val="24"/>
        </w:rPr>
        <w:t>ы</w:t>
      </w:r>
      <w:r w:rsidRPr="00477E43">
        <w:rPr>
          <w:rStyle w:val="aa"/>
          <w:sz w:val="24"/>
          <w:szCs w:val="24"/>
        </w:rPr>
        <w:t xml:space="preserve"> на товары и услуги на внутреннем потребительском рынке республики </w:t>
      </w:r>
      <w:r>
        <w:rPr>
          <w:rStyle w:val="aa"/>
          <w:sz w:val="24"/>
          <w:szCs w:val="24"/>
        </w:rPr>
        <w:t>повысились на 0,68</w:t>
      </w:r>
      <w:r w:rsidRPr="00477E43">
        <w:rPr>
          <w:rFonts w:ascii="Times New Roman" w:hAnsi="Times New Roman"/>
          <w:sz w:val="24"/>
          <w:szCs w:val="24"/>
        </w:rPr>
        <w:t xml:space="preserve">%. </w:t>
      </w:r>
      <w:r w:rsidRPr="00477E43">
        <w:rPr>
          <w:rStyle w:val="aa"/>
          <w:sz w:val="24"/>
          <w:szCs w:val="24"/>
        </w:rPr>
        <w:t>В целом сводный индекс потребительских цен (инфляция) в январе-апреле 2016 года с</w:t>
      </w:r>
      <w:r w:rsidRPr="00477E43">
        <w:rPr>
          <w:rFonts w:ascii="Times New Roman" w:hAnsi="Times New Roman"/>
          <w:sz w:val="24"/>
          <w:szCs w:val="24"/>
        </w:rPr>
        <w:t>ложился на уровне 100,67% против 99,06% в январе-апреле 2015 года.</w:t>
      </w:r>
    </w:p>
    <w:p w:rsidR="006F0E69" w:rsidRPr="00477E43" w:rsidRDefault="006F0E69" w:rsidP="006F0E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0E69" w:rsidRPr="00477E43" w:rsidRDefault="006F0E69" w:rsidP="006F0E69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77E4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94120" cy="2217420"/>
            <wp:effectExtent l="0" t="0" r="0" b="0"/>
            <wp:docPr id="4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F0E69" w:rsidRDefault="006F0E69" w:rsidP="006F0E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E43">
        <w:rPr>
          <w:rFonts w:ascii="Times New Roman" w:hAnsi="Times New Roman"/>
          <w:sz w:val="24"/>
          <w:szCs w:val="24"/>
        </w:rPr>
        <w:t>Динамика сводного индекса потребительских цен (инфляции) за предыдущие годы представлена в следующем виде:</w:t>
      </w:r>
    </w:p>
    <w:p w:rsidR="00ED5783" w:rsidRPr="00477E43" w:rsidRDefault="00ED5783" w:rsidP="006F0E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0E69" w:rsidRPr="00477E43" w:rsidRDefault="006F0E69" w:rsidP="006F0E69">
      <w:pPr>
        <w:spacing w:after="0" w:line="240" w:lineRule="auto"/>
        <w:jc w:val="both"/>
        <w:rPr>
          <w:rStyle w:val="a8"/>
          <w:rFonts w:ascii="Times New Roman" w:hAnsi="Times New Roman"/>
          <w:b w:val="0"/>
          <w:color w:val="000000"/>
          <w:sz w:val="24"/>
          <w:szCs w:val="24"/>
        </w:rPr>
      </w:pPr>
      <w:r w:rsidRPr="00477E43">
        <w:rPr>
          <w:rStyle w:val="a8"/>
          <w:rFonts w:ascii="Times New Roman" w:hAnsi="Times New Roman"/>
          <w:b w:val="0"/>
          <w:noProof/>
          <w:color w:val="00B0F0"/>
          <w:sz w:val="24"/>
          <w:szCs w:val="24"/>
        </w:rPr>
        <w:drawing>
          <wp:inline distT="0" distB="0" distL="0" distR="0">
            <wp:extent cx="5939790" cy="2009103"/>
            <wp:effectExtent l="19050" t="0" r="381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F0E69" w:rsidRPr="006F0E69" w:rsidRDefault="006F0E69" w:rsidP="006F0E69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6F0E69">
        <w:rPr>
          <w:rStyle w:val="a8"/>
          <w:rFonts w:ascii="Times New Roman" w:hAnsi="Times New Roman"/>
          <w:b w:val="0"/>
          <w:color w:val="000000"/>
          <w:sz w:val="24"/>
          <w:szCs w:val="24"/>
        </w:rPr>
        <w:t xml:space="preserve">Инфляционные процессы по большинству видов товаров (удорожание стоимости рыбопродуктов – на 2,21%, сахара – на 4,89%, плодоовощной продукции, включая картофель – на 5,92%, </w:t>
      </w:r>
      <w:r w:rsidRPr="006F0E69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в совокупности с удешевлением  стоимости яиц</w:t>
      </w:r>
      <w:r w:rsidRPr="006F0E69">
        <w:rPr>
          <w:rStyle w:val="a8"/>
          <w:rFonts w:ascii="Times New Roman" w:hAnsi="Times New Roman"/>
          <w:b w:val="0"/>
          <w:color w:val="000000"/>
          <w:sz w:val="24"/>
          <w:szCs w:val="24"/>
        </w:rPr>
        <w:t xml:space="preserve"> – на 22,74%, сыра – на 5,12%, макаронных и крупяных изделий </w:t>
      </w:r>
      <w:r w:rsidRPr="006F0E69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– на 1,05%</w:t>
      </w:r>
      <w:r w:rsidRPr="006F0E69">
        <w:rPr>
          <w:rStyle w:val="a8"/>
          <w:rFonts w:ascii="Times New Roman" w:hAnsi="Times New Roman"/>
          <w:b w:val="0"/>
          <w:color w:val="000000"/>
          <w:sz w:val="24"/>
          <w:szCs w:val="24"/>
        </w:rPr>
        <w:t>,</w:t>
      </w:r>
      <w:r w:rsidRPr="006F0E69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предопределили в продовольственном сегменте потребительского рынка в январе-апреле 2016 года инфляционный тренд – «+»0,63% (в январе-апреле 2015 года – «-»3,69%).</w:t>
      </w:r>
      <w:proofErr w:type="gramEnd"/>
    </w:p>
    <w:p w:rsidR="006F0E69" w:rsidRPr="00477E43" w:rsidRDefault="006F0E69" w:rsidP="006F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E43">
        <w:rPr>
          <w:rStyle w:val="a8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 группе непродовольственных товаров фиксировалась инфляция </w:t>
      </w:r>
      <w:r w:rsidRPr="00477E43">
        <w:rPr>
          <w:rFonts w:ascii="Times New Roman" w:hAnsi="Times New Roman" w:cs="Times New Roman"/>
          <w:sz w:val="24"/>
          <w:szCs w:val="24"/>
        </w:rPr>
        <w:t>«+»0,61%             (в январе–апреле 2015 года «-»1,70%). В общей структуре данного сегмента выделяется удорожание стоимости велосипедов («+»9,02%), ковров и ковровых изделий («+»8,81%), вычислительной техники («+»3,86%), электротоваров и других бытовых приборов («+»4,52%), печатных изданий («+»2,08%), а также строительных материалов («+»2,34%). В то же время отмечалось удешевление стоимости товаров бытовой химии («-»7,46%), топлива (бензина) («-»4,93%), медикаментов («-»1,27%) и др.</w:t>
      </w:r>
    </w:p>
    <w:p w:rsidR="006F0E69" w:rsidRPr="00477E43" w:rsidRDefault="006F0E69" w:rsidP="006F0E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E43">
        <w:rPr>
          <w:rFonts w:ascii="Times New Roman" w:hAnsi="Times New Roman" w:cs="Times New Roman"/>
          <w:sz w:val="24"/>
          <w:szCs w:val="24"/>
        </w:rPr>
        <w:t>По итогам января-апреля 2016 года инфляционная нагрузка в сфере услуг составила 0,83%, снизившись на 4,85 процентных пункта</w:t>
      </w:r>
      <w:r w:rsidRPr="00477E43">
        <w:rPr>
          <w:rFonts w:ascii="Times New Roman" w:hAnsi="Times New Roman"/>
          <w:sz w:val="24"/>
          <w:szCs w:val="24"/>
        </w:rPr>
        <w:t xml:space="preserve"> к сопоставимому значению соответствующего периода предыдущего года. Данная тенденция обусловлена принятием на государственном уровне решения о сохранении действия в январе-апреле 2016 года тарифов в сфере услуг по газоснабжению, электроэнергетике, а также снабжению тепловой энергии на уровне тарифов, действовавших с марта 2015 года.</w:t>
      </w:r>
    </w:p>
    <w:p w:rsidR="006F0E69" w:rsidRPr="00477E43" w:rsidRDefault="006F0E69" w:rsidP="006F0E69">
      <w:pPr>
        <w:widowControl w:val="0"/>
        <w:tabs>
          <w:tab w:val="left" w:pos="1276"/>
        </w:tabs>
        <w:spacing w:after="0" w:line="240" w:lineRule="auto"/>
        <w:ind w:firstLine="720"/>
        <w:jc w:val="both"/>
        <w:rPr>
          <w:rStyle w:val="FontStyle183"/>
          <w:rFonts w:ascii="Times New Roman" w:eastAsia="Calibri" w:hAnsi="Times New Roman" w:cs="Times New Roman"/>
          <w:sz w:val="24"/>
          <w:szCs w:val="24"/>
        </w:rPr>
      </w:pPr>
      <w:r w:rsidRPr="00477E43">
        <w:rPr>
          <w:rFonts w:ascii="Times New Roman" w:hAnsi="Times New Roman" w:cs="Times New Roman"/>
          <w:sz w:val="24"/>
          <w:szCs w:val="24"/>
        </w:rPr>
        <w:t xml:space="preserve">Генератором определившегося инфляционного фона в сфере тарифов на услуги в январе-апреле 2016 года выступило плановое </w:t>
      </w:r>
      <w:r w:rsidRPr="00477E43">
        <w:rPr>
          <w:rStyle w:val="FontStyle183"/>
          <w:rFonts w:ascii="Times New Roman" w:eastAsia="Calibri" w:hAnsi="Times New Roman" w:cs="Times New Roman"/>
          <w:sz w:val="24"/>
          <w:szCs w:val="24"/>
        </w:rPr>
        <w:t xml:space="preserve">повышение стоимости медицинских услуг («+»13,34%), услуг дошкольного воспитания («+»8,36%), услуг правового характера («+»8,21%). Также весомое инфляционное давление в сфере услуг в обозначенном периоде создало </w:t>
      </w:r>
      <w:r w:rsidRPr="00477E43">
        <w:rPr>
          <w:rFonts w:ascii="Times New Roman" w:hAnsi="Times New Roman" w:cs="Times New Roman"/>
          <w:sz w:val="24"/>
          <w:szCs w:val="24"/>
        </w:rPr>
        <w:t xml:space="preserve">повышение стоимости тарифов на услуги связи – на 0,80%, ремонта бытовых электротоваров – на 1,15%, ритуальных услуг – на 3,39%. </w:t>
      </w:r>
      <w:r w:rsidRPr="00477E43">
        <w:rPr>
          <w:rStyle w:val="FontStyle183"/>
          <w:rFonts w:ascii="Times New Roman" w:eastAsia="Calibri" w:hAnsi="Times New Roman" w:cs="Times New Roman"/>
          <w:sz w:val="24"/>
          <w:szCs w:val="24"/>
        </w:rPr>
        <w:t xml:space="preserve">В то же время подешевели санаторно-оздоровительные услуги на 20,0%. </w:t>
      </w:r>
    </w:p>
    <w:p w:rsidR="006F0E69" w:rsidRPr="00477E43" w:rsidRDefault="006F0E69" w:rsidP="006F0E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7E43">
        <w:rPr>
          <w:rFonts w:ascii="Times New Roman" w:hAnsi="Times New Roman"/>
          <w:sz w:val="24"/>
          <w:szCs w:val="24"/>
        </w:rPr>
        <w:t>Таким образом, проводимы</w:t>
      </w:r>
      <w:r>
        <w:rPr>
          <w:rFonts w:ascii="Times New Roman" w:hAnsi="Times New Roman"/>
          <w:sz w:val="24"/>
          <w:szCs w:val="24"/>
        </w:rPr>
        <w:t>е</w:t>
      </w:r>
      <w:r w:rsidRPr="00477E43">
        <w:rPr>
          <w:rFonts w:ascii="Times New Roman" w:hAnsi="Times New Roman"/>
          <w:sz w:val="24"/>
          <w:szCs w:val="24"/>
        </w:rPr>
        <w:t xml:space="preserve"> антиинфляционны</w:t>
      </w:r>
      <w:r>
        <w:rPr>
          <w:rFonts w:ascii="Times New Roman" w:hAnsi="Times New Roman"/>
          <w:sz w:val="24"/>
          <w:szCs w:val="24"/>
        </w:rPr>
        <w:t>е</w:t>
      </w:r>
      <w:r w:rsidRPr="00477E43">
        <w:rPr>
          <w:rFonts w:ascii="Times New Roman" w:hAnsi="Times New Roman"/>
          <w:sz w:val="24"/>
          <w:szCs w:val="24"/>
        </w:rPr>
        <w:t xml:space="preserve"> мер</w:t>
      </w:r>
      <w:r>
        <w:rPr>
          <w:rFonts w:ascii="Times New Roman" w:hAnsi="Times New Roman"/>
          <w:sz w:val="24"/>
          <w:szCs w:val="24"/>
        </w:rPr>
        <w:t>ы</w:t>
      </w:r>
      <w:r w:rsidRPr="00477E43">
        <w:rPr>
          <w:rFonts w:ascii="Times New Roman" w:hAnsi="Times New Roman"/>
          <w:sz w:val="24"/>
          <w:szCs w:val="24"/>
        </w:rPr>
        <w:t xml:space="preserve"> со стороны государства и бизнеса</w:t>
      </w:r>
      <w:r>
        <w:rPr>
          <w:rFonts w:ascii="Times New Roman" w:hAnsi="Times New Roman"/>
          <w:sz w:val="24"/>
          <w:szCs w:val="24"/>
        </w:rPr>
        <w:t xml:space="preserve">, обеспечили </w:t>
      </w:r>
      <w:r w:rsidRPr="00477E43">
        <w:rPr>
          <w:rFonts w:ascii="Times New Roman" w:hAnsi="Times New Roman"/>
          <w:sz w:val="24"/>
          <w:szCs w:val="24"/>
        </w:rPr>
        <w:t>в январе-апреле 2016 года инфляцию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E43">
        <w:rPr>
          <w:rFonts w:ascii="Times New Roman" w:hAnsi="Times New Roman"/>
          <w:sz w:val="24"/>
          <w:szCs w:val="24"/>
        </w:rPr>
        <w:t xml:space="preserve">на товары и услуги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77E43">
        <w:rPr>
          <w:rFonts w:ascii="Times New Roman" w:hAnsi="Times New Roman"/>
          <w:sz w:val="24"/>
          <w:szCs w:val="24"/>
        </w:rPr>
        <w:t>Республик</w:t>
      </w:r>
      <w:r>
        <w:rPr>
          <w:rFonts w:ascii="Times New Roman" w:hAnsi="Times New Roman"/>
          <w:sz w:val="24"/>
          <w:szCs w:val="24"/>
        </w:rPr>
        <w:t xml:space="preserve">е на уровне </w:t>
      </w:r>
      <w:r w:rsidRPr="00477E43">
        <w:rPr>
          <w:rFonts w:ascii="Times New Roman" w:hAnsi="Times New Roman"/>
          <w:sz w:val="24"/>
          <w:szCs w:val="24"/>
        </w:rPr>
        <w:t>0,7%</w:t>
      </w:r>
      <w:r>
        <w:rPr>
          <w:rFonts w:ascii="Times New Roman" w:hAnsi="Times New Roman"/>
          <w:sz w:val="24"/>
          <w:szCs w:val="24"/>
        </w:rPr>
        <w:t>, в то же время данный показатель</w:t>
      </w:r>
      <w:r w:rsidRPr="000D36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Республике </w:t>
      </w:r>
      <w:r w:rsidRPr="00477E43">
        <w:rPr>
          <w:rFonts w:ascii="Times New Roman" w:hAnsi="Times New Roman"/>
          <w:sz w:val="24"/>
          <w:szCs w:val="24"/>
        </w:rPr>
        <w:t xml:space="preserve">Молдова </w:t>
      </w:r>
      <w:r>
        <w:rPr>
          <w:rFonts w:ascii="Times New Roman" w:hAnsi="Times New Roman"/>
          <w:sz w:val="24"/>
          <w:szCs w:val="24"/>
        </w:rPr>
        <w:t xml:space="preserve">составил </w:t>
      </w:r>
      <w:r w:rsidRPr="00477E43">
        <w:rPr>
          <w:rFonts w:ascii="Times New Roman" w:hAnsi="Times New Roman"/>
          <w:sz w:val="24"/>
          <w:szCs w:val="24"/>
        </w:rPr>
        <w:t xml:space="preserve">0,1%,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77E43">
        <w:rPr>
          <w:rFonts w:ascii="Times New Roman" w:hAnsi="Times New Roman"/>
          <w:sz w:val="24"/>
          <w:szCs w:val="24"/>
        </w:rPr>
        <w:t>Украин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477E43">
        <w:rPr>
          <w:rFonts w:ascii="Times New Roman" w:hAnsi="Times New Roman"/>
          <w:sz w:val="24"/>
          <w:szCs w:val="24"/>
        </w:rPr>
        <w:t xml:space="preserve">5,1%,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77E43">
        <w:rPr>
          <w:rFonts w:ascii="Times New Roman" w:hAnsi="Times New Roman"/>
          <w:sz w:val="24"/>
          <w:szCs w:val="24"/>
        </w:rPr>
        <w:t>Российской Федерации 2,5%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77E43">
        <w:rPr>
          <w:rFonts w:ascii="Times New Roman" w:hAnsi="Times New Roman"/>
          <w:sz w:val="24"/>
          <w:szCs w:val="24"/>
        </w:rPr>
        <w:t xml:space="preserve">Кроме того, определённое влияние </w:t>
      </w:r>
      <w:r>
        <w:rPr>
          <w:rFonts w:ascii="Times New Roman" w:hAnsi="Times New Roman"/>
          <w:sz w:val="24"/>
          <w:szCs w:val="24"/>
        </w:rPr>
        <w:t xml:space="preserve">на уровень инфляции в ПМР </w:t>
      </w:r>
      <w:r w:rsidRPr="00477E43">
        <w:rPr>
          <w:rFonts w:ascii="Times New Roman" w:hAnsi="Times New Roman"/>
          <w:sz w:val="24"/>
          <w:szCs w:val="24"/>
        </w:rPr>
        <w:t xml:space="preserve">оказали принятые на государственном уровне решения </w:t>
      </w:r>
      <w:r>
        <w:rPr>
          <w:rFonts w:ascii="Times New Roman" w:hAnsi="Times New Roman"/>
          <w:sz w:val="24"/>
          <w:szCs w:val="24"/>
        </w:rPr>
        <w:t>п</w:t>
      </w:r>
      <w:r w:rsidRPr="00477E43">
        <w:rPr>
          <w:rFonts w:ascii="Times New Roman" w:hAnsi="Times New Roman"/>
          <w:sz w:val="24"/>
          <w:szCs w:val="24"/>
        </w:rPr>
        <w:t>о оптимизации</w:t>
      </w:r>
      <w:proofErr w:type="gramEnd"/>
      <w:r w:rsidRPr="00477E43">
        <w:rPr>
          <w:rFonts w:ascii="Times New Roman" w:hAnsi="Times New Roman"/>
          <w:sz w:val="24"/>
          <w:szCs w:val="24"/>
        </w:rPr>
        <w:t xml:space="preserve"> тарифной политики в сфере естественных монополий. </w:t>
      </w:r>
    </w:p>
    <w:p w:rsidR="006F0E69" w:rsidRDefault="006F0E69" w:rsidP="006F0E6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6F0E69" w:rsidRPr="00E62181" w:rsidRDefault="006F0E69" w:rsidP="006F0E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678B">
        <w:rPr>
          <w:rFonts w:ascii="Times New Roman" w:hAnsi="Times New Roman"/>
          <w:i/>
          <w:sz w:val="24"/>
          <w:szCs w:val="24"/>
          <w:u w:val="single"/>
        </w:rPr>
        <w:t>Справочно</w:t>
      </w:r>
      <w:proofErr w:type="spellEnd"/>
      <w:r w:rsidRPr="00FC678B">
        <w:rPr>
          <w:rFonts w:ascii="Times New Roman" w:hAnsi="Times New Roman"/>
          <w:i/>
          <w:sz w:val="24"/>
          <w:szCs w:val="24"/>
          <w:u w:val="single"/>
        </w:rPr>
        <w:t>:</w:t>
      </w:r>
      <w:r w:rsidRPr="00477E43">
        <w:rPr>
          <w:rFonts w:ascii="Times New Roman" w:hAnsi="Times New Roman"/>
          <w:sz w:val="24"/>
          <w:szCs w:val="24"/>
        </w:rPr>
        <w:t xml:space="preserve"> Сводный индекс потребительских цен (инфляция) в январе-апреле     2016 года в Республике Молдова составил 100,1%, в Украине – 105,1%, в Российской Федерации – 102,5%.</w:t>
      </w:r>
    </w:p>
    <w:p w:rsidR="00AE6915" w:rsidRDefault="00AE6915" w:rsidP="006F0E69">
      <w:pPr>
        <w:ind w:firstLine="709"/>
      </w:pPr>
    </w:p>
    <w:sectPr w:rsidR="00AE6915" w:rsidSect="00AE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DEC"/>
    <w:rsid w:val="0002279E"/>
    <w:rsid w:val="00422BEF"/>
    <w:rsid w:val="0053494D"/>
    <w:rsid w:val="006F0E69"/>
    <w:rsid w:val="0098383C"/>
    <w:rsid w:val="00A06EF2"/>
    <w:rsid w:val="00A115BA"/>
    <w:rsid w:val="00AE6915"/>
    <w:rsid w:val="00E6295D"/>
    <w:rsid w:val="00ED5783"/>
    <w:rsid w:val="00F3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15"/>
  </w:style>
  <w:style w:type="paragraph" w:styleId="1">
    <w:name w:val="heading 1"/>
    <w:basedOn w:val="a"/>
    <w:next w:val="a"/>
    <w:link w:val="10"/>
    <w:uiPriority w:val="99"/>
    <w:qFormat/>
    <w:rsid w:val="00E6295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F36DEC"/>
    <w:rPr>
      <w:rFonts w:ascii="Times New Roman" w:hAnsi="Times New Roman" w:cs="Times New Roman"/>
      <w:sz w:val="24"/>
    </w:rPr>
  </w:style>
  <w:style w:type="paragraph" w:styleId="a5">
    <w:name w:val="No Spacing"/>
    <w:link w:val="a4"/>
    <w:uiPriority w:val="1"/>
    <w:qFormat/>
    <w:rsid w:val="00F36DEC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3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DEC"/>
    <w:rPr>
      <w:rFonts w:ascii="Tahoma" w:hAnsi="Tahoma" w:cs="Tahoma"/>
      <w:sz w:val="16"/>
      <w:szCs w:val="16"/>
    </w:rPr>
  </w:style>
  <w:style w:type="character" w:customStyle="1" w:styleId="a8">
    <w:name w:val="Подпись к таблице_"/>
    <w:basedOn w:val="a0"/>
    <w:link w:val="a9"/>
    <w:locked/>
    <w:rsid w:val="006F0E69"/>
    <w:rPr>
      <w:b/>
      <w:bCs/>
      <w:sz w:val="27"/>
      <w:szCs w:val="27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F0E69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aa">
    <w:name w:val="Основной текст_"/>
    <w:basedOn w:val="a0"/>
    <w:rsid w:val="006F0E69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FontStyle183">
    <w:name w:val="Font Style183"/>
    <w:basedOn w:val="a0"/>
    <w:rsid w:val="006F0E69"/>
    <w:rPr>
      <w:rFonts w:ascii="Sylfaen" w:hAnsi="Sylfaen" w:cs="Sylfaen" w:hint="default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E6295D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2015 год</a:t>
            </a:r>
            <a:endParaRPr lang="ru-RU" b="0"/>
          </a:p>
        </c:rich>
      </c:tx>
      <c:layout>
        <c:manualLayout>
          <c:xMode val="edge"/>
          <c:yMode val="edge"/>
          <c:x val="0.35062304234871405"/>
          <c:y val="4.1063415460164251E-3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5418650254925031"/>
          <c:w val="0.62499943232287114"/>
          <c:h val="0.762669089440743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explosion val="29"/>
          <c:dPt>
            <c:idx val="0"/>
            <c:explosion val="16"/>
          </c:dPt>
          <c:dPt>
            <c:idx val="1"/>
            <c:explosion val="16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explosion val="17"/>
          </c:dPt>
          <c:dPt>
            <c:idx val="3"/>
            <c:explosion val="24"/>
          </c:dPt>
          <c:dPt>
            <c:idx val="5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9.2689253537964186E-2"/>
                  <c:y val="8.998391330115996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19,9%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4.7599393587251983E-3"/>
                  <c:y val="4.683395344812683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45,6%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1021690123735091E-2"/>
                  <c:y val="0.1598544948722636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12,0%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1.8277867938263489E-3"/>
                  <c:y val="-8.316027341502102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10,8%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5.1578140174097275E-3"/>
                  <c:y val="-4.656431912491389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2,8%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2.4189724376056047E-3"/>
                  <c:y val="-3.75938824954573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8,9%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легкая промышленность</c:v>
                </c:pt>
                <c:pt idx="3">
                  <c:v>пищевая промышленность</c:v>
                </c:pt>
                <c:pt idx="4">
                  <c:v>промышленность строительных материалов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522.1</c:v>
                </c:pt>
                <c:pt idx="1">
                  <c:v>1195.5</c:v>
                </c:pt>
                <c:pt idx="2">
                  <c:v>315.60000000000002</c:v>
                </c:pt>
                <c:pt idx="3" formatCode="General">
                  <c:v>282.60000000000002</c:v>
                </c:pt>
                <c:pt idx="4" formatCode="General">
                  <c:v>74.900000000000006</c:v>
                </c:pt>
                <c:pt idx="5">
                  <c:v>232.99999999999989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2238384324096896"/>
          <c:y val="0.2353962764000295"/>
          <c:w val="0.37344660161755994"/>
          <c:h val="0.76355483601932961"/>
        </c:manualLayout>
      </c:layout>
      <c:txPr>
        <a:bodyPr/>
        <a:lstStyle/>
        <a:p>
          <a:pPr>
            <a:defRPr sz="8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Товарная структура импорта ПМР, млн. долл. США</a:t>
            </a:r>
          </a:p>
        </c:rich>
      </c:tx>
      <c:layout>
        <c:manualLayout>
          <c:xMode val="edge"/>
          <c:yMode val="edge"/>
          <c:x val="0.20873792195533941"/>
          <c:y val="5.6755808749712738E-3"/>
        </c:manualLayout>
      </c:layout>
      <c:spPr>
        <a:noFill/>
        <a:ln w="28727">
          <a:noFill/>
        </a:ln>
      </c:spPr>
    </c:title>
    <c:plotArea>
      <c:layout>
        <c:manualLayout>
          <c:layoutTarget val="inner"/>
          <c:xMode val="edge"/>
          <c:yMode val="edge"/>
          <c:x val="6.4072688401924122E-2"/>
          <c:y val="9.1213463917280663E-2"/>
          <c:w val="0.96291208791208749"/>
          <c:h val="0.4033236433258939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- апрель 2015 г.</c:v>
                </c:pt>
              </c:strCache>
            </c:strRef>
          </c:tx>
          <c:dLbls>
            <c:dLbl>
              <c:idx val="0"/>
              <c:layout>
                <c:manualLayout>
                  <c:x val="-5.146938139947899E-3"/>
                  <c:y val="2.306033678653444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62,2*</a:t>
                    </a:r>
                    <a:endParaRPr lang="en-US" sz="1000"/>
                  </a:p>
                </c:rich>
              </c:tx>
              <c:dLblPos val="outEnd"/>
            </c:dLbl>
            <c:dLbl>
              <c:idx val="1"/>
              <c:layout>
                <c:manualLayout>
                  <c:x val="-1.5731287177619545E-3"/>
                  <c:y val="2.029086528118419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7,0*</a:t>
                    </a:r>
                    <a:endParaRPr lang="en-US" sz="1000"/>
                  </a:p>
                </c:rich>
              </c:tx>
              <c:dLblPos val="outEnd"/>
            </c:dLbl>
            <c:dLbl>
              <c:idx val="2"/>
              <c:layout>
                <c:manualLayout>
                  <c:x val="-1.3042927798846641E-3"/>
                  <c:y val="1.8925405541557826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6,9*</a:t>
                    </a:r>
                    <a:endParaRPr lang="en-US" sz="1000"/>
                  </a:p>
                </c:rich>
              </c:tx>
              <c:dLblPos val="outEnd"/>
            </c:dLbl>
            <c:dLbl>
              <c:idx val="3"/>
              <c:layout>
                <c:manualLayout>
                  <c:x val="-4.1447211443067233E-3"/>
                  <c:y val="2.8191988296544887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10,0*</a:t>
                    </a:r>
                    <a:endParaRPr lang="en-US" sz="1000"/>
                  </a:p>
                </c:rich>
              </c:tx>
              <c:dLblPos val="outEnd"/>
            </c:dLbl>
            <c:dLbl>
              <c:idx val="4"/>
              <c:layout>
                <c:manualLayout>
                  <c:x val="1.2039404165388417E-3"/>
                  <c:y val="3.9873514104252416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2,8*</a:t>
                    </a:r>
                    <a:endParaRPr lang="en-US" sz="1000"/>
                  </a:p>
                </c:rich>
              </c:tx>
              <c:dLblPos val="outEnd"/>
            </c:dLbl>
            <c:dLbl>
              <c:idx val="5"/>
              <c:layout>
                <c:manualLayout>
                  <c:x val="-1.5628511428054401E-3"/>
                  <c:y val="1.9837695311138995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11,1*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6"/>
              <c:layout>
                <c:manualLayout>
                  <c:x val="-7.5617342090612003E-4"/>
                  <c:y val="1.645540209113206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8</a:t>
                    </a:r>
                    <a:r>
                      <a:rPr lang="en-US" sz="1000" b="1"/>
                      <a:t>,2</a:t>
                    </a:r>
                  </a:p>
                </c:rich>
              </c:tx>
              <c:dLblPos val="outEnd"/>
            </c:dLbl>
            <c:dLbl>
              <c:idx val="7"/>
              <c:layout>
                <c:manualLayout>
                  <c:xMode val="edge"/>
                  <c:yMode val="edge"/>
                  <c:x val="0.72802197802197965"/>
                  <c:y val="0.43750000000000488"/>
                </c:manualLayout>
              </c:layout>
              <c:dLblPos val="outEnd"/>
              <c:showVal val="1"/>
            </c:dLbl>
            <c:spPr>
              <a:noFill/>
              <a:ln w="28727">
                <a:noFill/>
              </a:ln>
            </c:spPr>
            <c:txPr>
              <a:bodyPr rot="0" vert="horz" anchor="ctr" anchorCtr="0"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легкой промышленности</c:v>
                </c:pt>
                <c:pt idx="5">
                  <c:v>Прочие товары</c:v>
                </c:pt>
              </c:strCache>
            </c:strRef>
          </c:cat>
          <c:val>
            <c:numRef>
              <c:f>Sheet1!$B$2:$G$2</c:f>
              <c:numCache>
                <c:formatCode>0.0</c:formatCode>
                <c:ptCount val="6"/>
                <c:pt idx="0" formatCode="General">
                  <c:v>270.3</c:v>
                </c:pt>
                <c:pt idx="1">
                  <c:v>30.4</c:v>
                </c:pt>
                <c:pt idx="2">
                  <c:v>29.9</c:v>
                </c:pt>
                <c:pt idx="3" formatCode="General">
                  <c:v>43.4</c:v>
                </c:pt>
                <c:pt idx="4">
                  <c:v>12.1</c:v>
                </c:pt>
                <c:pt idx="5">
                  <c:v>48.300000000000004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- апрель 2016 г.</c:v>
                </c:pt>
              </c:strCache>
            </c:strRef>
          </c:tx>
          <c:dLbls>
            <c:dLbl>
              <c:idx val="0"/>
              <c:layout>
                <c:manualLayout>
                  <c:x val="5.2558529061472684E-3"/>
                  <c:y val="6.0188774629529422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56,2*</a:t>
                    </a:r>
                    <a:endParaRPr lang="en-US" sz="1000"/>
                  </a:p>
                </c:rich>
              </c:tx>
              <c:dLblPos val="outEnd"/>
            </c:dLbl>
            <c:dLbl>
              <c:idx val="1"/>
              <c:layout>
                <c:manualLayout>
                  <c:x val="9.1876075299204385E-4"/>
                  <c:y val="1.6703670237941701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4,4*</a:t>
                    </a:r>
                    <a:endParaRPr lang="en-US" sz="1000"/>
                  </a:p>
                </c:rich>
              </c:tx>
              <c:dLblPos val="outEnd"/>
            </c:dLbl>
            <c:dLbl>
              <c:idx val="2"/>
              <c:layout>
                <c:manualLayout>
                  <c:x val="7.8853360982597022E-3"/>
                  <c:y val="1.248368946169844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10,7*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3"/>
              <c:layout>
                <c:manualLayout>
                  <c:x val="7.6797816540875134E-3"/>
                  <c:y val="1.7186868034938303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8,5*</a:t>
                    </a:r>
                    <a:endParaRPr lang="en-US" sz="1000"/>
                  </a:p>
                </c:rich>
              </c:tx>
              <c:dLblPos val="outEnd"/>
            </c:dLbl>
            <c:dLbl>
              <c:idx val="4"/>
              <c:layout>
                <c:manualLayout>
                  <c:x val="1.0924639230358387E-2"/>
                  <c:y val="4.8544624769320784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4,6*</a:t>
                    </a:r>
                    <a:endParaRPr lang="en-US" sz="1000"/>
                  </a:p>
                </c:rich>
              </c:tx>
              <c:dLblPos val="outEnd"/>
            </c:dLbl>
            <c:dLbl>
              <c:idx val="5"/>
              <c:layout>
                <c:manualLayout>
                  <c:x val="1.6322401175000143E-2"/>
                  <c:y val="9.2570991388661768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15,3*</a:t>
                    </a:r>
                    <a:endParaRPr lang="en-US" sz="1000"/>
                  </a:p>
                </c:rich>
              </c:tx>
              <c:dLblPos val="outEnd"/>
            </c:dLbl>
            <c:dLbl>
              <c:idx val="6"/>
              <c:layout>
                <c:manualLayout>
                  <c:x val="4.0251667106205027E-3"/>
                  <c:y val="1.0088636461425918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/>
                      <a:t>9,</a:t>
                    </a:r>
                    <a:r>
                      <a:rPr lang="ru-RU" sz="1000" b="1"/>
                      <a:t>6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7"/>
              <c:layout>
                <c:manualLayout>
                  <c:xMode val="edge"/>
                  <c:yMode val="edge"/>
                  <c:x val="0.75274725274725274"/>
                  <c:y val="0.48214285714288896"/>
                </c:manualLayout>
              </c:layout>
              <c:dLblPos val="outEnd"/>
              <c:showVal val="1"/>
            </c:dLbl>
            <c:spPr>
              <a:noFill/>
              <a:ln w="28727">
                <a:noFill/>
              </a:ln>
            </c:spPr>
            <c:txPr>
              <a:bodyPr rot="0" vert="horz"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легкой промышленности</c:v>
                </c:pt>
                <c:pt idx="5">
                  <c:v>Прочие товары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163.69999999999999</c:v>
                </c:pt>
                <c:pt idx="1">
                  <c:v>12.7</c:v>
                </c:pt>
                <c:pt idx="2">
                  <c:v>31.1</c:v>
                </c:pt>
                <c:pt idx="3">
                  <c:v>24.5</c:v>
                </c:pt>
                <c:pt idx="4">
                  <c:v>13.4</c:v>
                </c:pt>
                <c:pt idx="5">
                  <c:v>44.400000000000055</c:v>
                </c:pt>
              </c:numCache>
            </c:numRef>
          </c:val>
        </c:ser>
        <c:gapWidth val="160"/>
        <c:axId val="183043584"/>
        <c:axId val="183045120"/>
      </c:barChart>
      <c:catAx>
        <c:axId val="183043584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 sz="900" b="1"/>
            </a:pPr>
            <a:endParaRPr lang="ru-RU"/>
          </a:p>
        </c:txPr>
        <c:crossAx val="183045120"/>
        <c:crosses val="autoZero"/>
        <c:lblAlgn val="ctr"/>
        <c:lblOffset val="160"/>
        <c:tickLblSkip val="1"/>
        <c:tickMarkSkip val="1"/>
      </c:catAx>
      <c:valAx>
        <c:axId val="183045120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*-удельный</a:t>
                </a:r>
              </a:p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 вес в общем </a:t>
                </a:r>
              </a:p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объеме импорта,%</a:t>
                </a:r>
              </a:p>
            </c:rich>
          </c:tx>
          <c:layout>
            <c:manualLayout>
              <c:xMode val="edge"/>
              <c:yMode val="edge"/>
              <c:x val="0.83865758540200652"/>
              <c:y val="6.6576571950317034E-2"/>
            </c:manualLayout>
          </c:layout>
          <c:spPr>
            <a:noFill/>
            <a:ln w="28727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 b="1"/>
            </a:pPr>
            <a:endParaRPr lang="ru-RU"/>
          </a:p>
        </c:txPr>
        <c:crossAx val="183043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1971350574403565E-2"/>
          <c:y val="0.93962291071669124"/>
          <c:w val="0.87296413539101581"/>
          <c:h val="6.0377089283308823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 sz="1197">
                <a:latin typeface="Times New Roman" pitchFamily="18" charset="0"/>
                <a:cs typeface="Times New Roman" pitchFamily="18" charset="0"/>
              </a:defRPr>
            </a:pPr>
            <a:r>
              <a:rPr lang="ru-RU" sz="1197">
                <a:latin typeface="Times New Roman" pitchFamily="18" charset="0"/>
                <a:cs typeface="Times New Roman" pitchFamily="18" charset="0"/>
              </a:rPr>
              <a:t>Импорт товаров в разрезе стран, тыс. долл. США</a:t>
            </a:r>
          </a:p>
        </c:rich>
      </c:tx>
      <c:layout>
        <c:manualLayout>
          <c:xMode val="edge"/>
          <c:yMode val="edge"/>
          <c:x val="0.35396053389668097"/>
          <c:y val="3.0838343788587058E-3"/>
        </c:manualLayout>
      </c:layout>
      <c:spPr>
        <a:noFill/>
        <a:ln w="25398">
          <a:noFill/>
        </a:ln>
      </c:spPr>
    </c:title>
    <c:plotArea>
      <c:layout>
        <c:manualLayout>
          <c:layoutTarget val="inner"/>
          <c:xMode val="edge"/>
          <c:yMode val="edge"/>
          <c:x val="0.23303400408282338"/>
          <c:y val="9.0047445992328057E-2"/>
          <c:w val="0.74482175945464801"/>
          <c:h val="0.4799120203432519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апрель 2015 г.</c:v>
                </c:pt>
              </c:strCache>
            </c:strRef>
          </c:tx>
          <c:dLbls>
            <c:dLbl>
              <c:idx val="0"/>
              <c:layout>
                <c:manualLayout>
                  <c:x val="-3.0228500849158561E-3"/>
                  <c:y val="4.2418869826702814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64,7*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-5.0532194114034021E-3"/>
                  <c:y val="9.7335560327687035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8,1*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-2.1241315423808247E-3"/>
                  <c:y val="1.34226764700770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5,5*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-1.2527404662652719E-3"/>
                  <c:y val="1.8752672472232362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-3.5208973683888449E-3"/>
                  <c:y val="1.342270877850316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3,6*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-6.944444444444758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-7.4268010433377434E-3"/>
                  <c:y val="1.486988847583644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-1.2636096958468426E-2"/>
                  <c:y val="8.9485668596063443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11,9*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Беларусь</c:v>
                </c:pt>
                <c:pt idx="4">
                  <c:v>Германия</c:v>
                </c:pt>
                <c:pt idx="5">
                  <c:v>Италия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280943.59999999998</c:v>
                </c:pt>
                <c:pt idx="1">
                  <c:v>35396.6</c:v>
                </c:pt>
                <c:pt idx="2">
                  <c:v>23827.599999999969</c:v>
                </c:pt>
                <c:pt idx="3">
                  <c:v>12463.3</c:v>
                </c:pt>
                <c:pt idx="4">
                  <c:v>15767.1</c:v>
                </c:pt>
                <c:pt idx="5">
                  <c:v>8931.4</c:v>
                </c:pt>
                <c:pt idx="6">
                  <c:v>5326.2</c:v>
                </c:pt>
                <c:pt idx="7">
                  <c:v>51695.70000000007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апрель 2016 г.</c:v>
                </c:pt>
              </c:strCache>
            </c:strRef>
          </c:tx>
          <c:dLbls>
            <c:dLbl>
              <c:idx val="0"/>
              <c:layout>
                <c:manualLayout>
                  <c:x val="1.842411610313416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59,0*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1.1864597807626987E-2"/>
                  <c:y val="6.5359545288627002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8,9*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1.7099319337738322E-2"/>
                  <c:y val="1.31309017407307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5,1*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7.8794323698915623E-3"/>
                  <c:y val="2.1432407156002052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1.0321290721012817E-2"/>
                  <c:y val="8.829674436390816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9.9672687972827047E-3"/>
                  <c:y val="-1.7764335749422477E-4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1.1574002944753857E-2"/>
                  <c:y val="9.456264775413754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0951763651494778E-2"/>
                  <c:y val="7.5461489299653642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16,9*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Беларусь</c:v>
                </c:pt>
                <c:pt idx="4">
                  <c:v>Германия</c:v>
                </c:pt>
                <c:pt idx="5">
                  <c:v>Италия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Лист1!$C$2:$C$9</c:f>
              <c:numCache>
                <c:formatCode>#,##0.0</c:formatCode>
                <c:ptCount val="8"/>
                <c:pt idx="0">
                  <c:v>170836.8</c:v>
                </c:pt>
                <c:pt idx="1">
                  <c:v>25697.4</c:v>
                </c:pt>
                <c:pt idx="2">
                  <c:v>14822.7</c:v>
                </c:pt>
                <c:pt idx="3">
                  <c:v>7518.5</c:v>
                </c:pt>
                <c:pt idx="4">
                  <c:v>11487.5</c:v>
                </c:pt>
                <c:pt idx="5">
                  <c:v>4468.7</c:v>
                </c:pt>
                <c:pt idx="6">
                  <c:v>6101.2</c:v>
                </c:pt>
                <c:pt idx="7">
                  <c:v>48846.699999999983</c:v>
                </c:pt>
              </c:numCache>
            </c:numRef>
          </c:val>
        </c:ser>
        <c:dLbls>
          <c:showVal val="1"/>
        </c:dLbls>
        <c:axId val="183153408"/>
        <c:axId val="183154944"/>
      </c:barChart>
      <c:catAx>
        <c:axId val="183153408"/>
        <c:scaling>
          <c:orientation val="minMax"/>
        </c:scaling>
        <c:axPos val="b"/>
        <c:numFmt formatCode="General" sourceLinked="1"/>
        <c:tickLblPos val="nextTo"/>
        <c:crossAx val="183154944"/>
        <c:crosses val="autoZero"/>
        <c:auto val="1"/>
        <c:lblAlgn val="ctr"/>
        <c:lblOffset val="100"/>
      </c:catAx>
      <c:valAx>
        <c:axId val="18315494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89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*- удельный вес страны в общем импорте,%</a:t>
                </a:r>
              </a:p>
            </c:rich>
          </c:tx>
          <c:layout>
            <c:manualLayout>
              <c:xMode val="edge"/>
              <c:yMode val="edge"/>
              <c:x val="0.78231750893312857"/>
              <c:y val="0.23777306682818497"/>
            </c:manualLayout>
          </c:layout>
          <c:spPr>
            <a:noFill/>
            <a:ln w="25398">
              <a:noFill/>
            </a:ln>
          </c:spPr>
        </c:title>
        <c:numFmt formatCode="#,##0.0" sourceLinked="1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3153408"/>
        <c:crosses val="autoZero"/>
        <c:crossBetween val="between"/>
        <c:dispUnits>
          <c:builtInUnit val="thousands"/>
        </c:dispUnits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legend>
      <c:legendPos val="r"/>
      <c:layout>
        <c:manualLayout>
          <c:xMode val="edge"/>
          <c:yMode val="edge"/>
          <c:x val="0.2371560221638962"/>
          <c:y val="0.92405940843932965"/>
          <c:w val="0.5148166034801207"/>
          <c:h val="5.2080052493438313E-2"/>
        </c:manualLayout>
      </c:layout>
      <c:txPr>
        <a:bodyPr/>
        <a:lstStyle/>
        <a:p>
          <a:pPr>
            <a:defRPr sz="898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основных составляющих инфляции,%</a:t>
            </a:r>
          </a:p>
        </c:rich>
      </c:tx>
      <c:layout>
        <c:manualLayout>
          <c:xMode val="edge"/>
          <c:yMode val="edge"/>
          <c:x val="0.26946996442635185"/>
          <c:y val="5.0813392816908137E-3"/>
        </c:manualLayout>
      </c:layout>
    </c:title>
    <c:plotArea>
      <c:layout>
        <c:manualLayout>
          <c:layoutTarget val="inner"/>
          <c:xMode val="edge"/>
          <c:yMode val="edge"/>
          <c:x val="0.23208025872968568"/>
          <c:y val="9.3791627236267411E-2"/>
          <c:w val="0.76544241901269194"/>
          <c:h val="0.4333438320209973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январь-апрель 2015 г.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4.7345108160389265E-3"/>
                  <c:y val="2.478076697760359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-0,94*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7.8724269635787225E-4"/>
                  <c:y val="2.349216657196201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- 3,69*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3.3172477021709596E-3"/>
                  <c:y val="1.9060971695085378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-1,70*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5.7719775941958117E-3"/>
                  <c:y val="2.199134567035718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+5,68*</a:t>
                    </a:r>
                    <a:endParaRPr lang="en-US" b="1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    ные товары</c:v>
                </c:pt>
                <c:pt idx="2">
                  <c:v>Индекс цен на непродовольствен       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99.06</c:v>
                </c:pt>
                <c:pt idx="1">
                  <c:v>96.31</c:v>
                </c:pt>
                <c:pt idx="2">
                  <c:v>98.3</c:v>
                </c:pt>
                <c:pt idx="3">
                  <c:v>105.67999999999998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апрель 2016 г.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3.5867792366552696E-3"/>
                  <c:y val="2.751573945413688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+0,67*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3.3731773565665794E-3"/>
                  <c:y val="2.544473607465744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+0,63*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3.7334618886926247E-3"/>
                  <c:y val="2.8067640534832138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+0,61*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6.0955090697696534E-3"/>
                  <c:y val="2.199068550774587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+0,83*</a:t>
                    </a:r>
                    <a:endParaRPr lang="en-US" b="1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    ные товары</c:v>
                </c:pt>
                <c:pt idx="2">
                  <c:v>Индекс цен на непродовольствен       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Лист1!$C$2:$C$5</c:f>
              <c:numCache>
                <c:formatCode>0.00</c:formatCode>
                <c:ptCount val="4"/>
                <c:pt idx="0">
                  <c:v>100.66999999999999</c:v>
                </c:pt>
                <c:pt idx="1">
                  <c:v>100.63</c:v>
                </c:pt>
                <c:pt idx="2">
                  <c:v>100.61</c:v>
                </c:pt>
                <c:pt idx="3">
                  <c:v>100.83</c:v>
                </c:pt>
              </c:numCache>
            </c:numRef>
          </c:val>
        </c:ser>
        <c:axId val="180500352"/>
        <c:axId val="180501888"/>
      </c:barChart>
      <c:catAx>
        <c:axId val="180500352"/>
        <c:scaling>
          <c:orientation val="minMax"/>
        </c:scaling>
        <c:axPos val="b"/>
        <c:tickLblPos val="nextTo"/>
        <c:crossAx val="180501888"/>
        <c:crosses val="autoZero"/>
        <c:auto val="1"/>
        <c:lblAlgn val="ctr"/>
        <c:lblOffset val="100"/>
      </c:catAx>
      <c:valAx>
        <c:axId val="180501888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* -прирост (снижение)  индекса цен,%</a:t>
                </a:r>
              </a:p>
            </c:rich>
          </c:tx>
          <c:layout>
            <c:manualLayout>
              <c:xMode val="edge"/>
              <c:yMode val="edge"/>
              <c:x val="3.3979491970283382E-2"/>
              <c:y val="0.58911843493789995"/>
            </c:manualLayout>
          </c:layout>
        </c:title>
        <c:numFmt formatCode="0.00" sourceLinked="1"/>
        <c:tickLblPos val="nextTo"/>
        <c:crossAx val="180500352"/>
        <c:crosses val="autoZero"/>
        <c:crossBetween val="between"/>
        <c:minorUnit val="4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</c:chart>
  <c:spPr>
    <a:noFill/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Сводный индекс потребительских цен (инфляция) в ПМР </a:t>
            </a:r>
          </a:p>
          <a:p>
            <a:pPr>
              <a:defRPr sz="1200"/>
            </a:pPr>
            <a:r>
              <a:rPr lang="ru-RU" sz="1200"/>
              <a:t>в январе-апреле, %</a:t>
            </a:r>
          </a:p>
        </c:rich>
      </c:tx>
      <c:layout>
        <c:manualLayout>
          <c:xMode val="edge"/>
          <c:yMode val="edge"/>
          <c:x val="0.21013093514921499"/>
          <c:y val="3.0392811068108002E-3"/>
        </c:manualLayout>
      </c:layout>
      <c:spPr>
        <a:ln>
          <a:noFill/>
        </a:ln>
      </c:spPr>
    </c:title>
    <c:view3D>
      <c:rotX val="10"/>
      <c:rotY val="10"/>
      <c:perspective val="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0196123284963264E-2"/>
          <c:y val="3.4690799396681744E-2"/>
          <c:w val="0.90861868228012665"/>
          <c:h val="0.65242047026279903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00B0F0"/>
            </a:solidFill>
          </c:spPr>
          <c:dPt>
            <c:idx val="4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Pt>
            <c:idx val="10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Lbls>
            <c:dLbl>
              <c:idx val="0"/>
              <c:layout>
                <c:manualLayout>
                  <c:x val="8.0730126822665445E-3"/>
                  <c:y val="2.1871452085831421E-2"/>
                </c:manualLayout>
              </c:layout>
              <c:showVal val="1"/>
            </c:dLbl>
            <c:dLbl>
              <c:idx val="1"/>
              <c:layout>
                <c:manualLayout>
                  <c:x val="1.8775074539672334E-3"/>
                  <c:y val="1.5968817925213395E-2"/>
                </c:manualLayout>
              </c:layout>
              <c:showVal val="1"/>
            </c:dLbl>
            <c:dLbl>
              <c:idx val="2"/>
              <c:layout>
                <c:manualLayout>
                  <c:x val="8.239180173036419E-3"/>
                  <c:y val="1.5546241282801333E-2"/>
                </c:manualLayout>
              </c:layout>
              <c:showVal val="1"/>
            </c:dLbl>
            <c:dLbl>
              <c:idx val="3"/>
              <c:layout>
                <c:manualLayout>
                  <c:x val="3.9412167770241056E-3"/>
                  <c:y val="2.2498099898312827E-2"/>
                </c:manualLayout>
              </c:layout>
              <c:showVal val="1"/>
            </c:dLbl>
            <c:dLbl>
              <c:idx val="4"/>
              <c:layout>
                <c:manualLayout>
                  <c:x val="6.1399836231234104E-3"/>
                  <c:y val="1.8877021037023003E-2"/>
                </c:manualLayout>
              </c:layout>
              <c:showVal val="1"/>
            </c:dLbl>
            <c:dLbl>
              <c:idx val="5"/>
              <c:layout>
                <c:manualLayout>
                  <c:x val="6.049372115849265E-3"/>
                  <c:y val="2.0581324103343641E-2"/>
                </c:manualLayout>
              </c:layout>
              <c:showVal val="1"/>
            </c:dLbl>
            <c:dLbl>
              <c:idx val="6"/>
              <c:layout>
                <c:manualLayout>
                  <c:x val="8.238338392434718E-3"/>
                  <c:y val="1.4080413000229454E-2"/>
                </c:manualLayout>
              </c:layout>
              <c:showVal val="1"/>
            </c:dLbl>
            <c:dLbl>
              <c:idx val="7"/>
              <c:layout>
                <c:manualLayout>
                  <c:x val="5.9815245993545601E-3"/>
                  <c:y val="2.1867470209342182E-2"/>
                </c:manualLayout>
              </c:layout>
              <c:showVal val="1"/>
            </c:dLbl>
            <c:dLbl>
              <c:idx val="8"/>
              <c:layout>
                <c:manualLayout>
                  <c:x val="3.9678170440369375E-3"/>
                  <c:y val="2.1085031479222499E-2"/>
                </c:manualLayout>
              </c:layout>
              <c:showVal val="1"/>
            </c:dLbl>
            <c:dLbl>
              <c:idx val="9"/>
              <c:layout>
                <c:manualLayout>
                  <c:x val="6.0675545768452644E-3"/>
                  <c:y val="2.1875931696881651E-2"/>
                </c:manualLayout>
              </c:layout>
              <c:showVal val="1"/>
            </c:dLbl>
            <c:dLbl>
              <c:idx val="10"/>
              <c:layout>
                <c:manualLayout>
                  <c:x val="7.8651043059079495E-3"/>
                  <c:y val="9.4678497514097317E-3"/>
                </c:manualLayout>
              </c:layout>
              <c:showVal val="1"/>
            </c:dLbl>
            <c:dLbl>
              <c:idx val="11"/>
              <c:layout>
                <c:manualLayout>
                  <c:x val="1.056333641425034E-2"/>
                  <c:y val="1.639139456762545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Лист1!$A$2:$A$15</c:f>
              <c:strCache>
                <c:ptCount val="12"/>
                <c:pt idx="0">
                  <c:v>2005 г.</c:v>
                </c:pt>
                <c:pt idx="1">
                  <c:v>2006 г.</c:v>
                </c:pt>
                <c:pt idx="2">
                  <c:v>2007 г.</c:v>
                </c:pt>
                <c:pt idx="3">
                  <c:v>2008 г.</c:v>
                </c:pt>
                <c:pt idx="4">
                  <c:v>2009 г.</c:v>
                </c:pt>
                <c:pt idx="5">
                  <c:v>2010 г.</c:v>
                </c:pt>
                <c:pt idx="6">
                  <c:v>2011 г.</c:v>
                </c:pt>
                <c:pt idx="7">
                  <c:v>2012 г.</c:v>
                </c:pt>
                <c:pt idx="8">
                  <c:v>2013 г.</c:v>
                </c:pt>
                <c:pt idx="9">
                  <c:v>2014 г.</c:v>
                </c:pt>
                <c:pt idx="10">
                  <c:v>2015 г.</c:v>
                </c:pt>
                <c:pt idx="11">
                  <c:v>2016 г.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2"/>
                <c:pt idx="0">
                  <c:v>105.64</c:v>
                </c:pt>
                <c:pt idx="1">
                  <c:v>105.46000000000002</c:v>
                </c:pt>
                <c:pt idx="2">
                  <c:v>108.56</c:v>
                </c:pt>
                <c:pt idx="3">
                  <c:v>115.78</c:v>
                </c:pt>
                <c:pt idx="4">
                  <c:v>99.11999999999999</c:v>
                </c:pt>
                <c:pt idx="5">
                  <c:v>107.31</c:v>
                </c:pt>
                <c:pt idx="6">
                  <c:v>108.51</c:v>
                </c:pt>
                <c:pt idx="7">
                  <c:v>106.6</c:v>
                </c:pt>
                <c:pt idx="8">
                  <c:v>102.56</c:v>
                </c:pt>
                <c:pt idx="9">
                  <c:v>100.8</c:v>
                </c:pt>
                <c:pt idx="10">
                  <c:v>99.06</c:v>
                </c:pt>
                <c:pt idx="11">
                  <c:v>100.66999999999999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Лист1!$A$2:$A$15</c:f>
              <c:strCache>
                <c:ptCount val="12"/>
                <c:pt idx="0">
                  <c:v>2005 г.</c:v>
                </c:pt>
                <c:pt idx="1">
                  <c:v>2006 г.</c:v>
                </c:pt>
                <c:pt idx="2">
                  <c:v>2007 г.</c:v>
                </c:pt>
                <c:pt idx="3">
                  <c:v>2008 г.</c:v>
                </c:pt>
                <c:pt idx="4">
                  <c:v>2009 г.</c:v>
                </c:pt>
                <c:pt idx="5">
                  <c:v>2010 г.</c:v>
                </c:pt>
                <c:pt idx="6">
                  <c:v>2011 г.</c:v>
                </c:pt>
                <c:pt idx="7">
                  <c:v>2012 г.</c:v>
                </c:pt>
                <c:pt idx="8">
                  <c:v>2013 г.</c:v>
                </c:pt>
                <c:pt idx="9">
                  <c:v>2014 г.</c:v>
                </c:pt>
                <c:pt idx="10">
                  <c:v>2015 г.</c:v>
                </c:pt>
                <c:pt idx="11">
                  <c:v>2016 г.</c:v>
                </c:pt>
              </c:strCache>
            </c:strRef>
          </c:cat>
          <c:val>
            <c:numRef>
              <c:f>Лист1!$C$2:$C$15</c:f>
            </c:numRef>
          </c:val>
          <c:shape val="box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Лист1!$A$2:$A$15</c:f>
              <c:strCache>
                <c:ptCount val="12"/>
                <c:pt idx="0">
                  <c:v>2005 г.</c:v>
                </c:pt>
                <c:pt idx="1">
                  <c:v>2006 г.</c:v>
                </c:pt>
                <c:pt idx="2">
                  <c:v>2007 г.</c:v>
                </c:pt>
                <c:pt idx="3">
                  <c:v>2008 г.</c:v>
                </c:pt>
                <c:pt idx="4">
                  <c:v>2009 г.</c:v>
                </c:pt>
                <c:pt idx="5">
                  <c:v>2010 г.</c:v>
                </c:pt>
                <c:pt idx="6">
                  <c:v>2011 г.</c:v>
                </c:pt>
                <c:pt idx="7">
                  <c:v>2012 г.</c:v>
                </c:pt>
                <c:pt idx="8">
                  <c:v>2013 г.</c:v>
                </c:pt>
                <c:pt idx="9">
                  <c:v>2014 г.</c:v>
                </c:pt>
                <c:pt idx="10">
                  <c:v>2015 г.</c:v>
                </c:pt>
                <c:pt idx="11">
                  <c:v>2016 г.</c:v>
                </c:pt>
              </c:strCache>
            </c:strRef>
          </c:cat>
          <c:val>
            <c:numRef>
              <c:f>Лист1!$D$2:$D$15</c:f>
            </c:numRef>
          </c:val>
          <c:shape val="box"/>
        </c:ser>
        <c:dLbls>
          <c:showVal val="1"/>
        </c:dLbls>
        <c:shape val="cylinder"/>
        <c:axId val="182252288"/>
        <c:axId val="182253824"/>
        <c:axId val="182247424"/>
      </c:bar3DChart>
      <c:catAx>
        <c:axId val="182252288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b="1"/>
            </a:pPr>
            <a:endParaRPr lang="ru-RU"/>
          </a:p>
        </c:txPr>
        <c:crossAx val="182253824"/>
        <c:crossesAt val="0"/>
        <c:auto val="1"/>
        <c:lblAlgn val="ctr"/>
        <c:lblOffset val="100"/>
      </c:catAx>
      <c:valAx>
        <c:axId val="182253824"/>
        <c:scaling>
          <c:orientation val="minMax"/>
          <c:max val="140"/>
          <c:min val="80"/>
        </c:scaling>
        <c:axPos val="l"/>
        <c:numFmt formatCode="#,##0.00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82252288"/>
        <c:crosses val="autoZero"/>
        <c:crossBetween val="between"/>
        <c:majorUnit val="20"/>
        <c:minorUnit val="20"/>
      </c:valAx>
      <c:serAx>
        <c:axId val="182247424"/>
        <c:scaling>
          <c:orientation val="minMax"/>
        </c:scaling>
        <c:delete val="1"/>
        <c:axPos val="b"/>
        <c:tickLblPos val="none"/>
        <c:crossAx val="182253824"/>
        <c:crosses val="autoZero"/>
      </c:ser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2016 год</a:t>
            </a:r>
          </a:p>
        </c:rich>
      </c:tx>
      <c:layout>
        <c:manualLayout>
          <c:xMode val="edge"/>
          <c:yMode val="edge"/>
          <c:x val="0.21092835617770159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3921568627450824E-2"/>
          <c:y val="0.12568636751731341"/>
          <c:w val="0.84803921568627605"/>
          <c:h val="0.819053387557324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explosion val="27"/>
          <c:dPt>
            <c:idx val="1"/>
            <c:explosion val="31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explosion val="13"/>
          </c:dPt>
          <c:dPt>
            <c:idx val="5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4.1946419419466092E-2"/>
                  <c:y val="6.8723098124688674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28,1%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6.1219220388970728E-2"/>
                  <c:y val="-4.3494563179602734E-3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38,6%</a:t>
                    </a:r>
                    <a:endParaRPr lang="en-US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2"/>
              <c:layout>
                <c:manualLayout>
                  <c:x val="1.18341824918944E-3"/>
                  <c:y val="0.2500738048769544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12,2%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7.2209973753280893E-2"/>
                  <c:y val="1.26411067775406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10,3%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-0.13192339846408091"/>
                  <c:y val="-7.829021372328489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3,7%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0.16582561371005067"/>
                  <c:y val="-1.270802688125524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7,1%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легкая промышленность</c:v>
                </c:pt>
                <c:pt idx="3">
                  <c:v>пищевая промышленность</c:v>
                </c:pt>
                <c:pt idx="4">
                  <c:v>промышленность строительных материалов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824.4</c:v>
                </c:pt>
                <c:pt idx="1">
                  <c:v>1133.3</c:v>
                </c:pt>
                <c:pt idx="2" formatCode="0.0">
                  <c:v>359.3</c:v>
                </c:pt>
                <c:pt idx="3">
                  <c:v>300.7</c:v>
                </c:pt>
                <c:pt idx="4" formatCode="0.0">
                  <c:v>108.1</c:v>
                </c:pt>
                <c:pt idx="5">
                  <c:v>209.00000000000034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1762709597606046E-2"/>
          <c:y val="7.2690989962132593E-2"/>
          <c:w val="0.89483976127187925"/>
          <c:h val="0.57708643562411865"/>
        </c:manualLayout>
      </c:layout>
      <c:lineChart>
        <c:grouping val="standard"/>
        <c:ser>
          <c:idx val="3"/>
          <c:order val="3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 formatCode="General">
                  <c:v>601.9</c:v>
                </c:pt>
                <c:pt idx="1">
                  <c:v>609</c:v>
                </c:pt>
                <c:pt idx="2" formatCode="General">
                  <c:v>719.1</c:v>
                </c:pt>
                <c:pt idx="3" formatCode="General">
                  <c:v>693.7</c:v>
                </c:pt>
              </c:numCache>
            </c:numRef>
          </c:val>
        </c:ser>
        <c:ser>
          <c:idx val="4"/>
          <c:order val="4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 formatCode="General">
                  <c:v>601.9</c:v>
                </c:pt>
                <c:pt idx="1">
                  <c:v>609</c:v>
                </c:pt>
                <c:pt idx="2" formatCode="General">
                  <c:v>719.1</c:v>
                </c:pt>
                <c:pt idx="3" formatCode="General">
                  <c:v>693.7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-3.9910059013323985E-2"/>
                  <c:y val="0.13337822427368909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82,0%*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4.336827323336187E-2"/>
                  <c:y val="0.2258646240648487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77,0%*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4.3053479779995664E-2"/>
                  <c:y val="0.23682577608833377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3.323754116722679E-2"/>
                  <c:y val="-9.540950238363074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99,9%*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3.9034023374589791E-2"/>
                  <c:y val="8.598371632117408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97,4%*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5"/>
              <c:layout>
                <c:manualLayout>
                  <c:x val="-3.7440397230098982E-2"/>
                  <c:y val="8.653543307086826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94,3%*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3.6785486821875241E-2"/>
                  <c:y val="0.1221725855696611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178,0%*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1.6649588044153455E-2"/>
                  <c:y val="-0.14777706358134268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101,6%*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2.6881945318155676E-2"/>
                  <c:y val="7.832602166091923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2.882340734592239E-2"/>
                  <c:y val="8.80672645160750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92,1%*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2.8923405221784503E-2"/>
                  <c:y val="9.4177784857447489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78,0%*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5.847711520679571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85,9%*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613.29999999999995</c:v>
                </c:pt>
                <c:pt idx="1">
                  <c:v>733.9</c:v>
                </c:pt>
                <c:pt idx="2">
                  <c:v>894.2</c:v>
                </c:pt>
                <c:pt idx="3">
                  <c:v>693.4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-4.4524633465402814E-2"/>
                  <c:y val="-0.13819313965064711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101,9%*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4.7770031930722233E-2"/>
                  <c:y val="-0.16468655703751317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120,5%*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4.7740107327348513E-2"/>
                  <c:y val="-0.2145598696714641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124,4%*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3.4712372736847394E-2"/>
                  <c:y val="0.10131733533308335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81,2%*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3.5040729798885027E-2"/>
                  <c:y val="-7.510579034763552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204,3%*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5"/>
              <c:layout>
                <c:manualLayout>
                  <c:x val="-3.4878035917844212E-2"/>
                  <c:y val="-5.989727577156308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188,0%*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1.4066456530646178E-2"/>
                  <c:y val="-7.044833681504099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103,8%*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3.1027110791985651E-2"/>
                  <c:y val="0.16280572071348218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89,6%*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2.4911909195276402E-2"/>
                  <c:y val="-5.405377899191213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90,4%*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2.0741804492367392E-2"/>
                  <c:y val="-7.219454711018269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83,2%*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3.7352147748495691E-2"/>
                  <c:y val="-8.890438762531134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104,3%*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-9.720195188407712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100,4%*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 formatCode="General">
                  <c:v>601.9</c:v>
                </c:pt>
                <c:pt idx="1">
                  <c:v>609</c:v>
                </c:pt>
                <c:pt idx="2" formatCode="General">
                  <c:v>719.1</c:v>
                </c:pt>
                <c:pt idx="3" formatCode="General">
                  <c:v>693.7</c:v>
                </c:pt>
              </c:numCache>
            </c:numRef>
          </c:val>
        </c:ser>
        <c:ser>
          <c:idx val="2"/>
          <c:order val="2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613.29999999999995</c:v>
                </c:pt>
                <c:pt idx="1">
                  <c:v>733.9</c:v>
                </c:pt>
                <c:pt idx="2">
                  <c:v>894.2</c:v>
                </c:pt>
                <c:pt idx="3">
                  <c:v>693.4</c:v>
                </c:pt>
              </c:numCache>
            </c:numRef>
          </c:val>
        </c:ser>
        <c:marker val="1"/>
        <c:axId val="166786560"/>
        <c:axId val="166788480"/>
      </c:lineChart>
      <c:catAx>
        <c:axId val="1667865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800"/>
                  <a:t>* - темп </a:t>
                </a:r>
                <a:r>
                  <a:rPr lang="ru-RU" sz="850"/>
                  <a:t>роста</a:t>
                </a:r>
                <a:r>
                  <a:rPr lang="ru-RU" sz="800"/>
                  <a:t> 
к предыдущему году</a:t>
                </a:r>
              </a:p>
            </c:rich>
          </c:tx>
          <c:layout>
            <c:manualLayout>
              <c:xMode val="edge"/>
              <c:yMode val="edge"/>
              <c:x val="5.9147065215574171E-4"/>
              <c:y val="0.81310521370014055"/>
            </c:manualLayout>
          </c:layout>
          <c:spPr>
            <a:noFill/>
            <a:ln w="24917">
              <a:noFill/>
            </a:ln>
          </c:spPr>
        </c:title>
        <c:numFmt formatCode="General" sourceLinked="1"/>
        <c:tickLblPos val="nextTo"/>
        <c:txPr>
          <a:bodyPr/>
          <a:lstStyle/>
          <a:p>
            <a:pPr>
              <a:defRPr sz="883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6788480"/>
        <c:crosses val="autoZero"/>
        <c:auto val="1"/>
        <c:lblAlgn val="ctr"/>
        <c:lblOffset val="100"/>
      </c:catAx>
      <c:valAx>
        <c:axId val="166788480"/>
        <c:scaling>
          <c:orientation val="minMax"/>
          <c:min val="3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6786560"/>
        <c:crosses val="autoZero"/>
        <c:crossBetween val="between"/>
        <c:majorUnit val="200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3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38013390842068306"/>
          <c:y val="0.89792805311100865"/>
          <c:w val="0.29728521992076007"/>
          <c:h val="9.7756299775833611E-2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view3D>
      <c:rotX val="0"/>
      <c:rotY val="0"/>
      <c:depthPercent val="100"/>
      <c:perspective val="30"/>
    </c:view3D>
    <c:plotArea>
      <c:layout>
        <c:manualLayout>
          <c:layoutTarget val="inner"/>
          <c:xMode val="edge"/>
          <c:yMode val="edge"/>
          <c:x val="8.0304018651864206E-2"/>
          <c:y val="5.784938919672078E-2"/>
          <c:w val="0.91969598134816144"/>
          <c:h val="0.4577923592884222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 2015 года</c:v>
                </c:pt>
              </c:strCache>
            </c:strRef>
          </c:tx>
          <c:spPr>
            <a:solidFill>
              <a:srgbClr val="8064A2">
                <a:lumMod val="40000"/>
                <a:lumOff val="60000"/>
              </a:srgbClr>
            </a:solidFill>
          </c:spPr>
          <c:dLbls>
            <c:dLbl>
              <c:idx val="0"/>
              <c:layout>
                <c:manualLayout>
                  <c:x val="1.9786666226008286E-3"/>
                  <c:y val="1.8575107578637365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118,4*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2.3899662070048211E-3"/>
                  <c:y val="1.0255802664165443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63,9*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-3.7491221257363923E-3"/>
                  <c:y val="3.1134039279572852E-4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11,3*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2.1378941742383802E-3"/>
                  <c:y val="1.232686339739448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154,9*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6.1068021227440959E-3"/>
                  <c:y val="8.189933705095374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52,8*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3.068803999713825E-4"/>
                  <c:y val="2.8534731030961553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51,1*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-8.0589270517470724E-3"/>
                  <c:y val="5.754202354799703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32,8*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-1.2462757475357565E-2"/>
                  <c:y val="1.6211421848131107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74,7*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-3.4420933479852337E-3"/>
                  <c:y val="6.1804029982145811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88,9*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5.8299113450273072E-4"/>
                  <c:y val="7.952137295969382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100,8*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-3.5751171187547092E-3"/>
                  <c:y val="-6.0959551773200069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в 3,2р.*</a:t>
                    </a:r>
                    <a:endParaRPr lang="en-US" sz="750" b="1"/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276.8</c:v>
                </c:pt>
                <c:pt idx="1">
                  <c:v>200.9</c:v>
                </c:pt>
                <c:pt idx="2">
                  <c:v>1.8</c:v>
                </c:pt>
                <c:pt idx="3">
                  <c:v>18.3</c:v>
                </c:pt>
                <c:pt idx="4">
                  <c:v>13.2</c:v>
                </c:pt>
                <c:pt idx="5">
                  <c:v>0.60000000000000064</c:v>
                </c:pt>
                <c:pt idx="6">
                  <c:v>20</c:v>
                </c:pt>
                <c:pt idx="7">
                  <c:v>62.1</c:v>
                </c:pt>
                <c:pt idx="8">
                  <c:v>85</c:v>
                </c:pt>
                <c:pt idx="9">
                  <c:v>12.1</c:v>
                </c:pt>
                <c:pt idx="10">
                  <c:v>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апрель 2016 года</c:v>
                </c:pt>
              </c:strCache>
            </c:strRef>
          </c:tx>
          <c:spPr>
            <a:solidFill>
              <a:srgbClr val="9BBB59">
                <a:lumMod val="60000"/>
                <a:lumOff val="40000"/>
              </a:srgbClr>
            </a:solidFill>
          </c:spPr>
          <c:dLbls>
            <c:dLbl>
              <c:idx val="0"/>
              <c:layout>
                <c:manualLayout>
                  <c:x val="2.2736323751766162E-2"/>
                  <c:y val="1.054904187133348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94,0*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2.0627112062198992E-2"/>
                  <c:y val="5.360254733048651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64,3* 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1.0671150366435395E-2"/>
                  <c:y val="-2.735499122212385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в 8,8 р.*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5.9807817831795838E-3"/>
                  <c:y val="-2.8837043517708643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102,5*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1.0178059650614225E-2"/>
                  <c:y val="-4.095131786687583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112,0*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6.4136234939140089E-3"/>
                  <c:y val="-4.4552757901460113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99,7*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-4.3476464707388361E-3"/>
                  <c:y val="-4.5364862307572052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в</a:t>
                    </a:r>
                    <a:r>
                      <a:rPr lang="ru-RU" sz="750" b="1" baseline="0"/>
                      <a:t> 2,8 р.</a:t>
                    </a:r>
                    <a:r>
                      <a:rPr lang="ru-RU" sz="750" b="1"/>
                      <a:t>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2.9843593790020818E-4"/>
                  <c:y val="7.1581961345741065E-4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148,2*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1.0791119630508036E-2"/>
                  <c:y val="-2.1596513398787973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109,5*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2.1379600999795602E-3"/>
                  <c:y val="-3.4962157003101887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89,6*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1.3816129751881841E-2"/>
                  <c:y val="-4.3185249991899155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 baseline="0"/>
                      <a:t>48,9*</a:t>
                    </a:r>
                    <a:endParaRPr lang="en-US" sz="750" b="1"/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Лист1!$C$2:$C$12</c:f>
              <c:numCache>
                <c:formatCode>#,##0.0</c:formatCode>
                <c:ptCount val="11"/>
                <c:pt idx="0">
                  <c:v>260.2</c:v>
                </c:pt>
                <c:pt idx="1">
                  <c:v>129.19999999999999</c:v>
                </c:pt>
                <c:pt idx="2">
                  <c:v>15.8</c:v>
                </c:pt>
                <c:pt idx="3">
                  <c:v>18.8</c:v>
                </c:pt>
                <c:pt idx="4">
                  <c:v>14.8</c:v>
                </c:pt>
                <c:pt idx="5">
                  <c:v>0.60000000000000064</c:v>
                </c:pt>
                <c:pt idx="6">
                  <c:v>56.5</c:v>
                </c:pt>
                <c:pt idx="7">
                  <c:v>92.1</c:v>
                </c:pt>
                <c:pt idx="8">
                  <c:v>93.2</c:v>
                </c:pt>
                <c:pt idx="9">
                  <c:v>10.8</c:v>
                </c:pt>
                <c:pt idx="10">
                  <c:v>1.3</c:v>
                </c:pt>
              </c:numCache>
            </c:numRef>
          </c:val>
        </c:ser>
        <c:shape val="cylinder"/>
        <c:axId val="177097728"/>
        <c:axId val="177115904"/>
        <c:axId val="0"/>
      </c:bar3DChart>
      <c:catAx>
        <c:axId val="177097728"/>
        <c:scaling>
          <c:orientation val="minMax"/>
        </c:scaling>
        <c:axPos val="b"/>
        <c:numFmt formatCode="General" sourceLinked="1"/>
        <c:tickLblPos val="nextTo"/>
        <c:txPr>
          <a:bodyPr rot="5400000" vert="horz"/>
          <a:lstStyle/>
          <a:p>
            <a:pPr>
              <a:defRPr sz="800" b="1"/>
            </a:pPr>
            <a:endParaRPr lang="ru-RU"/>
          </a:p>
        </c:txPr>
        <c:crossAx val="177115904"/>
        <c:crosses val="autoZero"/>
        <c:auto val="1"/>
        <c:lblAlgn val="ctr"/>
        <c:lblOffset val="100"/>
      </c:catAx>
      <c:valAx>
        <c:axId val="177115904"/>
        <c:scaling>
          <c:orientation val="minMax"/>
        </c:scaling>
        <c:axPos val="l"/>
        <c:numFmt formatCode="#,##0.0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77097728"/>
        <c:crosses val="autoZero"/>
        <c:crossBetween val="between"/>
        <c:majorUnit val="50"/>
      </c:valAx>
      <c:spPr>
        <a:noFill/>
        <a:ln w="25393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3.2109120218240479E-2"/>
          <c:y val="0.93975903614462286"/>
          <c:w val="0.43969925806518279"/>
          <c:h val="6.4257028112449793E-2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3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Обьем производства по отрасли легкая промышленность,</a:t>
            </a:r>
            <a:r>
              <a:rPr lang="ru-RU" sz="1000" baseline="0"/>
              <a:t> </a:t>
            </a:r>
            <a:r>
              <a:rPr lang="ru-RU" sz="1000"/>
              <a:t>млн. руб.</a:t>
            </a:r>
          </a:p>
        </c:rich>
      </c:tx>
      <c:layout>
        <c:manualLayout>
          <c:xMode val="edge"/>
          <c:yMode val="edge"/>
          <c:x val="0.23817983860886777"/>
          <c:y val="4.6192253431798024E-2"/>
        </c:manualLayout>
      </c:layout>
      <c:spPr>
        <a:noFill/>
        <a:ln w="19217">
          <a:noFill/>
        </a:ln>
      </c:spPr>
    </c:title>
    <c:plotArea>
      <c:layout>
        <c:manualLayout>
          <c:layoutTarget val="inner"/>
          <c:xMode val="edge"/>
          <c:yMode val="edge"/>
          <c:x val="0.32546695094707462"/>
          <c:y val="0.18870710605620253"/>
          <c:w val="0.57282457566456602"/>
          <c:h val="0.64172485756360542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5400000" scaled="0"/>
            </a:gradFill>
            <a:ln w="19217"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  <c:dLbls>
            <c:dLbl>
              <c:idx val="0"/>
              <c:layout>
                <c:manualLayout>
                  <c:x val="-6.1600928543408193E-3"/>
                  <c:y val="1.8954387458324485E-4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75,3%*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2.0452220051846372E-3"/>
                  <c:y val="1.4414414414414415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67,6%*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-6.413682522715202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100,3%*</a:t>
                    </a:r>
                    <a:endParaRPr lang="en-US" sz="900"/>
                  </a:p>
                </c:rich>
              </c:tx>
              <c:dLblPos val="outEnd"/>
            </c:dLbl>
            <c:spPr>
              <a:noFill/>
              <a:ln w="19217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315.60000000000002</c:v>
                </c:pt>
                <c:pt idx="1">
                  <c:v>144.19999999999999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>
              <a:gsLst>
                <a:gs pos="0">
                  <a:srgbClr val="FFEFD1"/>
                </a:gs>
                <a:gs pos="64999">
                  <a:srgbClr val="F0EBD5"/>
                </a:gs>
                <a:gs pos="100000">
                  <a:srgbClr val="D1C39F"/>
                </a:gs>
              </a:gsLst>
              <a:lin ang="5400000" scaled="0"/>
            </a:gradFill>
            <a:ln w="19217">
              <a:noFill/>
            </a:ln>
          </c:spPr>
          <c:dLbls>
            <c:dLbl>
              <c:idx val="0"/>
              <c:layout>
                <c:manualLayout>
                  <c:x val="-8.7792646874456561E-3"/>
                  <c:y val="4.8333688018727559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900"/>
                      <a:t>113,8% *</a:t>
                    </a:r>
                  </a:p>
                </c:rich>
              </c:tx>
              <c:spPr>
                <a:noFill/>
                <a:ln w="19217">
                  <a:noFill/>
                </a:ln>
              </c:spPr>
              <c:dLblPos val="outEnd"/>
            </c:dLbl>
            <c:dLbl>
              <c:idx val="1"/>
              <c:layout>
                <c:manualLayout>
                  <c:x val="-4.0543699371938437E-3"/>
                  <c:y val="2.8709654536426192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900"/>
                      <a:t>135,5% *</a:t>
                    </a:r>
                  </a:p>
                </c:rich>
              </c:tx>
              <c:spPr>
                <a:noFill/>
                <a:ln w="19217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-1.6055863387446961E-4"/>
                  <c:y val="-6.3642532488316734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89,3%*</a:t>
                    </a:r>
                    <a:endParaRPr lang="en-US" sz="900"/>
                  </a:p>
                </c:rich>
              </c:tx>
              <c:dLblPos val="outEnd"/>
            </c:dLbl>
            <c:spPr>
              <a:noFill/>
              <a:ln w="19217">
                <a:noFill/>
              </a:ln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359.3</c:v>
                </c:pt>
                <c:pt idx="1">
                  <c:v>195.4</c:v>
                </c:pt>
              </c:numCache>
            </c:numRef>
          </c:val>
        </c:ser>
        <c:dLbls>
          <c:showVal val="1"/>
        </c:dLbls>
        <c:axId val="177310336"/>
        <c:axId val="177283456"/>
      </c:barChart>
      <c:catAx>
        <c:axId val="17731033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177283456"/>
        <c:crosses val="autoZero"/>
        <c:auto val="1"/>
        <c:lblAlgn val="ctr"/>
        <c:lblOffset val="100"/>
      </c:catAx>
      <c:valAx>
        <c:axId val="177283456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75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67615586564"/>
            </c:manualLayout>
          </c:layout>
          <c:spPr>
            <a:noFill/>
            <a:ln w="19217">
              <a:noFill/>
            </a:ln>
          </c:spPr>
        </c:title>
        <c:numFmt formatCode="General" sourceLinked="1"/>
        <c:tickLblPos val="nextTo"/>
        <c:crossAx val="177310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93047706824896"/>
          <c:y val="0.20889827795915755"/>
          <c:w val="9.8429775297274744E-2"/>
          <c:h val="0.30439103742981938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Обьем производства в отрасли электроэнергетика,</a:t>
            </a:r>
            <a:r>
              <a:rPr lang="ru-RU" sz="1000" baseline="0"/>
              <a:t> </a:t>
            </a:r>
            <a:r>
              <a:rPr lang="ru-RU" sz="1000"/>
              <a:t>млн. руб.</a:t>
            </a:r>
          </a:p>
        </c:rich>
      </c:tx>
      <c:layout>
        <c:manualLayout>
          <c:xMode val="edge"/>
          <c:yMode val="edge"/>
          <c:x val="0.21939632545932114"/>
          <c:y val="0"/>
        </c:manualLayout>
      </c:layout>
      <c:spPr>
        <a:noFill/>
        <a:ln w="21571">
          <a:noFill/>
        </a:ln>
      </c:spPr>
    </c:title>
    <c:plotArea>
      <c:layout>
        <c:manualLayout>
          <c:layoutTarget val="inner"/>
          <c:xMode val="edge"/>
          <c:yMode val="edge"/>
          <c:x val="0.41592156862746937"/>
          <c:y val="0.21069898520750024"/>
          <c:w val="0.50840161891985969"/>
          <c:h val="0.6196214415505887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  <a:ln w="21571">
              <a:noFill/>
            </a:ln>
          </c:spPr>
          <c:dLbls>
            <c:dLbl>
              <c:idx val="0"/>
              <c:layout>
                <c:manualLayout>
                  <c:x val="-1.0265202075246038E-2"/>
                  <c:y val="1.169997981021608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112,3%*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7.1598437442598247E-3"/>
                  <c:y val="8.7951909237151803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115,6%*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1.826462868612151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98,2%*</a:t>
                    </a:r>
                    <a:endParaRPr lang="en-US" sz="900"/>
                  </a:p>
                </c:rich>
              </c:tx>
              <c:dLblPos val="outEnd"/>
            </c:dLbl>
            <c:spPr>
              <a:noFill/>
              <a:ln w="21571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1195.5</c:v>
                </c:pt>
                <c:pt idx="1">
                  <c:v>942.6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  <a:ln w="21571">
              <a:noFill/>
            </a:ln>
          </c:spPr>
          <c:dLbls>
            <c:dLbl>
              <c:idx val="0"/>
              <c:layout>
                <c:manualLayout>
                  <c:x val="-8.6260679312442322E-3"/>
                  <c:y val="3.3687724518306245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94,8</a:t>
                    </a:r>
                    <a:r>
                      <a:rPr lang="ru-RU" sz="900" baseline="0"/>
                      <a:t>%*</a:t>
                    </a:r>
                    <a:endParaRPr lang="en-US" sz="900"/>
                  </a:p>
                </c:rich>
              </c:tx>
              <c:dLblPos val="outEnd"/>
            </c:dLbl>
            <c:dLbl>
              <c:idx val="1"/>
              <c:layout>
                <c:manualLayout>
                  <c:x val="-1.0393374234130616E-2"/>
                  <c:y val="-1.1760044417524741E-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900"/>
                      <a:t>93,8% *</a:t>
                    </a:r>
                  </a:p>
                </c:rich>
              </c:tx>
              <c:spPr>
                <a:noFill/>
                <a:ln w="21571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6.471725490669445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95,2%*</a:t>
                    </a:r>
                    <a:endParaRPr lang="en-US" sz="900"/>
                  </a:p>
                </c:rich>
              </c:tx>
              <c:dLblPos val="outEnd"/>
            </c:dLbl>
            <c:spPr>
              <a:noFill/>
              <a:ln w="21571">
                <a:noFill/>
              </a:ln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1133.3</c:v>
                </c:pt>
                <c:pt idx="1">
                  <c:v>883.8</c:v>
                </c:pt>
              </c:numCache>
            </c:numRef>
          </c:val>
        </c:ser>
        <c:dLbls>
          <c:showVal val="1"/>
        </c:dLbls>
        <c:axId val="177329664"/>
        <c:axId val="177331200"/>
      </c:barChart>
      <c:catAx>
        <c:axId val="177329664"/>
        <c:scaling>
          <c:orientation val="minMax"/>
        </c:scaling>
        <c:axPos val="l"/>
        <c:numFmt formatCode="General" sourceLinked="1"/>
        <c:tickLblPos val="nextTo"/>
        <c:crossAx val="177331200"/>
        <c:crosses val="autoZero"/>
        <c:auto val="1"/>
        <c:lblAlgn val="ctr"/>
        <c:lblOffset val="100"/>
      </c:catAx>
      <c:valAx>
        <c:axId val="177331200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84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9219445395"/>
            </c:manualLayout>
          </c:layout>
          <c:spPr>
            <a:noFill/>
            <a:ln w="21571">
              <a:noFill/>
            </a:ln>
          </c:spPr>
        </c:title>
        <c:numFmt formatCode="0.0" sourceLinked="1"/>
        <c:tickLblPos val="nextTo"/>
        <c:crossAx val="177329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442195460861564"/>
          <c:y val="6.0715797622072104E-2"/>
          <c:w val="7.0720256982802404E-2"/>
          <c:h val="0.45184136474319825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34087775172682039"/>
          <c:y val="7.6301919659146136E-2"/>
          <c:w val="0.63252442842235079"/>
          <c:h val="0.57033579322764028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январь - апрель 2015 года</c:v>
                </c:pt>
              </c:strCache>
            </c:strRef>
          </c:tx>
          <c:dLbls>
            <c:dLbl>
              <c:idx val="0"/>
              <c:layout>
                <c:manualLayout>
                  <c:x val="-6.8846815834767853E-3"/>
                  <c:y val="1.7937219730941704E-2"/>
                </c:manualLayout>
              </c:layout>
              <c:tx>
                <c:rich>
                  <a:bodyPr/>
                  <a:lstStyle/>
                  <a:p>
                    <a:r>
                      <a:rPr lang="ru-RU" sz="880"/>
                      <a:t>-21,7*</a:t>
                    </a:r>
                    <a:endParaRPr lang="en-US" sz="900"/>
                  </a:p>
                </c:rich>
              </c:tx>
              <c:dLblPos val="outEnd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880"/>
                      <a:t>-25,0*</a:t>
                    </a:r>
                    <a:endParaRPr lang="en-US" sz="900"/>
                  </a:p>
                </c:rich>
              </c:tx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880"/>
                      <a:t>-20,3*</a:t>
                    </a:r>
                    <a:endParaRPr lang="en-US" sz="900"/>
                  </a:p>
                </c:rich>
              </c:tx>
            </c:dLbl>
            <c:dLbl>
              <c:idx val="3"/>
              <c:delete val="1"/>
            </c:dLbl>
            <c:spPr>
              <a:noFill/>
              <a:ln w="24830">
                <a:noFill/>
              </a:ln>
            </c:spPr>
            <c:txPr>
              <a:bodyPr/>
              <a:lstStyle/>
              <a:p>
                <a:pPr>
                  <a:defRPr sz="880"/>
                </a:pPr>
                <a:endParaRPr lang="ru-RU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Sheet1!$B$2:$B$5</c:f>
              <c:numCache>
                <c:formatCode>#,##0.0</c:formatCode>
                <c:ptCount val="4"/>
                <c:pt idx="0">
                  <c:v>612.9</c:v>
                </c:pt>
                <c:pt idx="1">
                  <c:v>178.6</c:v>
                </c:pt>
                <c:pt idx="2">
                  <c:v>434.4</c:v>
                </c:pt>
                <c:pt idx="3">
                  <c:v>-255.79999999999998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январь - апрель 2016 года</c:v>
                </c:pt>
              </c:strCache>
            </c:strRef>
          </c:tx>
          <c:dLbls>
            <c:dLbl>
              <c:idx val="0"/>
              <c:layout>
                <c:manualLayout>
                  <c:x val="4.8192771084337969E-2"/>
                  <c:y val="5.9790732436473155E-3"/>
                </c:manualLayout>
              </c:layout>
              <c:tx>
                <c:rich>
                  <a:bodyPr/>
                  <a:lstStyle/>
                  <a:p>
                    <a:r>
                      <a:rPr lang="ru-RU" sz="880">
                        <a:solidFill>
                          <a:sysClr val="windowText" lastClr="000000"/>
                        </a:solidFill>
                      </a:rPr>
                      <a:t>-25,2*</a:t>
                    </a:r>
                    <a:endParaRPr lang="en-US" sz="90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3.4423407917383915E-2"/>
                  <c:y val="-5.9790732436473155E-3"/>
                </c:manualLayout>
              </c:layout>
              <c:tx>
                <c:rich>
                  <a:bodyPr/>
                  <a:lstStyle/>
                  <a:p>
                    <a:r>
                      <a:rPr lang="ru-RU" sz="880">
                        <a:solidFill>
                          <a:sysClr val="windowText" lastClr="000000"/>
                        </a:solidFill>
                      </a:rPr>
                      <a:t>-5,5*</a:t>
                    </a:r>
                    <a:endParaRPr lang="en-US" sz="90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4.8192771084337969E-2"/>
                  <c:y val="1.195814648729447E-2"/>
                </c:manualLayout>
              </c:layout>
              <c:tx>
                <c:rich>
                  <a:bodyPr/>
                  <a:lstStyle/>
                  <a:p>
                    <a:r>
                      <a:rPr lang="ru-RU" sz="880">
                        <a:solidFill>
                          <a:sysClr val="windowText" lastClr="000000"/>
                        </a:solidFill>
                      </a:rPr>
                      <a:t>-33,3*</a:t>
                    </a:r>
                    <a:endParaRPr lang="en-US" sz="90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</c:dLbl>
            <c:dLbl>
              <c:idx val="3"/>
              <c:delete val="1"/>
            </c:dLbl>
            <c:spPr>
              <a:noFill/>
              <a:ln w="24830">
                <a:noFill/>
              </a:ln>
            </c:spPr>
            <c:txPr>
              <a:bodyPr/>
              <a:lstStyle/>
              <a:p>
                <a:pPr>
                  <a:defRPr sz="88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Sheet1!$C$2:$C$5</c:f>
              <c:numCache>
                <c:formatCode>#,##0.0</c:formatCode>
                <c:ptCount val="4"/>
                <c:pt idx="0">
                  <c:v>458.6</c:v>
                </c:pt>
                <c:pt idx="1">
                  <c:v>168.8</c:v>
                </c:pt>
                <c:pt idx="2">
                  <c:v>289.8</c:v>
                </c:pt>
                <c:pt idx="3">
                  <c:v>-121</c:v>
                </c:pt>
              </c:numCache>
            </c:numRef>
          </c:val>
        </c:ser>
        <c:gapWidth val="50"/>
        <c:overlap val="60"/>
        <c:axId val="177427584"/>
        <c:axId val="177429120"/>
      </c:barChart>
      <c:catAx>
        <c:axId val="177427584"/>
        <c:scaling>
          <c:orientation val="minMax"/>
        </c:scaling>
        <c:axPos val="b"/>
        <c:numFmt formatCode="General" sourceLinked="1"/>
        <c:majorTickMark val="cross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77429120"/>
        <c:crosses val="autoZero"/>
        <c:lblAlgn val="ctr"/>
        <c:lblOffset val="20"/>
        <c:tickMarkSkip val="1"/>
      </c:catAx>
      <c:valAx>
        <c:axId val="177429120"/>
        <c:scaling>
          <c:orientation val="minMax"/>
          <c:max val="800"/>
          <c:min val="-400"/>
        </c:scaling>
        <c:axPos val="l"/>
        <c:title>
          <c:tx>
            <c:rich>
              <a:bodyPr rot="0" vert="horz"/>
              <a:lstStyle/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 sz="1000" b="1" i="0" strike="noStrike">
                  <a:solidFill>
                    <a:srgbClr val="000000"/>
                  </a:solidFill>
                  <a:latin typeface="Times New Roman"/>
                  <a:cs typeface="Times New Roman"/>
                </a:endParaRP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 sz="1000" b="1" i="0" strike="noStrike">
                  <a:solidFill>
                    <a:srgbClr val="000000"/>
                  </a:solidFill>
                  <a:latin typeface="Times New Roman"/>
                  <a:cs typeface="Times New Roman"/>
                </a:endParaRP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 sz="1000" b="1" i="0" strike="noStrike">
                  <a:solidFill>
                    <a:srgbClr val="000000"/>
                  </a:solidFill>
                  <a:latin typeface="Times New Roman"/>
                  <a:cs typeface="Times New Roman"/>
                </a:endParaRP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 - темп прироста (спада) в % к </a:t>
                </a: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предыдущему </a:t>
                </a: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году</a:t>
                </a:r>
              </a:p>
            </c:rich>
          </c:tx>
          <c:layout>
            <c:manualLayout>
              <c:xMode val="edge"/>
              <c:yMode val="edge"/>
              <c:x val="1.6593810187036716E-3"/>
              <c:y val="2.5053910514707227E-3"/>
            </c:manualLayout>
          </c:layout>
          <c:spPr>
            <a:noFill/>
            <a:ln w="24830">
              <a:noFill/>
            </a:ln>
          </c:spPr>
        </c:title>
        <c:numFmt formatCode="#,##0.0" sourceLinked="1"/>
        <c:majorTickMark val="cross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77427584"/>
        <c:crosses val="autoZero"/>
        <c:crossBetween val="between"/>
        <c:majorUnit val="200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8.0192616372391654E-2"/>
          <c:y val="3.1550068587105642E-2"/>
          <c:w val="0.92836811128945951"/>
          <c:h val="0.4289547446693258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- апрель 2015 год</c:v>
                </c:pt>
              </c:strCache>
            </c:strRef>
          </c:tx>
          <c:dLbls>
            <c:dLbl>
              <c:idx val="0"/>
              <c:layout>
                <c:manualLayout>
                  <c:x val="-6.4205457463884395E-3"/>
                  <c:y val="1.59362549800796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19,4*</a:t>
                    </a:r>
                    <a:endParaRPr lang="en-US"/>
                  </a:p>
                </c:rich>
              </c:tx>
              <c:dLblPos val="outEnd"/>
            </c:dLbl>
            <c:dLbl>
              <c:idx val="1"/>
              <c:layout>
                <c:manualLayout>
                  <c:x val="-4.2803638309256934E-3"/>
                  <c:y val="2.02020202020202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39,1*</a:t>
                    </a:r>
                    <a:endParaRPr lang="en-US"/>
                  </a:p>
                </c:rich>
              </c:tx>
              <c:dLblPos val="outEnd"/>
            </c:dLbl>
            <c:dLbl>
              <c:idx val="2"/>
              <c:layout>
                <c:manualLayout>
                  <c:x val="-8.5608146876613566E-3"/>
                  <c:y val="1.524558034175415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18,3*</a:t>
                    </a:r>
                    <a:endParaRPr lang="en-US"/>
                  </a:p>
                </c:rich>
              </c:tx>
              <c:dLblPos val="outEnd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12,7*</a:t>
                    </a:r>
                    <a:endParaRPr lang="en-US"/>
                  </a:p>
                </c:rich>
              </c:tx>
              <c:dLblPos val="outEnd"/>
            </c:dLbl>
            <c:dLbl>
              <c:idx val="4"/>
              <c:layout>
                <c:manualLayout>
                  <c:x val="2.1401819154628948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5,0*</a:t>
                    </a:r>
                    <a:endParaRPr lang="en-US"/>
                  </a:p>
                </c:rich>
              </c:tx>
              <c:dLblPos val="outEnd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3,0*</a:t>
                    </a:r>
                    <a:endParaRPr lang="en-US"/>
                  </a:p>
                </c:rich>
              </c:tx>
              <c:dLblPos val="outEnd"/>
            </c:dLbl>
            <c:dLbl>
              <c:idx val="6"/>
              <c:layout>
                <c:manualLayout>
                  <c:x val="-4.280363830925693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2,5*</a:t>
                    </a:r>
                    <a:endParaRPr lang="en-US"/>
                  </a:p>
                </c:rich>
              </c:tx>
              <c:dLblPos val="outEnd"/>
            </c:dLbl>
            <c:spPr>
              <a:noFill/>
              <a:ln w="24878">
                <a:noFill/>
              </a:ln>
            </c:spPr>
            <c:txPr>
              <a:bodyPr rot="0" vert="horz"/>
              <a:lstStyle/>
              <a:p>
                <a:pPr>
                  <a:defRPr sz="88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0">
                  <c:v>34.700000000000003</c:v>
                </c:pt>
                <c:pt idx="1">
                  <c:v>70</c:v>
                </c:pt>
                <c:pt idx="2">
                  <c:v>32.800000000000004</c:v>
                </c:pt>
                <c:pt idx="3">
                  <c:v>22.8</c:v>
                </c:pt>
                <c:pt idx="4">
                  <c:v>8.9</c:v>
                </c:pt>
                <c:pt idx="5">
                  <c:v>5.4</c:v>
                </c:pt>
                <c:pt idx="6">
                  <c:v>4.3999999999999773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- апрель 2016 год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8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8.5607276618512567E-3"/>
                  <c:y val="4.004140916648367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21,7*</a:t>
                    </a:r>
                    <a:endParaRPr lang="en-US"/>
                  </a:p>
                </c:rich>
              </c:tx>
              <c:dLblPos val="outEnd"/>
            </c:dLbl>
            <c:dLbl>
              <c:idx val="1"/>
              <c:layout>
                <c:manualLayout>
                  <c:x val="6.4205457463884395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38,5*</a:t>
                    </a:r>
                    <a:endParaRPr lang="en-US"/>
                  </a:p>
                </c:rich>
              </c:tx>
              <c:dLblPos val="outEnd"/>
            </c:dLbl>
            <c:dLbl>
              <c:idx val="2"/>
              <c:layout>
                <c:manualLayout>
                  <c:x val="8.5607276618512567E-3"/>
                  <c:y val="6.06060606060606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19,4*</a:t>
                    </a:r>
                  </a:p>
                  <a:p>
                    <a:endParaRPr lang="en-US"/>
                  </a:p>
                </c:rich>
              </c:tx>
              <c:dLblPos val="outEnd"/>
            </c:dLbl>
            <c:dLbl>
              <c:idx val="3"/>
              <c:layout>
                <c:manualLayout>
                  <c:x val="8.5607276618512567E-3"/>
                  <c:y val="1.01010101010101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11,1*</a:t>
                    </a:r>
                    <a:endParaRPr lang="en-US"/>
                  </a:p>
                </c:rich>
              </c:tx>
              <c:dLblPos val="outEnd"/>
            </c:dLbl>
            <c:dLbl>
              <c:idx val="4"/>
              <c:layout>
                <c:manualLayout>
                  <c:x val="4.280363830925582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3,5*</a:t>
                    </a:r>
                    <a:endParaRPr lang="en-US"/>
                  </a:p>
                </c:rich>
              </c:tx>
              <c:dLblPos val="outEnd"/>
            </c:dLbl>
            <c:dLbl>
              <c:idx val="5"/>
              <c:layout>
                <c:manualLayout>
                  <c:x val="1.070090957731407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3,1*</a:t>
                    </a:r>
                    <a:endParaRPr lang="en-US"/>
                  </a:p>
                </c:rich>
              </c:tx>
              <c:dLblPos val="outEnd"/>
            </c:dLbl>
            <c:dLbl>
              <c:idx val="6"/>
              <c:layout>
                <c:manualLayout>
                  <c:x val="4.2803638309256934E-3"/>
                  <c:y val="1.59362549800796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2,7*</a:t>
                    </a:r>
                    <a:endParaRPr lang="en-US"/>
                  </a:p>
                </c:rich>
              </c:tx>
              <c:dLblPos val="outEnd"/>
            </c:dLbl>
            <c:spPr>
              <a:noFill/>
              <a:ln w="24878">
                <a:noFill/>
              </a:ln>
            </c:spPr>
            <c:txPr>
              <a:bodyPr rot="0" vert="horz"/>
              <a:lstStyle/>
              <a:p>
                <a:pPr>
                  <a:defRPr sz="88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Sheet1!$B$3:$H$3</c:f>
              <c:numCache>
                <c:formatCode>0.0</c:formatCode>
                <c:ptCount val="7"/>
                <c:pt idx="0">
                  <c:v>36.6</c:v>
                </c:pt>
                <c:pt idx="1">
                  <c:v>65</c:v>
                </c:pt>
                <c:pt idx="2">
                  <c:v>32.800000000000004</c:v>
                </c:pt>
                <c:pt idx="3">
                  <c:v>18.8</c:v>
                </c:pt>
                <c:pt idx="4">
                  <c:v>5.9</c:v>
                </c:pt>
                <c:pt idx="5">
                  <c:v>5.2</c:v>
                </c:pt>
                <c:pt idx="6">
                  <c:v>4.5000000000000071</c:v>
                </c:pt>
              </c:numCache>
            </c:numRef>
          </c:val>
        </c:ser>
        <c:dLbls>
          <c:showVal val="1"/>
        </c:dLbls>
        <c:gapWidth val="160"/>
        <c:axId val="180356224"/>
        <c:axId val="180357760"/>
      </c:barChart>
      <c:catAx>
        <c:axId val="180356224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0357760"/>
        <c:crosses val="autoZero"/>
        <c:lblAlgn val="ctr"/>
        <c:lblOffset val="160"/>
        <c:tickLblSkip val="1"/>
        <c:tickMarkSkip val="1"/>
      </c:catAx>
      <c:valAx>
        <c:axId val="180357760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78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*- удельный вес в общем объеме экспорта,%</a:t>
                </a:r>
              </a:p>
            </c:rich>
          </c:tx>
          <c:layout>
            <c:manualLayout>
              <c:xMode val="edge"/>
              <c:yMode val="edge"/>
              <c:x val="0.78116633330801499"/>
              <c:y val="4.7138206436642023E-2"/>
            </c:manualLayout>
          </c:layout>
          <c:spPr>
            <a:noFill/>
            <a:ln w="24878">
              <a:noFill/>
            </a:ln>
          </c:spPr>
        </c:title>
        <c:numFmt formatCode="0.0" sourceLinked="1"/>
        <c:tickLblPos val="nextTo"/>
        <c:txPr>
          <a:bodyPr rot="0" vert="horz"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0356224"/>
        <c:crosses val="autoZero"/>
        <c:crossBetween val="between"/>
      </c:valAx>
    </c:plotArea>
    <c:legend>
      <c:legendPos val="r"/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3022508038585209"/>
          <c:y val="0.93087557603687177"/>
          <c:w val="0.73472668810289465"/>
          <c:h val="7.3732718894009494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52">
                <a:latin typeface="Times New Roman" pitchFamily="18" charset="0"/>
                <a:cs typeface="Times New Roman" pitchFamily="18" charset="0"/>
              </a:rPr>
              <a:t>Экспорт товаров в разрезе основных стран, тыс. долл. США</a:t>
            </a:r>
          </a:p>
        </c:rich>
      </c:tx>
      <c:layout>
        <c:manualLayout>
          <c:xMode val="edge"/>
          <c:yMode val="edge"/>
          <c:x val="0.20264541782576581"/>
          <c:y val="3.1840651820362938E-3"/>
        </c:manualLayout>
      </c:layout>
      <c:spPr>
        <a:noFill/>
        <a:ln w="24880">
          <a:noFill/>
        </a:ln>
      </c:spPr>
    </c:title>
    <c:plotArea>
      <c:layout>
        <c:manualLayout>
          <c:layoutTarget val="inner"/>
          <c:xMode val="edge"/>
          <c:yMode val="edge"/>
          <c:x val="0.18026883498038668"/>
          <c:y val="8.6947168413764236E-2"/>
          <c:w val="0.80975104908293649"/>
          <c:h val="0.5549576302962129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апрель 2015 г.</c:v>
                </c:pt>
              </c:strCache>
            </c:strRef>
          </c:tx>
          <c:dLbls>
            <c:dLbl>
              <c:idx val="0"/>
              <c:layout>
                <c:manualLayout>
                  <c:x val="-8.3339660302960208E-3"/>
                  <c:y val="1.8116033041882043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52,0*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-4.2906021033850333E-3"/>
                  <c:y val="1.344244876461196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8,5*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-6.3840218170926914E-3"/>
                  <c:y val="1.183978089695310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6,9*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-7.5040863794464665E-3"/>
                  <c:y val="1.0085620365415895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7,6*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-1.0091052406087941E-3"/>
                  <c:y val="9.9600593404085766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5,6*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-6.4136825227152014E-3"/>
                  <c:y val="1.6076563472817804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12,9*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-3.3236415970983252E-3"/>
                  <c:y val="1.5872988702499143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6173653968929561E-4"/>
                  <c:y val="3.1051770702575998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5,0*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4880">
                <a:noFill/>
              </a:ln>
            </c:spPr>
            <c:txPr>
              <a:bodyPr/>
              <a:lstStyle/>
              <a:p>
                <a:pPr>
                  <a:defRPr sz="88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92795.3</c:v>
                </c:pt>
                <c:pt idx="1">
                  <c:v>15258.1</c:v>
                </c:pt>
                <c:pt idx="2">
                  <c:v>12336.5</c:v>
                </c:pt>
                <c:pt idx="3">
                  <c:v>13623.7</c:v>
                </c:pt>
                <c:pt idx="4">
                  <c:v>10077.9</c:v>
                </c:pt>
                <c:pt idx="5">
                  <c:v>23050.6</c:v>
                </c:pt>
                <c:pt idx="6">
                  <c:v>2420.5</c:v>
                </c:pt>
                <c:pt idx="7">
                  <c:v>8998.7999999999811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апрель 2016 г.</c:v>
                </c:pt>
              </c:strCache>
            </c:strRef>
          </c:tx>
          <c:dLbls>
            <c:dLbl>
              <c:idx val="0"/>
              <c:layout>
                <c:manualLayout>
                  <c:x val="1.0286665386338907E-2"/>
                  <c:y val="1.6604999617766864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45,7*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1.3888888888889523E-2"/>
                  <c:y val="1.190476190476192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6,8*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4.9796100447359534E-3"/>
                  <c:y val="4.3839803689648175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7,8*</a:t>
                    </a:r>
                  </a:p>
                  <a:p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7.6435608563360374E-3"/>
                  <c:y val="1.0963299889331866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7,7*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1.3888888888889523E-2"/>
                  <c:y val="7.9365079365078823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6,1*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1.1984310202112953E-2"/>
                  <c:y val="3.9444254250827352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17,4*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6.4095591654648445E-3"/>
                  <c:y val="1.4009509680855304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0,9*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415226249871919E-2"/>
                  <c:y val="7.8058503556620914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7,5*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4880">
                <a:noFill/>
              </a:ln>
            </c:spPr>
            <c:txPr>
              <a:bodyPr/>
              <a:lstStyle/>
              <a:p>
                <a:pPr>
                  <a:defRPr sz="88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Лист1!$C$2:$C$9</c:f>
              <c:numCache>
                <c:formatCode>#,##0.0</c:formatCode>
                <c:ptCount val="8"/>
                <c:pt idx="0">
                  <c:v>77207.8</c:v>
                </c:pt>
                <c:pt idx="1">
                  <c:v>11514.1</c:v>
                </c:pt>
                <c:pt idx="2">
                  <c:v>13156.3</c:v>
                </c:pt>
                <c:pt idx="3">
                  <c:v>12968.7</c:v>
                </c:pt>
                <c:pt idx="4">
                  <c:v>10316.4</c:v>
                </c:pt>
                <c:pt idx="5">
                  <c:v>29437.8</c:v>
                </c:pt>
                <c:pt idx="6">
                  <c:v>1522.5</c:v>
                </c:pt>
                <c:pt idx="7">
                  <c:v>12706.10000000002</c:v>
                </c:pt>
              </c:numCache>
            </c:numRef>
          </c:val>
        </c:ser>
        <c:dLbls>
          <c:showVal val="1"/>
        </c:dLbls>
        <c:axId val="180859264"/>
        <c:axId val="180860800"/>
      </c:barChart>
      <c:catAx>
        <c:axId val="180859264"/>
        <c:scaling>
          <c:orientation val="minMax"/>
        </c:scaling>
        <c:axPos val="b"/>
        <c:numFmt formatCode="General" sourceLinked="1"/>
        <c:tickLblPos val="nextTo"/>
        <c:crossAx val="180860800"/>
        <c:crosses val="autoZero"/>
        <c:auto val="1"/>
        <c:lblAlgn val="ctr"/>
        <c:lblOffset val="100"/>
      </c:catAx>
      <c:valAx>
        <c:axId val="180860800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107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862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*- </a:t>
                </a:r>
                <a:r>
                  <a:rPr lang="ru-RU" sz="862" b="0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удельный вес в общем объеме экспорта, %</a:t>
                </a:r>
              </a:p>
            </c:rich>
          </c:tx>
          <c:layout>
            <c:manualLayout>
              <c:xMode val="edge"/>
              <c:yMode val="edge"/>
              <c:x val="0.80935311995953119"/>
              <c:y val="0.11114144787629122"/>
            </c:manualLayout>
          </c:layout>
          <c:spPr>
            <a:noFill/>
            <a:ln w="24880">
              <a:noFill/>
            </a:ln>
          </c:spPr>
        </c:title>
        <c:numFmt formatCode="#,##0.0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085926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64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legend>
      <c:legendPos val="r"/>
      <c:layout>
        <c:manualLayout>
          <c:xMode val="edge"/>
          <c:yMode val="edge"/>
          <c:x val="0.18325434439178653"/>
          <c:y val="0.951140065146585"/>
          <c:w val="0.71406003159558362"/>
          <c:h val="5.2117263843649196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0.92717</cdr:y>
    </cdr:from>
    <cdr:to>
      <cdr:x>0.1892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152775"/>
          <a:ext cx="1123950" cy="2476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0.7675</cdr:x>
      <cdr:y>0.03636</cdr:y>
    </cdr:from>
    <cdr:to>
      <cdr:x>1</cdr:x>
      <cdr:y>0.17081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98265" y="95250"/>
          <a:ext cx="1392960" cy="352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*</a:t>
          </a:r>
          <a:r>
            <a:rPr lang="en-US" sz="900" baseline="0">
              <a:latin typeface="Times New Roman" pitchFamily="18" charset="0"/>
              <a:cs typeface="Times New Roman" pitchFamily="18" charset="0"/>
            </a:rPr>
            <a:t> - 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темп роста к 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соответствующему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 периоду прошлого года,%</a:t>
          </a:r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2909</Words>
  <Characters>16585</Characters>
  <Application>Microsoft Office Word</Application>
  <DocSecurity>0</DocSecurity>
  <Lines>138</Lines>
  <Paragraphs>38</Paragraphs>
  <ScaleCrop>false</ScaleCrop>
  <Company>Microsoft</Company>
  <LinksUpToDate>false</LinksUpToDate>
  <CharactersWithSpaces>19456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kovalenko-k</dc:creator>
  <cp:lastModifiedBy>podsevalnikova-a</cp:lastModifiedBy>
  <cp:revision>7</cp:revision>
  <dcterms:created xsi:type="dcterms:W3CDTF">2016-05-23T10:39:00Z</dcterms:created>
  <dcterms:modified xsi:type="dcterms:W3CDTF">2016-05-25T07:47:00Z</dcterms:modified>
</cp:coreProperties>
</file>